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13F64" w14:textId="77777777" w:rsidR="00692DF1" w:rsidRPr="00692DF1" w:rsidRDefault="00692DF1" w:rsidP="00692DF1">
      <w:pPr>
        <w:widowControl w:val="0"/>
        <w:autoSpaceDE w:val="0"/>
        <w:autoSpaceDN w:val="0"/>
        <w:spacing w:after="0" w:line="240" w:lineRule="auto"/>
        <w:ind w:left="2798"/>
        <w:rPr>
          <w:rFonts w:ascii="Times New Roman" w:eastAsia="Calibri Light" w:hAnsi="Calibri Light" w:cs="Calibri Light"/>
          <w:kern w:val="0"/>
          <w:sz w:val="20"/>
          <w:lang w:eastAsia="en-GB" w:bidi="en-GB"/>
          <w14:ligatures w14:val="none"/>
        </w:rPr>
      </w:pPr>
      <w:r w:rsidRPr="00692DF1">
        <w:rPr>
          <w:rFonts w:ascii="Times New Roman" w:eastAsia="Calibri Light" w:hAnsi="Calibri Light" w:cs="Calibri Light"/>
          <w:noProof/>
          <w:kern w:val="0"/>
          <w:sz w:val="20"/>
          <w:lang w:eastAsia="en-GB"/>
          <w14:ligatures w14:val="none"/>
        </w:rPr>
        <w:drawing>
          <wp:inline distT="0" distB="0" distL="0" distR="0" wp14:anchorId="71D2C5A4" wp14:editId="3DF5217C">
            <wp:extent cx="2880984" cy="1133855"/>
            <wp:effectExtent l="0" t="0" r="0" b="0"/>
            <wp:docPr id="1" name="image1.jpeg"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black and white sign with black text&#10;&#10;Description automatically generated"/>
                    <pic:cNvPicPr/>
                  </pic:nvPicPr>
                  <pic:blipFill>
                    <a:blip r:embed="rId6" cstate="print"/>
                    <a:stretch>
                      <a:fillRect/>
                    </a:stretch>
                  </pic:blipFill>
                  <pic:spPr>
                    <a:xfrm>
                      <a:off x="0" y="0"/>
                      <a:ext cx="2880984" cy="1133855"/>
                    </a:xfrm>
                    <a:prstGeom prst="rect">
                      <a:avLst/>
                    </a:prstGeom>
                  </pic:spPr>
                </pic:pic>
              </a:graphicData>
            </a:graphic>
          </wp:inline>
        </w:drawing>
      </w:r>
    </w:p>
    <w:p w14:paraId="1579AF5B" w14:textId="77777777" w:rsidR="00692DF1" w:rsidRPr="00692DF1" w:rsidRDefault="00692DF1" w:rsidP="00692DF1">
      <w:pPr>
        <w:widowControl w:val="0"/>
        <w:autoSpaceDE w:val="0"/>
        <w:autoSpaceDN w:val="0"/>
        <w:spacing w:after="0" w:line="240" w:lineRule="auto"/>
        <w:rPr>
          <w:rFonts w:ascii="Times New Roman" w:eastAsia="Calibri Light" w:hAnsi="Calibri Light" w:cs="Calibri Light"/>
          <w:kern w:val="0"/>
          <w:sz w:val="20"/>
          <w:lang w:eastAsia="en-GB" w:bidi="en-GB"/>
          <w14:ligatures w14:val="none"/>
        </w:rPr>
      </w:pPr>
    </w:p>
    <w:p w14:paraId="7848E93B" w14:textId="77777777" w:rsidR="00692DF1" w:rsidRPr="00692DF1" w:rsidRDefault="00692DF1" w:rsidP="00692DF1">
      <w:pPr>
        <w:widowControl w:val="0"/>
        <w:autoSpaceDE w:val="0"/>
        <w:autoSpaceDN w:val="0"/>
        <w:spacing w:after="0" w:line="240" w:lineRule="auto"/>
        <w:rPr>
          <w:rFonts w:ascii="Times New Roman" w:eastAsia="Calibri Light" w:hAnsi="Calibri Light" w:cs="Calibri Light"/>
          <w:kern w:val="0"/>
          <w:sz w:val="20"/>
          <w:lang w:eastAsia="en-GB" w:bidi="en-GB"/>
          <w14:ligatures w14:val="none"/>
        </w:rPr>
      </w:pPr>
    </w:p>
    <w:p w14:paraId="20287EF6" w14:textId="77777777" w:rsidR="00692DF1" w:rsidRPr="00692DF1" w:rsidRDefault="00692DF1" w:rsidP="00692DF1">
      <w:pPr>
        <w:widowControl w:val="0"/>
        <w:autoSpaceDE w:val="0"/>
        <w:autoSpaceDN w:val="0"/>
        <w:spacing w:after="0" w:line="240" w:lineRule="auto"/>
        <w:rPr>
          <w:rFonts w:ascii="Times New Roman" w:eastAsia="Calibri Light" w:hAnsi="Calibri Light" w:cs="Calibri Light"/>
          <w:kern w:val="0"/>
          <w:sz w:val="20"/>
          <w:lang w:eastAsia="en-GB" w:bidi="en-GB"/>
          <w14:ligatures w14:val="none"/>
        </w:rPr>
      </w:pPr>
    </w:p>
    <w:p w14:paraId="4C9B6707" w14:textId="77777777" w:rsidR="00692DF1" w:rsidRPr="00692DF1" w:rsidRDefault="00692DF1" w:rsidP="00692DF1">
      <w:pPr>
        <w:widowControl w:val="0"/>
        <w:autoSpaceDE w:val="0"/>
        <w:autoSpaceDN w:val="0"/>
        <w:spacing w:after="0" w:line="240" w:lineRule="auto"/>
        <w:rPr>
          <w:rFonts w:ascii="Times New Roman" w:eastAsia="Calibri Light" w:hAnsi="Calibri Light" w:cs="Calibri Light"/>
          <w:kern w:val="0"/>
          <w:sz w:val="20"/>
          <w:lang w:eastAsia="en-GB" w:bidi="en-GB"/>
          <w14:ligatures w14:val="none"/>
        </w:rPr>
      </w:pPr>
    </w:p>
    <w:p w14:paraId="00CC5236" w14:textId="77777777" w:rsidR="00692DF1" w:rsidRPr="00692DF1" w:rsidRDefault="00692DF1" w:rsidP="00A84615">
      <w:pPr>
        <w:widowControl w:val="0"/>
        <w:autoSpaceDE w:val="0"/>
        <w:autoSpaceDN w:val="0"/>
        <w:spacing w:after="0" w:line="360" w:lineRule="auto"/>
        <w:jc w:val="both"/>
        <w:rPr>
          <w:rFonts w:ascii="Arial" w:eastAsia="Calibri Light" w:hAnsi="Arial" w:cs="Arial"/>
          <w:kern w:val="0"/>
          <w:sz w:val="24"/>
          <w:szCs w:val="24"/>
          <w:lang w:eastAsia="en-GB" w:bidi="en-GB"/>
          <w14:ligatures w14:val="none"/>
        </w:rPr>
      </w:pPr>
    </w:p>
    <w:p w14:paraId="397A8CDA" w14:textId="77777777" w:rsidR="00692DF1" w:rsidRPr="00692DF1" w:rsidRDefault="00692DF1" w:rsidP="00A84615">
      <w:pPr>
        <w:widowControl w:val="0"/>
        <w:autoSpaceDE w:val="0"/>
        <w:autoSpaceDN w:val="0"/>
        <w:spacing w:after="0" w:line="360" w:lineRule="auto"/>
        <w:jc w:val="center"/>
        <w:rPr>
          <w:rFonts w:ascii="Arial" w:eastAsia="Calibri Light" w:hAnsi="Arial" w:cs="Arial"/>
          <w:b/>
          <w:bCs/>
          <w:kern w:val="0"/>
          <w:sz w:val="44"/>
          <w:szCs w:val="44"/>
          <w:lang w:eastAsia="en-GB" w:bidi="en-GB"/>
          <w14:ligatures w14:val="none"/>
        </w:rPr>
      </w:pPr>
      <w:r w:rsidRPr="00692DF1">
        <w:rPr>
          <w:rFonts w:ascii="Arial" w:eastAsia="Calibri Light" w:hAnsi="Arial" w:cs="Arial"/>
          <w:b/>
          <w:bCs/>
          <w:kern w:val="0"/>
          <w:sz w:val="44"/>
          <w:szCs w:val="44"/>
          <w:lang w:eastAsia="en-GB" w:bidi="en-GB"/>
          <w14:ligatures w14:val="none"/>
        </w:rPr>
        <w:t>BMHP5005</w:t>
      </w:r>
    </w:p>
    <w:p w14:paraId="2D7A599E" w14:textId="77777777" w:rsidR="00692DF1" w:rsidRPr="00692DF1" w:rsidRDefault="00692DF1" w:rsidP="00A84615">
      <w:pPr>
        <w:widowControl w:val="0"/>
        <w:autoSpaceDE w:val="0"/>
        <w:autoSpaceDN w:val="0"/>
        <w:spacing w:after="0" w:line="360" w:lineRule="auto"/>
        <w:jc w:val="center"/>
        <w:rPr>
          <w:rFonts w:ascii="Arial" w:eastAsia="Calibri Light" w:hAnsi="Arial" w:cs="Arial"/>
          <w:b/>
          <w:bCs/>
          <w:kern w:val="0"/>
          <w:sz w:val="44"/>
          <w:szCs w:val="44"/>
          <w:lang w:eastAsia="en-GB" w:bidi="en-GB"/>
          <w14:ligatures w14:val="none"/>
        </w:rPr>
      </w:pPr>
      <w:r w:rsidRPr="00692DF1">
        <w:rPr>
          <w:rFonts w:ascii="Arial" w:eastAsia="Calibri Light" w:hAnsi="Arial" w:cs="Arial"/>
          <w:b/>
          <w:bCs/>
          <w:kern w:val="0"/>
          <w:sz w:val="44"/>
          <w:szCs w:val="44"/>
          <w:lang w:eastAsia="en-GB" w:bidi="en-GB"/>
          <w14:ligatures w14:val="none"/>
        </w:rPr>
        <w:t>Introduction to Research</w:t>
      </w:r>
    </w:p>
    <w:p w14:paraId="49CCE035" w14:textId="77777777" w:rsidR="00692DF1" w:rsidRPr="00692DF1" w:rsidRDefault="00692DF1" w:rsidP="00A84615">
      <w:pPr>
        <w:keepNext/>
        <w:widowControl w:val="0"/>
        <w:autoSpaceDE w:val="0"/>
        <w:autoSpaceDN w:val="0"/>
        <w:spacing w:before="240" w:after="60" w:line="360" w:lineRule="auto"/>
        <w:jc w:val="center"/>
        <w:outlineLvl w:val="0"/>
        <w:rPr>
          <w:rFonts w:ascii="Arial" w:eastAsia="Arial Unicode MS" w:hAnsi="Arial" w:cs="Arial"/>
          <w:kern w:val="32"/>
          <w:sz w:val="44"/>
          <w:szCs w:val="44"/>
          <w:lang w:eastAsia="en-GB" w:bidi="en-GB"/>
          <w14:ligatures w14:val="none"/>
        </w:rPr>
      </w:pPr>
    </w:p>
    <w:p w14:paraId="53C23AFA"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5D5D6DF9"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6450CB89" w14:textId="77777777" w:rsidR="00692DF1" w:rsidRPr="00692DF1" w:rsidRDefault="00692DF1" w:rsidP="00A84615">
      <w:pPr>
        <w:widowControl w:val="0"/>
        <w:autoSpaceDE w:val="0"/>
        <w:autoSpaceDN w:val="0"/>
        <w:spacing w:after="0" w:line="360" w:lineRule="auto"/>
        <w:jc w:val="both"/>
        <w:rPr>
          <w:rFonts w:ascii="Arial" w:eastAsia="Times New Roman" w:hAnsi="Arial" w:cs="Arial"/>
          <w:kern w:val="0"/>
          <w:sz w:val="24"/>
          <w:szCs w:val="24"/>
          <w:lang w:eastAsia="en-GB" w:bidi="en-GB"/>
          <w14:ligatures w14:val="none"/>
        </w:rPr>
      </w:pPr>
      <w:r w:rsidRPr="00692DF1">
        <w:rPr>
          <w:rFonts w:ascii="Arial" w:eastAsia="Times New Roman" w:hAnsi="Arial" w:cs="Arial"/>
          <w:kern w:val="0"/>
          <w:sz w:val="24"/>
          <w:szCs w:val="24"/>
          <w:lang w:eastAsia="en-GB" w:bidi="en-GB"/>
          <w14:ligatures w14:val="none"/>
        </w:rPr>
        <w:br w:type="page"/>
      </w:r>
    </w:p>
    <w:p w14:paraId="0A9D3E0F"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center"/>
        <w:rPr>
          <w:rFonts w:ascii="Arial" w:eastAsia="Arial Unicode MS" w:hAnsi="Arial" w:cs="Arial"/>
          <w:b/>
          <w:bCs/>
          <w:kern w:val="0"/>
          <w:sz w:val="28"/>
          <w:szCs w:val="28"/>
          <w:lang w:eastAsia="en-GB" w:bidi="en-GB"/>
          <w14:ligatures w14:val="none"/>
        </w:rPr>
      </w:pPr>
    </w:p>
    <w:p w14:paraId="4D627F85"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center"/>
        <w:rPr>
          <w:rFonts w:ascii="Arial" w:eastAsia="Arial Unicode MS" w:hAnsi="Arial" w:cs="Arial"/>
          <w:b/>
          <w:bCs/>
          <w:kern w:val="0"/>
          <w:sz w:val="28"/>
          <w:szCs w:val="28"/>
          <w:lang w:eastAsia="en-GB" w:bidi="en-GB"/>
          <w14:ligatures w14:val="none"/>
        </w:rPr>
      </w:pPr>
      <w:r w:rsidRPr="00692DF1">
        <w:rPr>
          <w:rFonts w:ascii="Arial" w:eastAsia="Arial Unicode MS" w:hAnsi="Arial" w:cs="Arial"/>
          <w:b/>
          <w:bCs/>
          <w:kern w:val="0"/>
          <w:sz w:val="28"/>
          <w:szCs w:val="28"/>
          <w:lang w:eastAsia="en-GB" w:bidi="en-GB"/>
          <w14:ligatures w14:val="none"/>
        </w:rPr>
        <w:t>Are rates of male suicide higher than women in the UK? And why?</w:t>
      </w:r>
    </w:p>
    <w:p w14:paraId="56C2E263"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0D73DE56"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t>2105048 Sacha Pugsley</w:t>
      </w:r>
    </w:p>
    <w:p w14:paraId="31255213"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7FCA6BA7"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tab/>
      </w:r>
    </w:p>
    <w:p w14:paraId="1390F42F"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3AF47522"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4F3E6CD2"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28E19B78"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721602A3"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51702252"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55E18E69"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49213E31"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ind w:left="720"/>
        <w:jc w:val="both"/>
        <w:rPr>
          <w:rFonts w:ascii="Arial" w:eastAsia="Arial Unicode MS" w:hAnsi="Arial" w:cs="Arial"/>
          <w:kern w:val="0"/>
          <w:sz w:val="24"/>
          <w:szCs w:val="24"/>
          <w:lang w:eastAsia="en-GB" w:bidi="en-GB"/>
          <w14:ligatures w14:val="none"/>
        </w:rPr>
      </w:pPr>
    </w:p>
    <w:p w14:paraId="1B5BB4CC"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ind w:left="720"/>
        <w:jc w:val="both"/>
        <w:rPr>
          <w:rFonts w:ascii="Arial" w:eastAsia="Arial Unicode MS" w:hAnsi="Arial" w:cs="Arial"/>
          <w:kern w:val="0"/>
          <w:sz w:val="24"/>
          <w:szCs w:val="24"/>
          <w:lang w:eastAsia="en-GB" w:bidi="en-GB"/>
          <w14:ligatures w14:val="none"/>
        </w:rPr>
      </w:pPr>
    </w:p>
    <w:p w14:paraId="2833A52B"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ind w:left="720"/>
        <w:jc w:val="both"/>
        <w:rPr>
          <w:rFonts w:ascii="Arial" w:eastAsia="Arial Unicode MS" w:hAnsi="Arial" w:cs="Arial"/>
          <w:kern w:val="0"/>
          <w:sz w:val="24"/>
          <w:szCs w:val="24"/>
          <w:lang w:eastAsia="en-GB" w:bidi="en-GB"/>
          <w14:ligatures w14:val="none"/>
        </w:rPr>
      </w:pPr>
    </w:p>
    <w:p w14:paraId="605418CB"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ind w:left="720"/>
        <w:jc w:val="both"/>
        <w:rPr>
          <w:rFonts w:ascii="Arial" w:eastAsia="Arial Unicode MS" w:hAnsi="Arial" w:cs="Arial"/>
          <w:kern w:val="0"/>
          <w:sz w:val="24"/>
          <w:szCs w:val="24"/>
          <w:lang w:eastAsia="en-GB" w:bidi="en-GB"/>
          <w14:ligatures w14:val="none"/>
        </w:rPr>
      </w:pPr>
    </w:p>
    <w:p w14:paraId="15480A1A"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ind w:left="720"/>
        <w:jc w:val="both"/>
        <w:rPr>
          <w:rFonts w:ascii="Arial" w:eastAsia="Arial Unicode MS" w:hAnsi="Arial" w:cs="Arial"/>
          <w:kern w:val="0"/>
          <w:sz w:val="24"/>
          <w:szCs w:val="24"/>
          <w:lang w:eastAsia="en-GB" w:bidi="en-GB"/>
          <w14:ligatures w14:val="none"/>
        </w:rPr>
      </w:pPr>
    </w:p>
    <w:p w14:paraId="07B83F92"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ind w:left="720"/>
        <w:jc w:val="both"/>
        <w:rPr>
          <w:rFonts w:ascii="Arial" w:eastAsia="Arial Unicode MS" w:hAnsi="Arial" w:cs="Arial"/>
          <w:kern w:val="0"/>
          <w:sz w:val="24"/>
          <w:szCs w:val="24"/>
          <w:lang w:eastAsia="en-GB" w:bidi="en-GB"/>
          <w14:ligatures w14:val="none"/>
        </w:rPr>
      </w:pPr>
    </w:p>
    <w:p w14:paraId="426B7963"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ind w:left="720"/>
        <w:jc w:val="both"/>
        <w:rPr>
          <w:rFonts w:ascii="Arial" w:eastAsia="Arial Unicode MS" w:hAnsi="Arial" w:cs="Arial"/>
          <w:kern w:val="0"/>
          <w:sz w:val="24"/>
          <w:szCs w:val="24"/>
          <w:lang w:eastAsia="en-GB" w:bidi="en-GB"/>
          <w14:ligatures w14:val="none"/>
        </w:rPr>
      </w:pPr>
    </w:p>
    <w:p w14:paraId="301CB165"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ind w:left="720"/>
        <w:jc w:val="both"/>
        <w:rPr>
          <w:rFonts w:ascii="Arial" w:eastAsia="Arial Unicode MS" w:hAnsi="Arial" w:cs="Arial"/>
          <w:kern w:val="0"/>
          <w:sz w:val="24"/>
          <w:szCs w:val="24"/>
          <w:lang w:eastAsia="en-GB" w:bidi="en-GB"/>
          <w14:ligatures w14:val="none"/>
        </w:rPr>
      </w:pPr>
    </w:p>
    <w:p w14:paraId="57CE2EC8" w14:textId="77777777" w:rsidR="00692DF1" w:rsidRPr="00692DF1" w:rsidRDefault="00692DF1" w:rsidP="00A846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1BE58640" w14:textId="77777777" w:rsidR="00692DF1" w:rsidRPr="00692DF1" w:rsidRDefault="00692DF1" w:rsidP="00A846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4F5C05B0" w14:textId="77777777" w:rsidR="00692DF1" w:rsidRPr="00692DF1" w:rsidRDefault="00692DF1" w:rsidP="00A846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u w:val="single"/>
          <w:lang w:eastAsia="en-GB" w:bidi="en-GB"/>
          <w14:ligatures w14:val="none"/>
        </w:rPr>
      </w:pPr>
    </w:p>
    <w:p w14:paraId="185312DF"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b/>
          <w:bCs/>
          <w:kern w:val="0"/>
          <w:sz w:val="24"/>
          <w:szCs w:val="24"/>
          <w:lang w:eastAsia="en-GB" w:bidi="en-GB"/>
          <w14:ligatures w14:val="none"/>
        </w:rPr>
      </w:pPr>
    </w:p>
    <w:p w14:paraId="4607B7FF" w14:textId="77777777" w:rsidR="00692DF1" w:rsidRPr="00692DF1" w:rsidRDefault="00692DF1" w:rsidP="00A84615">
      <w:pPr>
        <w:widowControl w:val="0"/>
        <w:autoSpaceDE w:val="0"/>
        <w:autoSpaceDN w:val="0"/>
        <w:spacing w:after="0" w:line="36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br w:type="page"/>
      </w:r>
    </w:p>
    <w:p w14:paraId="312A9A50"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lastRenderedPageBreak/>
        <w:t>ABSTRACT</w:t>
      </w:r>
    </w:p>
    <w:p w14:paraId="4A6EBF63"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15B10804"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t>This research question is whether male suicide rates in the UK are higher than female rates, and if so, why. The aim for this literature review is to conduct a narrative literature review to demonstrate how serious suicide is in the UK.</w:t>
      </w:r>
    </w:p>
    <w:p w14:paraId="438D4D21"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t>The summary in Appendix 1 will list the number of search terms, data bases, and papers that were critically evaluated while using  Currency, Relevance, Authority, Accuracy, and Purpose known as (CRAAP) and then thematically analysed.</w:t>
      </w:r>
    </w:p>
    <w:p w14:paraId="1ED4D65D"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t>The data and results show that suicide rates among men are higher than women, and this is attributed to life choices and the need for men to seek help. Recommendations based on the results include urgent meetings with doctors, free helplines available 24/7, meetings on assorted topics, and mental health teams on call. There should be more advertisements and marketing to spread awareness and encourage men to seek help. Success stories from those who have sought help should also be shared online to inspire others.</w:t>
      </w:r>
    </w:p>
    <w:p w14:paraId="66306C6C"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6ABC65BD"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58980330"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5ABF281F"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72730560"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41A22518"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0475CEE2"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368E5A51"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0E2BA155"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3AD8ED6E"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2F196D9A"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7D8E8236"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lastRenderedPageBreak/>
        <w:t xml:space="preserve">SECTION 1: INTRODUCTION AND RATIONALE </w:t>
      </w:r>
    </w:p>
    <w:p w14:paraId="5F264694"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p>
    <w:p w14:paraId="5A6E8A6F"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t>“</w:t>
      </w:r>
      <w:r w:rsidRPr="00692DF1">
        <w:rPr>
          <w:rFonts w:ascii="Arial" w:eastAsia="Arial Unicode MS" w:hAnsi="Arial" w:cs="Arial"/>
          <w:i/>
          <w:iCs/>
          <w:kern w:val="0"/>
          <w:sz w:val="24"/>
          <w:szCs w:val="24"/>
          <w:lang w:eastAsia="en-GB" w:bidi="en-GB"/>
          <w14:ligatures w14:val="none"/>
        </w:rPr>
        <w:t>The decision to commit suicide is often weighed down by situation stressors, physical demands or strive, or a multitude of other concerns and conflicts that we will never understand completely” (Holmes&amp;Holmes,2005</w:t>
      </w:r>
      <w:r w:rsidRPr="00692DF1">
        <w:rPr>
          <w:rFonts w:ascii="Arial" w:eastAsia="Arial Unicode MS" w:hAnsi="Arial" w:cs="Arial"/>
          <w:kern w:val="0"/>
          <w:sz w:val="24"/>
          <w:szCs w:val="24"/>
          <w:lang w:eastAsia="en-GB" w:bidi="en-GB"/>
          <w14:ligatures w14:val="none"/>
        </w:rPr>
        <w:t>). As stated on Office of national statistics (ONS, 2022) In England and Wales in 2021, 5,583 suicides were recorded. Approximately 75% of suicide victims were men. Research will be undertaken to understand this more by reading academic literature/Journals/statistical websites.</w:t>
      </w:r>
    </w:p>
    <w:p w14:paraId="5DC1A907"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t xml:space="preserve">The aims and objectives of this literature review is to examine how much more difficulty men have in dealing with suicidal thoughts and behaviour, as well as how they can get help before it is too late. </w:t>
      </w:r>
    </w:p>
    <w:p w14:paraId="697E502D"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p>
    <w:p w14:paraId="0E95F0CB" w14:textId="77777777" w:rsidR="00692DF1" w:rsidRPr="00A84615" w:rsidRDefault="00692DF1"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According to data from Wales, there were 347 reported suicides in 2021, which represents an increase of sixty-two compared to the previous year (Samaritans, 2021). The suicide rate stood at 12.7 suicides per 100,000 people, higher than the rates of 10.3 suicides per 100,000 people in 2020 and 12.2 suicides per 100,000 in 2019 (Samaritans, 2021). This information emphasizes the need for a comprehensive understanding of suicide prevention strategies (Ospina, 2015).</w:t>
      </w:r>
    </w:p>
    <w:p w14:paraId="294357FD" w14:textId="77777777" w:rsidR="00692DF1" w:rsidRPr="00A84615" w:rsidRDefault="00692DF1"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p>
    <w:p w14:paraId="17936040" w14:textId="77777777" w:rsidR="00692DF1" w:rsidRPr="00A84615" w:rsidRDefault="00692DF1"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 xml:space="preserve">In terms of gender disparities, men had a significantly higher suicide rate of 19.7 per 100,000 compared to women's rate of 5.9 per 100,000 (Samaritans, 2021). This finding aligns with previous research indicating that male suicide rates tend to be higher than those of females (Our World in Data, 2017). Various factors such as social </w:t>
      </w:r>
      <w:r w:rsidRPr="00A84615">
        <w:rPr>
          <w:rFonts w:ascii="Arial" w:eastAsia="Arial Unicode MS" w:hAnsi="Arial" w:cs="Arial"/>
          <w:kern w:val="0"/>
          <w:sz w:val="24"/>
          <w:szCs w:val="24"/>
          <w:lang w:eastAsia="en-GB" w:bidi="en-GB"/>
          <w14:ligatures w14:val="none"/>
        </w:rPr>
        <w:lastRenderedPageBreak/>
        <w:t>stigma, cultural restrictions, and legal issues may contribute to this gender disparity (Our World in Data, 2017).</w:t>
      </w:r>
    </w:p>
    <w:p w14:paraId="0BE03AD7" w14:textId="77777777" w:rsidR="00692DF1" w:rsidRPr="00A84615" w:rsidRDefault="00692DF1"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p>
    <w:p w14:paraId="343DF770" w14:textId="7469DC5A" w:rsidR="00692DF1" w:rsidRPr="00A84615" w:rsidRDefault="00692DF1"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Furthermore, it is crucial to recogni</w:t>
      </w:r>
      <w:r w:rsidR="00700D0C">
        <w:rPr>
          <w:rFonts w:ascii="Arial" w:eastAsia="Arial Unicode MS" w:hAnsi="Arial" w:cs="Arial"/>
          <w:kern w:val="0"/>
          <w:sz w:val="24"/>
          <w:szCs w:val="24"/>
          <w:lang w:eastAsia="en-GB" w:bidi="en-GB"/>
          <w14:ligatures w14:val="none"/>
        </w:rPr>
        <w:t>s</w:t>
      </w:r>
      <w:r w:rsidRPr="00A84615">
        <w:rPr>
          <w:rFonts w:ascii="Arial" w:eastAsia="Arial Unicode MS" w:hAnsi="Arial" w:cs="Arial"/>
          <w:kern w:val="0"/>
          <w:sz w:val="24"/>
          <w:szCs w:val="24"/>
          <w:lang w:eastAsia="en-GB" w:bidi="en-GB"/>
          <w14:ligatures w14:val="none"/>
        </w:rPr>
        <w:t>e that suicide is a leading cause of mortality among males over the age of twenty-five (</w:t>
      </w:r>
      <w:proofErr w:type="spellStart"/>
      <w:r w:rsidRPr="00A84615">
        <w:rPr>
          <w:rFonts w:ascii="Arial" w:eastAsia="Arial Unicode MS" w:hAnsi="Arial" w:cs="Arial"/>
          <w:kern w:val="0"/>
          <w:sz w:val="24"/>
          <w:szCs w:val="24"/>
          <w:lang w:eastAsia="en-GB" w:bidi="en-GB"/>
          <w14:ligatures w14:val="none"/>
        </w:rPr>
        <w:t>Beautrais</w:t>
      </w:r>
      <w:proofErr w:type="spellEnd"/>
      <w:r w:rsidRPr="00A84615">
        <w:rPr>
          <w:rFonts w:ascii="Arial" w:eastAsia="Arial Unicode MS" w:hAnsi="Arial" w:cs="Arial"/>
          <w:kern w:val="0"/>
          <w:sz w:val="24"/>
          <w:szCs w:val="24"/>
          <w:lang w:eastAsia="en-GB" w:bidi="en-GB"/>
          <w14:ligatures w14:val="none"/>
        </w:rPr>
        <w:t>, 2005). In all regions, male suicide rates surpass those of females, highlighting the urgent need for targeted interventions and support systems (</w:t>
      </w:r>
      <w:proofErr w:type="spellStart"/>
      <w:r w:rsidRPr="00A84615">
        <w:rPr>
          <w:rFonts w:ascii="Arial" w:eastAsia="Arial Unicode MS" w:hAnsi="Arial" w:cs="Arial"/>
          <w:kern w:val="0"/>
          <w:sz w:val="24"/>
          <w:szCs w:val="24"/>
          <w:lang w:eastAsia="en-GB" w:bidi="en-GB"/>
          <w14:ligatures w14:val="none"/>
        </w:rPr>
        <w:t>Beautrais</w:t>
      </w:r>
      <w:proofErr w:type="spellEnd"/>
      <w:r w:rsidRPr="00A84615">
        <w:rPr>
          <w:rFonts w:ascii="Arial" w:eastAsia="Arial Unicode MS" w:hAnsi="Arial" w:cs="Arial"/>
          <w:kern w:val="0"/>
          <w:sz w:val="24"/>
          <w:szCs w:val="24"/>
          <w:lang w:eastAsia="en-GB" w:bidi="en-GB"/>
          <w14:ligatures w14:val="none"/>
        </w:rPr>
        <w:t>, 2005).</w:t>
      </w:r>
    </w:p>
    <w:p w14:paraId="484A5968" w14:textId="77777777" w:rsidR="00692DF1" w:rsidRPr="00A84615" w:rsidRDefault="00692DF1"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p>
    <w:p w14:paraId="6754BCD3" w14:textId="136FC083" w:rsidR="00692DF1" w:rsidRPr="00A84615" w:rsidRDefault="00692DF1"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The importance of collecting accurate data and fostering open dialogue on suicide prevention strategies cannot be overstated (Ospina, 2015). Understanding the true magnitude of suicide rates requires correcting for underreporting, as suicide deaths are often not adequately captured in official statistics (Our World in Data, 2017). By acknowledging this challenge and utili</w:t>
      </w:r>
      <w:r w:rsidR="00700D0C">
        <w:rPr>
          <w:rFonts w:ascii="Arial" w:eastAsia="Arial Unicode MS" w:hAnsi="Arial" w:cs="Arial"/>
          <w:kern w:val="0"/>
          <w:sz w:val="24"/>
          <w:szCs w:val="24"/>
          <w:lang w:eastAsia="en-GB" w:bidi="en-GB"/>
          <w14:ligatures w14:val="none"/>
        </w:rPr>
        <w:t>s</w:t>
      </w:r>
      <w:r w:rsidRPr="00A84615">
        <w:rPr>
          <w:rFonts w:ascii="Arial" w:eastAsia="Arial Unicode MS" w:hAnsi="Arial" w:cs="Arial"/>
          <w:kern w:val="0"/>
          <w:sz w:val="24"/>
          <w:szCs w:val="24"/>
          <w:lang w:eastAsia="en-GB" w:bidi="en-GB"/>
          <w14:ligatures w14:val="none"/>
        </w:rPr>
        <w:t>ing comprehensive data, policymakers and healthcare professionals can develop more effective suicide prevention initiatives.</w:t>
      </w:r>
    </w:p>
    <w:p w14:paraId="38DCE6E2" w14:textId="77777777" w:rsidR="00692DF1" w:rsidRPr="00A84615" w:rsidRDefault="00692DF1"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p>
    <w:p w14:paraId="31AD4F22" w14:textId="77777777" w:rsidR="00692DF1" w:rsidRPr="00A84615" w:rsidRDefault="00692DF1"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For additional information and references, please refer to Appendix 2.</w:t>
      </w:r>
    </w:p>
    <w:p w14:paraId="56EEE679" w14:textId="665B0F2E" w:rsidR="00692DF1" w:rsidRPr="00692DF1" w:rsidRDefault="00692DF1"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692DF1">
        <w:rPr>
          <w:rFonts w:ascii="Arial" w:eastAsia="Arial Unicode MS" w:hAnsi="Arial" w:cs="Arial"/>
          <w:kern w:val="0"/>
          <w:sz w:val="24"/>
          <w:szCs w:val="24"/>
          <w:lang w:eastAsia="en-GB"/>
          <w14:ligatures w14:val="none"/>
        </w:rPr>
        <w:t>Society often emphasi</w:t>
      </w:r>
      <w:r w:rsidRPr="00A84615">
        <w:rPr>
          <w:rFonts w:ascii="Arial" w:eastAsia="Arial Unicode MS" w:hAnsi="Arial" w:cs="Arial"/>
          <w:kern w:val="0"/>
          <w:sz w:val="24"/>
          <w:szCs w:val="24"/>
          <w:lang w:eastAsia="en-GB"/>
          <w14:ligatures w14:val="none"/>
        </w:rPr>
        <w:t>s</w:t>
      </w:r>
      <w:r w:rsidRPr="00692DF1">
        <w:rPr>
          <w:rFonts w:ascii="Arial" w:eastAsia="Arial Unicode MS" w:hAnsi="Arial" w:cs="Arial"/>
          <w:kern w:val="0"/>
          <w:sz w:val="24"/>
          <w:szCs w:val="24"/>
          <w:lang w:eastAsia="en-GB"/>
          <w14:ligatures w14:val="none"/>
        </w:rPr>
        <w:t>es traditional masculine traits such as achievement, bravery, assertiveness, and material rewards, while associating femininity with harmony, modesty, helping the weak, and high standards of living (Hofstede Insights, 2022). As males grow older, they become deeply ingrained with these societal expectations, which can lead to feelings of worthlessness or disempowerment when expressing emotions such as unhappiness, worry, or fear (</w:t>
      </w:r>
      <w:proofErr w:type="spellStart"/>
      <w:r w:rsidRPr="00692DF1">
        <w:rPr>
          <w:rFonts w:ascii="Arial" w:eastAsia="Arial Unicode MS" w:hAnsi="Arial" w:cs="Arial"/>
          <w:kern w:val="0"/>
          <w:sz w:val="24"/>
          <w:szCs w:val="24"/>
          <w:lang w:eastAsia="en-GB"/>
          <w14:ligatures w14:val="none"/>
        </w:rPr>
        <w:t>Costelloe</w:t>
      </w:r>
      <w:proofErr w:type="spellEnd"/>
      <w:r w:rsidRPr="00692DF1">
        <w:rPr>
          <w:rFonts w:ascii="Arial" w:eastAsia="Arial Unicode MS" w:hAnsi="Arial" w:cs="Arial"/>
          <w:kern w:val="0"/>
          <w:sz w:val="24"/>
          <w:szCs w:val="24"/>
          <w:lang w:eastAsia="en-GB"/>
          <w14:ligatures w14:val="none"/>
        </w:rPr>
        <w:t>, 2020).</w:t>
      </w:r>
    </w:p>
    <w:p w14:paraId="260C90EB" w14:textId="77777777" w:rsidR="00692DF1" w:rsidRPr="00692DF1" w:rsidRDefault="00692DF1"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692DF1">
        <w:rPr>
          <w:rFonts w:ascii="Arial" w:eastAsia="Arial Unicode MS" w:hAnsi="Arial" w:cs="Arial"/>
          <w:kern w:val="0"/>
          <w:sz w:val="24"/>
          <w:szCs w:val="24"/>
          <w:lang w:eastAsia="en-GB"/>
          <w14:ligatures w14:val="none"/>
        </w:rPr>
        <w:lastRenderedPageBreak/>
        <w:t xml:space="preserve">According to </w:t>
      </w:r>
      <w:proofErr w:type="spellStart"/>
      <w:r w:rsidRPr="00692DF1">
        <w:rPr>
          <w:rFonts w:ascii="Arial" w:eastAsia="Arial Unicode MS" w:hAnsi="Arial" w:cs="Arial"/>
          <w:kern w:val="0"/>
          <w:sz w:val="24"/>
          <w:szCs w:val="24"/>
          <w:lang w:eastAsia="en-GB"/>
          <w14:ligatures w14:val="none"/>
        </w:rPr>
        <w:t>Costelloe</w:t>
      </w:r>
      <w:proofErr w:type="spellEnd"/>
      <w:r w:rsidRPr="00692DF1">
        <w:rPr>
          <w:rFonts w:ascii="Arial" w:eastAsia="Arial Unicode MS" w:hAnsi="Arial" w:cs="Arial"/>
          <w:kern w:val="0"/>
          <w:sz w:val="24"/>
          <w:szCs w:val="24"/>
          <w:lang w:eastAsia="en-GB"/>
          <w14:ligatures w14:val="none"/>
        </w:rPr>
        <w:t xml:space="preserve"> (2020), males are more likely to turn to substances as a form of self-medication rather than seeking professional help. Substances such as alcohol, opioids, street drugs, and cannabis may be used by males as a means to cope with their emotional struggles.</w:t>
      </w:r>
    </w:p>
    <w:p w14:paraId="4B203C7F" w14:textId="0D1C74F5" w:rsidR="00692DF1" w:rsidRPr="00692DF1" w:rsidRDefault="00692DF1"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692DF1">
        <w:rPr>
          <w:rFonts w:ascii="Arial" w:eastAsia="Arial Unicode MS" w:hAnsi="Arial" w:cs="Arial"/>
          <w:kern w:val="0"/>
          <w:sz w:val="24"/>
          <w:szCs w:val="24"/>
          <w:lang w:eastAsia="en-GB"/>
          <w14:ligatures w14:val="none"/>
        </w:rPr>
        <w:t>Regardless of one's gender or the pressures they face, prioriti</w:t>
      </w:r>
      <w:r w:rsidR="004534D9">
        <w:rPr>
          <w:rFonts w:ascii="Arial" w:eastAsia="Arial Unicode MS" w:hAnsi="Arial" w:cs="Arial"/>
          <w:kern w:val="0"/>
          <w:sz w:val="24"/>
          <w:szCs w:val="24"/>
          <w:lang w:eastAsia="en-GB"/>
          <w14:ligatures w14:val="none"/>
        </w:rPr>
        <w:t>s</w:t>
      </w:r>
      <w:r w:rsidRPr="00692DF1">
        <w:rPr>
          <w:rFonts w:ascii="Arial" w:eastAsia="Arial Unicode MS" w:hAnsi="Arial" w:cs="Arial"/>
          <w:kern w:val="0"/>
          <w:sz w:val="24"/>
          <w:szCs w:val="24"/>
          <w:lang w:eastAsia="en-GB"/>
          <w14:ligatures w14:val="none"/>
        </w:rPr>
        <w:t>ing mental well-being is crucial. It is essential to seek assistance at the earliest signs of ongoing depressive episodes. Individuals can consult their primary care provider for a referral to a mental health specialist or reach out to local mental health resources for support (</w:t>
      </w:r>
      <w:proofErr w:type="spellStart"/>
      <w:r w:rsidRPr="00692DF1">
        <w:rPr>
          <w:rFonts w:ascii="Arial" w:eastAsia="Arial Unicode MS" w:hAnsi="Arial" w:cs="Arial"/>
          <w:kern w:val="0"/>
          <w:sz w:val="24"/>
          <w:szCs w:val="24"/>
          <w:lang w:eastAsia="en-GB"/>
          <w14:ligatures w14:val="none"/>
        </w:rPr>
        <w:t>Costelloe</w:t>
      </w:r>
      <w:proofErr w:type="spellEnd"/>
      <w:r w:rsidRPr="00692DF1">
        <w:rPr>
          <w:rFonts w:ascii="Arial" w:eastAsia="Arial Unicode MS" w:hAnsi="Arial" w:cs="Arial"/>
          <w:kern w:val="0"/>
          <w:sz w:val="24"/>
          <w:szCs w:val="24"/>
          <w:lang w:eastAsia="en-GB"/>
          <w14:ligatures w14:val="none"/>
        </w:rPr>
        <w:t>, 2020).</w:t>
      </w:r>
    </w:p>
    <w:p w14:paraId="2EBDA5A9" w14:textId="77777777" w:rsidR="00692DF1" w:rsidRPr="00692DF1" w:rsidRDefault="00692DF1"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692DF1">
        <w:rPr>
          <w:rFonts w:ascii="Arial" w:eastAsia="Arial Unicode MS" w:hAnsi="Arial" w:cs="Arial"/>
          <w:kern w:val="0"/>
          <w:sz w:val="24"/>
          <w:szCs w:val="24"/>
          <w:lang w:eastAsia="en-GB"/>
          <w14:ligatures w14:val="none"/>
        </w:rPr>
        <w:t>The objective of this study is to shed light on the seriousness of the issue of male suicide and its impact on well-being and mental health. By highlighting the existing efforts and exploring further preventive measures, we aim to address this problem effectively.</w:t>
      </w:r>
    </w:p>
    <w:p w14:paraId="00CD1929" w14:textId="7991C662"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A84615">
        <w:rPr>
          <w:rFonts w:ascii="Arial" w:eastAsia="Arial Unicode MS" w:hAnsi="Arial" w:cs="Arial"/>
          <w:kern w:val="0"/>
          <w:sz w:val="24"/>
          <w:szCs w:val="24"/>
          <w:lang w:eastAsia="en-GB"/>
          <w14:ligatures w14:val="none"/>
        </w:rPr>
        <w:t>Bringing attention to the profound impact of male suicide in the UK and its exacerbated effects during the pandemic, it is evident that various factors contribute to the problem. The stigma surrounding men's expression of emotions and the perception of weakness associated with seeking help are significant barriers (King, 2020). Despite ongoing efforts, suicide remains a pervasive and serious issue (</w:t>
      </w:r>
      <w:proofErr w:type="spellStart"/>
      <w:r w:rsidRPr="00A84615">
        <w:rPr>
          <w:rFonts w:ascii="Arial" w:eastAsia="Arial Unicode MS" w:hAnsi="Arial" w:cs="Arial"/>
          <w:kern w:val="0"/>
          <w:sz w:val="24"/>
          <w:szCs w:val="24"/>
          <w:lang w:eastAsia="en-GB"/>
          <w14:ligatures w14:val="none"/>
        </w:rPr>
        <w:t>Sojo</w:t>
      </w:r>
      <w:proofErr w:type="spellEnd"/>
      <w:r w:rsidRPr="00A84615">
        <w:rPr>
          <w:rFonts w:ascii="Arial" w:eastAsia="Arial Unicode MS" w:hAnsi="Arial" w:cs="Arial"/>
          <w:kern w:val="0"/>
          <w:sz w:val="24"/>
          <w:szCs w:val="24"/>
          <w:lang w:eastAsia="en-GB"/>
          <w14:ligatures w14:val="none"/>
        </w:rPr>
        <w:t xml:space="preserve">, 2020). </w:t>
      </w:r>
      <w:proofErr w:type="spellStart"/>
      <w:r w:rsidRPr="00A84615">
        <w:rPr>
          <w:rFonts w:ascii="Arial" w:eastAsia="Arial Unicode MS" w:hAnsi="Arial" w:cs="Arial"/>
          <w:kern w:val="0"/>
          <w:sz w:val="24"/>
          <w:szCs w:val="24"/>
          <w:lang w:eastAsia="en-GB"/>
          <w14:ligatures w14:val="none"/>
        </w:rPr>
        <w:t>Sojo</w:t>
      </w:r>
      <w:proofErr w:type="spellEnd"/>
      <w:r w:rsidRPr="00A84615">
        <w:rPr>
          <w:rFonts w:ascii="Arial" w:eastAsia="Arial Unicode MS" w:hAnsi="Arial" w:cs="Arial"/>
          <w:kern w:val="0"/>
          <w:sz w:val="24"/>
          <w:szCs w:val="24"/>
          <w:lang w:eastAsia="en-GB"/>
          <w14:ligatures w14:val="none"/>
        </w:rPr>
        <w:t xml:space="preserve"> (2020) emphasises that suicide often occurs in secrecy, without any indication or external assistance, highlighting the urgent need for effective intervention and prevention measures.</w:t>
      </w:r>
    </w:p>
    <w:p w14:paraId="574AEFD8" w14:textId="77777777"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p>
    <w:p w14:paraId="70E002EA" w14:textId="0F3FEF1E"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A84615">
        <w:rPr>
          <w:rFonts w:ascii="Arial" w:eastAsia="Arial Unicode MS" w:hAnsi="Arial" w:cs="Arial"/>
          <w:kern w:val="0"/>
          <w:sz w:val="24"/>
          <w:szCs w:val="24"/>
          <w:lang w:eastAsia="en-GB"/>
          <w14:ligatures w14:val="none"/>
        </w:rPr>
        <w:lastRenderedPageBreak/>
        <w:t>In the realm of public mental health, youth suicide represents a critical concern that requires comprehensive understanding of the risk factors influencing suicidal behaviour among young individuals (</w:t>
      </w:r>
      <w:proofErr w:type="spellStart"/>
      <w:r w:rsidRPr="00A84615">
        <w:rPr>
          <w:rFonts w:ascii="Arial" w:eastAsia="Arial Unicode MS" w:hAnsi="Arial" w:cs="Arial"/>
          <w:kern w:val="0"/>
          <w:sz w:val="24"/>
          <w:szCs w:val="24"/>
          <w:lang w:eastAsia="en-GB"/>
          <w14:ligatures w14:val="none"/>
        </w:rPr>
        <w:t>Bilsen</w:t>
      </w:r>
      <w:proofErr w:type="spellEnd"/>
      <w:r w:rsidRPr="00A84615">
        <w:rPr>
          <w:rFonts w:ascii="Arial" w:eastAsia="Arial Unicode MS" w:hAnsi="Arial" w:cs="Arial"/>
          <w:kern w:val="0"/>
          <w:sz w:val="24"/>
          <w:szCs w:val="24"/>
          <w:lang w:eastAsia="en-GB"/>
          <w14:ligatures w14:val="none"/>
        </w:rPr>
        <w:t>, 2018). Moreover, on a global scale, suicide has become the second leading cause of death among individuals aged 15 to 29, posing a significant public health challenge worldwide (WHO, 2014).</w:t>
      </w:r>
    </w:p>
    <w:p w14:paraId="5CDCC151" w14:textId="77777777"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p>
    <w:p w14:paraId="65AE72C7" w14:textId="77777777"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A84615">
        <w:rPr>
          <w:rFonts w:ascii="Arial" w:eastAsia="Arial Unicode MS" w:hAnsi="Arial" w:cs="Arial"/>
          <w:kern w:val="0"/>
          <w:sz w:val="24"/>
          <w:szCs w:val="24"/>
          <w:lang w:eastAsia="en-GB"/>
          <w14:ligatures w14:val="none"/>
        </w:rPr>
        <w:t>By acknowledging the magnitude and complexity of the issue, researchers and policymakers can work towards developing targeted strategies and interventions to address male suicide effectively.</w:t>
      </w:r>
    </w:p>
    <w:p w14:paraId="327138D0" w14:textId="2DEAD08F"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A84615">
        <w:rPr>
          <w:rFonts w:ascii="Arial" w:eastAsia="Arial Unicode MS" w:hAnsi="Arial" w:cs="Arial"/>
          <w:kern w:val="0"/>
          <w:sz w:val="24"/>
          <w:szCs w:val="24"/>
          <w:lang w:eastAsia="en-GB"/>
          <w14:ligatures w14:val="none"/>
        </w:rPr>
        <w:t xml:space="preserve">While females exhibit a higher proportion of suicidal ideation and </w:t>
      </w:r>
      <w:r w:rsidR="004534D9" w:rsidRPr="00A84615">
        <w:rPr>
          <w:rFonts w:ascii="Arial" w:eastAsia="Arial Unicode MS" w:hAnsi="Arial" w:cs="Arial"/>
          <w:kern w:val="0"/>
          <w:sz w:val="24"/>
          <w:szCs w:val="24"/>
          <w:lang w:eastAsia="en-GB"/>
          <w14:ligatures w14:val="none"/>
        </w:rPr>
        <w:t>behaviour</w:t>
      </w:r>
      <w:r w:rsidRPr="00A84615">
        <w:rPr>
          <w:rFonts w:ascii="Arial" w:eastAsia="Arial Unicode MS" w:hAnsi="Arial" w:cs="Arial"/>
          <w:kern w:val="0"/>
          <w:sz w:val="24"/>
          <w:szCs w:val="24"/>
          <w:lang w:eastAsia="en-GB"/>
          <w14:ligatures w14:val="none"/>
        </w:rPr>
        <w:t>, it is important to note the significant gender disparity in the overall prevalence of suicide (Henderson et al., 2005). Particularly for males over the age of twenty-five, suicide ranks as the leading cause of mortality (Henderson et al., 2005).</w:t>
      </w:r>
    </w:p>
    <w:p w14:paraId="3C9D5529" w14:textId="77777777"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p>
    <w:p w14:paraId="7AD8D850" w14:textId="244A46C0"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A84615">
        <w:rPr>
          <w:rFonts w:ascii="Arial" w:eastAsia="Arial Unicode MS" w:hAnsi="Arial" w:cs="Arial"/>
          <w:kern w:val="0"/>
          <w:sz w:val="24"/>
          <w:szCs w:val="24"/>
          <w:lang w:eastAsia="en-GB"/>
          <w14:ligatures w14:val="none"/>
        </w:rPr>
        <w:t>When an individual dies by suicide, the consequences ripple throughout their network of relatives, friends, coworkers, associates, and the broader community (Sutherland, 2018). Sutherland (2018) highlights that men often face the pressure of meeting societal expectations related to achievements, such as securing a job, a house, a car, marriage, children, and overall success. The notion of masculinity, symboli</w:t>
      </w:r>
      <w:r w:rsidR="004534D9">
        <w:rPr>
          <w:rFonts w:ascii="Arial" w:eastAsia="Arial Unicode MS" w:hAnsi="Arial" w:cs="Arial"/>
          <w:kern w:val="0"/>
          <w:sz w:val="24"/>
          <w:szCs w:val="24"/>
          <w:lang w:eastAsia="en-GB"/>
          <w14:ligatures w14:val="none"/>
        </w:rPr>
        <w:t>s</w:t>
      </w:r>
      <w:r w:rsidRPr="00A84615">
        <w:rPr>
          <w:rFonts w:ascii="Arial" w:eastAsia="Arial Unicode MS" w:hAnsi="Arial" w:cs="Arial"/>
          <w:kern w:val="0"/>
          <w:sz w:val="24"/>
          <w:szCs w:val="24"/>
          <w:lang w:eastAsia="en-GB"/>
          <w14:ligatures w14:val="none"/>
        </w:rPr>
        <w:t>ed as a "precious metal" of bravery, places men under immense strain. Failing to meet these expectations can trigger feelings of loss and the perception that one has failed. Additionally, the constant refrain of "Man Up" exacerbates these pressures, leaving men feeling frustrated, angered, or even more distressed (Sutherland, 2018).</w:t>
      </w:r>
    </w:p>
    <w:p w14:paraId="6BEF6DC5" w14:textId="77777777"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p>
    <w:p w14:paraId="00FD9B6B" w14:textId="77777777"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14:ligatures w14:val="none"/>
        </w:rPr>
      </w:pPr>
      <w:r w:rsidRPr="00A84615">
        <w:rPr>
          <w:rFonts w:ascii="Arial" w:eastAsia="Arial Unicode MS" w:hAnsi="Arial" w:cs="Arial"/>
          <w:kern w:val="0"/>
          <w:sz w:val="24"/>
          <w:szCs w:val="24"/>
          <w:lang w:eastAsia="en-GB"/>
          <w14:ligatures w14:val="none"/>
        </w:rPr>
        <w:t>These societal expectations and pressures highlight the need for a more nuanced understanding of masculinity and the recognition of their impact on men's mental health and well-being (Sutherland, 2018). By acknowledging these factors, society can work towards promoting healthier notions of masculinity and developing support systems that address the unique challenges faced by men in relation to mental health and suicide prevention.</w:t>
      </w:r>
    </w:p>
    <w:p w14:paraId="3F7B2ABF" w14:textId="7F08D63D"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Samaritans, an organisation focused on suicide prevention, asserts that the damaging beliefs that undermine men's well-being can be altered, and various initiatives are being implemented in several locations to address this issue (Samaritans, 2018). According to a recent survey conducted by NHS Digital, one in five individuals in the UK has experienced suicidal thoughts (NHS Digital, 2018). Samaritans (2018) emphasi</w:t>
      </w:r>
      <w:r w:rsidR="00EC4D47">
        <w:rPr>
          <w:rFonts w:ascii="Arial" w:eastAsia="Arial Unicode MS" w:hAnsi="Arial" w:cs="Arial"/>
          <w:kern w:val="0"/>
          <w:sz w:val="24"/>
          <w:szCs w:val="24"/>
          <w:lang w:eastAsia="en-GB" w:bidi="en-GB"/>
          <w14:ligatures w14:val="none"/>
        </w:rPr>
        <w:t>s</w:t>
      </w:r>
      <w:r w:rsidRPr="00A84615">
        <w:rPr>
          <w:rFonts w:ascii="Arial" w:eastAsia="Arial Unicode MS" w:hAnsi="Arial" w:cs="Arial"/>
          <w:kern w:val="0"/>
          <w:sz w:val="24"/>
          <w:szCs w:val="24"/>
          <w:lang w:eastAsia="en-GB" w:bidi="en-GB"/>
          <w14:ligatures w14:val="none"/>
        </w:rPr>
        <w:t>es that suicidal thinking can be halted, and individuals can seek support from organi</w:t>
      </w:r>
      <w:r w:rsidR="00A84615">
        <w:rPr>
          <w:rFonts w:ascii="Arial" w:eastAsia="Arial Unicode MS" w:hAnsi="Arial" w:cs="Arial"/>
          <w:kern w:val="0"/>
          <w:sz w:val="24"/>
          <w:szCs w:val="24"/>
          <w:lang w:eastAsia="en-GB" w:bidi="en-GB"/>
          <w14:ligatures w14:val="none"/>
        </w:rPr>
        <w:t>s</w:t>
      </w:r>
      <w:r w:rsidRPr="00A84615">
        <w:rPr>
          <w:rFonts w:ascii="Arial" w:eastAsia="Arial Unicode MS" w:hAnsi="Arial" w:cs="Arial"/>
          <w:kern w:val="0"/>
          <w:sz w:val="24"/>
          <w:szCs w:val="24"/>
          <w:lang w:eastAsia="en-GB" w:bidi="en-GB"/>
          <w14:ligatures w14:val="none"/>
        </w:rPr>
        <w:t>ations like Samaritans to develop coping mechanisms for managing such feelings.</w:t>
      </w:r>
    </w:p>
    <w:p w14:paraId="7323A51E" w14:textId="77777777"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p>
    <w:p w14:paraId="3C05A7CA" w14:textId="77777777" w:rsidR="00DF3022" w:rsidRPr="00A84615" w:rsidRDefault="00DF3022" w:rsidP="00A84615">
      <w:pPr>
        <w:spacing w:before="100" w:beforeAutospacing="1" w:after="100" w:afterAutospacing="1"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In order to promote suicide prevention, it is crucial for specialists to encourage men to seek help proactively, even before problems arise. This entails implementing targeted programs that appeal to men and collecting data to determine the most effective approaches, whether online, through events, employment settings, entertainment venues, bars, service vehicles, financial institutions, or banks (Samaritans, 2018). By initiating these changes, lives can be saved, and the internal critic that whispers "failure" can be silenced permanently (Samaritans, 2018).</w:t>
      </w:r>
    </w:p>
    <w:p w14:paraId="2B7ADBD9" w14:textId="2A858EDC" w:rsidR="00692DF1" w:rsidRPr="00692DF1" w:rsidRDefault="00DF3022"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lastRenderedPageBreak/>
        <w:t>This body of literature effectively highlights the severity of the issue in the UK and proposes suggestions to address this ongoing problem within the healthcare system. The World Health Organization (2019) affirms that there is ample external support available for men facing mental health challenges. It is essential for men to recogni</w:t>
      </w:r>
      <w:r w:rsidR="00EC4D47">
        <w:rPr>
          <w:rFonts w:ascii="Arial" w:eastAsia="Arial Unicode MS" w:hAnsi="Arial" w:cs="Arial"/>
          <w:kern w:val="0"/>
          <w:sz w:val="24"/>
          <w:szCs w:val="24"/>
          <w:lang w:eastAsia="en-GB" w:bidi="en-GB"/>
          <w14:ligatures w14:val="none"/>
        </w:rPr>
        <w:t>s</w:t>
      </w:r>
      <w:r w:rsidRPr="00A84615">
        <w:rPr>
          <w:rFonts w:ascii="Arial" w:eastAsia="Arial Unicode MS" w:hAnsi="Arial" w:cs="Arial"/>
          <w:kern w:val="0"/>
          <w:sz w:val="24"/>
          <w:szCs w:val="24"/>
          <w:lang w:eastAsia="en-GB" w:bidi="en-GB"/>
          <w14:ligatures w14:val="none"/>
        </w:rPr>
        <w:t>e that expressing their concerns or seeking help does not diminish their masculinity or indicate failure. To prevent reaching a critical stage, it is crucial to establish a supportive and positive environment where individuals can feel comfortable and encouraged to speak up about their struggles. The existence of stigma is one of the significant barriers that deter men from seeking help. From an early age, men are socialized to suppress their emotions and avoid openly discussing their mental health struggles in order to conform to the ideal of being "tough" or "strong."</w:t>
      </w:r>
      <w:r w:rsidR="00692DF1" w:rsidRPr="00692DF1">
        <w:rPr>
          <w:rFonts w:ascii="Arial" w:eastAsia="Arial Unicode MS" w:hAnsi="Arial" w:cs="Arial"/>
          <w:kern w:val="0"/>
          <w:sz w:val="24"/>
          <w:szCs w:val="24"/>
          <w:lang w:eastAsia="en-GB" w:bidi="en-GB"/>
          <w14:ligatures w14:val="none"/>
        </w:rPr>
        <w:br w:type="page"/>
      </w:r>
    </w:p>
    <w:p w14:paraId="2350CCA2"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lastRenderedPageBreak/>
        <w:t>SECTION 2: METHODOLOGY &amp; METHODS</w:t>
      </w:r>
    </w:p>
    <w:p w14:paraId="6DC71893"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p>
    <w:p w14:paraId="0A06A250"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p>
    <w:p w14:paraId="3B8D818C"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p>
    <w:p w14:paraId="34FF31FE" w14:textId="7887409F" w:rsidR="00692DF1" w:rsidRPr="00692DF1" w:rsidRDefault="00EC577D"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color w:val="202020"/>
          <w:kern w:val="0"/>
          <w:sz w:val="24"/>
          <w:szCs w:val="24"/>
          <w:shd w:val="clear" w:color="auto" w:fill="FFFFFF"/>
          <w:lang w:eastAsia="en-GB" w:bidi="en-GB"/>
          <w14:ligatures w14:val="none"/>
        </w:rPr>
      </w:pPr>
      <w:r w:rsidRPr="00A84615">
        <w:rPr>
          <w:rFonts w:ascii="Arial" w:eastAsia="Calibri Light" w:hAnsi="Arial" w:cs="Arial"/>
          <w:color w:val="202020"/>
          <w:kern w:val="0"/>
          <w:sz w:val="24"/>
          <w:szCs w:val="24"/>
          <w:shd w:val="clear" w:color="auto" w:fill="FFFFFF"/>
          <w:lang w:eastAsia="en-GB" w:bidi="en-GB"/>
          <w14:ligatures w14:val="none"/>
        </w:rPr>
        <w:t>This study employs a narrative literature review methodology to investigate the prevalence and ongoing nature of male suicide in the UK. A narrative literature review involves a comprehensive, critical, and objective analysis of available research on a particular topic. The primary objective of this literature review is to provide further insights into male suicide and its enduring significance over time. Seven selected literature papers were carefully formatted for this review and contained highly relevant information. To ensure the review's currency, a systematic search was conducted in various databases from 2000 to the present, aiming to gain a comprehensive understanding of the current state of the issue. The search utili</w:t>
      </w:r>
      <w:r w:rsidR="00F371AC">
        <w:rPr>
          <w:rFonts w:ascii="Arial" w:eastAsia="Calibri Light" w:hAnsi="Arial" w:cs="Arial"/>
          <w:color w:val="202020"/>
          <w:kern w:val="0"/>
          <w:sz w:val="24"/>
          <w:szCs w:val="24"/>
          <w:shd w:val="clear" w:color="auto" w:fill="FFFFFF"/>
          <w:lang w:eastAsia="en-GB" w:bidi="en-GB"/>
          <w14:ligatures w14:val="none"/>
        </w:rPr>
        <w:t>s</w:t>
      </w:r>
      <w:r w:rsidRPr="00A84615">
        <w:rPr>
          <w:rFonts w:ascii="Arial" w:eastAsia="Calibri Light" w:hAnsi="Arial" w:cs="Arial"/>
          <w:color w:val="202020"/>
          <w:kern w:val="0"/>
          <w:sz w:val="24"/>
          <w:szCs w:val="24"/>
          <w:shd w:val="clear" w:color="auto" w:fill="FFFFFF"/>
          <w:lang w:eastAsia="en-GB" w:bidi="en-GB"/>
          <w14:ligatures w14:val="none"/>
        </w:rPr>
        <w:t xml:space="preserve">ed keywords such as "suicide in males in the UK," "causes and factors of male suicide," "suicide rates in the UK," and "rising trends in male suicide." Additional keywords used in the search are listed in Appendix 1. Databases including Google Scholar, the university library, PubMed, and </w:t>
      </w:r>
      <w:proofErr w:type="spellStart"/>
      <w:r w:rsidRPr="00A84615">
        <w:rPr>
          <w:rFonts w:ascii="Arial" w:eastAsia="Calibri Light" w:hAnsi="Arial" w:cs="Arial"/>
          <w:color w:val="202020"/>
          <w:kern w:val="0"/>
          <w:sz w:val="24"/>
          <w:szCs w:val="24"/>
          <w:shd w:val="clear" w:color="auto" w:fill="FFFFFF"/>
          <w:lang w:eastAsia="en-GB" w:bidi="en-GB"/>
          <w14:ligatures w14:val="none"/>
        </w:rPr>
        <w:t>CrossRef</w:t>
      </w:r>
      <w:proofErr w:type="spellEnd"/>
      <w:r w:rsidRPr="00A84615">
        <w:rPr>
          <w:rFonts w:ascii="Arial" w:eastAsia="Calibri Light" w:hAnsi="Arial" w:cs="Arial"/>
          <w:color w:val="202020"/>
          <w:kern w:val="0"/>
          <w:sz w:val="24"/>
          <w:szCs w:val="24"/>
          <w:shd w:val="clear" w:color="auto" w:fill="FFFFFF"/>
          <w:lang w:eastAsia="en-GB" w:bidi="en-GB"/>
          <w14:ligatures w14:val="none"/>
        </w:rPr>
        <w:t xml:space="preserve"> were searched to access a wide range of scholarly literature on the topic, as specified in Appendix 1. The CRAAP method was employed to evaluate the gathered information and ensure its reliability. Currency was assessed to determine the timeliness of the information, relevance was considered to select information aligning with the chosen topic, authority was examined to establish credibility, and accuracy was crucial to ensure the reliability of the included sources. Furthermore, the purpose criterion was utilized to evaluate potential biases or motivations in the authors' perspectives. By employing this rigorous methodology, this literature review aims to provide a comprehensive understanding of the ongoing issue </w:t>
      </w:r>
      <w:r w:rsidRPr="00A84615">
        <w:rPr>
          <w:rFonts w:ascii="Arial" w:eastAsia="Calibri Light" w:hAnsi="Arial" w:cs="Arial"/>
          <w:color w:val="202020"/>
          <w:kern w:val="0"/>
          <w:sz w:val="24"/>
          <w:szCs w:val="24"/>
          <w:shd w:val="clear" w:color="auto" w:fill="FFFFFF"/>
          <w:lang w:eastAsia="en-GB" w:bidi="en-GB"/>
          <w14:ligatures w14:val="none"/>
        </w:rPr>
        <w:lastRenderedPageBreak/>
        <w:t>of male suicide in the UK and contribute to the existing body of knowledge in this field.</w:t>
      </w:r>
    </w:p>
    <w:p w14:paraId="3D2D9D30"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color w:val="202020"/>
          <w:kern w:val="0"/>
          <w:sz w:val="24"/>
          <w:szCs w:val="24"/>
          <w:shd w:val="clear" w:color="auto" w:fill="FFFFFF"/>
          <w:lang w:eastAsia="en-GB" w:bidi="en-GB"/>
          <w14:ligatures w14:val="none"/>
        </w:rPr>
      </w:pPr>
    </w:p>
    <w:p w14:paraId="19F411F5"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color w:val="202020"/>
          <w:kern w:val="0"/>
          <w:sz w:val="24"/>
          <w:szCs w:val="24"/>
          <w:shd w:val="clear" w:color="auto" w:fill="FFFFFF"/>
          <w:lang w:eastAsia="en-GB" w:bidi="en-GB"/>
          <w14:ligatures w14:val="none"/>
        </w:rPr>
      </w:pPr>
    </w:p>
    <w:p w14:paraId="43619D79"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12E31103"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2C1062B4"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0BA7593A"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2E16C4A3"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3A826E64"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br w:type="page"/>
      </w:r>
    </w:p>
    <w:p w14:paraId="49E22D83" w14:textId="77777777" w:rsidR="00EC577D" w:rsidRPr="00EC577D" w:rsidRDefault="00EC577D"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EC577D">
        <w:rPr>
          <w:rFonts w:ascii="Arial" w:eastAsia="Calibri Light" w:hAnsi="Arial" w:cs="Arial"/>
          <w:kern w:val="0"/>
          <w:sz w:val="24"/>
          <w:szCs w:val="24"/>
          <w:lang w:eastAsia="en-GB" w:bidi="en-GB"/>
          <w14:ligatures w14:val="none"/>
        </w:rPr>
        <w:lastRenderedPageBreak/>
        <w:t>SECTION 3: MAIN BODY OF THE LITERATURE REVIEW AND FINDINGS</w:t>
      </w:r>
    </w:p>
    <w:p w14:paraId="04F8DCAD" w14:textId="29A96FD3" w:rsidR="00EC577D" w:rsidRPr="00EC577D" w:rsidRDefault="00EC577D"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EC577D">
        <w:rPr>
          <w:rFonts w:ascii="Arial" w:eastAsia="Calibri Light" w:hAnsi="Arial" w:cs="Arial"/>
          <w:kern w:val="0"/>
          <w:sz w:val="24"/>
          <w:szCs w:val="24"/>
          <w:lang w:eastAsia="en-GB" w:bidi="en-GB"/>
          <w14:ligatures w14:val="none"/>
        </w:rPr>
        <w:t>Male suicide presents an enduring and pressing problem, necessitating a thorough understanding of the factors contributing to high suicide rates among men in the United Kingdom. The Office for National Statistics (ONS) released data revealing that there were 5,691 reported suicides in the country, with an age-standardi</w:t>
      </w:r>
      <w:r w:rsidR="00F371AC">
        <w:rPr>
          <w:rFonts w:ascii="Arial" w:eastAsia="Calibri Light" w:hAnsi="Arial" w:cs="Arial"/>
          <w:kern w:val="0"/>
          <w:sz w:val="24"/>
          <w:szCs w:val="24"/>
          <w:lang w:eastAsia="en-GB" w:bidi="en-GB"/>
          <w14:ligatures w14:val="none"/>
        </w:rPr>
        <w:t>s</w:t>
      </w:r>
      <w:r w:rsidRPr="00EC577D">
        <w:rPr>
          <w:rFonts w:ascii="Arial" w:eastAsia="Calibri Light" w:hAnsi="Arial" w:cs="Arial"/>
          <w:kern w:val="0"/>
          <w:sz w:val="24"/>
          <w:szCs w:val="24"/>
          <w:lang w:eastAsia="en-GB" w:bidi="en-GB"/>
          <w14:ligatures w14:val="none"/>
        </w:rPr>
        <w:t>ed mortality rate of eleven cases per one million people. Notably, the year 2020 witnessed the highest male suicide rate in England and Wales over the past two decades. ONS data further indicates that men accounted for 5,000 out of the 1,400 reported suicide deaths in 2023, representing 75 percent of all suicide deaths (Butler, 2020).</w:t>
      </w:r>
    </w:p>
    <w:p w14:paraId="5A368368" w14:textId="77777777" w:rsidR="00EC577D" w:rsidRPr="00EC577D" w:rsidRDefault="00EC577D"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proofErr w:type="spellStart"/>
      <w:r w:rsidRPr="00EC577D">
        <w:rPr>
          <w:rFonts w:ascii="Arial" w:eastAsia="Calibri Light" w:hAnsi="Arial" w:cs="Arial"/>
          <w:kern w:val="0"/>
          <w:sz w:val="24"/>
          <w:szCs w:val="24"/>
          <w:lang w:eastAsia="en-GB" w:bidi="en-GB"/>
          <w14:ligatures w14:val="none"/>
        </w:rPr>
        <w:t>Kapur</w:t>
      </w:r>
      <w:proofErr w:type="spellEnd"/>
      <w:r w:rsidRPr="00EC577D">
        <w:rPr>
          <w:rFonts w:ascii="Arial" w:eastAsia="Calibri Light" w:hAnsi="Arial" w:cs="Arial"/>
          <w:kern w:val="0"/>
          <w:sz w:val="24"/>
          <w:szCs w:val="24"/>
          <w:lang w:eastAsia="en-GB" w:bidi="en-GB"/>
          <w14:ligatures w14:val="none"/>
        </w:rPr>
        <w:t xml:space="preserve"> et al. (2009) conducted a cohort study using linked national databases to investigate the association between ex-Armed Forces personnel and suicide deaths, encompassing both confirmed suicides and cases classified as undetermined. A comparison was made between the ex-military population, the general population, and currently serving military personnel. Among the 233,803 individuals who had left the Armed Forces, 224 suicides were identified. While the overall suicide rate was similar to that of the general population, young men aged 24 and below who had previously served exhibited a two to three times higher risk of suicide compared to their counterparts in the general population and currently serving military personnel. Age-specific rate ratios ranged from 170 to 290, highlighting a significant disparity in suicide risk (</w:t>
      </w:r>
      <w:proofErr w:type="spellStart"/>
      <w:r w:rsidRPr="00EC577D">
        <w:rPr>
          <w:rFonts w:ascii="Arial" w:eastAsia="Calibri Light" w:hAnsi="Arial" w:cs="Arial"/>
          <w:kern w:val="0"/>
          <w:sz w:val="24"/>
          <w:szCs w:val="24"/>
          <w:lang w:eastAsia="en-GB" w:bidi="en-GB"/>
          <w14:ligatures w14:val="none"/>
        </w:rPr>
        <w:t>Kapur</w:t>
      </w:r>
      <w:proofErr w:type="spellEnd"/>
      <w:r w:rsidRPr="00EC577D">
        <w:rPr>
          <w:rFonts w:ascii="Arial" w:eastAsia="Calibri Light" w:hAnsi="Arial" w:cs="Arial"/>
          <w:kern w:val="0"/>
          <w:sz w:val="24"/>
          <w:szCs w:val="24"/>
          <w:lang w:eastAsia="en-GB" w:bidi="en-GB"/>
          <w14:ligatures w14:val="none"/>
        </w:rPr>
        <w:t xml:space="preserve"> et al., 2009).</w:t>
      </w:r>
    </w:p>
    <w:p w14:paraId="3CEF39C5" w14:textId="572BBA70"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p>
    <w:p w14:paraId="4AA63BA8" w14:textId="4EE631F7" w:rsidR="007149B3" w:rsidRPr="00A84615"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 xml:space="preserve">In order to elucidate the enduring impact of stigma on males and highlight the universality of male suicide across diverse backgrounds, it is imperative to provide assistance to these individuals. The aim of this study is to address the persistent challenges associated with male suicide and identify potential solutions to reduce </w:t>
      </w:r>
      <w:r w:rsidRPr="00A84615">
        <w:rPr>
          <w:rFonts w:ascii="Arial" w:eastAsia="Arial Unicode MS" w:hAnsi="Arial" w:cs="Arial"/>
          <w:kern w:val="0"/>
          <w:sz w:val="24"/>
          <w:szCs w:val="24"/>
          <w:lang w:eastAsia="en-GB" w:bidi="en-GB"/>
          <w14:ligatures w14:val="none"/>
        </w:rPr>
        <w:lastRenderedPageBreak/>
        <w:t>these rates. To substantiate these claims, comprehensive databases encompassing male suicide across various sectors of life were utili</w:t>
      </w:r>
      <w:r w:rsidR="0028355D">
        <w:rPr>
          <w:rFonts w:ascii="Arial" w:eastAsia="Arial Unicode MS" w:hAnsi="Arial" w:cs="Arial"/>
          <w:kern w:val="0"/>
          <w:sz w:val="24"/>
          <w:szCs w:val="24"/>
          <w:lang w:eastAsia="en-GB" w:bidi="en-GB"/>
          <w14:ligatures w14:val="none"/>
        </w:rPr>
        <w:t>s</w:t>
      </w:r>
      <w:r w:rsidRPr="00A84615">
        <w:rPr>
          <w:rFonts w:ascii="Arial" w:eastAsia="Arial Unicode MS" w:hAnsi="Arial" w:cs="Arial"/>
          <w:kern w:val="0"/>
          <w:sz w:val="24"/>
          <w:szCs w:val="24"/>
          <w:lang w:eastAsia="en-GB" w:bidi="en-GB"/>
          <w14:ligatures w14:val="none"/>
        </w:rPr>
        <w:t>ed. Moreover, reputable journals containing verified information and records were consulted to emphasize the ongoing nature of this issue.</w:t>
      </w:r>
    </w:p>
    <w:p w14:paraId="664B8634" w14:textId="77777777" w:rsidR="007149B3" w:rsidRPr="00A84615"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1FFAC24E" w14:textId="77777777" w:rsidR="007149B3" w:rsidRPr="00A84615"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During the study period, a cohort of 233,803 individuals departed from the Armed Forces, with 224 of them dying by suicide. Although the overall suicide rate did not surpass that of the general population, men aged 24 and younger who had left the Armed Forces exhibited a two to three times higher risk of suicide compared to their counterparts in the general population and currently serving military personnel. Age-specific rate ratios ranged from 170 to 290, underscoring a significant disparity in suicide risk (</w:t>
      </w:r>
      <w:proofErr w:type="spellStart"/>
      <w:r w:rsidRPr="00A84615">
        <w:rPr>
          <w:rFonts w:ascii="Arial" w:eastAsia="Arial Unicode MS" w:hAnsi="Arial" w:cs="Arial"/>
          <w:kern w:val="0"/>
          <w:sz w:val="24"/>
          <w:szCs w:val="24"/>
          <w:lang w:eastAsia="en-GB" w:bidi="en-GB"/>
          <w14:ligatures w14:val="none"/>
        </w:rPr>
        <w:t>Kapur</w:t>
      </w:r>
      <w:proofErr w:type="spellEnd"/>
      <w:r w:rsidRPr="00A84615">
        <w:rPr>
          <w:rFonts w:ascii="Arial" w:eastAsia="Arial Unicode MS" w:hAnsi="Arial" w:cs="Arial"/>
          <w:kern w:val="0"/>
          <w:sz w:val="24"/>
          <w:szCs w:val="24"/>
          <w:lang w:eastAsia="en-GB" w:bidi="en-GB"/>
          <w14:ligatures w14:val="none"/>
        </w:rPr>
        <w:t xml:space="preserve"> et al., 2009).</w:t>
      </w:r>
    </w:p>
    <w:p w14:paraId="12092A5C" w14:textId="77777777" w:rsidR="007149B3" w:rsidRPr="00A84615"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0B210F55" w14:textId="1FA5AFDE"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r w:rsidRPr="007149B3">
        <w:rPr>
          <w:rFonts w:ascii="Arial" w:eastAsia="Arial Unicode MS" w:hAnsi="Arial" w:cs="Arial"/>
          <w:kern w:val="0"/>
          <w:sz w:val="24"/>
          <w:szCs w:val="24"/>
          <w:lang w:eastAsia="en-GB" w:bidi="en-GB"/>
          <w14:ligatures w14:val="none"/>
        </w:rPr>
        <w:t xml:space="preserve">According to Ruth Sutherland, the chief executive of Samaritans, the impact of the pandemic has significantly affected people's mental well-being, raising concerns about its consequences (Sutherland, 2020). Samaritans conducted a study focusing on queries received on their helpline, revealing that the outbreak has heightened recognized risk factors for individuals who were already vulnerable to suicide, even though the direct influence of Covid-19 on suicide rates remains uncertain (Sutherland, 2020). Prior to the pandemic, only 38% of self-harmers in the UK had access to mental health and </w:t>
      </w:r>
      <w:r w:rsidRPr="00A84615">
        <w:rPr>
          <w:rFonts w:ascii="Arial" w:eastAsia="Arial Unicode MS" w:hAnsi="Arial" w:cs="Arial"/>
          <w:kern w:val="0"/>
          <w:sz w:val="24"/>
          <w:szCs w:val="24"/>
          <w:lang w:eastAsia="en-GB" w:bidi="en-GB"/>
          <w14:ligatures w14:val="none"/>
        </w:rPr>
        <w:t>counselling</w:t>
      </w:r>
      <w:r w:rsidRPr="007149B3">
        <w:rPr>
          <w:rFonts w:ascii="Arial" w:eastAsia="Arial Unicode MS" w:hAnsi="Arial" w:cs="Arial"/>
          <w:kern w:val="0"/>
          <w:sz w:val="24"/>
          <w:szCs w:val="24"/>
          <w:lang w:eastAsia="en-GB" w:bidi="en-GB"/>
          <w14:ligatures w14:val="none"/>
        </w:rPr>
        <w:t xml:space="preserve"> services, making it challenging for them to seek help. Unfortunately, Covid-19 has further exacerbated the difficulties faced by some individuals in accessing treatment (Samaritans, 2021).</w:t>
      </w:r>
    </w:p>
    <w:p w14:paraId="0E55E767" w14:textId="0D54CB98" w:rsidR="007149B3" w:rsidRPr="00A84615"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r w:rsidRPr="007149B3">
        <w:rPr>
          <w:rFonts w:ascii="Arial" w:eastAsia="Arial Unicode MS" w:hAnsi="Arial" w:cs="Arial"/>
          <w:kern w:val="0"/>
          <w:sz w:val="24"/>
          <w:szCs w:val="24"/>
          <w:lang w:eastAsia="en-GB" w:bidi="en-GB"/>
          <w14:ligatures w14:val="none"/>
        </w:rPr>
        <w:t xml:space="preserve">Following the initial quarantine period, there was a decline in individuals seeking medical attention for self-harming or suicidal </w:t>
      </w:r>
      <w:r w:rsidRPr="00A84615">
        <w:rPr>
          <w:rFonts w:ascii="Arial" w:eastAsia="Arial Unicode MS" w:hAnsi="Arial" w:cs="Arial"/>
          <w:kern w:val="0"/>
          <w:sz w:val="24"/>
          <w:szCs w:val="24"/>
          <w:lang w:eastAsia="en-GB" w:bidi="en-GB"/>
          <w14:ligatures w14:val="none"/>
        </w:rPr>
        <w:t>behaviour</w:t>
      </w:r>
      <w:r w:rsidRPr="007149B3">
        <w:rPr>
          <w:rFonts w:ascii="Arial" w:eastAsia="Arial Unicode MS" w:hAnsi="Arial" w:cs="Arial"/>
          <w:kern w:val="0"/>
          <w:sz w:val="24"/>
          <w:szCs w:val="24"/>
          <w:lang w:eastAsia="en-GB" w:bidi="en-GB"/>
          <w14:ligatures w14:val="none"/>
        </w:rPr>
        <w:t xml:space="preserve"> in the United Kingdom. This </w:t>
      </w:r>
      <w:r w:rsidRPr="007149B3">
        <w:rPr>
          <w:rFonts w:ascii="Arial" w:eastAsia="Arial Unicode MS" w:hAnsi="Arial" w:cs="Arial"/>
          <w:kern w:val="0"/>
          <w:sz w:val="24"/>
          <w:szCs w:val="24"/>
          <w:lang w:eastAsia="en-GB" w:bidi="en-GB"/>
          <w14:ligatures w14:val="none"/>
        </w:rPr>
        <w:lastRenderedPageBreak/>
        <w:t>raises significant concerns about how self-harmers have coped over the past 12 months (Samaritans, 2021). There has been an increase in the percentage of individuals experiencing suicidal thoughts during the pandemic, although conflicting information exists. An analysis of UK adults indicated that the proportion of individuals expressing suicidal intentions rose from 8% in early 2020 to 13% in early 2021. However, one year after the implementation of strict regulations, the UCL Covid-19 Social Research methodology revealed no significant change in suicidal intentions (Samaritans, 2021). Throughout the entire 12-month period since the onset of restrictions, males have exhibited higher rates of suicidal ideation. Additionally, young individuals, those with pre-existing mental health issues, individuals from racial or ethnic minorities, and those with lower incomes have demonstrated elevated levels of suicidal ideation, raising questions about the potential impact of restrictions on these percentages (Samaritans, 2021).</w:t>
      </w:r>
    </w:p>
    <w:p w14:paraId="0AAD12FD"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15D8FD7D"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Seidman (1998) established a connection between emotional control issues and suicide. The inability to effectively cope with overwhelming emotions is suggested as a root cause of suicide, and a failure to control emotions such as rage can lead to anger and subsequent involvement in criminal activities.</w:t>
      </w:r>
    </w:p>
    <w:p w14:paraId="40816034"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 xml:space="preserve">Laws and Crewe (2016) conducted a study exploring how and why prisoners maintain emotional control. The findings revealed that 95% of inmates believed that showing vulnerability in public was risky. This fear stemmed from the potential for punishment due to exhibiting hostile reactions or being exploited by fellow inmates for displaying "sensitive" emotions like sadness and suffering. Consequently, inmates stated that they only shared their deepest emotions with friends and family through means such as telephone calls, visits, and letters. Inmates described self-harm as a means of </w:t>
      </w:r>
      <w:r w:rsidRPr="007149B3">
        <w:rPr>
          <w:rFonts w:ascii="Arial" w:eastAsia="Calibri Light" w:hAnsi="Arial" w:cs="Arial"/>
          <w:kern w:val="0"/>
          <w:sz w:val="24"/>
          <w:szCs w:val="24"/>
          <w:lang w:eastAsia="en-GB" w:bidi="en-GB"/>
          <w14:ligatures w14:val="none"/>
        </w:rPr>
        <w:lastRenderedPageBreak/>
        <w:t>expressing emotional distress due to the absence of alternative outlets for such expression.</w:t>
      </w:r>
    </w:p>
    <w:p w14:paraId="169EBB3D" w14:textId="55878543"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br/>
        <w:t>Hemming et al. (2020) conducted a descriptive research study examining the perspectives of prison officers on the relationship between male suicide in jails. Colleagues in the study reported that inmates often refrain from expressing their emotions, making it difficult for others to recogni</w:t>
      </w:r>
      <w:r w:rsidR="0028355D">
        <w:rPr>
          <w:rFonts w:ascii="Arial" w:eastAsia="Calibri Light" w:hAnsi="Arial" w:cs="Arial"/>
          <w:kern w:val="0"/>
          <w:sz w:val="24"/>
          <w:szCs w:val="24"/>
          <w:lang w:eastAsia="en-GB" w:bidi="en-GB"/>
          <w14:ligatures w14:val="none"/>
        </w:rPr>
        <w:t>s</w:t>
      </w:r>
      <w:r w:rsidRPr="007149B3">
        <w:rPr>
          <w:rFonts w:ascii="Arial" w:eastAsia="Calibri Light" w:hAnsi="Arial" w:cs="Arial"/>
          <w:kern w:val="0"/>
          <w:sz w:val="24"/>
          <w:szCs w:val="24"/>
          <w:lang w:eastAsia="en-GB" w:bidi="en-GB"/>
          <w14:ligatures w14:val="none"/>
        </w:rPr>
        <w:t>e, understand, and address their emotional struggles. These difficulties were believed to contribute to sudden and intense emotional episodes, which individuals attempted to suppress through self-harm, aggression towards others, excessive alcohol consumption, and substance abuse. These coping mechanisms were shaped by a combination of limited opportunities to learn about emotions during their formative years and the current prison environment, which discouraged open discussions about feelings (Hemming et al., 2020).</w:t>
      </w:r>
    </w:p>
    <w:p w14:paraId="6281D373"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The researchers further noted that depression resulting from harassment and discrimination has been consistently identified as a contributing factor in experimental studies and clinical accounts of suicide among gay men and gay adolescents. The emotional and direct abuse they experience poses significant threats to the health and well-being of young gay men. Hemming et al. (2020) also highlighted that bisexual men often face negative reactions that lead to various adverse outcomes, including educational difficulties, strained relationships with authority figures, estrangement from friends and family, involvement in legal issues, substance abuse, engagement in sex work, and elevated risk of suicide.</w:t>
      </w:r>
    </w:p>
    <w:p w14:paraId="2999C246"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 xml:space="preserve">Although Williams (1994) suggests that emerging evidence indicates a link between verbal threats or physical harassment and these adverse outcomes, the precise </w:t>
      </w:r>
      <w:r w:rsidRPr="007149B3">
        <w:rPr>
          <w:rFonts w:ascii="Arial" w:eastAsia="Calibri Light" w:hAnsi="Arial" w:cs="Arial"/>
          <w:kern w:val="0"/>
          <w:sz w:val="24"/>
          <w:szCs w:val="24"/>
          <w:lang w:eastAsia="en-GB" w:bidi="en-GB"/>
          <w14:ligatures w14:val="none"/>
        </w:rPr>
        <w:lastRenderedPageBreak/>
        <w:t>relationship between these pressures and their impacts has not been definitively established.</w:t>
      </w:r>
    </w:p>
    <w:p w14:paraId="0ABED159"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According to the World Health Organization (2014), suicidal thoughts and actions are among the most significant health concerns worldwide. Suicide ranks as the tenth leading cause of death, accounting for 1.4 percent of all fatalities.</w:t>
      </w:r>
    </w:p>
    <w:p w14:paraId="148290BB"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br/>
        <w:t>According to Williams (2012), the global incidence of male suicide is considered to be higher than 2 percent, whereas in the United Kingdom, it stands at 0.9 percent (Wardle et al., 2011).</w:t>
      </w:r>
    </w:p>
    <w:p w14:paraId="6FF717B8"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Individuals with gambling addiction often experience co-occurring psychological disorders, including mental health issues and recreational drug use (Dowling et al., 2015). The prevalence of suicidal thoughts is common among those with gambling abuse or dependence, with 17% to 48% of surveyed individuals reporting suicidal ideation, and 9% to 31% reporting attempted suicide at some point in their lives (Thon et al., 2014). Research has also investigated the ongoing risk of suicide in individuals with addictive disorders, identifying its presence in 11% to 33% of affected individuals (Weinstock et al., 2014).</w:t>
      </w:r>
    </w:p>
    <w:p w14:paraId="7555DA1D"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proofErr w:type="spellStart"/>
      <w:r w:rsidRPr="007149B3">
        <w:rPr>
          <w:rFonts w:ascii="Arial" w:eastAsia="Calibri Light" w:hAnsi="Arial" w:cs="Arial"/>
          <w:kern w:val="0"/>
          <w:sz w:val="24"/>
          <w:szCs w:val="24"/>
          <w:lang w:eastAsia="en-GB" w:bidi="en-GB"/>
          <w14:ligatures w14:val="none"/>
        </w:rPr>
        <w:t>Hawton</w:t>
      </w:r>
      <w:proofErr w:type="spellEnd"/>
      <w:r w:rsidRPr="007149B3">
        <w:rPr>
          <w:rFonts w:ascii="Arial" w:eastAsia="Calibri Light" w:hAnsi="Arial" w:cs="Arial"/>
          <w:kern w:val="0"/>
          <w:sz w:val="24"/>
          <w:szCs w:val="24"/>
          <w:lang w:eastAsia="en-GB" w:bidi="en-GB"/>
          <w14:ligatures w14:val="none"/>
        </w:rPr>
        <w:t xml:space="preserve"> et al. (2013) examined the influence of alcohol and antidepressants as risk factors for suicide in men. Their study explored various factors affecting male suicidal </w:t>
      </w:r>
      <w:proofErr w:type="spellStart"/>
      <w:r w:rsidRPr="007149B3">
        <w:rPr>
          <w:rFonts w:ascii="Arial" w:eastAsia="Calibri Light" w:hAnsi="Arial" w:cs="Arial"/>
          <w:kern w:val="0"/>
          <w:sz w:val="24"/>
          <w:szCs w:val="24"/>
          <w:lang w:eastAsia="en-GB" w:bidi="en-GB"/>
          <w14:ligatures w14:val="none"/>
        </w:rPr>
        <w:t>behavior</w:t>
      </w:r>
      <w:proofErr w:type="spellEnd"/>
      <w:r w:rsidRPr="007149B3">
        <w:rPr>
          <w:rFonts w:ascii="Arial" w:eastAsia="Calibri Light" w:hAnsi="Arial" w:cs="Arial"/>
          <w:kern w:val="0"/>
          <w:sz w:val="24"/>
          <w:szCs w:val="24"/>
          <w:lang w:eastAsia="en-GB" w:bidi="en-GB"/>
          <w14:ligatures w14:val="none"/>
        </w:rPr>
        <w:t>, with a particular focus on alcoholism, substance misuse, and mental health issues.</w:t>
      </w:r>
    </w:p>
    <w:p w14:paraId="7BDA37F8" w14:textId="4B07B43B"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Discrepancies in the occurrence of suicide may be attributed to differences in the populations studied or variations in the conceptuali</w:t>
      </w:r>
      <w:r w:rsidR="00740D7A">
        <w:rPr>
          <w:rFonts w:ascii="Arial" w:eastAsia="Calibri Light" w:hAnsi="Arial" w:cs="Arial"/>
          <w:kern w:val="0"/>
          <w:sz w:val="24"/>
          <w:szCs w:val="24"/>
          <w:lang w:eastAsia="en-GB" w:bidi="en-GB"/>
          <w14:ligatures w14:val="none"/>
        </w:rPr>
        <w:t>s</w:t>
      </w:r>
      <w:r w:rsidRPr="007149B3">
        <w:rPr>
          <w:rFonts w:ascii="Arial" w:eastAsia="Calibri Light" w:hAnsi="Arial" w:cs="Arial"/>
          <w:kern w:val="0"/>
          <w:sz w:val="24"/>
          <w:szCs w:val="24"/>
          <w:lang w:eastAsia="en-GB" w:bidi="en-GB"/>
          <w14:ligatures w14:val="none"/>
        </w:rPr>
        <w:t xml:space="preserve">ation and evaluation methods used to assess suicide risk. It is important to consider the timeframe used to determine the presence or absence of current suicidal thoughts, as this can also impact the </w:t>
      </w:r>
      <w:r w:rsidRPr="007149B3">
        <w:rPr>
          <w:rFonts w:ascii="Arial" w:eastAsia="Calibri Light" w:hAnsi="Arial" w:cs="Arial"/>
          <w:kern w:val="0"/>
          <w:sz w:val="24"/>
          <w:szCs w:val="24"/>
          <w:lang w:eastAsia="en-GB" w:bidi="en-GB"/>
          <w14:ligatures w14:val="none"/>
        </w:rPr>
        <w:lastRenderedPageBreak/>
        <w:t>findings.</w:t>
      </w:r>
    </w:p>
    <w:p w14:paraId="7DA20EBD"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 xml:space="preserve">In their study, </w:t>
      </w:r>
      <w:proofErr w:type="spellStart"/>
      <w:r w:rsidRPr="007149B3">
        <w:rPr>
          <w:rFonts w:ascii="Arial" w:eastAsia="Calibri Light" w:hAnsi="Arial" w:cs="Arial"/>
          <w:kern w:val="0"/>
          <w:sz w:val="24"/>
          <w:szCs w:val="24"/>
          <w:lang w:eastAsia="en-GB" w:bidi="en-GB"/>
          <w14:ligatures w14:val="none"/>
        </w:rPr>
        <w:t>Kapur</w:t>
      </w:r>
      <w:proofErr w:type="spellEnd"/>
      <w:r w:rsidRPr="007149B3">
        <w:rPr>
          <w:rFonts w:ascii="Arial" w:eastAsia="Calibri Light" w:hAnsi="Arial" w:cs="Arial"/>
          <w:kern w:val="0"/>
          <w:sz w:val="24"/>
          <w:szCs w:val="24"/>
          <w:lang w:eastAsia="en-GB" w:bidi="en-GB"/>
          <w14:ligatures w14:val="none"/>
        </w:rPr>
        <w:t xml:space="preserve"> et al. (2009) conducted comparisons between military personnel and the general population. During the observation period, approximately 240,000 individuals left the British Army, and among them, 230 suicides were identified. Although the overall suicide rates were not higher than the national rates, the mortality rate among males aged twenty-six and below who had left the military was approximately four times higher compared to the risks observed in the general population and currently serving military personnel within the corresponding age groups (</w:t>
      </w:r>
      <w:proofErr w:type="spellStart"/>
      <w:r w:rsidRPr="007149B3">
        <w:rPr>
          <w:rFonts w:ascii="Arial" w:eastAsia="Calibri Light" w:hAnsi="Arial" w:cs="Arial"/>
          <w:kern w:val="0"/>
          <w:sz w:val="24"/>
          <w:szCs w:val="24"/>
          <w:lang w:eastAsia="en-GB" w:bidi="en-GB"/>
          <w14:ligatures w14:val="none"/>
        </w:rPr>
        <w:t>Kapur</w:t>
      </w:r>
      <w:proofErr w:type="spellEnd"/>
      <w:r w:rsidRPr="007149B3">
        <w:rPr>
          <w:rFonts w:ascii="Arial" w:eastAsia="Calibri Light" w:hAnsi="Arial" w:cs="Arial"/>
          <w:kern w:val="0"/>
          <w:sz w:val="24"/>
          <w:szCs w:val="24"/>
          <w:lang w:eastAsia="en-GB" w:bidi="en-GB"/>
          <w14:ligatures w14:val="none"/>
        </w:rPr>
        <w:t xml:space="preserve"> et al., 2009).</w:t>
      </w:r>
    </w:p>
    <w:p w14:paraId="7980AEB1" w14:textId="77777777" w:rsidR="007149B3" w:rsidRPr="00A84615"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p>
    <w:p w14:paraId="1050D2D7" w14:textId="27616C22" w:rsidR="00692DF1" w:rsidRPr="00A84615"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A84615">
        <w:rPr>
          <w:rFonts w:ascii="Arial" w:eastAsia="Calibri Light" w:hAnsi="Arial" w:cs="Arial"/>
          <w:kern w:val="0"/>
          <w:sz w:val="24"/>
          <w:szCs w:val="24"/>
          <w:lang w:eastAsia="en-GB" w:bidi="en-GB"/>
          <w14:ligatures w14:val="none"/>
        </w:rPr>
        <w:t>The rate of suicide among males aged 40 years was lower compared to the general population. However, the risk of suicide persisted, particularly within the first two years after release from the Armed Forces. Men who had served in the military for a shorter duration and individuals with lower ranks were at a higher risk of suicide. It is notable that interaction with mental health services was lower in the age groups most susceptible to suicide, with only 15% of those below 19 years old and 21% of those above 20 years old seeking professional help for mental illness. Transitioning out of any employment can present challenges, but for individuals leaving the military, adjusting to new circumstances can be particularly difficult. Former soldiers may encounter difficulties in finding new employment, especially if they have sustained injuries during their service (</w:t>
      </w:r>
      <w:proofErr w:type="spellStart"/>
      <w:r w:rsidRPr="00A84615">
        <w:rPr>
          <w:rFonts w:ascii="Arial" w:eastAsia="Calibri Light" w:hAnsi="Arial" w:cs="Arial"/>
          <w:kern w:val="0"/>
          <w:sz w:val="24"/>
          <w:szCs w:val="24"/>
          <w:lang w:eastAsia="en-GB" w:bidi="en-GB"/>
          <w14:ligatures w14:val="none"/>
        </w:rPr>
        <w:t>Kapur</w:t>
      </w:r>
      <w:proofErr w:type="spellEnd"/>
      <w:r w:rsidRPr="00A84615">
        <w:rPr>
          <w:rFonts w:ascii="Arial" w:eastAsia="Calibri Light" w:hAnsi="Arial" w:cs="Arial"/>
          <w:kern w:val="0"/>
          <w:sz w:val="24"/>
          <w:szCs w:val="24"/>
          <w:lang w:eastAsia="en-GB" w:bidi="en-GB"/>
          <w14:ligatures w14:val="none"/>
        </w:rPr>
        <w:t xml:space="preserve"> et al., 2009).</w:t>
      </w:r>
    </w:p>
    <w:p w14:paraId="5260470A" w14:textId="77777777" w:rsidR="007149B3" w:rsidRPr="00692DF1"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p>
    <w:p w14:paraId="0714B7F7"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 xml:space="preserve">According to </w:t>
      </w:r>
      <w:proofErr w:type="spellStart"/>
      <w:r w:rsidRPr="007149B3">
        <w:rPr>
          <w:rFonts w:ascii="Arial" w:eastAsia="Calibri Light" w:hAnsi="Arial" w:cs="Arial"/>
          <w:kern w:val="0"/>
          <w:sz w:val="24"/>
          <w:szCs w:val="24"/>
          <w:lang w:eastAsia="en-GB" w:bidi="en-GB"/>
          <w14:ligatures w14:val="none"/>
        </w:rPr>
        <w:t>Kapur</w:t>
      </w:r>
      <w:proofErr w:type="spellEnd"/>
      <w:r w:rsidRPr="007149B3">
        <w:rPr>
          <w:rFonts w:ascii="Arial" w:eastAsia="Calibri Light" w:hAnsi="Arial" w:cs="Arial"/>
          <w:kern w:val="0"/>
          <w:sz w:val="24"/>
          <w:szCs w:val="24"/>
          <w:lang w:eastAsia="en-GB" w:bidi="en-GB"/>
          <w14:ligatures w14:val="none"/>
        </w:rPr>
        <w:t xml:space="preserve"> (2009), a significant number of individuals who leave the military may experience homelessness or develop issues such as alcohol or drug addiction, depression, or anxiety. While these problems are not prevalent among all individuals, </w:t>
      </w:r>
      <w:r w:rsidRPr="007149B3">
        <w:rPr>
          <w:rFonts w:ascii="Arial" w:eastAsia="Calibri Light" w:hAnsi="Arial" w:cs="Arial"/>
          <w:kern w:val="0"/>
          <w:sz w:val="24"/>
          <w:szCs w:val="24"/>
          <w:lang w:eastAsia="en-GB" w:bidi="en-GB"/>
          <w14:ligatures w14:val="none"/>
        </w:rPr>
        <w:lastRenderedPageBreak/>
        <w:t>those who have served in the military may be at a higher risk of suicide compared to the general population. The study was unable to determine the exact cause of this heightened risk but proposed three hypotheses: (1) the stress of readjusting to civilian life, (2) exposure to adverse experiences during military service, or (3) a pre-existing vulnerability to suicide prior to enlisting.</w:t>
      </w:r>
    </w:p>
    <w:p w14:paraId="40E233EE" w14:textId="77777777" w:rsidR="007149B3" w:rsidRPr="007149B3" w:rsidRDefault="007149B3"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r w:rsidRPr="007149B3">
        <w:rPr>
          <w:rFonts w:ascii="Arial" w:eastAsia="Calibri Light" w:hAnsi="Arial" w:cs="Arial"/>
          <w:kern w:val="0"/>
          <w:sz w:val="24"/>
          <w:szCs w:val="24"/>
          <w:lang w:eastAsia="en-GB" w:bidi="en-GB"/>
          <w14:ligatures w14:val="none"/>
        </w:rPr>
        <w:t>The third hypothesis receives partial support from the study's findings, which indicate that inexperienced individuals with shorter periods of military service have a significantly higher likelihood of dying by suicide within the first week of leaving the army. This finding suggests that the vulnerabilities experienced during military service may contribute to the increased suicide risk. The study suggests that appropriate support interventions should be provided to individuals transitioning out of the military and that both physical and mental preparation may be beneficial for these individuals. The UK's National Health Service (NHS) is currently testing a community mental health program for armed forces veterans to address these concerns.</w:t>
      </w:r>
    </w:p>
    <w:p w14:paraId="07B5307D" w14:textId="477798BF"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Calibri Light" w:hAnsi="Arial" w:cs="Arial"/>
          <w:kern w:val="0"/>
          <w:sz w:val="24"/>
          <w:szCs w:val="24"/>
          <w:lang w:eastAsia="en-GB" w:bidi="en-GB"/>
          <w14:ligatures w14:val="none"/>
        </w:rPr>
      </w:pPr>
    </w:p>
    <w:p w14:paraId="0CEDD49D" w14:textId="77777777" w:rsidR="00384ABC" w:rsidRPr="00384ABC"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r w:rsidRPr="00384ABC">
        <w:rPr>
          <w:rFonts w:ascii="Arial" w:eastAsia="Arial Unicode MS" w:hAnsi="Arial" w:cs="Arial"/>
          <w:kern w:val="0"/>
          <w:sz w:val="24"/>
          <w:szCs w:val="24"/>
          <w:lang w:eastAsia="en-GB" w:bidi="en-GB"/>
          <w14:ligatures w14:val="none"/>
        </w:rPr>
        <w:t>The definition of local medical systems comprises collaborations among relevant professionals (</w:t>
      </w:r>
      <w:proofErr w:type="spellStart"/>
      <w:r w:rsidRPr="00384ABC">
        <w:rPr>
          <w:rFonts w:ascii="Arial" w:eastAsia="Arial Unicode MS" w:hAnsi="Arial" w:cs="Arial"/>
          <w:kern w:val="0"/>
          <w:sz w:val="24"/>
          <w:szCs w:val="24"/>
          <w:lang w:eastAsia="en-GB" w:bidi="en-GB"/>
          <w14:ligatures w14:val="none"/>
        </w:rPr>
        <w:t>Kapur</w:t>
      </w:r>
      <w:proofErr w:type="spellEnd"/>
      <w:r w:rsidRPr="00384ABC">
        <w:rPr>
          <w:rFonts w:ascii="Arial" w:eastAsia="Arial Unicode MS" w:hAnsi="Arial" w:cs="Arial"/>
          <w:kern w:val="0"/>
          <w:sz w:val="24"/>
          <w:szCs w:val="24"/>
          <w:lang w:eastAsia="en-GB" w:bidi="en-GB"/>
          <w14:ligatures w14:val="none"/>
        </w:rPr>
        <w:t xml:space="preserve"> et al., 2009).</w:t>
      </w:r>
    </w:p>
    <w:p w14:paraId="1B025238" w14:textId="77777777" w:rsidR="00384ABC" w:rsidRPr="00384ABC"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r w:rsidRPr="00384ABC">
        <w:rPr>
          <w:rFonts w:ascii="Arial" w:eastAsia="Arial Unicode MS" w:hAnsi="Arial" w:cs="Arial"/>
          <w:kern w:val="0"/>
          <w:sz w:val="24"/>
          <w:szCs w:val="24"/>
          <w:lang w:eastAsia="en-GB" w:bidi="en-GB"/>
          <w14:ligatures w14:val="none"/>
        </w:rPr>
        <w:t>Researchers have found links between bankruptcy and poor emotional well-being (Richardson et al., 2013). Financial recessions have been associated with increases in suicide rates, with factors such as debts, homelessness, unemployment, marital difficulties, and substance misuse playing a role (</w:t>
      </w:r>
      <w:proofErr w:type="spellStart"/>
      <w:r w:rsidRPr="00384ABC">
        <w:rPr>
          <w:rFonts w:ascii="Arial" w:eastAsia="Arial Unicode MS" w:hAnsi="Arial" w:cs="Arial"/>
          <w:kern w:val="0"/>
          <w:sz w:val="24"/>
          <w:szCs w:val="24"/>
          <w:lang w:eastAsia="en-GB" w:bidi="en-GB"/>
          <w14:ligatures w14:val="none"/>
        </w:rPr>
        <w:t>Struszczyk</w:t>
      </w:r>
      <w:proofErr w:type="spellEnd"/>
      <w:r w:rsidRPr="00384ABC">
        <w:rPr>
          <w:rFonts w:ascii="Arial" w:eastAsia="Arial Unicode MS" w:hAnsi="Arial" w:cs="Arial"/>
          <w:kern w:val="0"/>
          <w:sz w:val="24"/>
          <w:szCs w:val="24"/>
          <w:lang w:eastAsia="en-GB" w:bidi="en-GB"/>
          <w14:ligatures w14:val="none"/>
        </w:rPr>
        <w:t xml:space="preserve"> et al., 2019). Males facing debt or financial difficulties are twice as likely to contemplate suicide compared to those who do not face such challenges (Meltzer et al., 2011). Various attitudes and values related to differing perspectives on maturity, reluctance to acknowledge suffering, a sense of losing self-control, feelings of humiliation, loneliness, </w:t>
      </w:r>
      <w:r w:rsidRPr="00384ABC">
        <w:rPr>
          <w:rFonts w:ascii="Arial" w:eastAsia="Arial Unicode MS" w:hAnsi="Arial" w:cs="Arial"/>
          <w:kern w:val="0"/>
          <w:sz w:val="24"/>
          <w:szCs w:val="24"/>
          <w:lang w:eastAsia="en-GB" w:bidi="en-GB"/>
          <w14:ligatures w14:val="none"/>
        </w:rPr>
        <w:lastRenderedPageBreak/>
        <w:t>bereavement, difficulties in maintaining connections with children, and obstacles in accessing medical help may contribute to this impact (Chandler, 2019).</w:t>
      </w:r>
    </w:p>
    <w:p w14:paraId="541D61B9"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063ACB41"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18943650"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08F4494C"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1EAC9EDC"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5F5724E1"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2D2EA61A"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71A70F88"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310BB750"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480" w:lineRule="auto"/>
        <w:jc w:val="both"/>
        <w:rPr>
          <w:rFonts w:ascii="Arial" w:eastAsia="Arial Unicode MS" w:hAnsi="Arial" w:cs="Arial"/>
          <w:kern w:val="0"/>
          <w:sz w:val="24"/>
          <w:szCs w:val="24"/>
          <w:lang w:eastAsia="en-GB" w:bidi="en-GB"/>
          <w14:ligatures w14:val="none"/>
        </w:rPr>
      </w:pPr>
    </w:p>
    <w:p w14:paraId="298448E9" w14:textId="77777777" w:rsidR="00692DF1" w:rsidRPr="00692DF1" w:rsidRDefault="00692DF1" w:rsidP="00A84615">
      <w:pPr>
        <w:widowControl w:val="0"/>
        <w:autoSpaceDE w:val="0"/>
        <w:autoSpaceDN w:val="0"/>
        <w:spacing w:after="0" w:line="48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br w:type="page"/>
      </w:r>
    </w:p>
    <w:p w14:paraId="52EDEC1C"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692DF1">
        <w:rPr>
          <w:rFonts w:ascii="Arial" w:eastAsia="Arial Unicode MS" w:hAnsi="Arial" w:cs="Arial"/>
          <w:kern w:val="0"/>
          <w:sz w:val="24"/>
          <w:szCs w:val="24"/>
          <w:lang w:eastAsia="en-GB" w:bidi="en-GB"/>
          <w14:ligatures w14:val="none"/>
        </w:rPr>
        <w:lastRenderedPageBreak/>
        <w:t>SECTION 4: CONCLUSION AND RECOMMENDATIONS</w:t>
      </w:r>
    </w:p>
    <w:p w14:paraId="4304ACB4"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25623C33" w14:textId="77777777" w:rsidR="00692DF1" w:rsidRPr="00692DF1" w:rsidRDefault="00692DF1"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1BA5C189" w14:textId="77777777"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In conclusion, the evidence presented in these cases highlights the higher suicide rates among men compared to women and the contributing factors related to men's life choices and circumstances. It is crucial to address the challenges men face and encourage them to seek help, confide in others, and break the stigma surrounding male mental health.</w:t>
      </w:r>
    </w:p>
    <w:p w14:paraId="40FE6F2C" w14:textId="77777777"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7BFBD2FB" w14:textId="77777777"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There is a need for a comprehensive review and improvement of existing support systems to provide men with the guidance, understanding, and assistance they require. Urgent appointments and consultations with doctors should be made readily available to address the feelings of loss, loneliness, or helplessness experienced by men. Furthermore, establishing free helplines operating 24/7 can offer a continuous and accessible means for men to reach out and seek support at any time.</w:t>
      </w:r>
    </w:p>
    <w:p w14:paraId="06D9EBE3" w14:textId="77777777"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713B0AF3" w14:textId="26AC9370"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In addition, meetings and support groups should be organi</w:t>
      </w:r>
      <w:r w:rsidR="00920A47">
        <w:rPr>
          <w:rFonts w:ascii="Arial" w:eastAsia="Arial Unicode MS" w:hAnsi="Arial" w:cs="Arial"/>
          <w:kern w:val="0"/>
          <w:sz w:val="24"/>
          <w:szCs w:val="24"/>
          <w:lang w:eastAsia="en-GB" w:bidi="en-GB"/>
          <w14:ligatures w14:val="none"/>
        </w:rPr>
        <w:t>s</w:t>
      </w:r>
      <w:r w:rsidRPr="00A84615">
        <w:rPr>
          <w:rFonts w:ascii="Arial" w:eastAsia="Arial Unicode MS" w:hAnsi="Arial" w:cs="Arial"/>
          <w:kern w:val="0"/>
          <w:sz w:val="24"/>
          <w:szCs w:val="24"/>
          <w:lang w:eastAsia="en-GB" w:bidi="en-GB"/>
          <w14:ligatures w14:val="none"/>
        </w:rPr>
        <w:t>ed to address specific issues such as money advice, alcohol problems, drug use, homelessness, and disabilities. These gatherings provide safe spaces for men to seek guidance and assistance in overcoming these challenges.</w:t>
      </w:r>
    </w:p>
    <w:p w14:paraId="012001EB" w14:textId="77777777"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43F64EBE" w14:textId="255C31C5"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It is essential to create an environment where men feel that they have somewhere to turn to when in need. This includes ensuring mental health teams are readily available in hospitals to provide urgent help and support for men in crisis situations. Collaborations with charities and helplines can also raise awareness and offer support through various channels such as posters, TV advertisements, nightclubs, gambling centres, hospitals, and doctor's offices.</w:t>
      </w:r>
    </w:p>
    <w:p w14:paraId="5B37959B" w14:textId="77777777"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7E7344A7" w14:textId="77777777"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t>Sharing success stories of men who have received help and support is a powerful way to inspire and encourage others facing similar challenges. Online platforms can serve as a valuable tool for men to read and contribute to these narratives, fostering a sense of community and demonstrating that seeking help is possible and can lead to positive outcomes.</w:t>
      </w:r>
    </w:p>
    <w:p w14:paraId="271DC9B5" w14:textId="77777777" w:rsidR="00384ABC" w:rsidRPr="00A84615"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p>
    <w:p w14:paraId="44AC3CF4" w14:textId="3CCFF527" w:rsidR="00692DF1" w:rsidRPr="00692DF1" w:rsidRDefault="00384ABC" w:rsidP="00A8461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jc w:val="both"/>
        <w:rPr>
          <w:rFonts w:ascii="Arial" w:eastAsia="Arial Unicode MS" w:hAnsi="Arial" w:cs="Arial"/>
          <w:kern w:val="0"/>
          <w:sz w:val="24"/>
          <w:szCs w:val="24"/>
          <w:lang w:eastAsia="en-GB" w:bidi="en-GB"/>
          <w14:ligatures w14:val="none"/>
        </w:rPr>
      </w:pPr>
      <w:r w:rsidRPr="00A84615">
        <w:rPr>
          <w:rFonts w:ascii="Arial" w:eastAsia="Arial Unicode MS" w:hAnsi="Arial" w:cs="Arial"/>
          <w:kern w:val="0"/>
          <w:sz w:val="24"/>
          <w:szCs w:val="24"/>
          <w:lang w:eastAsia="en-GB" w:bidi="en-GB"/>
          <w14:ligatures w14:val="none"/>
        </w:rPr>
        <w:lastRenderedPageBreak/>
        <w:t>By implementing these recommendations and actively promoting available resources, we can create a supportive environment where men feel empowered to seek assistance, break the cycle of stigma, and ultimately save lives.</w:t>
      </w:r>
    </w:p>
    <w:p w14:paraId="1EAB40F9" w14:textId="77777777" w:rsidR="00692DF1" w:rsidRPr="00692DF1" w:rsidRDefault="00692DF1" w:rsidP="00692D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rPr>
          <w:rFonts w:ascii="Calibri" w:eastAsia="Arial Unicode MS" w:hAnsi="Calibri" w:cs="Calibri"/>
          <w:b/>
          <w:kern w:val="0"/>
          <w:sz w:val="28"/>
          <w:szCs w:val="28"/>
          <w:lang w:eastAsia="en-GB" w:bidi="en-GB"/>
          <w14:ligatures w14:val="none"/>
        </w:rPr>
      </w:pPr>
    </w:p>
    <w:p w14:paraId="2AE84C40" w14:textId="77777777" w:rsidR="00692DF1" w:rsidRPr="00692DF1" w:rsidRDefault="00692DF1" w:rsidP="00692D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rPr>
          <w:rFonts w:ascii="Calibri" w:eastAsia="Arial Unicode MS" w:hAnsi="Calibri" w:cs="Calibri"/>
          <w:b/>
          <w:kern w:val="0"/>
          <w:sz w:val="28"/>
          <w:szCs w:val="28"/>
          <w:lang w:eastAsia="en-GB" w:bidi="en-GB"/>
          <w14:ligatures w14:val="none"/>
        </w:rPr>
      </w:pPr>
    </w:p>
    <w:p w14:paraId="2CC20B24" w14:textId="77777777" w:rsidR="00692DF1" w:rsidRPr="00692DF1" w:rsidRDefault="00692DF1" w:rsidP="00692DF1">
      <w:pPr>
        <w:widowControl w:val="0"/>
        <w:autoSpaceDE w:val="0"/>
        <w:autoSpaceDN w:val="0"/>
        <w:adjustRightInd w:val="0"/>
        <w:spacing w:after="0" w:line="360" w:lineRule="auto"/>
        <w:ind w:right="-51"/>
        <w:jc w:val="both"/>
        <w:rPr>
          <w:rFonts w:ascii="Calibri" w:eastAsia="Arial Unicode MS" w:hAnsi="Calibri" w:cs="Calibri"/>
          <w:kern w:val="0"/>
          <w:lang w:eastAsia="en-GB" w:bidi="en-GB"/>
          <w14:ligatures w14:val="none"/>
        </w:rPr>
      </w:pPr>
    </w:p>
    <w:p w14:paraId="2B324064" w14:textId="77777777" w:rsidR="00692DF1" w:rsidRPr="00692DF1" w:rsidRDefault="00692DF1" w:rsidP="00692DF1">
      <w:pPr>
        <w:widowControl w:val="0"/>
        <w:autoSpaceDE w:val="0"/>
        <w:autoSpaceDN w:val="0"/>
        <w:adjustRightInd w:val="0"/>
        <w:spacing w:after="0" w:line="268" w:lineRule="exact"/>
        <w:ind w:right="-52"/>
        <w:jc w:val="both"/>
        <w:rPr>
          <w:rFonts w:ascii="Calibri" w:eastAsia="Arial Unicode MS" w:hAnsi="Calibri" w:cs="Calibri"/>
          <w:kern w:val="0"/>
          <w:lang w:eastAsia="en-GB" w:bidi="en-GB"/>
          <w14:ligatures w14:val="none"/>
        </w:rPr>
      </w:pPr>
    </w:p>
    <w:p w14:paraId="41DD0DC7" w14:textId="77777777" w:rsidR="00692DF1" w:rsidRPr="00692DF1" w:rsidRDefault="00692DF1" w:rsidP="00692DF1">
      <w:pPr>
        <w:widowControl w:val="0"/>
        <w:autoSpaceDE w:val="0"/>
        <w:autoSpaceDN w:val="0"/>
        <w:adjustRightInd w:val="0"/>
        <w:spacing w:after="0" w:line="268" w:lineRule="exact"/>
        <w:ind w:right="-52"/>
        <w:jc w:val="both"/>
        <w:rPr>
          <w:rFonts w:ascii="Calibri" w:eastAsia="Arial Unicode MS" w:hAnsi="Calibri" w:cs="Calibri"/>
          <w:kern w:val="0"/>
          <w:lang w:eastAsia="en-GB" w:bidi="en-GB"/>
          <w14:ligatures w14:val="none"/>
        </w:rPr>
      </w:pPr>
    </w:p>
    <w:p w14:paraId="58664FC7" w14:textId="77777777" w:rsidR="00692DF1" w:rsidRPr="00692DF1" w:rsidRDefault="00692DF1" w:rsidP="00692DF1">
      <w:pPr>
        <w:widowControl w:val="0"/>
        <w:autoSpaceDE w:val="0"/>
        <w:autoSpaceDN w:val="0"/>
        <w:adjustRightInd w:val="0"/>
        <w:spacing w:after="0" w:line="268" w:lineRule="exact"/>
        <w:ind w:right="-52"/>
        <w:jc w:val="both"/>
        <w:rPr>
          <w:rFonts w:ascii="Calibri" w:eastAsia="Arial Unicode MS" w:hAnsi="Calibri" w:cs="Calibri"/>
          <w:kern w:val="0"/>
          <w:lang w:eastAsia="en-GB" w:bidi="en-GB"/>
          <w14:ligatures w14:val="none"/>
        </w:rPr>
      </w:pPr>
    </w:p>
    <w:p w14:paraId="680F5FE1" w14:textId="77777777" w:rsidR="00692DF1" w:rsidRPr="00692DF1" w:rsidRDefault="00692DF1" w:rsidP="00692DF1">
      <w:pPr>
        <w:widowControl w:val="0"/>
        <w:autoSpaceDE w:val="0"/>
        <w:autoSpaceDN w:val="0"/>
        <w:adjustRightInd w:val="0"/>
        <w:spacing w:after="0" w:line="268" w:lineRule="exact"/>
        <w:ind w:right="-52"/>
        <w:jc w:val="both"/>
        <w:rPr>
          <w:rFonts w:ascii="Calibri" w:eastAsia="Arial Unicode MS" w:hAnsi="Calibri" w:cs="Calibri"/>
          <w:kern w:val="0"/>
          <w:lang w:eastAsia="en-GB" w:bidi="en-GB"/>
          <w14:ligatures w14:val="none"/>
        </w:rPr>
      </w:pPr>
    </w:p>
    <w:p w14:paraId="30DE2BBB" w14:textId="77777777" w:rsidR="00692DF1" w:rsidRPr="00692DF1" w:rsidRDefault="00692DF1" w:rsidP="00692DF1">
      <w:pPr>
        <w:widowControl w:val="0"/>
        <w:autoSpaceDE w:val="0"/>
        <w:autoSpaceDN w:val="0"/>
        <w:adjustRightInd w:val="0"/>
        <w:spacing w:after="0" w:line="268" w:lineRule="exact"/>
        <w:ind w:right="-52"/>
        <w:jc w:val="both"/>
        <w:rPr>
          <w:rFonts w:ascii="Calibri" w:eastAsia="Arial Unicode MS" w:hAnsi="Calibri" w:cs="Calibri"/>
          <w:kern w:val="0"/>
          <w:lang w:eastAsia="en-GB" w:bidi="en-GB"/>
          <w14:ligatures w14:val="none"/>
        </w:rPr>
      </w:pPr>
    </w:p>
    <w:p w14:paraId="56407B7A" w14:textId="77777777" w:rsidR="00692DF1" w:rsidRPr="00692DF1" w:rsidRDefault="00692DF1" w:rsidP="00692DF1">
      <w:pPr>
        <w:widowControl w:val="0"/>
        <w:autoSpaceDE w:val="0"/>
        <w:autoSpaceDN w:val="0"/>
        <w:adjustRightInd w:val="0"/>
        <w:spacing w:after="0" w:line="268" w:lineRule="exact"/>
        <w:ind w:right="-52"/>
        <w:jc w:val="both"/>
        <w:rPr>
          <w:rFonts w:ascii="Calibri" w:eastAsia="Arial Unicode MS" w:hAnsi="Calibri" w:cs="Calibri"/>
          <w:kern w:val="0"/>
          <w:lang w:eastAsia="en-GB" w:bidi="en-GB"/>
          <w14:ligatures w14:val="none"/>
        </w:rPr>
      </w:pPr>
    </w:p>
    <w:p w14:paraId="02CDC94C" w14:textId="77777777" w:rsidR="00692DF1" w:rsidRPr="00692DF1" w:rsidRDefault="00692DF1" w:rsidP="00692DF1">
      <w:pPr>
        <w:widowControl w:val="0"/>
        <w:autoSpaceDE w:val="0"/>
        <w:autoSpaceDN w:val="0"/>
        <w:adjustRightInd w:val="0"/>
        <w:spacing w:after="0" w:line="268" w:lineRule="exact"/>
        <w:ind w:right="-52"/>
        <w:jc w:val="both"/>
        <w:rPr>
          <w:rFonts w:ascii="Calibri" w:eastAsia="Arial Unicode MS" w:hAnsi="Calibri" w:cs="Calibri"/>
          <w:kern w:val="0"/>
          <w:lang w:eastAsia="en-GB" w:bidi="en-GB"/>
          <w14:ligatures w14:val="none"/>
        </w:rPr>
      </w:pPr>
    </w:p>
    <w:p w14:paraId="2BB01126" w14:textId="77777777" w:rsidR="00692DF1" w:rsidRPr="00692DF1" w:rsidRDefault="00692DF1" w:rsidP="00692DF1">
      <w:pPr>
        <w:widowControl w:val="0"/>
        <w:autoSpaceDE w:val="0"/>
        <w:autoSpaceDN w:val="0"/>
        <w:spacing w:after="0" w:line="240" w:lineRule="auto"/>
        <w:rPr>
          <w:rFonts w:ascii="Calibri" w:eastAsia="Arial Unicode MS" w:hAnsi="Calibri" w:cs="Calibri"/>
          <w:kern w:val="0"/>
          <w:lang w:eastAsia="en-GB" w:bidi="en-GB"/>
          <w14:ligatures w14:val="none"/>
        </w:rPr>
      </w:pPr>
      <w:r w:rsidRPr="00692DF1">
        <w:rPr>
          <w:rFonts w:ascii="Calibri" w:eastAsia="Arial Unicode MS" w:hAnsi="Calibri" w:cs="Calibri"/>
          <w:kern w:val="0"/>
          <w:lang w:eastAsia="en-GB" w:bidi="en-GB"/>
          <w14:ligatures w14:val="none"/>
        </w:rPr>
        <w:br w:type="page"/>
      </w:r>
    </w:p>
    <w:p w14:paraId="1C8E9C8D"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r w:rsidRPr="00692DF1">
        <w:rPr>
          <w:rFonts w:ascii="Calibri" w:eastAsia="Arial Unicode MS" w:hAnsi="Calibri" w:cs="Calibri"/>
          <w:b/>
          <w:kern w:val="0"/>
          <w:sz w:val="28"/>
          <w:szCs w:val="28"/>
          <w:lang w:eastAsia="en-GB" w:bidi="en-GB"/>
          <w14:ligatures w14:val="none"/>
        </w:rPr>
        <w:lastRenderedPageBreak/>
        <w:t>Appendix</w:t>
      </w:r>
    </w:p>
    <w:p w14:paraId="26188B1E"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169DB2BA"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r w:rsidRPr="00692DF1">
        <w:rPr>
          <w:rFonts w:ascii="Calibri" w:eastAsia="Arial Unicode MS" w:hAnsi="Calibri" w:cs="Calibri"/>
          <w:b/>
          <w:kern w:val="0"/>
          <w:sz w:val="28"/>
          <w:szCs w:val="28"/>
          <w:lang w:eastAsia="en-GB" w:bidi="en-GB"/>
          <w14:ligatures w14:val="none"/>
        </w:rPr>
        <w:br/>
      </w:r>
    </w:p>
    <w:p w14:paraId="3ADE3F38"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7B2C2347"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r w:rsidRPr="00692DF1">
        <w:rPr>
          <w:rFonts w:ascii="Calibri" w:eastAsia="Arial Unicode MS" w:hAnsi="Calibri" w:cs="Calibri"/>
          <w:b/>
          <w:kern w:val="0"/>
          <w:sz w:val="28"/>
          <w:szCs w:val="28"/>
          <w:lang w:eastAsia="en-GB" w:bidi="en-GB"/>
          <w14:ligatures w14:val="none"/>
        </w:rPr>
        <w:t>Appendix 1</w:t>
      </w:r>
    </w:p>
    <w:p w14:paraId="6752561F"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tbl>
      <w:tblPr>
        <w:tblStyle w:val="TableGrid1"/>
        <w:tblW w:w="0" w:type="auto"/>
        <w:tblLook w:val="04A0" w:firstRow="1" w:lastRow="0" w:firstColumn="1" w:lastColumn="0" w:noHBand="0" w:noVBand="1"/>
      </w:tblPr>
      <w:tblGrid>
        <w:gridCol w:w="1609"/>
        <w:gridCol w:w="1392"/>
        <w:gridCol w:w="1390"/>
        <w:gridCol w:w="1837"/>
        <w:gridCol w:w="1138"/>
        <w:gridCol w:w="1650"/>
      </w:tblGrid>
      <w:tr w:rsidR="00692DF1" w:rsidRPr="00692DF1" w14:paraId="7B74EDA1" w14:textId="77777777" w:rsidTr="003E2A30">
        <w:tc>
          <w:tcPr>
            <w:tcW w:w="1310" w:type="dxa"/>
          </w:tcPr>
          <w:p w14:paraId="5CBEE2DD"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Key words </w:t>
            </w:r>
          </w:p>
        </w:tc>
        <w:tc>
          <w:tcPr>
            <w:tcW w:w="1964" w:type="dxa"/>
          </w:tcPr>
          <w:p w14:paraId="22121EF0"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Date searched</w:t>
            </w:r>
          </w:p>
        </w:tc>
        <w:tc>
          <w:tcPr>
            <w:tcW w:w="1247" w:type="dxa"/>
          </w:tcPr>
          <w:p w14:paraId="2C39B12F"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Databases searched </w:t>
            </w:r>
          </w:p>
        </w:tc>
        <w:tc>
          <w:tcPr>
            <w:tcW w:w="1540" w:type="dxa"/>
          </w:tcPr>
          <w:p w14:paraId="3C4F234E"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Data gained</w:t>
            </w:r>
          </w:p>
        </w:tc>
        <w:tc>
          <w:tcPr>
            <w:tcW w:w="1071" w:type="dxa"/>
          </w:tcPr>
          <w:p w14:paraId="430A28E6"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results</w:t>
            </w:r>
          </w:p>
        </w:tc>
        <w:tc>
          <w:tcPr>
            <w:tcW w:w="1085" w:type="dxa"/>
          </w:tcPr>
          <w:p w14:paraId="77CFD6EB"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comments</w:t>
            </w:r>
          </w:p>
        </w:tc>
      </w:tr>
      <w:tr w:rsidR="00692DF1" w:rsidRPr="00692DF1" w14:paraId="72F19559" w14:textId="77777777" w:rsidTr="003E2A30">
        <w:tc>
          <w:tcPr>
            <w:tcW w:w="1310" w:type="dxa"/>
          </w:tcPr>
          <w:p w14:paraId="4FCD27DB"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Suicide rates in men and women  </w:t>
            </w:r>
          </w:p>
        </w:tc>
        <w:tc>
          <w:tcPr>
            <w:tcW w:w="1964" w:type="dxa"/>
          </w:tcPr>
          <w:p w14:paraId="0C7EEBD5"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January 6</w:t>
            </w:r>
            <w:r w:rsidRPr="00692DF1">
              <w:rPr>
                <w:rFonts w:ascii="Calibri" w:eastAsia="Arial Unicode MS" w:hAnsi="Calibri" w:cs="Calibri"/>
                <w:sz w:val="28"/>
                <w:szCs w:val="28"/>
                <w:vertAlign w:val="superscript"/>
                <w:lang w:eastAsia="en-GB" w:bidi="en-GB"/>
              </w:rPr>
              <w:t>th</w:t>
            </w:r>
            <w:r w:rsidRPr="00692DF1">
              <w:rPr>
                <w:rFonts w:ascii="Calibri" w:eastAsia="Arial Unicode MS" w:hAnsi="Calibri" w:cs="Calibri"/>
                <w:sz w:val="28"/>
                <w:szCs w:val="28"/>
                <w:lang w:eastAsia="en-GB" w:bidi="en-GB"/>
              </w:rPr>
              <w:t xml:space="preserve"> 2023</w:t>
            </w:r>
          </w:p>
        </w:tc>
        <w:tc>
          <w:tcPr>
            <w:tcW w:w="1247" w:type="dxa"/>
          </w:tcPr>
          <w:p w14:paraId="7C29F3BC"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Google Scholar</w:t>
            </w:r>
          </w:p>
          <w:p w14:paraId="70787DB0"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Cross ref full text </w:t>
            </w:r>
          </w:p>
          <w:p w14:paraId="597AB5A8"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Pub Med abstract</w:t>
            </w:r>
          </w:p>
        </w:tc>
        <w:tc>
          <w:tcPr>
            <w:tcW w:w="1540" w:type="dxa"/>
          </w:tcPr>
          <w:p w14:paraId="5397DD73"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 As records from 2018 go back 15 years, it has been demonstrated that men are more likely than women to commit suicide.</w:t>
            </w:r>
          </w:p>
        </w:tc>
        <w:tc>
          <w:tcPr>
            <w:tcW w:w="1071" w:type="dxa"/>
          </w:tcPr>
          <w:p w14:paraId="04176271"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200,000</w:t>
            </w:r>
          </w:p>
        </w:tc>
        <w:tc>
          <w:tcPr>
            <w:tcW w:w="1085" w:type="dxa"/>
          </w:tcPr>
          <w:p w14:paraId="10283E7A"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Found out that rates between males and women and male rates were intentionally higher </w:t>
            </w:r>
          </w:p>
        </w:tc>
      </w:tr>
      <w:tr w:rsidR="00692DF1" w:rsidRPr="00692DF1" w14:paraId="544D642E" w14:textId="77777777" w:rsidTr="003E2A30">
        <w:tc>
          <w:tcPr>
            <w:tcW w:w="1310" w:type="dxa"/>
          </w:tcPr>
          <w:p w14:paraId="38FB7F07"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Gender issues in suicide behaviour </w:t>
            </w:r>
          </w:p>
        </w:tc>
        <w:tc>
          <w:tcPr>
            <w:tcW w:w="1964" w:type="dxa"/>
          </w:tcPr>
          <w:p w14:paraId="23450796"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January 6</w:t>
            </w:r>
            <w:r w:rsidRPr="00692DF1">
              <w:rPr>
                <w:rFonts w:ascii="Calibri" w:eastAsia="Arial Unicode MS" w:hAnsi="Calibri" w:cs="Calibri"/>
                <w:sz w:val="28"/>
                <w:szCs w:val="28"/>
                <w:vertAlign w:val="superscript"/>
                <w:lang w:eastAsia="en-GB" w:bidi="en-GB"/>
              </w:rPr>
              <w:t>th</w:t>
            </w:r>
            <w:r w:rsidRPr="00692DF1">
              <w:rPr>
                <w:rFonts w:ascii="Calibri" w:eastAsia="Arial Unicode MS" w:hAnsi="Calibri" w:cs="Calibri"/>
                <w:sz w:val="28"/>
                <w:szCs w:val="28"/>
                <w:lang w:eastAsia="en-GB" w:bidi="en-GB"/>
              </w:rPr>
              <w:t xml:space="preserve"> 2023</w:t>
            </w:r>
          </w:p>
        </w:tc>
        <w:tc>
          <w:tcPr>
            <w:tcW w:w="1247" w:type="dxa"/>
          </w:tcPr>
          <w:p w14:paraId="2A40C961"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Google Scholar</w:t>
            </w:r>
          </w:p>
          <w:p w14:paraId="127A5772"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Pub Med</w:t>
            </w:r>
          </w:p>
          <w:p w14:paraId="7A7975A5"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Library </w:t>
            </w:r>
          </w:p>
        </w:tc>
        <w:tc>
          <w:tcPr>
            <w:tcW w:w="1540" w:type="dxa"/>
          </w:tcPr>
          <w:p w14:paraId="20A334DA"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Males are three to four times more likely to die by suicide than girls, even though females attempt suicide at a higher rate.</w:t>
            </w:r>
          </w:p>
        </w:tc>
        <w:tc>
          <w:tcPr>
            <w:tcW w:w="1071" w:type="dxa"/>
          </w:tcPr>
          <w:p w14:paraId="302F570E"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1,00,00</w:t>
            </w:r>
          </w:p>
        </w:tc>
        <w:tc>
          <w:tcPr>
            <w:tcW w:w="1085" w:type="dxa"/>
          </w:tcPr>
          <w:p w14:paraId="232B6EFB"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This was good to look at as 30% of males with gender issues have ongoing rates that keep rising since 2002 </w:t>
            </w:r>
          </w:p>
        </w:tc>
      </w:tr>
      <w:tr w:rsidR="00692DF1" w:rsidRPr="00692DF1" w14:paraId="1319EC03" w14:textId="77777777" w:rsidTr="003E2A30">
        <w:tc>
          <w:tcPr>
            <w:tcW w:w="1310" w:type="dxa"/>
          </w:tcPr>
          <w:p w14:paraId="3809201D"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Male suicide rates in England and Wales </w:t>
            </w:r>
          </w:p>
        </w:tc>
        <w:tc>
          <w:tcPr>
            <w:tcW w:w="1964" w:type="dxa"/>
          </w:tcPr>
          <w:p w14:paraId="5121C57C"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January 6</w:t>
            </w:r>
            <w:r w:rsidRPr="00692DF1">
              <w:rPr>
                <w:rFonts w:ascii="Calibri" w:eastAsia="Arial Unicode MS" w:hAnsi="Calibri" w:cs="Calibri"/>
                <w:sz w:val="28"/>
                <w:szCs w:val="28"/>
                <w:vertAlign w:val="superscript"/>
                <w:lang w:eastAsia="en-GB" w:bidi="en-GB"/>
              </w:rPr>
              <w:t>th</w:t>
            </w:r>
            <w:r w:rsidRPr="00692DF1">
              <w:rPr>
                <w:rFonts w:ascii="Calibri" w:eastAsia="Arial Unicode MS" w:hAnsi="Calibri" w:cs="Calibri"/>
                <w:sz w:val="28"/>
                <w:szCs w:val="28"/>
                <w:lang w:eastAsia="en-GB" w:bidi="en-GB"/>
              </w:rPr>
              <w:t xml:space="preserve"> 2023</w:t>
            </w:r>
          </w:p>
        </w:tc>
        <w:tc>
          <w:tcPr>
            <w:tcW w:w="1247" w:type="dxa"/>
          </w:tcPr>
          <w:p w14:paraId="17A214CB"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Google Scholar</w:t>
            </w:r>
          </w:p>
          <w:p w14:paraId="4004750E"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Pub Med</w:t>
            </w:r>
          </w:p>
          <w:p w14:paraId="060B749A"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Library </w:t>
            </w:r>
          </w:p>
        </w:tc>
        <w:tc>
          <w:tcPr>
            <w:tcW w:w="1540" w:type="dxa"/>
          </w:tcPr>
          <w:p w14:paraId="0084FB9C"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men made up 4,303 of the 1,388 suicide deaths that were reported in 2019—75 percent of all suicide deaths. </w:t>
            </w:r>
          </w:p>
        </w:tc>
        <w:tc>
          <w:tcPr>
            <w:tcW w:w="1071" w:type="dxa"/>
          </w:tcPr>
          <w:p w14:paraId="08B543FA"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140,000</w:t>
            </w:r>
          </w:p>
        </w:tc>
        <w:tc>
          <w:tcPr>
            <w:tcW w:w="1085" w:type="dxa"/>
          </w:tcPr>
          <w:p w14:paraId="2CFD790E"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Was good to find out about the ratings in my own city and country as it has been an ongoing problem for </w:t>
            </w:r>
            <w:r w:rsidRPr="00692DF1">
              <w:rPr>
                <w:rFonts w:ascii="Calibri" w:eastAsia="Arial Unicode MS" w:hAnsi="Calibri" w:cs="Calibri"/>
                <w:sz w:val="28"/>
                <w:szCs w:val="28"/>
                <w:lang w:eastAsia="en-GB" w:bidi="en-GB"/>
              </w:rPr>
              <w:lastRenderedPageBreak/>
              <w:t xml:space="preserve">a while, so it was good to find out the rates of this </w:t>
            </w:r>
          </w:p>
        </w:tc>
      </w:tr>
      <w:tr w:rsidR="00692DF1" w:rsidRPr="00692DF1" w14:paraId="3628F33B" w14:textId="77777777" w:rsidTr="003E2A30">
        <w:tc>
          <w:tcPr>
            <w:tcW w:w="1310" w:type="dxa"/>
          </w:tcPr>
          <w:p w14:paraId="647FE9B8"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lastRenderedPageBreak/>
              <w:t>Suicide after leaving the armed forces.</w:t>
            </w:r>
          </w:p>
        </w:tc>
        <w:tc>
          <w:tcPr>
            <w:tcW w:w="1964" w:type="dxa"/>
          </w:tcPr>
          <w:p w14:paraId="1A362A00"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January 6</w:t>
            </w:r>
            <w:r w:rsidRPr="00692DF1">
              <w:rPr>
                <w:rFonts w:ascii="Calibri" w:eastAsia="Arial Unicode MS" w:hAnsi="Calibri" w:cs="Calibri"/>
                <w:sz w:val="28"/>
                <w:szCs w:val="28"/>
                <w:vertAlign w:val="superscript"/>
                <w:lang w:eastAsia="en-GB" w:bidi="en-GB"/>
              </w:rPr>
              <w:t>th</w:t>
            </w:r>
            <w:r w:rsidRPr="00692DF1">
              <w:rPr>
                <w:rFonts w:ascii="Calibri" w:eastAsia="Arial Unicode MS" w:hAnsi="Calibri" w:cs="Calibri"/>
                <w:sz w:val="28"/>
                <w:szCs w:val="28"/>
                <w:lang w:eastAsia="en-GB" w:bidi="en-GB"/>
              </w:rPr>
              <w:t xml:space="preserve"> 2023</w:t>
            </w:r>
          </w:p>
        </w:tc>
        <w:tc>
          <w:tcPr>
            <w:tcW w:w="1247" w:type="dxa"/>
          </w:tcPr>
          <w:p w14:paraId="2AF5FE3E"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Google Scholar </w:t>
            </w:r>
          </w:p>
          <w:p w14:paraId="3A276BDD"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Pub Med</w:t>
            </w:r>
          </w:p>
          <w:p w14:paraId="1561C0E0"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Library </w:t>
            </w:r>
          </w:p>
        </w:tc>
        <w:tc>
          <w:tcPr>
            <w:tcW w:w="1540" w:type="dxa"/>
          </w:tcPr>
          <w:p w14:paraId="6230FEB4"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The risk of suicide among men who had left the Armed Forces was two to three times higher than the risk the general population. </w:t>
            </w:r>
          </w:p>
        </w:tc>
        <w:tc>
          <w:tcPr>
            <w:tcW w:w="1071" w:type="dxa"/>
          </w:tcPr>
          <w:p w14:paraId="0CA83B7A"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11,400</w:t>
            </w:r>
          </w:p>
        </w:tc>
        <w:tc>
          <w:tcPr>
            <w:tcW w:w="1085" w:type="dxa"/>
          </w:tcPr>
          <w:p w14:paraId="2CFE6301"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Was good to find out how many issues arise from males leaving the armed forces and how many problems they take with them </w:t>
            </w:r>
          </w:p>
        </w:tc>
      </w:tr>
      <w:tr w:rsidR="00692DF1" w:rsidRPr="00692DF1" w14:paraId="2E95140D" w14:textId="77777777" w:rsidTr="003E2A30">
        <w:tc>
          <w:tcPr>
            <w:tcW w:w="1310" w:type="dxa"/>
          </w:tcPr>
          <w:p w14:paraId="5C07FE6A"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How Male Prisoners suffer from suicide. </w:t>
            </w:r>
          </w:p>
          <w:p w14:paraId="39B81C7F"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p>
          <w:p w14:paraId="672A14DE"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p>
        </w:tc>
        <w:tc>
          <w:tcPr>
            <w:tcW w:w="1964" w:type="dxa"/>
          </w:tcPr>
          <w:p w14:paraId="546F7598"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January 6</w:t>
            </w:r>
            <w:r w:rsidRPr="00692DF1">
              <w:rPr>
                <w:rFonts w:ascii="Calibri" w:eastAsia="Arial Unicode MS" w:hAnsi="Calibri" w:cs="Calibri"/>
                <w:sz w:val="28"/>
                <w:szCs w:val="28"/>
                <w:vertAlign w:val="superscript"/>
                <w:lang w:eastAsia="en-GB" w:bidi="en-GB"/>
              </w:rPr>
              <w:t>th</w:t>
            </w:r>
            <w:r w:rsidRPr="00692DF1">
              <w:rPr>
                <w:rFonts w:ascii="Calibri" w:eastAsia="Arial Unicode MS" w:hAnsi="Calibri" w:cs="Calibri"/>
                <w:sz w:val="28"/>
                <w:szCs w:val="28"/>
                <w:lang w:eastAsia="en-GB" w:bidi="en-GB"/>
              </w:rPr>
              <w:t xml:space="preserve"> 2023</w:t>
            </w:r>
          </w:p>
        </w:tc>
        <w:tc>
          <w:tcPr>
            <w:tcW w:w="1247" w:type="dxa"/>
          </w:tcPr>
          <w:p w14:paraId="52FF261A" w14:textId="77777777" w:rsidR="00692DF1" w:rsidRPr="00692DF1" w:rsidRDefault="00692DF1" w:rsidP="00692DF1">
            <w:pPr>
              <w:widowControl w:val="0"/>
              <w:autoSpaceDE w:val="0"/>
              <w:autoSpaceDN w:val="0"/>
              <w:rPr>
                <w:rFonts w:ascii="Calibri" w:eastAsia="Arial Unicode MS" w:hAnsi="Calibri" w:cs="Calibri"/>
                <w:sz w:val="28"/>
                <w:szCs w:val="28"/>
                <w:lang w:val="da-DK" w:eastAsia="en-GB" w:bidi="en-GB"/>
              </w:rPr>
            </w:pPr>
            <w:r w:rsidRPr="00692DF1">
              <w:rPr>
                <w:rFonts w:ascii="Calibri" w:eastAsia="Arial Unicode MS" w:hAnsi="Calibri" w:cs="Calibri"/>
                <w:sz w:val="28"/>
                <w:szCs w:val="28"/>
                <w:lang w:val="da-DK" w:eastAsia="en-GB" w:bidi="en-GB"/>
              </w:rPr>
              <w:t xml:space="preserve">Google Scholar </w:t>
            </w:r>
          </w:p>
          <w:p w14:paraId="2165A424" w14:textId="77777777" w:rsidR="00692DF1" w:rsidRPr="00692DF1" w:rsidRDefault="00692DF1" w:rsidP="00692DF1">
            <w:pPr>
              <w:widowControl w:val="0"/>
              <w:autoSpaceDE w:val="0"/>
              <w:autoSpaceDN w:val="0"/>
              <w:rPr>
                <w:rFonts w:ascii="Calibri" w:eastAsia="Arial Unicode MS" w:hAnsi="Calibri" w:cs="Calibri"/>
                <w:sz w:val="28"/>
                <w:szCs w:val="28"/>
                <w:lang w:val="da-DK" w:eastAsia="en-GB" w:bidi="en-GB"/>
              </w:rPr>
            </w:pPr>
            <w:r w:rsidRPr="00692DF1">
              <w:rPr>
                <w:rFonts w:ascii="Calibri" w:eastAsia="Arial Unicode MS" w:hAnsi="Calibri" w:cs="Calibri"/>
                <w:sz w:val="28"/>
                <w:szCs w:val="28"/>
                <w:lang w:val="da-DK" w:eastAsia="en-GB" w:bidi="en-GB"/>
              </w:rPr>
              <w:t>Pub Med</w:t>
            </w:r>
          </w:p>
          <w:p w14:paraId="5356B3BF" w14:textId="77777777" w:rsidR="00692DF1" w:rsidRPr="00692DF1" w:rsidRDefault="00692DF1" w:rsidP="00692DF1">
            <w:pPr>
              <w:widowControl w:val="0"/>
              <w:autoSpaceDE w:val="0"/>
              <w:autoSpaceDN w:val="0"/>
              <w:rPr>
                <w:rFonts w:ascii="Calibri" w:eastAsia="Arial Unicode MS" w:hAnsi="Calibri" w:cs="Calibri"/>
                <w:sz w:val="28"/>
                <w:szCs w:val="28"/>
                <w:lang w:val="da-DK" w:eastAsia="en-GB" w:bidi="en-GB"/>
              </w:rPr>
            </w:pPr>
            <w:r w:rsidRPr="00692DF1">
              <w:rPr>
                <w:rFonts w:ascii="Calibri" w:eastAsia="Arial Unicode MS" w:hAnsi="Calibri" w:cs="Calibri"/>
                <w:sz w:val="28"/>
                <w:szCs w:val="28"/>
                <w:lang w:val="da-DK" w:eastAsia="en-GB" w:bidi="en-GB"/>
              </w:rPr>
              <w:t xml:space="preserve">Medline </w:t>
            </w:r>
          </w:p>
        </w:tc>
        <w:tc>
          <w:tcPr>
            <w:tcW w:w="1540" w:type="dxa"/>
          </w:tcPr>
          <w:p w14:paraId="403A88D8"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male convicts had up until December 2020 and how these experiences might have been related to violence and suicide</w:t>
            </w:r>
          </w:p>
        </w:tc>
        <w:tc>
          <w:tcPr>
            <w:tcW w:w="1071" w:type="dxa"/>
          </w:tcPr>
          <w:p w14:paraId="20A093DF"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54,000</w:t>
            </w:r>
          </w:p>
        </w:tc>
        <w:tc>
          <w:tcPr>
            <w:tcW w:w="1085" w:type="dxa"/>
          </w:tcPr>
          <w:p w14:paraId="4B559DD7"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Good to find out what issues arise for males in prison and what the rates are what is getting done to help these</w:t>
            </w:r>
          </w:p>
        </w:tc>
      </w:tr>
      <w:tr w:rsidR="00692DF1" w:rsidRPr="00692DF1" w14:paraId="51D4B12D" w14:textId="77777777" w:rsidTr="003E2A30">
        <w:tc>
          <w:tcPr>
            <w:tcW w:w="1310" w:type="dxa"/>
          </w:tcPr>
          <w:p w14:paraId="282F137C"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men at risk of suicide </w:t>
            </w:r>
          </w:p>
        </w:tc>
        <w:tc>
          <w:tcPr>
            <w:tcW w:w="1964" w:type="dxa"/>
          </w:tcPr>
          <w:p w14:paraId="310B50F1"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January 6</w:t>
            </w:r>
            <w:r w:rsidRPr="00692DF1">
              <w:rPr>
                <w:rFonts w:ascii="Calibri" w:eastAsia="Arial Unicode MS" w:hAnsi="Calibri" w:cs="Calibri"/>
                <w:sz w:val="28"/>
                <w:szCs w:val="28"/>
                <w:vertAlign w:val="superscript"/>
                <w:lang w:eastAsia="en-GB" w:bidi="en-GB"/>
              </w:rPr>
              <w:t>th</w:t>
            </w:r>
            <w:r w:rsidRPr="00692DF1">
              <w:rPr>
                <w:rFonts w:ascii="Calibri" w:eastAsia="Arial Unicode MS" w:hAnsi="Calibri" w:cs="Calibri"/>
                <w:sz w:val="28"/>
                <w:szCs w:val="28"/>
                <w:lang w:eastAsia="en-GB" w:bidi="en-GB"/>
              </w:rPr>
              <w:t xml:space="preserve"> 2023</w:t>
            </w:r>
          </w:p>
        </w:tc>
        <w:tc>
          <w:tcPr>
            <w:tcW w:w="1247" w:type="dxa"/>
          </w:tcPr>
          <w:p w14:paraId="1A2CFFAD"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Google Scholar </w:t>
            </w:r>
          </w:p>
          <w:p w14:paraId="4B594652"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Pub Med </w:t>
            </w:r>
          </w:p>
          <w:p w14:paraId="3AEB93A7"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Library </w:t>
            </w:r>
          </w:p>
        </w:tc>
        <w:tc>
          <w:tcPr>
            <w:tcW w:w="1540" w:type="dxa"/>
          </w:tcPr>
          <w:p w14:paraId="7A8C3BAA"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Although financial, employment, or housing issues are frequent among males at risk of suicide, support programmes are typically psychological </w:t>
            </w:r>
            <w:r w:rsidRPr="00692DF1">
              <w:rPr>
                <w:rFonts w:ascii="Calibri" w:eastAsia="Arial Unicode MS" w:hAnsi="Calibri" w:cs="Calibri"/>
                <w:sz w:val="28"/>
                <w:szCs w:val="28"/>
                <w:lang w:eastAsia="en-GB" w:bidi="en-GB"/>
              </w:rPr>
              <w:lastRenderedPageBreak/>
              <w:t>in nature. the number of people aged 31 to 70 who were documented up until July 2023.</w:t>
            </w:r>
          </w:p>
        </w:tc>
        <w:tc>
          <w:tcPr>
            <w:tcW w:w="1071" w:type="dxa"/>
          </w:tcPr>
          <w:p w14:paraId="70D9EC54"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lastRenderedPageBreak/>
              <w:t>240,000</w:t>
            </w:r>
          </w:p>
        </w:tc>
        <w:tc>
          <w:tcPr>
            <w:tcW w:w="1085" w:type="dxa"/>
          </w:tcPr>
          <w:p w14:paraId="734C5137"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 xml:space="preserve">Good to investigate this because it showed what risk are out there for men that drive them to suicide and how they can be support put </w:t>
            </w:r>
            <w:r w:rsidRPr="00692DF1">
              <w:rPr>
                <w:rFonts w:ascii="Calibri" w:eastAsia="Arial Unicode MS" w:hAnsi="Calibri" w:cs="Calibri"/>
                <w:sz w:val="28"/>
                <w:szCs w:val="28"/>
                <w:lang w:eastAsia="en-GB" w:bidi="en-GB"/>
              </w:rPr>
              <w:lastRenderedPageBreak/>
              <w:t xml:space="preserve">in place to stop this </w:t>
            </w:r>
          </w:p>
        </w:tc>
      </w:tr>
      <w:tr w:rsidR="00692DF1" w:rsidRPr="00692DF1" w14:paraId="6E37EEA8" w14:textId="77777777" w:rsidTr="003E2A30">
        <w:tc>
          <w:tcPr>
            <w:tcW w:w="1310" w:type="dxa"/>
          </w:tcPr>
          <w:p w14:paraId="679DF179"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lastRenderedPageBreak/>
              <w:t>Pathological gambling and suicidality: an analysis of severity and lethality</w:t>
            </w:r>
          </w:p>
        </w:tc>
        <w:tc>
          <w:tcPr>
            <w:tcW w:w="1964" w:type="dxa"/>
          </w:tcPr>
          <w:p w14:paraId="31459EE7"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January 6</w:t>
            </w:r>
            <w:r w:rsidRPr="00692DF1">
              <w:rPr>
                <w:rFonts w:ascii="Calibri" w:eastAsia="Arial Unicode MS" w:hAnsi="Calibri" w:cs="Calibri"/>
                <w:sz w:val="28"/>
                <w:szCs w:val="28"/>
                <w:vertAlign w:val="superscript"/>
                <w:lang w:eastAsia="en-GB" w:bidi="en-GB"/>
              </w:rPr>
              <w:t>th</w:t>
            </w:r>
            <w:r w:rsidRPr="00692DF1">
              <w:rPr>
                <w:rFonts w:ascii="Calibri" w:eastAsia="Arial Unicode MS" w:hAnsi="Calibri" w:cs="Calibri"/>
                <w:sz w:val="28"/>
                <w:szCs w:val="28"/>
                <w:lang w:eastAsia="en-GB" w:bidi="en-GB"/>
              </w:rPr>
              <w:t xml:space="preserve"> 2023</w:t>
            </w:r>
          </w:p>
        </w:tc>
        <w:tc>
          <w:tcPr>
            <w:tcW w:w="1247" w:type="dxa"/>
          </w:tcPr>
          <w:p w14:paraId="56EDC5A1" w14:textId="77777777" w:rsidR="00692DF1" w:rsidRPr="00692DF1" w:rsidRDefault="00692DF1" w:rsidP="00692DF1">
            <w:pPr>
              <w:widowControl w:val="0"/>
              <w:autoSpaceDE w:val="0"/>
              <w:autoSpaceDN w:val="0"/>
              <w:rPr>
                <w:rFonts w:ascii="Calibri" w:eastAsia="Arial Unicode MS" w:hAnsi="Calibri" w:cs="Calibri"/>
                <w:sz w:val="28"/>
                <w:szCs w:val="28"/>
                <w:lang w:val="da-DK" w:eastAsia="en-GB" w:bidi="en-GB"/>
              </w:rPr>
            </w:pPr>
            <w:r w:rsidRPr="00692DF1">
              <w:rPr>
                <w:rFonts w:ascii="Calibri" w:eastAsia="Arial Unicode MS" w:hAnsi="Calibri" w:cs="Calibri"/>
                <w:sz w:val="28"/>
                <w:szCs w:val="28"/>
                <w:lang w:val="da-DK" w:eastAsia="en-GB" w:bidi="en-GB"/>
              </w:rPr>
              <w:t xml:space="preserve">Google scholar </w:t>
            </w:r>
          </w:p>
          <w:p w14:paraId="7AC396CA" w14:textId="77777777" w:rsidR="00692DF1" w:rsidRPr="00692DF1" w:rsidRDefault="00692DF1" w:rsidP="00692DF1">
            <w:pPr>
              <w:widowControl w:val="0"/>
              <w:autoSpaceDE w:val="0"/>
              <w:autoSpaceDN w:val="0"/>
              <w:rPr>
                <w:rFonts w:ascii="Calibri" w:eastAsia="Arial Unicode MS" w:hAnsi="Calibri" w:cs="Calibri"/>
                <w:sz w:val="28"/>
                <w:szCs w:val="28"/>
                <w:lang w:val="da-DK" w:eastAsia="en-GB" w:bidi="en-GB"/>
              </w:rPr>
            </w:pPr>
            <w:r w:rsidRPr="00692DF1">
              <w:rPr>
                <w:rFonts w:ascii="Calibri" w:eastAsia="Arial Unicode MS" w:hAnsi="Calibri" w:cs="Calibri"/>
                <w:sz w:val="28"/>
                <w:szCs w:val="28"/>
                <w:lang w:val="da-DK" w:eastAsia="en-GB" w:bidi="en-GB"/>
              </w:rPr>
              <w:t>Pub Med</w:t>
            </w:r>
          </w:p>
          <w:p w14:paraId="3C7CB367" w14:textId="77777777" w:rsidR="00692DF1" w:rsidRPr="00692DF1" w:rsidRDefault="00692DF1" w:rsidP="00692DF1">
            <w:pPr>
              <w:widowControl w:val="0"/>
              <w:autoSpaceDE w:val="0"/>
              <w:autoSpaceDN w:val="0"/>
              <w:rPr>
                <w:rFonts w:ascii="Calibri" w:eastAsia="Arial Unicode MS" w:hAnsi="Calibri" w:cs="Calibri"/>
                <w:sz w:val="28"/>
                <w:szCs w:val="28"/>
                <w:lang w:val="da-DK" w:eastAsia="en-GB" w:bidi="en-GB"/>
              </w:rPr>
            </w:pPr>
            <w:r w:rsidRPr="00692DF1">
              <w:rPr>
                <w:rFonts w:ascii="Calibri" w:eastAsia="Arial Unicode MS" w:hAnsi="Calibri" w:cs="Calibri"/>
                <w:sz w:val="28"/>
                <w:szCs w:val="28"/>
                <w:lang w:val="da-DK" w:eastAsia="en-GB" w:bidi="en-GB"/>
              </w:rPr>
              <w:t>Medline</w:t>
            </w:r>
          </w:p>
        </w:tc>
        <w:tc>
          <w:tcPr>
            <w:tcW w:w="1540" w:type="dxa"/>
          </w:tcPr>
          <w:p w14:paraId="16FB3F2D"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Gambling addiction is a serious public health concern. Pathological gambler populations frequently contain risk factors for suicide.</w:t>
            </w:r>
          </w:p>
        </w:tc>
        <w:tc>
          <w:tcPr>
            <w:tcW w:w="1071" w:type="dxa"/>
          </w:tcPr>
          <w:p w14:paraId="3FB36323"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120,000</w:t>
            </w:r>
          </w:p>
        </w:tc>
        <w:tc>
          <w:tcPr>
            <w:tcW w:w="1085" w:type="dxa"/>
          </w:tcPr>
          <w:p w14:paraId="5FEEFB9F" w14:textId="77777777" w:rsidR="00692DF1" w:rsidRPr="00692DF1" w:rsidRDefault="00692DF1" w:rsidP="00692DF1">
            <w:pPr>
              <w:widowControl w:val="0"/>
              <w:autoSpaceDE w:val="0"/>
              <w:autoSpaceDN w:val="0"/>
              <w:rPr>
                <w:rFonts w:ascii="Calibri" w:eastAsia="Arial Unicode MS" w:hAnsi="Calibri" w:cs="Calibri"/>
                <w:sz w:val="28"/>
                <w:szCs w:val="28"/>
                <w:lang w:eastAsia="en-GB" w:bidi="en-GB"/>
              </w:rPr>
            </w:pPr>
            <w:r w:rsidRPr="00692DF1">
              <w:rPr>
                <w:rFonts w:ascii="Calibri" w:eastAsia="Arial Unicode MS" w:hAnsi="Calibri" w:cs="Calibri"/>
                <w:sz w:val="28"/>
                <w:szCs w:val="28"/>
                <w:lang w:eastAsia="en-GB" w:bidi="en-GB"/>
              </w:rPr>
              <w:t>It was good to look at addictions as it is a serious public health concern. Shows issues a male suffers from alone which can drive them to suicide</w:t>
            </w:r>
          </w:p>
        </w:tc>
      </w:tr>
    </w:tbl>
    <w:p w14:paraId="72CB9272"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06BE2384"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47653B6C"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11A5681E"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1197FE20"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0EFCC015"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1161B0C9"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6BC7C99C"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6A8E6785"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r w:rsidRPr="00692DF1">
        <w:rPr>
          <w:rFonts w:ascii="Calibri" w:eastAsia="Arial Unicode MS" w:hAnsi="Calibri" w:cs="Calibri"/>
          <w:b/>
          <w:kern w:val="0"/>
          <w:sz w:val="28"/>
          <w:szCs w:val="28"/>
          <w:lang w:eastAsia="en-GB" w:bidi="en-GB"/>
          <w14:ligatures w14:val="none"/>
        </w:rPr>
        <w:t xml:space="preserve">Appendix 2 </w:t>
      </w:r>
    </w:p>
    <w:p w14:paraId="74265146"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7D08E336"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r w:rsidRPr="00692DF1">
        <w:rPr>
          <w:rFonts w:ascii="Calibri" w:eastAsia="Arial Unicode MS" w:hAnsi="Calibri" w:cs="Calibri"/>
          <w:b/>
          <w:noProof/>
          <w:kern w:val="0"/>
          <w:sz w:val="28"/>
          <w:szCs w:val="28"/>
          <w:lang w:eastAsia="en-GB" w:bidi="en-GB"/>
          <w14:ligatures w14:val="none"/>
        </w:rPr>
        <w:lastRenderedPageBreak/>
        <w:drawing>
          <wp:inline distT="0" distB="0" distL="0" distR="0" wp14:anchorId="00126419" wp14:editId="5C96C296">
            <wp:extent cx="5731510" cy="2281555"/>
            <wp:effectExtent l="0" t="0" r="2540" b="4445"/>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281555"/>
                    </a:xfrm>
                    <a:prstGeom prst="rect">
                      <a:avLst/>
                    </a:prstGeom>
                  </pic:spPr>
                </pic:pic>
              </a:graphicData>
            </a:graphic>
          </wp:inline>
        </w:drawing>
      </w:r>
    </w:p>
    <w:p w14:paraId="59018753"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r w:rsidRPr="00692DF1">
        <w:rPr>
          <w:rFonts w:ascii="Calibri" w:eastAsia="Arial Unicode MS" w:hAnsi="Calibri" w:cs="Calibri"/>
          <w:b/>
          <w:kern w:val="0"/>
          <w:sz w:val="28"/>
          <w:szCs w:val="28"/>
          <w:lang w:eastAsia="en-GB" w:bidi="en-GB"/>
          <w14:ligatures w14:val="none"/>
        </w:rPr>
        <w:t>(Male-female ratio suicide rate, 1990 to 2017)</w:t>
      </w:r>
    </w:p>
    <w:p w14:paraId="2AB16CF8"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73AE3C8F"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7E562B50"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4AC89585"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0C1CFA18"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4EB317FA"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47ABA092"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1E3BD736"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78BBE1BE"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5AD03FE4"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022FF010"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04194E50"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59DE04E4"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356E87A5"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6C5693EA"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50756314"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4266E5D6"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008C07FB"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171AD55E"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7B783EED"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4F131640"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2A497922"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5FB8C5B2"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4E852E48"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664D5A38"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408AFCEC"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2F15B6C3"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6F112630"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06991779" w14:textId="77777777" w:rsidR="00A84615" w:rsidRDefault="00A84615"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2099AA32" w14:textId="0810CDA0" w:rsid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r w:rsidRPr="00692DF1">
        <w:rPr>
          <w:rFonts w:ascii="Calibri" w:eastAsia="Arial Unicode MS" w:hAnsi="Calibri" w:cs="Calibri"/>
          <w:b/>
          <w:kern w:val="0"/>
          <w:sz w:val="28"/>
          <w:szCs w:val="28"/>
          <w:lang w:eastAsia="en-GB" w:bidi="en-GB"/>
          <w14:ligatures w14:val="none"/>
        </w:rPr>
        <w:lastRenderedPageBreak/>
        <w:t>R</w:t>
      </w:r>
      <w:r w:rsidR="00A84615">
        <w:rPr>
          <w:rFonts w:ascii="Calibri" w:eastAsia="Arial Unicode MS" w:hAnsi="Calibri" w:cs="Calibri"/>
          <w:b/>
          <w:kern w:val="0"/>
          <w:sz w:val="28"/>
          <w:szCs w:val="28"/>
          <w:lang w:eastAsia="en-GB" w:bidi="en-GB"/>
          <w14:ligatures w14:val="none"/>
        </w:rPr>
        <w:t>eference list</w:t>
      </w:r>
    </w:p>
    <w:p w14:paraId="1BA87159" w14:textId="77777777" w:rsidR="00A84615" w:rsidRDefault="00A84615"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7BF7B934" w14:textId="77777777" w:rsidR="00A84615" w:rsidRPr="00EE73EB" w:rsidRDefault="00A84615" w:rsidP="00A84615">
      <w:pPr>
        <w:spacing w:line="360" w:lineRule="auto"/>
        <w:jc w:val="both"/>
        <w:rPr>
          <w:rFonts w:ascii="Arial" w:hAnsi="Arial" w:cs="Arial"/>
          <w:sz w:val="24"/>
          <w:szCs w:val="24"/>
        </w:rPr>
      </w:pPr>
      <w:proofErr w:type="spellStart"/>
      <w:r w:rsidRPr="00EE73EB">
        <w:rPr>
          <w:rFonts w:ascii="Arial" w:hAnsi="Arial" w:cs="Arial"/>
          <w:sz w:val="24"/>
          <w:szCs w:val="24"/>
        </w:rPr>
        <w:t>Bilsen</w:t>
      </w:r>
      <w:proofErr w:type="spellEnd"/>
      <w:r w:rsidRPr="00EE73EB">
        <w:rPr>
          <w:rFonts w:ascii="Arial" w:hAnsi="Arial" w:cs="Arial"/>
          <w:sz w:val="24"/>
          <w:szCs w:val="24"/>
        </w:rPr>
        <w:t>, J. (2018). Suicide and youth: Risk factors. Frontiers in psychiatry, 9, 540.</w:t>
      </w:r>
    </w:p>
    <w:p w14:paraId="69890BC8" w14:textId="77777777" w:rsidR="00A84615" w:rsidRPr="00EE73EB" w:rsidRDefault="00A84615" w:rsidP="00A84615">
      <w:pPr>
        <w:spacing w:line="360" w:lineRule="auto"/>
        <w:jc w:val="both"/>
        <w:rPr>
          <w:rFonts w:ascii="Arial" w:hAnsi="Arial" w:cs="Arial"/>
          <w:sz w:val="24"/>
          <w:szCs w:val="24"/>
        </w:rPr>
      </w:pPr>
      <w:r w:rsidRPr="00EE73EB">
        <w:rPr>
          <w:rFonts w:ascii="Arial" w:hAnsi="Arial" w:cs="Arial"/>
          <w:sz w:val="24"/>
          <w:szCs w:val="24"/>
        </w:rPr>
        <w:t>Butler, P. (2020). Male suicides in England and Wales highest for two decades. The Guardian.</w:t>
      </w:r>
    </w:p>
    <w:p w14:paraId="4995D64A" w14:textId="77777777" w:rsidR="00A84615" w:rsidRPr="00D202F0" w:rsidRDefault="00A84615" w:rsidP="00A84615">
      <w:pPr>
        <w:spacing w:line="360" w:lineRule="auto"/>
        <w:jc w:val="both"/>
        <w:rPr>
          <w:rFonts w:ascii="Arial" w:hAnsi="Arial" w:cs="Arial"/>
          <w:sz w:val="24"/>
          <w:szCs w:val="24"/>
        </w:rPr>
      </w:pPr>
      <w:r w:rsidRPr="00D202F0">
        <w:rPr>
          <w:rFonts w:ascii="Arial" w:hAnsi="Arial" w:cs="Arial"/>
          <w:sz w:val="24"/>
          <w:szCs w:val="24"/>
        </w:rPr>
        <w:t>Chandler, G. E. (2019). Responding to the epidemic of suicide in men: directions for professionals in primary care. American Journal of Men's Health, 13(6), 1557988319882746.</w:t>
      </w:r>
    </w:p>
    <w:p w14:paraId="144ABE89" w14:textId="77777777" w:rsidR="00A84615" w:rsidRPr="00EE73EB" w:rsidRDefault="00A84615" w:rsidP="00A84615">
      <w:pPr>
        <w:spacing w:line="360" w:lineRule="auto"/>
        <w:jc w:val="both"/>
        <w:rPr>
          <w:rFonts w:ascii="Arial" w:hAnsi="Arial" w:cs="Arial"/>
          <w:sz w:val="24"/>
          <w:szCs w:val="24"/>
        </w:rPr>
      </w:pPr>
      <w:proofErr w:type="spellStart"/>
      <w:r w:rsidRPr="00EE73EB">
        <w:rPr>
          <w:rFonts w:ascii="Arial" w:hAnsi="Arial" w:cs="Arial"/>
          <w:sz w:val="24"/>
          <w:szCs w:val="24"/>
        </w:rPr>
        <w:t>Costelloe</w:t>
      </w:r>
      <w:proofErr w:type="spellEnd"/>
      <w:r w:rsidRPr="00EE73EB">
        <w:rPr>
          <w:rFonts w:ascii="Arial" w:hAnsi="Arial" w:cs="Arial"/>
          <w:sz w:val="24"/>
          <w:szCs w:val="24"/>
        </w:rPr>
        <w:t>, C. (2020). Understanding male suicide: A literature review. British Journal of Nursing, 29(5), 276-280.</w:t>
      </w:r>
    </w:p>
    <w:p w14:paraId="127C4598" w14:textId="77777777" w:rsidR="00A84615" w:rsidRPr="004A2A7F" w:rsidRDefault="00A84615" w:rsidP="00A84615">
      <w:pPr>
        <w:spacing w:line="360" w:lineRule="auto"/>
        <w:jc w:val="both"/>
        <w:rPr>
          <w:rFonts w:ascii="Arial" w:hAnsi="Arial" w:cs="Arial"/>
          <w:sz w:val="24"/>
          <w:szCs w:val="24"/>
        </w:rPr>
      </w:pPr>
      <w:r w:rsidRPr="004A2A7F">
        <w:rPr>
          <w:rFonts w:ascii="Arial" w:hAnsi="Arial" w:cs="Arial"/>
          <w:sz w:val="24"/>
          <w:szCs w:val="24"/>
        </w:rPr>
        <w:t xml:space="preserve">Dowling, N. A., </w:t>
      </w:r>
      <w:proofErr w:type="spellStart"/>
      <w:r w:rsidRPr="004A2A7F">
        <w:rPr>
          <w:rFonts w:ascii="Arial" w:hAnsi="Arial" w:cs="Arial"/>
          <w:sz w:val="24"/>
          <w:szCs w:val="24"/>
        </w:rPr>
        <w:t>Cowlishaw</w:t>
      </w:r>
      <w:proofErr w:type="spellEnd"/>
      <w:r w:rsidRPr="004A2A7F">
        <w:rPr>
          <w:rFonts w:ascii="Arial" w:hAnsi="Arial" w:cs="Arial"/>
          <w:sz w:val="24"/>
          <w:szCs w:val="24"/>
        </w:rPr>
        <w:t xml:space="preserve">, S., Jackson, A. C., </w:t>
      </w:r>
      <w:proofErr w:type="spellStart"/>
      <w:r w:rsidRPr="004A2A7F">
        <w:rPr>
          <w:rFonts w:ascii="Arial" w:hAnsi="Arial" w:cs="Arial"/>
          <w:sz w:val="24"/>
          <w:szCs w:val="24"/>
        </w:rPr>
        <w:t>Merkouris</w:t>
      </w:r>
      <w:proofErr w:type="spellEnd"/>
      <w:r w:rsidRPr="004A2A7F">
        <w:rPr>
          <w:rFonts w:ascii="Arial" w:hAnsi="Arial" w:cs="Arial"/>
          <w:sz w:val="24"/>
          <w:szCs w:val="24"/>
        </w:rPr>
        <w:t>, S. S., Francis, K. L., &amp; Christensen, D. R. (2015). Prevalence of psychiatric co-morbidity in treatment-seeking problem gamblers: A systematic review and meta-analysis. Australian and New Zealand Journal of Psychiatry, 49(6), 519-539.</w:t>
      </w:r>
    </w:p>
    <w:p w14:paraId="4486980F" w14:textId="77777777" w:rsidR="00A84615" w:rsidRPr="004A2A7F" w:rsidRDefault="00A84615" w:rsidP="00A84615">
      <w:pPr>
        <w:spacing w:line="360" w:lineRule="auto"/>
        <w:jc w:val="both"/>
        <w:rPr>
          <w:rFonts w:ascii="Arial" w:hAnsi="Arial" w:cs="Arial"/>
          <w:sz w:val="24"/>
          <w:szCs w:val="24"/>
        </w:rPr>
      </w:pPr>
      <w:proofErr w:type="spellStart"/>
      <w:r w:rsidRPr="004A2A7F">
        <w:rPr>
          <w:rFonts w:ascii="Arial" w:hAnsi="Arial" w:cs="Arial"/>
          <w:sz w:val="24"/>
          <w:szCs w:val="24"/>
        </w:rPr>
        <w:t>Hawton</w:t>
      </w:r>
      <w:proofErr w:type="spellEnd"/>
      <w:r w:rsidRPr="004A2A7F">
        <w:rPr>
          <w:rFonts w:ascii="Arial" w:hAnsi="Arial" w:cs="Arial"/>
          <w:sz w:val="24"/>
          <w:szCs w:val="24"/>
        </w:rPr>
        <w:t xml:space="preserve">, K., Bergen, H., Cooper, J., Turnbull, P., Waters, K., Ness, J., ... &amp; </w:t>
      </w:r>
      <w:proofErr w:type="spellStart"/>
      <w:r w:rsidRPr="004A2A7F">
        <w:rPr>
          <w:rFonts w:ascii="Arial" w:hAnsi="Arial" w:cs="Arial"/>
          <w:sz w:val="24"/>
          <w:szCs w:val="24"/>
        </w:rPr>
        <w:t>Kapur</w:t>
      </w:r>
      <w:proofErr w:type="spellEnd"/>
      <w:r w:rsidRPr="004A2A7F">
        <w:rPr>
          <w:rFonts w:ascii="Arial" w:hAnsi="Arial" w:cs="Arial"/>
          <w:sz w:val="24"/>
          <w:szCs w:val="24"/>
        </w:rPr>
        <w:t>, N. (2013). Suicide following self-harm: Findings from the Multicentre Study of Self-harm in England, 2000-2012. Journal of Affective Disorders, 150(3), 861-867.</w:t>
      </w:r>
    </w:p>
    <w:p w14:paraId="7A8447FE" w14:textId="77777777" w:rsidR="00A84615" w:rsidRPr="008319CE" w:rsidRDefault="00A84615" w:rsidP="00A84615">
      <w:pPr>
        <w:spacing w:line="360" w:lineRule="auto"/>
        <w:jc w:val="both"/>
        <w:rPr>
          <w:rFonts w:ascii="Arial" w:hAnsi="Arial" w:cs="Arial"/>
          <w:sz w:val="24"/>
          <w:szCs w:val="24"/>
        </w:rPr>
      </w:pPr>
      <w:r w:rsidRPr="008319CE">
        <w:rPr>
          <w:rFonts w:ascii="Arial" w:hAnsi="Arial" w:cs="Arial"/>
          <w:sz w:val="24"/>
          <w:szCs w:val="24"/>
        </w:rPr>
        <w:t>Hemming, L., Harty, M. A., &amp; Syed, S. (2020). "I try to let them know we are human too": An exploration of prison officers' perspectives on the relationship between masculinity, emotion, and suicide among male prisoners. International Journal of Offender Therapy and Comparative Criminology, 64(12), 1447-1465.</w:t>
      </w:r>
    </w:p>
    <w:p w14:paraId="3FCAE597" w14:textId="77777777" w:rsidR="00A84615" w:rsidRPr="00EE73EB" w:rsidRDefault="00A84615" w:rsidP="00A84615">
      <w:pPr>
        <w:spacing w:line="360" w:lineRule="auto"/>
        <w:jc w:val="both"/>
        <w:rPr>
          <w:rFonts w:ascii="Arial" w:hAnsi="Arial" w:cs="Arial"/>
          <w:sz w:val="24"/>
          <w:szCs w:val="24"/>
        </w:rPr>
      </w:pPr>
      <w:r w:rsidRPr="00EE73EB">
        <w:rPr>
          <w:rFonts w:ascii="Arial" w:hAnsi="Arial" w:cs="Arial"/>
          <w:sz w:val="24"/>
          <w:szCs w:val="24"/>
        </w:rPr>
        <w:t>Henderson, S., Andrews, G., &amp; Hall, W. (2005). Australia's mental health: An overview of the general population survey. Australian &amp; New Zealand Journal of Psychiatry, 39(5), 385-393.</w:t>
      </w:r>
    </w:p>
    <w:p w14:paraId="65D6B7AE" w14:textId="77777777" w:rsidR="00A84615" w:rsidRPr="00EE73EB" w:rsidRDefault="00A84615" w:rsidP="00A84615">
      <w:pPr>
        <w:spacing w:line="360" w:lineRule="auto"/>
        <w:jc w:val="both"/>
        <w:rPr>
          <w:rFonts w:ascii="Arial" w:hAnsi="Arial" w:cs="Arial"/>
          <w:sz w:val="24"/>
          <w:szCs w:val="24"/>
        </w:rPr>
      </w:pPr>
      <w:r w:rsidRPr="00EE73EB">
        <w:rPr>
          <w:rFonts w:ascii="Arial" w:hAnsi="Arial" w:cs="Arial"/>
          <w:sz w:val="24"/>
          <w:szCs w:val="24"/>
        </w:rPr>
        <w:t>Hofstede Insights. (2022). Masculinity vs. femininity. Retrieved from https://www.hofstede-insights.com/country-comparison/the-uk/</w:t>
      </w:r>
    </w:p>
    <w:p w14:paraId="795188A4" w14:textId="77777777" w:rsidR="00A84615" w:rsidRPr="00D202F0" w:rsidRDefault="00A84615" w:rsidP="00A84615">
      <w:pPr>
        <w:spacing w:line="360" w:lineRule="auto"/>
        <w:jc w:val="both"/>
        <w:rPr>
          <w:rFonts w:ascii="Arial" w:hAnsi="Arial" w:cs="Arial"/>
          <w:sz w:val="24"/>
          <w:szCs w:val="24"/>
        </w:rPr>
      </w:pPr>
      <w:proofErr w:type="spellStart"/>
      <w:r w:rsidRPr="00D202F0">
        <w:rPr>
          <w:rFonts w:ascii="Arial" w:hAnsi="Arial" w:cs="Arial"/>
          <w:sz w:val="24"/>
          <w:szCs w:val="24"/>
        </w:rPr>
        <w:t>Kapur</w:t>
      </w:r>
      <w:proofErr w:type="spellEnd"/>
      <w:r w:rsidRPr="00D202F0">
        <w:rPr>
          <w:rFonts w:ascii="Arial" w:hAnsi="Arial" w:cs="Arial"/>
          <w:sz w:val="24"/>
          <w:szCs w:val="24"/>
        </w:rPr>
        <w:t xml:space="preserve">, N., While, D., </w:t>
      </w:r>
      <w:proofErr w:type="spellStart"/>
      <w:r w:rsidRPr="00D202F0">
        <w:rPr>
          <w:rFonts w:ascii="Arial" w:hAnsi="Arial" w:cs="Arial"/>
          <w:sz w:val="24"/>
          <w:szCs w:val="24"/>
        </w:rPr>
        <w:t>Blatchley</w:t>
      </w:r>
      <w:proofErr w:type="spellEnd"/>
      <w:r w:rsidRPr="00D202F0">
        <w:rPr>
          <w:rFonts w:ascii="Arial" w:hAnsi="Arial" w:cs="Arial"/>
          <w:sz w:val="24"/>
          <w:szCs w:val="24"/>
        </w:rPr>
        <w:t xml:space="preserve">, N., Bray, I., Harrison, K., DeLuca, P., ... &amp; Appleby, L. (2009). The National Confidential Inquiry into Suicide and Homicide by People with Mental Illness: Suicide in current and former armed forces personnel: a cohort study. </w:t>
      </w:r>
      <w:r w:rsidRPr="00D202F0">
        <w:rPr>
          <w:rFonts w:ascii="Arial" w:hAnsi="Arial" w:cs="Arial"/>
          <w:sz w:val="24"/>
          <w:szCs w:val="24"/>
        </w:rPr>
        <w:lastRenderedPageBreak/>
        <w:t>Southampton (UK): National Confidential Inquiry into Suicide and Homicide by People with Mental Illness.</w:t>
      </w:r>
    </w:p>
    <w:p w14:paraId="47F3F423" w14:textId="77777777" w:rsidR="00A84615" w:rsidRPr="008319CE" w:rsidRDefault="00A84615" w:rsidP="00A84615">
      <w:pPr>
        <w:spacing w:line="360" w:lineRule="auto"/>
        <w:jc w:val="both"/>
        <w:rPr>
          <w:rFonts w:ascii="Arial" w:hAnsi="Arial" w:cs="Arial"/>
          <w:sz w:val="24"/>
          <w:szCs w:val="24"/>
        </w:rPr>
      </w:pPr>
      <w:r w:rsidRPr="008319CE">
        <w:rPr>
          <w:rFonts w:ascii="Arial" w:hAnsi="Arial" w:cs="Arial"/>
          <w:sz w:val="24"/>
          <w:szCs w:val="24"/>
        </w:rPr>
        <w:t>Laws, B., &amp; Crewe, B. (2016). Emotion, harm and criminology: Moral sentiments and the emotional composition of capital punishment. Punishment &amp; Society, 18(5), 553-570.</w:t>
      </w:r>
    </w:p>
    <w:p w14:paraId="74E9C697" w14:textId="77777777" w:rsidR="00A84615" w:rsidRPr="00D202F0" w:rsidRDefault="00A84615" w:rsidP="00A84615">
      <w:pPr>
        <w:spacing w:line="360" w:lineRule="auto"/>
        <w:jc w:val="both"/>
        <w:rPr>
          <w:rFonts w:ascii="Arial" w:hAnsi="Arial" w:cs="Arial"/>
          <w:sz w:val="24"/>
          <w:szCs w:val="24"/>
        </w:rPr>
      </w:pPr>
      <w:r w:rsidRPr="00D202F0">
        <w:rPr>
          <w:rFonts w:ascii="Arial" w:hAnsi="Arial" w:cs="Arial"/>
          <w:sz w:val="24"/>
          <w:szCs w:val="24"/>
        </w:rPr>
        <w:t>Meltzer, H., Griffiths, C., Brock, A., Rooney, C., Jenkins, R., &amp; Henderson, C. (2011). Economic hardship and suicidal ideation among young adults in England: evidence from the 2010 Adult Psychiatric Morbidity Survey. Journal of Public Health, 33(3), 454-461.</w:t>
      </w:r>
    </w:p>
    <w:p w14:paraId="477493EE" w14:textId="77777777" w:rsidR="00A84615" w:rsidRPr="00EE73EB" w:rsidRDefault="00A84615" w:rsidP="00A84615">
      <w:pPr>
        <w:spacing w:line="360" w:lineRule="auto"/>
        <w:jc w:val="both"/>
        <w:rPr>
          <w:rFonts w:ascii="Arial" w:hAnsi="Arial" w:cs="Arial"/>
          <w:sz w:val="24"/>
          <w:szCs w:val="24"/>
        </w:rPr>
      </w:pPr>
      <w:r w:rsidRPr="00EE73EB">
        <w:rPr>
          <w:rFonts w:ascii="Arial" w:hAnsi="Arial" w:cs="Arial"/>
          <w:sz w:val="24"/>
          <w:szCs w:val="24"/>
        </w:rPr>
        <w:t>NHS Digital. (2018). Adult psychiatric morbidity survey: Survey of mental health and wellbeing, England, 2014. Retrieved from https://digital.nhs.uk/data-and-information/publications/statistical/adult-psychiatric-morbidity-survey/adult-psychiatric-morbidity-survey-survey-of-mental-health-and-wellbeing-england-2014</w:t>
      </w:r>
    </w:p>
    <w:p w14:paraId="5E5BDBB7" w14:textId="77777777" w:rsidR="00A84615" w:rsidRPr="00EE73EB" w:rsidRDefault="00A84615" w:rsidP="00A84615">
      <w:pPr>
        <w:spacing w:line="360" w:lineRule="auto"/>
        <w:jc w:val="both"/>
        <w:rPr>
          <w:rFonts w:ascii="Arial" w:hAnsi="Arial" w:cs="Arial"/>
          <w:sz w:val="24"/>
          <w:szCs w:val="24"/>
        </w:rPr>
      </w:pPr>
      <w:r w:rsidRPr="00EE73EB">
        <w:rPr>
          <w:rFonts w:ascii="Arial" w:hAnsi="Arial" w:cs="Arial"/>
          <w:sz w:val="24"/>
          <w:szCs w:val="24"/>
        </w:rPr>
        <w:t xml:space="preserve">Ospina, S. M. (2015). Suicide prevention: A public health issue. </w:t>
      </w:r>
      <w:proofErr w:type="spellStart"/>
      <w:r w:rsidRPr="00EE73EB">
        <w:rPr>
          <w:rFonts w:ascii="Arial" w:hAnsi="Arial" w:cs="Arial"/>
          <w:sz w:val="24"/>
          <w:szCs w:val="24"/>
        </w:rPr>
        <w:t>Revista</w:t>
      </w:r>
      <w:proofErr w:type="spellEnd"/>
      <w:r w:rsidRPr="00EE73EB">
        <w:rPr>
          <w:rFonts w:ascii="Arial" w:hAnsi="Arial" w:cs="Arial"/>
          <w:sz w:val="24"/>
          <w:szCs w:val="24"/>
        </w:rPr>
        <w:t xml:space="preserve"> </w:t>
      </w:r>
      <w:proofErr w:type="spellStart"/>
      <w:r w:rsidRPr="00EE73EB">
        <w:rPr>
          <w:rFonts w:ascii="Arial" w:hAnsi="Arial" w:cs="Arial"/>
          <w:sz w:val="24"/>
          <w:szCs w:val="24"/>
        </w:rPr>
        <w:t>Colombiana</w:t>
      </w:r>
      <w:proofErr w:type="spellEnd"/>
      <w:r w:rsidRPr="00EE73EB">
        <w:rPr>
          <w:rFonts w:ascii="Arial" w:hAnsi="Arial" w:cs="Arial"/>
          <w:sz w:val="24"/>
          <w:szCs w:val="24"/>
        </w:rPr>
        <w:t xml:space="preserve"> de </w:t>
      </w:r>
      <w:proofErr w:type="spellStart"/>
      <w:r w:rsidRPr="00EE73EB">
        <w:rPr>
          <w:rFonts w:ascii="Arial" w:hAnsi="Arial" w:cs="Arial"/>
          <w:sz w:val="24"/>
          <w:szCs w:val="24"/>
        </w:rPr>
        <w:t>Psiquiatría</w:t>
      </w:r>
      <w:proofErr w:type="spellEnd"/>
      <w:r w:rsidRPr="00EE73EB">
        <w:rPr>
          <w:rFonts w:ascii="Arial" w:hAnsi="Arial" w:cs="Arial"/>
          <w:sz w:val="24"/>
          <w:szCs w:val="24"/>
        </w:rPr>
        <w:t>, 44(4), 224-231.</w:t>
      </w:r>
    </w:p>
    <w:p w14:paraId="0508D58C" w14:textId="77777777" w:rsidR="00A84615" w:rsidRPr="00EE73EB" w:rsidRDefault="00A84615" w:rsidP="00A84615">
      <w:pPr>
        <w:spacing w:line="360" w:lineRule="auto"/>
        <w:jc w:val="both"/>
        <w:rPr>
          <w:rFonts w:ascii="Arial" w:hAnsi="Arial" w:cs="Arial"/>
          <w:sz w:val="24"/>
          <w:szCs w:val="24"/>
        </w:rPr>
      </w:pPr>
      <w:r w:rsidRPr="00EE73EB">
        <w:rPr>
          <w:rFonts w:ascii="Arial" w:hAnsi="Arial" w:cs="Arial"/>
          <w:sz w:val="24"/>
          <w:szCs w:val="24"/>
        </w:rPr>
        <w:t>Our World in Data. (2017). Suicide. Retrieved from https://ourworldindata.org/suicide</w:t>
      </w:r>
    </w:p>
    <w:p w14:paraId="3EF51C13" w14:textId="77777777" w:rsidR="00A84615" w:rsidRPr="00D202F0" w:rsidRDefault="00A84615" w:rsidP="00A84615">
      <w:pPr>
        <w:spacing w:line="360" w:lineRule="auto"/>
        <w:jc w:val="both"/>
        <w:rPr>
          <w:rFonts w:ascii="Arial" w:hAnsi="Arial" w:cs="Arial"/>
          <w:sz w:val="24"/>
          <w:szCs w:val="24"/>
        </w:rPr>
      </w:pPr>
      <w:r w:rsidRPr="00D202F0">
        <w:rPr>
          <w:rFonts w:ascii="Arial" w:hAnsi="Arial" w:cs="Arial"/>
          <w:sz w:val="24"/>
          <w:szCs w:val="24"/>
        </w:rPr>
        <w:t>Richardson, T., Elliott, P., Roberts, R., Jansen, M., &amp; Purves, R. (2013). A longitudinal study of financial difficulties and mental health in a national sample of British undergraduate students. Community Mental Health Journal, 49(3), 381-389.</w:t>
      </w:r>
    </w:p>
    <w:p w14:paraId="5C42D1ED" w14:textId="77777777" w:rsidR="00A84615" w:rsidRPr="00EE73EB" w:rsidRDefault="00A84615" w:rsidP="00A84615">
      <w:pPr>
        <w:spacing w:line="360" w:lineRule="auto"/>
        <w:jc w:val="both"/>
        <w:rPr>
          <w:rFonts w:ascii="Arial" w:hAnsi="Arial" w:cs="Arial"/>
          <w:sz w:val="24"/>
          <w:szCs w:val="24"/>
        </w:rPr>
      </w:pPr>
      <w:r w:rsidRPr="00EE73EB">
        <w:rPr>
          <w:rFonts w:ascii="Arial" w:hAnsi="Arial" w:cs="Arial"/>
          <w:sz w:val="24"/>
          <w:szCs w:val="24"/>
        </w:rPr>
        <w:t>Samaritans. (2021). Suicide statistics report 2021. Retrieved from https://www.samaritans.org/about-samaritans/research-policy/suicide-facts-and-figures/</w:t>
      </w:r>
    </w:p>
    <w:p w14:paraId="0A7C66D0" w14:textId="77777777" w:rsidR="00A84615" w:rsidRPr="008319CE" w:rsidRDefault="00A84615" w:rsidP="00A84615">
      <w:pPr>
        <w:spacing w:line="360" w:lineRule="auto"/>
        <w:jc w:val="both"/>
        <w:rPr>
          <w:rFonts w:ascii="Arial" w:hAnsi="Arial" w:cs="Arial"/>
          <w:sz w:val="24"/>
          <w:szCs w:val="24"/>
        </w:rPr>
      </w:pPr>
      <w:r w:rsidRPr="008319CE">
        <w:rPr>
          <w:rFonts w:ascii="Arial" w:hAnsi="Arial" w:cs="Arial"/>
          <w:sz w:val="24"/>
          <w:szCs w:val="24"/>
        </w:rPr>
        <w:t>Seidman, G. (1998). Emotional control and suicide. Psychological Reports, 83(3_suppl), 1456-1458.</w:t>
      </w:r>
    </w:p>
    <w:p w14:paraId="6180FAC0" w14:textId="77777777" w:rsidR="00A84615" w:rsidRPr="00EE73EB" w:rsidRDefault="00A84615" w:rsidP="00A84615">
      <w:pPr>
        <w:spacing w:line="360" w:lineRule="auto"/>
        <w:jc w:val="both"/>
        <w:rPr>
          <w:rFonts w:ascii="Arial" w:hAnsi="Arial" w:cs="Arial"/>
          <w:sz w:val="24"/>
          <w:szCs w:val="24"/>
        </w:rPr>
      </w:pPr>
      <w:proofErr w:type="spellStart"/>
      <w:r w:rsidRPr="00EE73EB">
        <w:rPr>
          <w:rFonts w:ascii="Arial" w:hAnsi="Arial" w:cs="Arial"/>
          <w:sz w:val="24"/>
          <w:szCs w:val="24"/>
        </w:rPr>
        <w:t>Sojo</w:t>
      </w:r>
      <w:proofErr w:type="spellEnd"/>
      <w:r w:rsidRPr="00EE73EB">
        <w:rPr>
          <w:rFonts w:ascii="Arial" w:hAnsi="Arial" w:cs="Arial"/>
          <w:sz w:val="24"/>
          <w:szCs w:val="24"/>
        </w:rPr>
        <w:t>, V. (2020). Preventing suicide by self-control strategies: Evidence from a nationally representative survey. Journal of Affective Disorders, 263, 419-427.</w:t>
      </w:r>
    </w:p>
    <w:p w14:paraId="2C2072A4" w14:textId="77777777" w:rsidR="00A84615" w:rsidRPr="00D202F0" w:rsidRDefault="00A84615" w:rsidP="00A84615">
      <w:pPr>
        <w:spacing w:line="360" w:lineRule="auto"/>
        <w:jc w:val="both"/>
        <w:rPr>
          <w:rFonts w:ascii="Arial" w:hAnsi="Arial" w:cs="Arial"/>
          <w:sz w:val="24"/>
          <w:szCs w:val="24"/>
        </w:rPr>
      </w:pPr>
      <w:proofErr w:type="spellStart"/>
      <w:r w:rsidRPr="00D202F0">
        <w:rPr>
          <w:rFonts w:ascii="Arial" w:hAnsi="Arial" w:cs="Arial"/>
          <w:sz w:val="24"/>
          <w:szCs w:val="24"/>
        </w:rPr>
        <w:t>Struszczyk</w:t>
      </w:r>
      <w:proofErr w:type="spellEnd"/>
      <w:r w:rsidRPr="00D202F0">
        <w:rPr>
          <w:rFonts w:ascii="Arial" w:hAnsi="Arial" w:cs="Arial"/>
          <w:sz w:val="24"/>
          <w:szCs w:val="24"/>
        </w:rPr>
        <w:t xml:space="preserve">, S., </w:t>
      </w:r>
      <w:proofErr w:type="spellStart"/>
      <w:r w:rsidRPr="00D202F0">
        <w:rPr>
          <w:rFonts w:ascii="Arial" w:hAnsi="Arial" w:cs="Arial"/>
          <w:sz w:val="24"/>
          <w:szCs w:val="24"/>
        </w:rPr>
        <w:t>Ziółkowski</w:t>
      </w:r>
      <w:proofErr w:type="spellEnd"/>
      <w:r w:rsidRPr="00D202F0">
        <w:rPr>
          <w:rFonts w:ascii="Arial" w:hAnsi="Arial" w:cs="Arial"/>
          <w:sz w:val="24"/>
          <w:szCs w:val="24"/>
        </w:rPr>
        <w:t>, M., Rabe-</w:t>
      </w:r>
      <w:proofErr w:type="spellStart"/>
      <w:r w:rsidRPr="00D202F0">
        <w:rPr>
          <w:rFonts w:ascii="Arial" w:hAnsi="Arial" w:cs="Arial"/>
          <w:sz w:val="24"/>
          <w:szCs w:val="24"/>
        </w:rPr>
        <w:t>Jabłońska</w:t>
      </w:r>
      <w:proofErr w:type="spellEnd"/>
      <w:r w:rsidRPr="00D202F0">
        <w:rPr>
          <w:rFonts w:ascii="Arial" w:hAnsi="Arial" w:cs="Arial"/>
          <w:sz w:val="24"/>
          <w:szCs w:val="24"/>
        </w:rPr>
        <w:t xml:space="preserve">, J., </w:t>
      </w:r>
      <w:proofErr w:type="spellStart"/>
      <w:r w:rsidRPr="00D202F0">
        <w:rPr>
          <w:rFonts w:ascii="Arial" w:hAnsi="Arial" w:cs="Arial"/>
          <w:sz w:val="24"/>
          <w:szCs w:val="24"/>
        </w:rPr>
        <w:t>Nowakowska-Domagała</w:t>
      </w:r>
      <w:proofErr w:type="spellEnd"/>
      <w:r w:rsidRPr="00D202F0">
        <w:rPr>
          <w:rFonts w:ascii="Arial" w:hAnsi="Arial" w:cs="Arial"/>
          <w:sz w:val="24"/>
          <w:szCs w:val="24"/>
        </w:rPr>
        <w:t xml:space="preserve">, K., </w:t>
      </w:r>
      <w:proofErr w:type="spellStart"/>
      <w:r w:rsidRPr="00D202F0">
        <w:rPr>
          <w:rFonts w:ascii="Arial" w:hAnsi="Arial" w:cs="Arial"/>
          <w:sz w:val="24"/>
          <w:szCs w:val="24"/>
        </w:rPr>
        <w:t>Janowski</w:t>
      </w:r>
      <w:proofErr w:type="spellEnd"/>
      <w:r w:rsidRPr="00D202F0">
        <w:rPr>
          <w:rFonts w:ascii="Arial" w:hAnsi="Arial" w:cs="Arial"/>
          <w:sz w:val="24"/>
          <w:szCs w:val="24"/>
        </w:rPr>
        <w:t xml:space="preserve">, K., &amp; </w:t>
      </w:r>
      <w:proofErr w:type="spellStart"/>
      <w:r w:rsidRPr="00D202F0">
        <w:rPr>
          <w:rFonts w:ascii="Arial" w:hAnsi="Arial" w:cs="Arial"/>
          <w:sz w:val="24"/>
          <w:szCs w:val="24"/>
        </w:rPr>
        <w:t>Steuden</w:t>
      </w:r>
      <w:proofErr w:type="spellEnd"/>
      <w:r w:rsidRPr="00D202F0">
        <w:rPr>
          <w:rFonts w:ascii="Arial" w:hAnsi="Arial" w:cs="Arial"/>
          <w:sz w:val="24"/>
          <w:szCs w:val="24"/>
        </w:rPr>
        <w:t>, S. (2019). Economic crisis and suicide rates in Europe: 2000–2017. International Journal of Environmental Research and Public Health, 16(13), 2354.</w:t>
      </w:r>
    </w:p>
    <w:p w14:paraId="73DABDB7" w14:textId="77777777" w:rsidR="00A84615" w:rsidRPr="00EE73EB" w:rsidRDefault="00A84615" w:rsidP="00A84615">
      <w:pPr>
        <w:spacing w:line="360" w:lineRule="auto"/>
        <w:jc w:val="both"/>
        <w:rPr>
          <w:rFonts w:ascii="Arial" w:hAnsi="Arial" w:cs="Arial"/>
          <w:sz w:val="24"/>
          <w:szCs w:val="24"/>
        </w:rPr>
      </w:pPr>
      <w:r w:rsidRPr="00EE73EB">
        <w:rPr>
          <w:rFonts w:ascii="Arial" w:hAnsi="Arial" w:cs="Arial"/>
          <w:sz w:val="24"/>
          <w:szCs w:val="24"/>
        </w:rPr>
        <w:lastRenderedPageBreak/>
        <w:t>Sutherland, L. (2018). Risk and protective factors for male suicide: The potential role of masculinity and gender non-conformity. Current Psychiatry Reports, 20(11), 105.</w:t>
      </w:r>
    </w:p>
    <w:p w14:paraId="29AD01E7" w14:textId="77777777" w:rsidR="00A84615" w:rsidRPr="00EE73EB" w:rsidRDefault="00A84615" w:rsidP="00A84615">
      <w:pPr>
        <w:spacing w:line="360" w:lineRule="auto"/>
        <w:jc w:val="both"/>
        <w:rPr>
          <w:rFonts w:ascii="Arial" w:hAnsi="Arial" w:cs="Arial"/>
          <w:sz w:val="24"/>
          <w:szCs w:val="24"/>
        </w:rPr>
      </w:pPr>
      <w:r w:rsidRPr="00EE73EB">
        <w:rPr>
          <w:rFonts w:ascii="Arial" w:hAnsi="Arial" w:cs="Arial"/>
          <w:sz w:val="24"/>
          <w:szCs w:val="24"/>
        </w:rPr>
        <w:t>Sutherland, R. (2020).</w:t>
      </w:r>
    </w:p>
    <w:p w14:paraId="6D2ECE76" w14:textId="77777777" w:rsidR="00A84615" w:rsidRPr="004A2A7F" w:rsidRDefault="00A84615" w:rsidP="00A84615">
      <w:pPr>
        <w:spacing w:line="360" w:lineRule="auto"/>
        <w:jc w:val="both"/>
        <w:rPr>
          <w:rFonts w:ascii="Arial" w:hAnsi="Arial" w:cs="Arial"/>
          <w:sz w:val="24"/>
          <w:szCs w:val="24"/>
        </w:rPr>
      </w:pPr>
      <w:r w:rsidRPr="004A2A7F">
        <w:rPr>
          <w:rFonts w:ascii="Arial" w:hAnsi="Arial" w:cs="Arial"/>
          <w:sz w:val="24"/>
          <w:szCs w:val="24"/>
        </w:rPr>
        <w:t xml:space="preserve">Thon, N., Preuss, U. W., </w:t>
      </w:r>
      <w:proofErr w:type="spellStart"/>
      <w:r w:rsidRPr="004A2A7F">
        <w:rPr>
          <w:rFonts w:ascii="Arial" w:hAnsi="Arial" w:cs="Arial"/>
          <w:sz w:val="24"/>
          <w:szCs w:val="24"/>
        </w:rPr>
        <w:t>Puschel</w:t>
      </w:r>
      <w:proofErr w:type="spellEnd"/>
      <w:r w:rsidRPr="004A2A7F">
        <w:rPr>
          <w:rFonts w:ascii="Arial" w:hAnsi="Arial" w:cs="Arial"/>
          <w:sz w:val="24"/>
          <w:szCs w:val="24"/>
        </w:rPr>
        <w:t xml:space="preserve">, K., &amp; Fischer, B. (2014). Suicidal </w:t>
      </w:r>
      <w:proofErr w:type="spellStart"/>
      <w:r w:rsidRPr="004A2A7F">
        <w:rPr>
          <w:rFonts w:ascii="Arial" w:hAnsi="Arial" w:cs="Arial"/>
          <w:sz w:val="24"/>
          <w:szCs w:val="24"/>
        </w:rPr>
        <w:t>behavior</w:t>
      </w:r>
      <w:proofErr w:type="spellEnd"/>
      <w:r w:rsidRPr="004A2A7F">
        <w:rPr>
          <w:rFonts w:ascii="Arial" w:hAnsi="Arial" w:cs="Arial"/>
          <w:sz w:val="24"/>
          <w:szCs w:val="24"/>
        </w:rPr>
        <w:t xml:space="preserve"> in alcohol-dependent subjects: The role of personality disorders. Alcohol and Alcoholism, 49(4), 434-440.</w:t>
      </w:r>
    </w:p>
    <w:p w14:paraId="37B37303" w14:textId="77777777" w:rsidR="00A84615" w:rsidRPr="004A2A7F" w:rsidRDefault="00A84615" w:rsidP="00A84615">
      <w:pPr>
        <w:spacing w:line="360" w:lineRule="auto"/>
        <w:jc w:val="both"/>
        <w:rPr>
          <w:rFonts w:ascii="Arial" w:hAnsi="Arial" w:cs="Arial"/>
          <w:sz w:val="24"/>
          <w:szCs w:val="24"/>
        </w:rPr>
      </w:pPr>
      <w:r w:rsidRPr="004A2A7F">
        <w:rPr>
          <w:rFonts w:ascii="Arial" w:hAnsi="Arial" w:cs="Arial"/>
          <w:sz w:val="24"/>
          <w:szCs w:val="24"/>
        </w:rPr>
        <w:t xml:space="preserve">Wardle, H., Moody, A., Spence, S., Orford, J., &amp; </w:t>
      </w:r>
      <w:proofErr w:type="spellStart"/>
      <w:r w:rsidRPr="004A2A7F">
        <w:rPr>
          <w:rFonts w:ascii="Arial" w:hAnsi="Arial" w:cs="Arial"/>
          <w:sz w:val="24"/>
          <w:szCs w:val="24"/>
        </w:rPr>
        <w:t>Volberg</w:t>
      </w:r>
      <w:proofErr w:type="spellEnd"/>
      <w:r w:rsidRPr="004A2A7F">
        <w:rPr>
          <w:rFonts w:ascii="Arial" w:hAnsi="Arial" w:cs="Arial"/>
          <w:sz w:val="24"/>
          <w:szCs w:val="24"/>
        </w:rPr>
        <w:t>, R. (2011). British gambling prevalence survey 2010. National Centre for Social Research.</w:t>
      </w:r>
    </w:p>
    <w:p w14:paraId="7A501486" w14:textId="77777777" w:rsidR="00A84615" w:rsidRPr="004A2A7F" w:rsidRDefault="00A84615" w:rsidP="00A84615">
      <w:pPr>
        <w:spacing w:line="360" w:lineRule="auto"/>
        <w:jc w:val="both"/>
        <w:rPr>
          <w:rFonts w:ascii="Arial" w:hAnsi="Arial" w:cs="Arial"/>
          <w:sz w:val="24"/>
          <w:szCs w:val="24"/>
        </w:rPr>
      </w:pPr>
      <w:r w:rsidRPr="004A2A7F">
        <w:rPr>
          <w:rFonts w:ascii="Arial" w:hAnsi="Arial" w:cs="Arial"/>
          <w:sz w:val="24"/>
          <w:szCs w:val="24"/>
        </w:rPr>
        <w:t xml:space="preserve">Weinstock, L. M., </w:t>
      </w:r>
      <w:proofErr w:type="spellStart"/>
      <w:r w:rsidRPr="004A2A7F">
        <w:rPr>
          <w:rFonts w:ascii="Arial" w:hAnsi="Arial" w:cs="Arial"/>
          <w:sz w:val="24"/>
          <w:szCs w:val="24"/>
        </w:rPr>
        <w:t>Whisman</w:t>
      </w:r>
      <w:proofErr w:type="spellEnd"/>
      <w:r w:rsidRPr="004A2A7F">
        <w:rPr>
          <w:rFonts w:ascii="Arial" w:hAnsi="Arial" w:cs="Arial"/>
          <w:sz w:val="24"/>
          <w:szCs w:val="24"/>
        </w:rPr>
        <w:t xml:space="preserve">, M. A., &amp; </w:t>
      </w:r>
      <w:proofErr w:type="spellStart"/>
      <w:r w:rsidRPr="004A2A7F">
        <w:rPr>
          <w:rFonts w:ascii="Arial" w:hAnsi="Arial" w:cs="Arial"/>
          <w:sz w:val="24"/>
          <w:szCs w:val="24"/>
        </w:rPr>
        <w:t>Uebelacker</w:t>
      </w:r>
      <w:proofErr w:type="spellEnd"/>
      <w:r w:rsidRPr="004A2A7F">
        <w:rPr>
          <w:rFonts w:ascii="Arial" w:hAnsi="Arial" w:cs="Arial"/>
          <w:sz w:val="24"/>
          <w:szCs w:val="24"/>
        </w:rPr>
        <w:t>, L. A. (2014). A longitudinal investigation of marital functioning, depression, and marital satisfaction among couples in which one partner has bipolar disorder. Journal of Consulting and Clinical Psychology, 82(4), 738-750.</w:t>
      </w:r>
    </w:p>
    <w:p w14:paraId="6D306219" w14:textId="77777777" w:rsidR="00A84615" w:rsidRPr="008319CE" w:rsidRDefault="00A84615" w:rsidP="00A84615">
      <w:pPr>
        <w:spacing w:line="360" w:lineRule="auto"/>
        <w:jc w:val="both"/>
        <w:rPr>
          <w:rFonts w:ascii="Arial" w:hAnsi="Arial" w:cs="Arial"/>
          <w:sz w:val="24"/>
          <w:szCs w:val="24"/>
        </w:rPr>
      </w:pPr>
      <w:r w:rsidRPr="008319CE">
        <w:rPr>
          <w:rFonts w:ascii="Arial" w:hAnsi="Arial" w:cs="Arial"/>
          <w:sz w:val="24"/>
          <w:szCs w:val="24"/>
        </w:rPr>
        <w:t xml:space="preserve">Williams, T. J. (1994). The relationship between homosexual verbal threats and suicide attempts: A replication. Suicide and Life-Threatening </w:t>
      </w:r>
      <w:proofErr w:type="spellStart"/>
      <w:r w:rsidRPr="008319CE">
        <w:rPr>
          <w:rFonts w:ascii="Arial" w:hAnsi="Arial" w:cs="Arial"/>
          <w:sz w:val="24"/>
          <w:szCs w:val="24"/>
        </w:rPr>
        <w:t>Behavior</w:t>
      </w:r>
      <w:proofErr w:type="spellEnd"/>
      <w:r w:rsidRPr="008319CE">
        <w:rPr>
          <w:rFonts w:ascii="Arial" w:hAnsi="Arial" w:cs="Arial"/>
          <w:sz w:val="24"/>
          <w:szCs w:val="24"/>
        </w:rPr>
        <w:t>, 24(4), 386-396.</w:t>
      </w:r>
    </w:p>
    <w:p w14:paraId="74303803" w14:textId="77777777" w:rsidR="00A84615" w:rsidRPr="008319CE" w:rsidRDefault="00A84615" w:rsidP="00A84615">
      <w:pPr>
        <w:spacing w:line="360" w:lineRule="auto"/>
        <w:jc w:val="both"/>
        <w:rPr>
          <w:rFonts w:ascii="Arial" w:hAnsi="Arial" w:cs="Arial"/>
          <w:sz w:val="24"/>
          <w:szCs w:val="24"/>
        </w:rPr>
      </w:pPr>
      <w:r w:rsidRPr="008319CE">
        <w:rPr>
          <w:rFonts w:ascii="Arial" w:hAnsi="Arial" w:cs="Arial"/>
          <w:sz w:val="24"/>
          <w:szCs w:val="24"/>
        </w:rPr>
        <w:t xml:space="preserve">World Health Organization. (2014). Preventing suicide: A global imperative. Retrieved from </w:t>
      </w:r>
      <w:hyperlink r:id="rId8" w:tgtFrame="_new" w:history="1">
        <w:r w:rsidRPr="008319CE">
          <w:rPr>
            <w:rStyle w:val="Hyperlink"/>
            <w:rFonts w:ascii="Arial" w:hAnsi="Arial" w:cs="Arial"/>
            <w:sz w:val="24"/>
            <w:szCs w:val="24"/>
          </w:rPr>
          <w:t>https://www.who.int/publications/i/item/9789241564779</w:t>
        </w:r>
      </w:hyperlink>
    </w:p>
    <w:p w14:paraId="35A45258" w14:textId="77777777" w:rsidR="00A84615" w:rsidRPr="00692DF1" w:rsidRDefault="00A84615"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p>
    <w:p w14:paraId="0865DCD0" w14:textId="77777777" w:rsidR="00692DF1" w:rsidRPr="00692DF1" w:rsidRDefault="00692DF1" w:rsidP="00692DF1">
      <w:pPr>
        <w:spacing w:after="240" w:line="360" w:lineRule="auto"/>
        <w:rPr>
          <w:rFonts w:ascii="Times New Roman" w:eastAsia="Times New Roman" w:hAnsi="Times New Roman" w:cs="Times New Roman"/>
          <w:kern w:val="0"/>
          <w:sz w:val="24"/>
          <w:szCs w:val="24"/>
          <w:lang w:eastAsia="en-GB"/>
          <w14:ligatures w14:val="none"/>
        </w:rPr>
      </w:pPr>
    </w:p>
    <w:p w14:paraId="46D4DA19" w14:textId="77777777" w:rsidR="00692DF1" w:rsidRPr="00692DF1" w:rsidRDefault="00692DF1" w:rsidP="00692DF1">
      <w:pPr>
        <w:spacing w:after="240" w:line="360" w:lineRule="auto"/>
        <w:rPr>
          <w:rFonts w:ascii="Times New Roman" w:eastAsia="Times New Roman" w:hAnsi="Times New Roman" w:cs="Times New Roman"/>
          <w:kern w:val="0"/>
          <w:sz w:val="24"/>
          <w:szCs w:val="24"/>
          <w:lang w:eastAsia="en-GB"/>
          <w14:ligatures w14:val="none"/>
        </w:rPr>
      </w:pPr>
    </w:p>
    <w:p w14:paraId="6EBFD64F" w14:textId="77777777" w:rsidR="00692DF1" w:rsidRPr="00692DF1" w:rsidRDefault="00692DF1" w:rsidP="00692DF1">
      <w:pPr>
        <w:spacing w:after="240" w:line="360" w:lineRule="auto"/>
        <w:rPr>
          <w:rFonts w:ascii="Times New Roman" w:eastAsia="Times New Roman" w:hAnsi="Times New Roman" w:cs="Times New Roman"/>
          <w:kern w:val="0"/>
          <w:sz w:val="24"/>
          <w:szCs w:val="24"/>
          <w:lang w:eastAsia="en-GB"/>
          <w14:ligatures w14:val="none"/>
        </w:rPr>
      </w:pPr>
    </w:p>
    <w:p w14:paraId="508D7DBF" w14:textId="77777777" w:rsidR="00692DF1" w:rsidRPr="00692DF1" w:rsidRDefault="00692DF1" w:rsidP="00692DF1">
      <w:pPr>
        <w:spacing w:after="240" w:line="360" w:lineRule="auto"/>
        <w:rPr>
          <w:rFonts w:ascii="Times New Roman" w:eastAsia="Times New Roman" w:hAnsi="Times New Roman" w:cs="Times New Roman"/>
          <w:kern w:val="0"/>
          <w:sz w:val="24"/>
          <w:szCs w:val="24"/>
          <w:lang w:eastAsia="en-GB"/>
          <w14:ligatures w14:val="none"/>
        </w:rPr>
      </w:pPr>
    </w:p>
    <w:p w14:paraId="5F1DFBB3" w14:textId="77777777" w:rsidR="00692DF1" w:rsidRPr="00692DF1" w:rsidRDefault="00692DF1" w:rsidP="00692DF1">
      <w:pPr>
        <w:spacing w:after="240" w:line="360" w:lineRule="auto"/>
        <w:rPr>
          <w:rFonts w:ascii="Times New Roman" w:eastAsia="Times New Roman" w:hAnsi="Times New Roman" w:cs="Times New Roman"/>
          <w:kern w:val="0"/>
          <w:sz w:val="24"/>
          <w:szCs w:val="24"/>
          <w:lang w:eastAsia="en-GB"/>
          <w14:ligatures w14:val="none"/>
        </w:rPr>
      </w:pPr>
    </w:p>
    <w:p w14:paraId="1C4DF0C6" w14:textId="77777777" w:rsidR="00692DF1" w:rsidRPr="00692DF1" w:rsidRDefault="00692DF1" w:rsidP="00692DF1">
      <w:pPr>
        <w:spacing w:after="240" w:line="360" w:lineRule="auto"/>
        <w:rPr>
          <w:rFonts w:ascii="Times New Roman" w:eastAsia="Times New Roman" w:hAnsi="Times New Roman" w:cs="Times New Roman"/>
          <w:kern w:val="0"/>
          <w:sz w:val="24"/>
          <w:szCs w:val="24"/>
          <w:lang w:eastAsia="en-GB"/>
          <w14:ligatures w14:val="none"/>
        </w:rPr>
      </w:pPr>
    </w:p>
    <w:p w14:paraId="751AA13C" w14:textId="77777777" w:rsidR="00692DF1" w:rsidRPr="00692DF1" w:rsidRDefault="00692DF1" w:rsidP="00692DF1">
      <w:pPr>
        <w:widowControl w:val="0"/>
        <w:autoSpaceDE w:val="0"/>
        <w:autoSpaceDN w:val="0"/>
        <w:spacing w:after="0" w:line="240" w:lineRule="auto"/>
        <w:rPr>
          <w:rFonts w:ascii="Calibri" w:eastAsia="Arial Unicode MS" w:hAnsi="Calibri" w:cs="Calibri"/>
          <w:kern w:val="0"/>
          <w:lang w:eastAsia="en-GB" w:bidi="en-GB"/>
          <w14:ligatures w14:val="none"/>
        </w:rPr>
      </w:pPr>
    </w:p>
    <w:p w14:paraId="19A87BAD" w14:textId="77777777" w:rsidR="00692DF1" w:rsidRPr="00692DF1" w:rsidRDefault="00692DF1" w:rsidP="00692DF1">
      <w:pPr>
        <w:widowControl w:val="0"/>
        <w:autoSpaceDE w:val="0"/>
        <w:autoSpaceDN w:val="0"/>
        <w:spacing w:after="0" w:line="240" w:lineRule="auto"/>
        <w:ind w:left="1440"/>
        <w:rPr>
          <w:rFonts w:ascii="Calibri" w:eastAsia="Arial Unicode MS" w:hAnsi="Calibri" w:cs="Calibri"/>
          <w:kern w:val="0"/>
          <w:lang w:eastAsia="en-GB" w:bidi="en-GB"/>
          <w14:ligatures w14:val="none"/>
        </w:rPr>
      </w:pPr>
    </w:p>
    <w:p w14:paraId="6F9D5F81"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0365D8E5"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753E7492"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780B0BC2"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1D69BFAB" w14:textId="77777777" w:rsidR="00A84615" w:rsidRDefault="00A84615"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64E0264A"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0629E0BE"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0F9F962B"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7850AB7C"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49CFB945"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41036468"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3A2FC98A"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56539237"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5F1D3513"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7E8A05B8"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100A72A9"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7BDD78F6"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7A765EB7"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2A1C7B4F"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21B33DAC"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7451BD42"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7ED67BA4"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05524DB9"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417C7186"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5E1BE7D0"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6F98F100"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5962700E"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3071A805"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1347A6FA" w14:textId="77777777" w:rsidR="00692DF1" w:rsidRPr="00692DF1" w:rsidRDefault="00692DF1" w:rsidP="00692DF1">
      <w:pPr>
        <w:widowControl w:val="0"/>
        <w:autoSpaceDE w:val="0"/>
        <w:autoSpaceDN w:val="0"/>
        <w:spacing w:after="0" w:line="240" w:lineRule="auto"/>
        <w:jc w:val="both"/>
        <w:rPr>
          <w:rFonts w:ascii="Calibri" w:eastAsia="Arial Unicode MS" w:hAnsi="Calibri" w:cs="Calibri"/>
          <w:kern w:val="0"/>
          <w:lang w:eastAsia="en-GB" w:bidi="en-GB"/>
          <w14:ligatures w14:val="none"/>
        </w:rPr>
      </w:pPr>
    </w:p>
    <w:p w14:paraId="3EDD9285" w14:textId="77777777" w:rsidR="00692DF1" w:rsidRPr="00692DF1" w:rsidRDefault="00692DF1" w:rsidP="00692D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ind w:left="720"/>
        <w:rPr>
          <w:rFonts w:ascii="Calibri" w:eastAsia="Arial Unicode MS" w:hAnsi="Calibri" w:cs="Calibri"/>
          <w:kern w:val="0"/>
          <w:lang w:eastAsia="en-GB" w:bidi="en-GB"/>
          <w14:ligatures w14:val="none"/>
        </w:rPr>
      </w:pPr>
    </w:p>
    <w:p w14:paraId="554AE004" w14:textId="77777777" w:rsidR="00692DF1" w:rsidRPr="00692DF1" w:rsidRDefault="00692DF1" w:rsidP="00692D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ind w:left="720"/>
        <w:rPr>
          <w:rFonts w:ascii="Calibri" w:eastAsia="Arial Unicode MS" w:hAnsi="Calibri" w:cs="Calibri"/>
          <w:kern w:val="0"/>
          <w:lang w:eastAsia="en-GB" w:bidi="en-GB"/>
          <w14:ligatures w14:val="none"/>
        </w:rPr>
      </w:pPr>
    </w:p>
    <w:p w14:paraId="3480E247" w14:textId="77777777" w:rsidR="00692DF1" w:rsidRPr="00692DF1" w:rsidRDefault="00692DF1" w:rsidP="00692DF1">
      <w:pPr>
        <w:widowControl w:val="0"/>
        <w:autoSpaceDE w:val="0"/>
        <w:autoSpaceDN w:val="0"/>
        <w:spacing w:after="0" w:line="240" w:lineRule="auto"/>
        <w:rPr>
          <w:rFonts w:ascii="Calibri" w:eastAsia="Arial Unicode MS" w:hAnsi="Calibri" w:cs="Calibri"/>
          <w:b/>
          <w:i/>
          <w:kern w:val="0"/>
          <w:lang w:eastAsia="en-GB" w:bidi="en-GB"/>
          <w14:ligatures w14:val="none"/>
        </w:rPr>
      </w:pPr>
    </w:p>
    <w:p w14:paraId="4F759C0D"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r w:rsidRPr="00692DF1">
        <w:rPr>
          <w:rFonts w:ascii="Calibri" w:eastAsia="Arial Unicode MS" w:hAnsi="Calibri" w:cs="Calibri"/>
          <w:b/>
          <w:kern w:val="0"/>
          <w:sz w:val="28"/>
          <w:szCs w:val="28"/>
          <w:lang w:eastAsia="en-GB" w:bidi="en-GB"/>
          <w14:ligatures w14:val="none"/>
        </w:rPr>
        <w:br w:type="page"/>
      </w:r>
    </w:p>
    <w:p w14:paraId="6DF08BE4" w14:textId="77777777" w:rsidR="00692DF1" w:rsidRPr="00692DF1" w:rsidRDefault="00692DF1" w:rsidP="00692DF1">
      <w:pPr>
        <w:widowControl w:val="0"/>
        <w:autoSpaceDE w:val="0"/>
        <w:autoSpaceDN w:val="0"/>
        <w:spacing w:after="0" w:line="240" w:lineRule="auto"/>
        <w:rPr>
          <w:rFonts w:ascii="Calibri" w:eastAsia="Arial Unicode MS" w:hAnsi="Calibri" w:cs="Calibri"/>
          <w:b/>
          <w:kern w:val="0"/>
          <w:sz w:val="28"/>
          <w:szCs w:val="28"/>
          <w:lang w:eastAsia="en-GB" w:bidi="en-GB"/>
          <w14:ligatures w14:val="none"/>
        </w:rPr>
      </w:pPr>
      <w:r w:rsidRPr="00692DF1">
        <w:rPr>
          <w:rFonts w:ascii="Calibri" w:eastAsia="Arial Unicode MS" w:hAnsi="Calibri" w:cs="Calibri"/>
          <w:b/>
          <w:kern w:val="0"/>
          <w:sz w:val="28"/>
          <w:szCs w:val="28"/>
          <w:lang w:eastAsia="en-GB" w:bidi="en-GB"/>
          <w14:ligatures w14:val="none"/>
        </w:rPr>
        <w:lastRenderedPageBreak/>
        <w:t xml:space="preserve">APPENDICES </w:t>
      </w:r>
    </w:p>
    <w:p w14:paraId="40339C9E" w14:textId="77777777" w:rsidR="00692DF1" w:rsidRPr="00692DF1" w:rsidRDefault="00692DF1" w:rsidP="00692DF1">
      <w:pPr>
        <w:widowControl w:val="0"/>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autoSpaceDE w:val="0"/>
        <w:autoSpaceDN w:val="0"/>
        <w:spacing w:after="0" w:line="240" w:lineRule="auto"/>
        <w:ind w:right="-526"/>
        <w:rPr>
          <w:rFonts w:ascii="Calibri" w:eastAsia="Arial Unicode MS" w:hAnsi="Calibri" w:cs="Calibri"/>
          <w:b/>
          <w:bCs/>
          <w:kern w:val="32"/>
          <w:sz w:val="32"/>
          <w:szCs w:val="32"/>
          <w:lang w:eastAsia="en-GB" w:bidi="en-GB"/>
          <w14:ligatures w14:val="none"/>
        </w:rPr>
      </w:pPr>
    </w:p>
    <w:p w14:paraId="170C3DBB" w14:textId="77777777" w:rsidR="00692DF1" w:rsidRPr="00692DF1" w:rsidRDefault="00692DF1" w:rsidP="00692DF1">
      <w:pPr>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rPr>
          <w:rFonts w:ascii="Calibri" w:eastAsia="Arial Unicode MS" w:hAnsi="Calibri" w:cs="Calibri"/>
          <w:kern w:val="0"/>
          <w:lang w:eastAsia="en-GB" w:bidi="en-GB"/>
          <w14:ligatures w14:val="none"/>
        </w:rPr>
      </w:pPr>
      <w:r w:rsidRPr="00692DF1">
        <w:rPr>
          <w:rFonts w:ascii="Calibri" w:eastAsia="Arial Unicode MS" w:hAnsi="Calibri" w:cs="Calibri"/>
          <w:kern w:val="0"/>
          <w:lang w:eastAsia="en-GB" w:bidi="en-GB"/>
          <w14:ligatures w14:val="none"/>
        </w:rPr>
        <w:t xml:space="preserve">Literature Search Strategy </w:t>
      </w:r>
    </w:p>
    <w:p w14:paraId="4BA8EABA" w14:textId="77777777" w:rsidR="00692DF1" w:rsidRPr="00692DF1" w:rsidRDefault="00692DF1" w:rsidP="00692D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ind w:left="720"/>
        <w:rPr>
          <w:rFonts w:ascii="Calibri" w:eastAsia="Arial Unicode MS" w:hAnsi="Calibri" w:cs="Calibri"/>
          <w:kern w:val="0"/>
          <w:lang w:eastAsia="en-GB" w:bidi="en-GB"/>
          <w14:ligatures w14:val="none"/>
        </w:rPr>
      </w:pPr>
    </w:p>
    <w:p w14:paraId="2A41B976" w14:textId="77777777" w:rsidR="00692DF1" w:rsidRPr="00692DF1" w:rsidRDefault="00692DF1" w:rsidP="00692DF1">
      <w:pPr>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rPr>
          <w:rFonts w:ascii="Calibri" w:eastAsia="Arial Unicode MS" w:hAnsi="Calibri" w:cs="Calibri"/>
          <w:kern w:val="0"/>
          <w:lang w:eastAsia="en-GB" w:bidi="en-GB"/>
          <w14:ligatures w14:val="none"/>
        </w:rPr>
      </w:pPr>
      <w:r w:rsidRPr="00692DF1">
        <w:rPr>
          <w:rFonts w:ascii="Calibri" w:eastAsia="Arial Unicode MS" w:hAnsi="Calibri" w:cs="Calibri"/>
          <w:kern w:val="0"/>
          <w:lang w:eastAsia="en-GB" w:bidi="en-GB"/>
          <w14:ligatures w14:val="none"/>
        </w:rPr>
        <w:t xml:space="preserve">Critical </w:t>
      </w:r>
      <w:proofErr w:type="spellStart"/>
      <w:r w:rsidRPr="00692DF1">
        <w:rPr>
          <w:rFonts w:ascii="Calibri" w:eastAsia="Arial Unicode MS" w:hAnsi="Calibri" w:cs="Calibri"/>
          <w:kern w:val="0"/>
          <w:lang w:eastAsia="en-GB" w:bidi="en-GB"/>
          <w14:ligatures w14:val="none"/>
        </w:rPr>
        <w:t>Appriasal</w:t>
      </w:r>
      <w:proofErr w:type="spellEnd"/>
      <w:r w:rsidRPr="00692DF1">
        <w:rPr>
          <w:rFonts w:ascii="Calibri" w:eastAsia="Arial Unicode MS" w:hAnsi="Calibri" w:cs="Calibri"/>
          <w:kern w:val="0"/>
          <w:lang w:eastAsia="en-GB" w:bidi="en-GB"/>
          <w14:ligatures w14:val="none"/>
        </w:rPr>
        <w:t xml:space="preserve"> Tool</w:t>
      </w:r>
    </w:p>
    <w:p w14:paraId="3674C02E" w14:textId="77777777" w:rsidR="00692DF1" w:rsidRPr="00692DF1" w:rsidRDefault="00692DF1" w:rsidP="00692D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ind w:left="720"/>
        <w:rPr>
          <w:rFonts w:ascii="Calibri" w:eastAsia="Arial Unicode MS" w:hAnsi="Calibri" w:cs="Calibri"/>
          <w:kern w:val="0"/>
          <w:lang w:eastAsia="en-GB" w:bidi="en-GB"/>
          <w14:ligatures w14:val="none"/>
        </w:rPr>
      </w:pPr>
    </w:p>
    <w:p w14:paraId="37FD7629" w14:textId="77777777" w:rsidR="00692DF1" w:rsidRPr="00692DF1" w:rsidRDefault="00692DF1" w:rsidP="00692D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rPr>
          <w:rFonts w:ascii="Calibri" w:eastAsia="Arial Unicode MS" w:hAnsi="Calibri" w:cs="Calibri"/>
          <w:kern w:val="0"/>
          <w:lang w:eastAsia="en-GB" w:bidi="en-GB"/>
          <w14:ligatures w14:val="none"/>
        </w:rPr>
      </w:pPr>
    </w:p>
    <w:p w14:paraId="11AAC762" w14:textId="77777777" w:rsidR="00692DF1" w:rsidRPr="00692DF1" w:rsidRDefault="00692DF1" w:rsidP="00692D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rPr>
          <w:rFonts w:ascii="Calibri" w:eastAsia="Arial Unicode MS" w:hAnsi="Calibri" w:cs="Calibri"/>
          <w:kern w:val="0"/>
          <w:lang w:eastAsia="en-GB" w:bidi="en-GB"/>
          <w14:ligatures w14:val="none"/>
        </w:rPr>
      </w:pPr>
    </w:p>
    <w:p w14:paraId="5FAFAED3" w14:textId="77777777" w:rsidR="00692DF1" w:rsidRPr="00692DF1" w:rsidRDefault="00692DF1" w:rsidP="00692D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240" w:lineRule="auto"/>
        <w:rPr>
          <w:rFonts w:ascii="Calibri" w:eastAsia="Arial Unicode MS" w:hAnsi="Calibri" w:cs="Calibri"/>
          <w:kern w:val="0"/>
          <w:lang w:eastAsia="en-GB" w:bidi="en-GB"/>
          <w14:ligatures w14:val="none"/>
        </w:rPr>
      </w:pPr>
    </w:p>
    <w:p w14:paraId="2787D539" w14:textId="77777777" w:rsidR="00AE7DA5" w:rsidRDefault="00AE7DA5"/>
    <w:sectPr w:rsidR="00AE7D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077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DF1"/>
    <w:rsid w:val="00040604"/>
    <w:rsid w:val="00051D8D"/>
    <w:rsid w:val="0028355D"/>
    <w:rsid w:val="00384ABC"/>
    <w:rsid w:val="004534D9"/>
    <w:rsid w:val="005931F6"/>
    <w:rsid w:val="00692DF1"/>
    <w:rsid w:val="006C161B"/>
    <w:rsid w:val="00700D0C"/>
    <w:rsid w:val="007149B3"/>
    <w:rsid w:val="00740D7A"/>
    <w:rsid w:val="00920530"/>
    <w:rsid w:val="00920A47"/>
    <w:rsid w:val="00A84615"/>
    <w:rsid w:val="00AE7DA5"/>
    <w:rsid w:val="00C42B8D"/>
    <w:rsid w:val="00DF3022"/>
    <w:rsid w:val="00EC4D47"/>
    <w:rsid w:val="00EC577D"/>
    <w:rsid w:val="00F37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865C0"/>
  <w15:chartTrackingRefBased/>
  <w15:docId w15:val="{F4EB4B25-657C-40C5-9C6B-3769A30B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692DF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92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846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43469">
      <w:bodyDiv w:val="1"/>
      <w:marLeft w:val="0"/>
      <w:marRight w:val="0"/>
      <w:marTop w:val="0"/>
      <w:marBottom w:val="0"/>
      <w:divBdr>
        <w:top w:val="none" w:sz="0" w:space="0" w:color="auto"/>
        <w:left w:val="none" w:sz="0" w:space="0" w:color="auto"/>
        <w:bottom w:val="none" w:sz="0" w:space="0" w:color="auto"/>
        <w:right w:val="none" w:sz="0" w:space="0" w:color="auto"/>
      </w:divBdr>
    </w:div>
    <w:div w:id="383598887">
      <w:bodyDiv w:val="1"/>
      <w:marLeft w:val="0"/>
      <w:marRight w:val="0"/>
      <w:marTop w:val="0"/>
      <w:marBottom w:val="0"/>
      <w:divBdr>
        <w:top w:val="none" w:sz="0" w:space="0" w:color="auto"/>
        <w:left w:val="none" w:sz="0" w:space="0" w:color="auto"/>
        <w:bottom w:val="none" w:sz="0" w:space="0" w:color="auto"/>
        <w:right w:val="none" w:sz="0" w:space="0" w:color="auto"/>
      </w:divBdr>
    </w:div>
    <w:div w:id="454256084">
      <w:bodyDiv w:val="1"/>
      <w:marLeft w:val="0"/>
      <w:marRight w:val="0"/>
      <w:marTop w:val="0"/>
      <w:marBottom w:val="0"/>
      <w:divBdr>
        <w:top w:val="none" w:sz="0" w:space="0" w:color="auto"/>
        <w:left w:val="none" w:sz="0" w:space="0" w:color="auto"/>
        <w:bottom w:val="none" w:sz="0" w:space="0" w:color="auto"/>
        <w:right w:val="none" w:sz="0" w:space="0" w:color="auto"/>
      </w:divBdr>
    </w:div>
    <w:div w:id="763762742">
      <w:bodyDiv w:val="1"/>
      <w:marLeft w:val="0"/>
      <w:marRight w:val="0"/>
      <w:marTop w:val="0"/>
      <w:marBottom w:val="0"/>
      <w:divBdr>
        <w:top w:val="none" w:sz="0" w:space="0" w:color="auto"/>
        <w:left w:val="none" w:sz="0" w:space="0" w:color="auto"/>
        <w:bottom w:val="none" w:sz="0" w:space="0" w:color="auto"/>
        <w:right w:val="none" w:sz="0" w:space="0" w:color="auto"/>
      </w:divBdr>
    </w:div>
    <w:div w:id="861164342">
      <w:bodyDiv w:val="1"/>
      <w:marLeft w:val="0"/>
      <w:marRight w:val="0"/>
      <w:marTop w:val="0"/>
      <w:marBottom w:val="0"/>
      <w:divBdr>
        <w:top w:val="none" w:sz="0" w:space="0" w:color="auto"/>
        <w:left w:val="none" w:sz="0" w:space="0" w:color="auto"/>
        <w:bottom w:val="none" w:sz="0" w:space="0" w:color="auto"/>
        <w:right w:val="none" w:sz="0" w:space="0" w:color="auto"/>
      </w:divBdr>
    </w:div>
    <w:div w:id="923414423">
      <w:bodyDiv w:val="1"/>
      <w:marLeft w:val="0"/>
      <w:marRight w:val="0"/>
      <w:marTop w:val="0"/>
      <w:marBottom w:val="0"/>
      <w:divBdr>
        <w:top w:val="none" w:sz="0" w:space="0" w:color="auto"/>
        <w:left w:val="none" w:sz="0" w:space="0" w:color="auto"/>
        <w:bottom w:val="none" w:sz="0" w:space="0" w:color="auto"/>
        <w:right w:val="none" w:sz="0" w:space="0" w:color="auto"/>
      </w:divBdr>
    </w:div>
    <w:div w:id="980427011">
      <w:bodyDiv w:val="1"/>
      <w:marLeft w:val="0"/>
      <w:marRight w:val="0"/>
      <w:marTop w:val="0"/>
      <w:marBottom w:val="0"/>
      <w:divBdr>
        <w:top w:val="none" w:sz="0" w:space="0" w:color="auto"/>
        <w:left w:val="none" w:sz="0" w:space="0" w:color="auto"/>
        <w:bottom w:val="none" w:sz="0" w:space="0" w:color="auto"/>
        <w:right w:val="none" w:sz="0" w:space="0" w:color="auto"/>
      </w:divBdr>
    </w:div>
    <w:div w:id="1025058398">
      <w:bodyDiv w:val="1"/>
      <w:marLeft w:val="0"/>
      <w:marRight w:val="0"/>
      <w:marTop w:val="0"/>
      <w:marBottom w:val="0"/>
      <w:divBdr>
        <w:top w:val="none" w:sz="0" w:space="0" w:color="auto"/>
        <w:left w:val="none" w:sz="0" w:space="0" w:color="auto"/>
        <w:bottom w:val="none" w:sz="0" w:space="0" w:color="auto"/>
        <w:right w:val="none" w:sz="0" w:space="0" w:color="auto"/>
      </w:divBdr>
    </w:div>
    <w:div w:id="1122764770">
      <w:bodyDiv w:val="1"/>
      <w:marLeft w:val="0"/>
      <w:marRight w:val="0"/>
      <w:marTop w:val="0"/>
      <w:marBottom w:val="0"/>
      <w:divBdr>
        <w:top w:val="none" w:sz="0" w:space="0" w:color="auto"/>
        <w:left w:val="none" w:sz="0" w:space="0" w:color="auto"/>
        <w:bottom w:val="none" w:sz="0" w:space="0" w:color="auto"/>
        <w:right w:val="none" w:sz="0" w:space="0" w:color="auto"/>
      </w:divBdr>
    </w:div>
    <w:div w:id="1134756990">
      <w:bodyDiv w:val="1"/>
      <w:marLeft w:val="0"/>
      <w:marRight w:val="0"/>
      <w:marTop w:val="0"/>
      <w:marBottom w:val="0"/>
      <w:divBdr>
        <w:top w:val="none" w:sz="0" w:space="0" w:color="auto"/>
        <w:left w:val="none" w:sz="0" w:space="0" w:color="auto"/>
        <w:bottom w:val="none" w:sz="0" w:space="0" w:color="auto"/>
        <w:right w:val="none" w:sz="0" w:space="0" w:color="auto"/>
      </w:divBdr>
    </w:div>
    <w:div w:id="1210846371">
      <w:bodyDiv w:val="1"/>
      <w:marLeft w:val="0"/>
      <w:marRight w:val="0"/>
      <w:marTop w:val="0"/>
      <w:marBottom w:val="0"/>
      <w:divBdr>
        <w:top w:val="none" w:sz="0" w:space="0" w:color="auto"/>
        <w:left w:val="none" w:sz="0" w:space="0" w:color="auto"/>
        <w:bottom w:val="none" w:sz="0" w:space="0" w:color="auto"/>
        <w:right w:val="none" w:sz="0" w:space="0" w:color="auto"/>
      </w:divBdr>
    </w:div>
    <w:div w:id="1246693779">
      <w:bodyDiv w:val="1"/>
      <w:marLeft w:val="0"/>
      <w:marRight w:val="0"/>
      <w:marTop w:val="0"/>
      <w:marBottom w:val="0"/>
      <w:divBdr>
        <w:top w:val="none" w:sz="0" w:space="0" w:color="auto"/>
        <w:left w:val="none" w:sz="0" w:space="0" w:color="auto"/>
        <w:bottom w:val="none" w:sz="0" w:space="0" w:color="auto"/>
        <w:right w:val="none" w:sz="0" w:space="0" w:color="auto"/>
      </w:divBdr>
    </w:div>
    <w:div w:id="1578322851">
      <w:bodyDiv w:val="1"/>
      <w:marLeft w:val="0"/>
      <w:marRight w:val="0"/>
      <w:marTop w:val="0"/>
      <w:marBottom w:val="0"/>
      <w:divBdr>
        <w:top w:val="none" w:sz="0" w:space="0" w:color="auto"/>
        <w:left w:val="none" w:sz="0" w:space="0" w:color="auto"/>
        <w:bottom w:val="none" w:sz="0" w:space="0" w:color="auto"/>
        <w:right w:val="none" w:sz="0" w:space="0" w:color="auto"/>
      </w:divBdr>
    </w:div>
    <w:div w:id="1609924071">
      <w:bodyDiv w:val="1"/>
      <w:marLeft w:val="0"/>
      <w:marRight w:val="0"/>
      <w:marTop w:val="0"/>
      <w:marBottom w:val="0"/>
      <w:divBdr>
        <w:top w:val="none" w:sz="0" w:space="0" w:color="auto"/>
        <w:left w:val="none" w:sz="0" w:space="0" w:color="auto"/>
        <w:bottom w:val="none" w:sz="0" w:space="0" w:color="auto"/>
        <w:right w:val="none" w:sz="0" w:space="0" w:color="auto"/>
      </w:divBdr>
    </w:div>
    <w:div w:id="1658924056">
      <w:bodyDiv w:val="1"/>
      <w:marLeft w:val="0"/>
      <w:marRight w:val="0"/>
      <w:marTop w:val="0"/>
      <w:marBottom w:val="0"/>
      <w:divBdr>
        <w:top w:val="none" w:sz="0" w:space="0" w:color="auto"/>
        <w:left w:val="none" w:sz="0" w:space="0" w:color="auto"/>
        <w:bottom w:val="none" w:sz="0" w:space="0" w:color="auto"/>
        <w:right w:val="none" w:sz="0" w:space="0" w:color="auto"/>
      </w:divBdr>
    </w:div>
    <w:div w:id="1761557168">
      <w:bodyDiv w:val="1"/>
      <w:marLeft w:val="0"/>
      <w:marRight w:val="0"/>
      <w:marTop w:val="0"/>
      <w:marBottom w:val="0"/>
      <w:divBdr>
        <w:top w:val="none" w:sz="0" w:space="0" w:color="auto"/>
        <w:left w:val="none" w:sz="0" w:space="0" w:color="auto"/>
        <w:bottom w:val="none" w:sz="0" w:space="0" w:color="auto"/>
        <w:right w:val="none" w:sz="0" w:space="0" w:color="auto"/>
      </w:divBdr>
    </w:div>
    <w:div w:id="1828133515">
      <w:bodyDiv w:val="1"/>
      <w:marLeft w:val="0"/>
      <w:marRight w:val="0"/>
      <w:marTop w:val="0"/>
      <w:marBottom w:val="0"/>
      <w:divBdr>
        <w:top w:val="none" w:sz="0" w:space="0" w:color="auto"/>
        <w:left w:val="none" w:sz="0" w:space="0" w:color="auto"/>
        <w:bottom w:val="none" w:sz="0" w:space="0" w:color="auto"/>
        <w:right w:val="none" w:sz="0" w:space="0" w:color="auto"/>
      </w:divBdr>
    </w:div>
    <w:div w:id="1981420625">
      <w:bodyDiv w:val="1"/>
      <w:marLeft w:val="0"/>
      <w:marRight w:val="0"/>
      <w:marTop w:val="0"/>
      <w:marBottom w:val="0"/>
      <w:divBdr>
        <w:top w:val="none" w:sz="0" w:space="0" w:color="auto"/>
        <w:left w:val="none" w:sz="0" w:space="0" w:color="auto"/>
        <w:bottom w:val="none" w:sz="0" w:space="0" w:color="auto"/>
        <w:right w:val="none" w:sz="0" w:space="0" w:color="auto"/>
      </w:divBdr>
    </w:div>
    <w:div w:id="20358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i/item/9789241564779"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23006-E27D-4F15-9FAD-F7BA15CF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5204</Words>
  <Characters>29664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Pugsley</dc:creator>
  <cp:keywords/>
  <dc:description/>
  <cp:lastModifiedBy>Sacha Pugsley</cp:lastModifiedBy>
  <cp:revision>2</cp:revision>
  <dcterms:created xsi:type="dcterms:W3CDTF">2023-07-15T14:50:00Z</dcterms:created>
  <dcterms:modified xsi:type="dcterms:W3CDTF">2023-07-15T14:50:00Z</dcterms:modified>
</cp:coreProperties>
</file>