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C8BE9" w14:textId="77777777" w:rsidR="00D77CAE" w:rsidRPr="00624526" w:rsidRDefault="00D77CAE" w:rsidP="00D77CAE">
      <w:pPr>
        <w:pStyle w:val="NoSpacing"/>
        <w:spacing w:line="360" w:lineRule="auto"/>
        <w:rPr>
          <w:rFonts w:ascii="Georgia" w:hAnsi="Georgia" w:cs="Times New Roman"/>
          <w:b/>
          <w:sz w:val="24"/>
          <w:szCs w:val="24"/>
          <w:lang w:val="en-US"/>
        </w:rPr>
      </w:pPr>
      <w:r w:rsidRPr="00624526">
        <w:rPr>
          <w:rFonts w:ascii="Georgia" w:hAnsi="Georgia" w:cs="Times New Roman"/>
          <w:b/>
          <w:sz w:val="24"/>
          <w:szCs w:val="24"/>
          <w:lang w:val="en-US"/>
        </w:rPr>
        <w:t xml:space="preserve">AMERICAN HISTORY </w:t>
      </w:r>
      <w:bookmarkStart w:id="0" w:name="_GoBack"/>
      <w:bookmarkEnd w:id="0"/>
    </w:p>
    <w:p w14:paraId="00E0510D" w14:textId="77777777" w:rsidR="00D77CAE" w:rsidRPr="00624526" w:rsidRDefault="00D77CAE" w:rsidP="00D77CAE">
      <w:pPr>
        <w:pStyle w:val="NoSpacing"/>
        <w:spacing w:line="360" w:lineRule="auto"/>
        <w:rPr>
          <w:rFonts w:ascii="Georgia" w:hAnsi="Georgia" w:cs="Times New Roman"/>
          <w:b/>
          <w:sz w:val="24"/>
          <w:szCs w:val="24"/>
        </w:rPr>
      </w:pPr>
      <w:r w:rsidRPr="00624526">
        <w:rPr>
          <w:rFonts w:ascii="Georgia" w:hAnsi="Georgia" w:cs="Times New Roman"/>
          <w:b/>
          <w:sz w:val="24"/>
          <w:szCs w:val="24"/>
          <w:lang w:val="en-US"/>
        </w:rPr>
        <w:t xml:space="preserve">Essay </w:t>
      </w:r>
      <w:r w:rsidRPr="00624526">
        <w:rPr>
          <w:rFonts w:ascii="Georgia" w:hAnsi="Georgia" w:cs="Times New Roman"/>
          <w:b/>
          <w:sz w:val="24"/>
          <w:szCs w:val="24"/>
        </w:rPr>
        <w:t>Two: “How did the media contribute to the growth of a youth culture in the United States during the 1950s?”</w:t>
      </w:r>
    </w:p>
    <w:p w14:paraId="38920650" w14:textId="77777777" w:rsidR="00D77CAE" w:rsidRPr="00624526" w:rsidRDefault="00D77CAE" w:rsidP="00D77CAE">
      <w:pPr>
        <w:pStyle w:val="NoSpacing"/>
        <w:tabs>
          <w:tab w:val="left" w:pos="2220"/>
        </w:tabs>
        <w:spacing w:line="360" w:lineRule="auto"/>
        <w:jc w:val="both"/>
        <w:rPr>
          <w:rFonts w:ascii="Georgia" w:hAnsi="Georgia" w:cs="Times New Roman"/>
          <w:sz w:val="24"/>
          <w:szCs w:val="24"/>
        </w:rPr>
      </w:pPr>
      <w:r w:rsidRPr="00624526">
        <w:rPr>
          <w:rFonts w:ascii="Georgia" w:hAnsi="Georgia" w:cs="Times New Roman"/>
          <w:sz w:val="24"/>
          <w:szCs w:val="24"/>
        </w:rPr>
        <w:tab/>
      </w:r>
    </w:p>
    <w:p w14:paraId="5508F372" w14:textId="77777777" w:rsidR="00D77CAE" w:rsidRPr="00624526" w:rsidRDefault="00D77CAE" w:rsidP="00D77CAE">
      <w:pPr>
        <w:pStyle w:val="NoSpacing"/>
        <w:spacing w:line="360" w:lineRule="auto"/>
        <w:jc w:val="both"/>
        <w:rPr>
          <w:rFonts w:ascii="Georgia" w:hAnsi="Georgia" w:cs="Times New Roman"/>
          <w:sz w:val="24"/>
          <w:szCs w:val="24"/>
        </w:rPr>
      </w:pPr>
      <w:r w:rsidRPr="00624526">
        <w:rPr>
          <w:rFonts w:ascii="Georgia" w:hAnsi="Georgia" w:cs="Times New Roman"/>
          <w:sz w:val="24"/>
          <w:szCs w:val="24"/>
        </w:rPr>
        <w:t>In a sociological study of American high schools conducted in the 1950s, James S. Coleman concluded that adolescents lived in “a world of their own” and spoke a “different language” to their parents.</w:t>
      </w:r>
      <w:r w:rsidRPr="00624526">
        <w:rPr>
          <w:rStyle w:val="FootnoteReference"/>
          <w:rFonts w:ascii="Georgia" w:hAnsi="Georgia" w:cs="Times New Roman"/>
          <w:sz w:val="24"/>
          <w:szCs w:val="24"/>
        </w:rPr>
        <w:footnoteReference w:id="1"/>
      </w:r>
      <w:r w:rsidRPr="00624526">
        <w:rPr>
          <w:rFonts w:ascii="Georgia" w:hAnsi="Georgia" w:cs="Times New Roman"/>
          <w:sz w:val="24"/>
          <w:szCs w:val="24"/>
        </w:rPr>
        <w:t xml:space="preserve"> Coleman’s </w:t>
      </w:r>
      <w:r w:rsidRPr="00624526">
        <w:rPr>
          <w:rFonts w:ascii="Georgia" w:hAnsi="Georgia" w:cs="Times New Roman"/>
          <w:i/>
          <w:sz w:val="24"/>
          <w:szCs w:val="24"/>
        </w:rPr>
        <w:t>The Adolescent Society</w:t>
      </w:r>
      <w:r w:rsidRPr="00624526">
        <w:rPr>
          <w:rFonts w:ascii="Georgia" w:hAnsi="Georgia" w:cs="Times New Roman"/>
          <w:sz w:val="24"/>
          <w:szCs w:val="24"/>
        </w:rPr>
        <w:t xml:space="preserve"> demonstrated empirical evidence of one of the most striking developments in post-Second World War U.S. society:  the growth of a distinctive youth culture. The media was central to this emergence. The different ways adults and young people consumed media marked the generations’ separation: young people in the 1950s went to the cinema in far greater numbers than adults and listened to a new type of popular music, rock ‘n’ roll.</w:t>
      </w:r>
      <w:r w:rsidRPr="00624526">
        <w:rPr>
          <w:rStyle w:val="FootnoteReference"/>
          <w:rFonts w:ascii="Georgia" w:hAnsi="Georgia" w:cs="Times New Roman"/>
          <w:sz w:val="24"/>
          <w:szCs w:val="24"/>
        </w:rPr>
        <w:footnoteReference w:id="2"/>
      </w:r>
      <w:r w:rsidRPr="00624526">
        <w:rPr>
          <w:rFonts w:ascii="Georgia" w:hAnsi="Georgia" w:cs="Times New Roman"/>
          <w:sz w:val="24"/>
          <w:szCs w:val="24"/>
        </w:rPr>
        <w:t xml:space="preserve"> Moreover, youth culture gained recognition as a social phenomenon via the mass media: newspaper stories of juvenile delinquency promoted a vision of degenerate youths, which found vindication in the rebellious, flamboyant and sexually suggestive acts of film and movie stars such as James Dean, Marlon Brando and Elvis Presley.</w:t>
      </w:r>
      <w:r w:rsidRPr="00624526">
        <w:rPr>
          <w:rStyle w:val="FootnoteReference"/>
          <w:rFonts w:ascii="Georgia" w:hAnsi="Georgia" w:cs="Times New Roman"/>
          <w:sz w:val="24"/>
          <w:szCs w:val="24"/>
        </w:rPr>
        <w:footnoteReference w:id="3"/>
      </w:r>
      <w:r w:rsidRPr="00624526">
        <w:rPr>
          <w:rFonts w:ascii="Georgia" w:hAnsi="Georgia" w:cs="Times New Roman"/>
          <w:sz w:val="24"/>
          <w:szCs w:val="24"/>
        </w:rPr>
        <w:t xml:space="preserve"> However, while youth culture seemed a new and perhaps disturbing phenomenon to Fifties commentators, its novelty should not be exaggerated. Fifties teenagers actually resembled the ‘Flaming Youth’ of a bygone era. Like their mid-century counterparts, young people in the 1920s drank alcohol, drove cars, and provoked the condemnation of their elders. Just as an imaginary Fifties teenager might read </w:t>
      </w:r>
      <w:r w:rsidRPr="00624526">
        <w:rPr>
          <w:rFonts w:ascii="Georgia" w:hAnsi="Georgia" w:cs="Times New Roman"/>
          <w:i/>
          <w:sz w:val="24"/>
          <w:szCs w:val="24"/>
        </w:rPr>
        <w:t>The Catcher in the Rye</w:t>
      </w:r>
      <w:r w:rsidRPr="00624526">
        <w:rPr>
          <w:rFonts w:ascii="Georgia" w:hAnsi="Georgia" w:cs="Times New Roman"/>
          <w:sz w:val="24"/>
          <w:szCs w:val="24"/>
        </w:rPr>
        <w:t xml:space="preserve">, watch </w:t>
      </w:r>
      <w:r w:rsidRPr="00624526">
        <w:rPr>
          <w:rFonts w:ascii="Georgia" w:hAnsi="Georgia" w:cs="Times New Roman"/>
          <w:i/>
          <w:sz w:val="24"/>
          <w:szCs w:val="24"/>
        </w:rPr>
        <w:t>Rebel Without a Cause</w:t>
      </w:r>
      <w:r w:rsidRPr="00624526">
        <w:rPr>
          <w:rFonts w:ascii="Georgia" w:hAnsi="Georgia" w:cs="Times New Roman"/>
          <w:sz w:val="24"/>
          <w:szCs w:val="24"/>
        </w:rPr>
        <w:t xml:space="preserve"> and listen to Buddy Holly, Twenties youths had ‘lost generation’ novels, silent movies and jazz.</w:t>
      </w:r>
      <w:r w:rsidRPr="00624526">
        <w:rPr>
          <w:rStyle w:val="FootnoteReference"/>
          <w:rFonts w:ascii="Georgia" w:hAnsi="Georgia" w:cs="Times New Roman"/>
          <w:sz w:val="24"/>
          <w:szCs w:val="24"/>
        </w:rPr>
        <w:footnoteReference w:id="4"/>
      </w:r>
      <w:r w:rsidRPr="00624526">
        <w:rPr>
          <w:rFonts w:ascii="Georgia" w:hAnsi="Georgia" w:cs="Times New Roman"/>
          <w:sz w:val="24"/>
          <w:szCs w:val="24"/>
        </w:rPr>
        <w:t xml:space="preserve"> Fifties youth culture was not a new phenomenon and neither was media’s role in it – but it was different from previous youth cultures. What created this difference, I will contend, were the changes brought about by the innovation of new technologies such as television, the transistor radio and 45-rpm singles which gave Fifties teenagers a more intimate and personal relationship with media.</w:t>
      </w:r>
    </w:p>
    <w:p w14:paraId="53702D30" w14:textId="77777777" w:rsidR="00D77CAE" w:rsidRPr="00624526" w:rsidRDefault="00D77CAE" w:rsidP="00D77CAE">
      <w:pPr>
        <w:pStyle w:val="NoSpacing"/>
        <w:spacing w:line="360" w:lineRule="auto"/>
        <w:ind w:firstLine="720"/>
        <w:jc w:val="both"/>
        <w:rPr>
          <w:rFonts w:ascii="Georgia" w:hAnsi="Georgia" w:cs="Times New Roman"/>
          <w:sz w:val="24"/>
          <w:szCs w:val="24"/>
        </w:rPr>
      </w:pPr>
      <w:r w:rsidRPr="00624526">
        <w:rPr>
          <w:rFonts w:ascii="Georgia" w:hAnsi="Georgia" w:cs="Times New Roman"/>
          <w:sz w:val="24"/>
          <w:szCs w:val="24"/>
        </w:rPr>
        <w:lastRenderedPageBreak/>
        <w:t>Before committing to this analysis, though, it is important to note that youth culture only arose because of contingent social conditions. For instance, because Fifties youth culture was largely shaped by teenagers’ ability to spend money at movie-theatres, record-stores and suchlike, its impact was reliant on the national prosperity enjoyed after World War Two. Mobilisation for war recovered the United States economy from depression, so 1950s Americans, including teenagers, had a greater disposable income to spend on an ever-increasing proliferation of consumer goods. In addition, the peculiar impact of Fifties youth culture was in part shaped by the simple fact that there were more young people alive in the decade than at any previous point in American history: marriage and birth-rates soared in the 1950s, following on pre-war increases (indeed it was the initial ‘baby boom’ of 1942-43 which produced Fifties teenagers). That these children were educated in an expanding system of public schools also determined the form Fifties youth culture took. Thousands of schools were constructed between 1950 and 1960 to meet the demand of the 18 million Americans who relocated suburban neighbourhoods in this period.</w:t>
      </w:r>
      <w:r w:rsidRPr="00624526">
        <w:rPr>
          <w:rStyle w:val="FootnoteReference"/>
          <w:rFonts w:ascii="Georgia" w:hAnsi="Georgia" w:cs="Times New Roman"/>
          <w:sz w:val="24"/>
          <w:szCs w:val="24"/>
        </w:rPr>
        <w:footnoteReference w:id="5"/>
      </w:r>
      <w:r w:rsidRPr="00624526">
        <w:rPr>
          <w:rFonts w:ascii="Georgia" w:hAnsi="Georgia" w:cs="Times New Roman"/>
          <w:sz w:val="24"/>
          <w:szCs w:val="24"/>
        </w:rPr>
        <w:t xml:space="preserve"> Virtually all Fifties teenagers remained school past the age of fourteen, and high schools’ extended social network of clubs, sports-teams and dances meant young people spent more time away from their parents than previous generations. Indeed, the United States’ extensive college system meant young Americans could stay in formal education from entering elementary school aged five until graduating with a degree at twenty-one-years-old. </w:t>
      </w:r>
    </w:p>
    <w:p w14:paraId="11825CF0" w14:textId="77777777" w:rsidR="00D77CAE" w:rsidRPr="00624526" w:rsidRDefault="00D77CAE" w:rsidP="00D77CAE">
      <w:pPr>
        <w:pStyle w:val="NoSpacing"/>
        <w:spacing w:line="360" w:lineRule="auto"/>
        <w:ind w:firstLine="720"/>
        <w:jc w:val="both"/>
        <w:rPr>
          <w:rFonts w:ascii="Georgia" w:hAnsi="Georgia" w:cs="Times New Roman"/>
          <w:sz w:val="24"/>
          <w:szCs w:val="24"/>
        </w:rPr>
      </w:pPr>
      <w:r w:rsidRPr="00624526">
        <w:rPr>
          <w:rFonts w:ascii="Georgia" w:hAnsi="Georgia" w:cs="Times New Roman"/>
          <w:sz w:val="24"/>
          <w:szCs w:val="24"/>
        </w:rPr>
        <w:t>As a consequence young people’s socialisation with each other assumed greater significance than that with their elders, as Coleman observed: “Adolescents look to each other rather than adults for their social rewards...it is their peers whose admiration and respect they attempt to win in their everyday activities.”</w:t>
      </w:r>
      <w:r w:rsidRPr="00624526">
        <w:rPr>
          <w:rStyle w:val="FootnoteReference"/>
          <w:rFonts w:ascii="Georgia" w:hAnsi="Georgia" w:cs="Times New Roman"/>
          <w:sz w:val="24"/>
          <w:szCs w:val="24"/>
        </w:rPr>
        <w:footnoteReference w:id="6"/>
      </w:r>
      <w:r w:rsidRPr="00624526">
        <w:rPr>
          <w:rFonts w:ascii="Georgia" w:hAnsi="Georgia" w:cs="Times New Roman"/>
          <w:sz w:val="24"/>
          <w:szCs w:val="24"/>
        </w:rPr>
        <w:t xml:space="preserve"> Young people in the 1950s therefore had a new consciousness of themselves as an age-group distinct from their parents. But these changes only explain Fifties youth culture’s </w:t>
      </w:r>
      <w:r w:rsidRPr="00624526">
        <w:rPr>
          <w:rFonts w:ascii="Georgia" w:hAnsi="Georgia" w:cs="Times New Roman"/>
          <w:i/>
          <w:sz w:val="24"/>
          <w:szCs w:val="24"/>
        </w:rPr>
        <w:t xml:space="preserve">quantitative </w:t>
      </w:r>
      <w:r w:rsidRPr="00624526">
        <w:rPr>
          <w:rFonts w:ascii="Georgia" w:hAnsi="Georgia" w:cs="Times New Roman"/>
          <w:sz w:val="24"/>
          <w:szCs w:val="24"/>
        </w:rPr>
        <w:t xml:space="preserve">differences: that teenagers were wealthier, more numerous, better educated and had an awareness of their peculiar social status does not explain the </w:t>
      </w:r>
      <w:r w:rsidRPr="00624526">
        <w:rPr>
          <w:rFonts w:ascii="Georgia" w:hAnsi="Georgia" w:cs="Times New Roman"/>
          <w:i/>
          <w:sz w:val="24"/>
          <w:szCs w:val="24"/>
        </w:rPr>
        <w:t>form</w:t>
      </w:r>
      <w:r w:rsidRPr="00624526">
        <w:rPr>
          <w:rFonts w:ascii="Georgia" w:hAnsi="Georgia" w:cs="Times New Roman"/>
          <w:sz w:val="24"/>
          <w:szCs w:val="24"/>
        </w:rPr>
        <w:t xml:space="preserve"> their culture took. Moreover, changes in post-war American society were largely the result of long-term historical processes: the consumer market had expanded throughout the 20</w:t>
      </w:r>
      <w:r w:rsidRPr="00624526">
        <w:rPr>
          <w:rFonts w:ascii="Georgia" w:hAnsi="Georgia" w:cs="Times New Roman"/>
          <w:sz w:val="24"/>
          <w:szCs w:val="24"/>
          <w:vertAlign w:val="superscript"/>
        </w:rPr>
        <w:t>th</w:t>
      </w:r>
      <w:r w:rsidRPr="00624526">
        <w:rPr>
          <w:rFonts w:ascii="Georgia" w:hAnsi="Georgia" w:cs="Times New Roman"/>
          <w:sz w:val="24"/>
          <w:szCs w:val="24"/>
        </w:rPr>
        <w:t xml:space="preserve"> </w:t>
      </w:r>
      <w:r w:rsidRPr="00624526">
        <w:rPr>
          <w:rFonts w:ascii="Georgia" w:hAnsi="Georgia" w:cs="Times New Roman"/>
          <w:sz w:val="24"/>
          <w:szCs w:val="24"/>
        </w:rPr>
        <w:lastRenderedPageBreak/>
        <w:t>Century, as had the education system - as early as 1929 Robert and Helen Lynd noted that high school was a “complete social cosmos.”</w:t>
      </w:r>
      <w:r w:rsidRPr="00624526">
        <w:rPr>
          <w:rStyle w:val="FootnoteReference"/>
          <w:rFonts w:ascii="Georgia" w:hAnsi="Georgia" w:cs="Times New Roman"/>
          <w:sz w:val="24"/>
          <w:szCs w:val="24"/>
        </w:rPr>
        <w:t xml:space="preserve"> </w:t>
      </w:r>
      <w:r w:rsidRPr="00624526">
        <w:rPr>
          <w:rStyle w:val="FootnoteReference"/>
          <w:rFonts w:ascii="Georgia" w:hAnsi="Georgia" w:cs="Times New Roman"/>
          <w:sz w:val="24"/>
          <w:szCs w:val="24"/>
        </w:rPr>
        <w:footnoteReference w:id="7"/>
      </w:r>
      <w:r w:rsidRPr="00624526">
        <w:rPr>
          <w:rFonts w:ascii="Georgia" w:hAnsi="Georgia" w:cs="Times New Roman"/>
          <w:sz w:val="24"/>
          <w:szCs w:val="24"/>
        </w:rPr>
        <w:t xml:space="preserve"> I believe, then, that although the social climate was in many ways ripe for youth culture to emerge, it was changes to media that explain </w:t>
      </w:r>
      <w:r w:rsidRPr="00624526">
        <w:rPr>
          <w:rFonts w:ascii="Georgia" w:hAnsi="Georgia" w:cs="Times New Roman"/>
          <w:i/>
          <w:sz w:val="24"/>
          <w:szCs w:val="24"/>
        </w:rPr>
        <w:t xml:space="preserve">qualitative </w:t>
      </w:r>
      <w:r w:rsidRPr="00624526">
        <w:rPr>
          <w:rFonts w:ascii="Georgia" w:hAnsi="Georgia" w:cs="Times New Roman"/>
          <w:sz w:val="24"/>
          <w:szCs w:val="24"/>
        </w:rPr>
        <w:t>differences it took in the Fifties. And in 1950s one medium dominated U.S. culture: television.</w:t>
      </w:r>
    </w:p>
    <w:p w14:paraId="51341623" w14:textId="77777777" w:rsidR="00D77CAE" w:rsidRPr="00624526" w:rsidRDefault="00D77CAE" w:rsidP="00D77CAE">
      <w:pPr>
        <w:pStyle w:val="NoSpacing"/>
        <w:spacing w:line="360" w:lineRule="auto"/>
        <w:jc w:val="both"/>
        <w:rPr>
          <w:rFonts w:ascii="Georgia" w:hAnsi="Georgia" w:cs="Times New Roman"/>
          <w:sz w:val="24"/>
          <w:szCs w:val="24"/>
        </w:rPr>
      </w:pPr>
      <w:r w:rsidRPr="00624526">
        <w:rPr>
          <w:rFonts w:ascii="Georgia" w:hAnsi="Georgia" w:cs="Times New Roman"/>
          <w:sz w:val="24"/>
          <w:szCs w:val="24"/>
        </w:rPr>
        <w:tab/>
        <w:t>Technicians had worked on prototype televisions from the 1920s, but it was not until 1938 that television in the home became feasible. The first telecasting occurred the next year, and commercial television secured federal approval in 1941. Ten-thousand TV-sets sold that year, but it was not until after World War Two</w:t>
      </w:r>
      <w:r w:rsidRPr="00624526">
        <w:rPr>
          <w:rStyle w:val="FootnoteReference"/>
          <w:rFonts w:ascii="Georgia" w:hAnsi="Georgia" w:cs="Times New Roman"/>
          <w:sz w:val="24"/>
          <w:szCs w:val="24"/>
        </w:rPr>
        <w:footnoteReference w:id="8"/>
      </w:r>
      <w:r w:rsidRPr="00624526">
        <w:rPr>
          <w:rFonts w:ascii="Georgia" w:hAnsi="Georgia" w:cs="Times New Roman"/>
          <w:sz w:val="24"/>
          <w:szCs w:val="24"/>
        </w:rPr>
        <w:t xml:space="preserve"> that TV ownership multiplied dramatically; there were 100,000 sets in the United States in 1947, which increased to three million by 1950, ten million the next year and thirty five million in 1956. Leo </w:t>
      </w:r>
      <w:proofErr w:type="spellStart"/>
      <w:r w:rsidRPr="00624526">
        <w:rPr>
          <w:rFonts w:ascii="Georgia" w:hAnsi="Georgia" w:cs="Times New Roman"/>
          <w:sz w:val="24"/>
          <w:szCs w:val="24"/>
        </w:rPr>
        <w:t>Bogard</w:t>
      </w:r>
      <w:proofErr w:type="spellEnd"/>
      <w:r w:rsidRPr="00624526">
        <w:rPr>
          <w:rFonts w:ascii="Georgia" w:hAnsi="Georgia" w:cs="Times New Roman"/>
          <w:sz w:val="24"/>
          <w:szCs w:val="24"/>
        </w:rPr>
        <w:t xml:space="preserve"> justifiably described the Fifties as ‘The Age of Television’; by the end of the decade 90% of homes had television.</w:t>
      </w:r>
      <w:r w:rsidRPr="00624526">
        <w:rPr>
          <w:rStyle w:val="FootnoteReference"/>
          <w:rFonts w:ascii="Georgia" w:hAnsi="Georgia" w:cs="Times New Roman"/>
          <w:sz w:val="24"/>
          <w:szCs w:val="24"/>
        </w:rPr>
        <w:footnoteReference w:id="9"/>
      </w:r>
      <w:r w:rsidRPr="00624526">
        <w:rPr>
          <w:rFonts w:ascii="Georgia" w:hAnsi="Georgia" w:cs="Times New Roman"/>
          <w:sz w:val="24"/>
          <w:szCs w:val="24"/>
        </w:rPr>
        <w:t xml:space="preserve"> Television transformed American society, as Jeffrey Hart has noted: “it not only changed marketing, politics, behaviour, style; it changed </w:t>
      </w:r>
      <w:r w:rsidRPr="00624526">
        <w:rPr>
          <w:rFonts w:ascii="Georgia" w:hAnsi="Georgia" w:cs="Times New Roman"/>
          <w:i/>
          <w:sz w:val="24"/>
          <w:szCs w:val="24"/>
        </w:rPr>
        <w:t>consciousness</w:t>
      </w:r>
      <w:r w:rsidRPr="00624526">
        <w:rPr>
          <w:rFonts w:ascii="Georgia" w:hAnsi="Georgia" w:cs="Times New Roman"/>
          <w:sz w:val="24"/>
          <w:szCs w:val="24"/>
        </w:rPr>
        <w:t xml:space="preserve"> [original emphasis].”</w:t>
      </w:r>
      <w:r w:rsidRPr="00624526">
        <w:rPr>
          <w:rStyle w:val="FootnoteReference"/>
          <w:rFonts w:ascii="Georgia" w:hAnsi="Georgia" w:cs="Times New Roman"/>
          <w:sz w:val="24"/>
          <w:szCs w:val="24"/>
        </w:rPr>
        <w:footnoteReference w:id="10"/>
      </w:r>
      <w:r w:rsidRPr="00624526">
        <w:rPr>
          <w:rFonts w:ascii="Georgia" w:hAnsi="Georgia" w:cs="Times New Roman"/>
          <w:sz w:val="24"/>
          <w:szCs w:val="24"/>
        </w:rPr>
        <w:t xml:space="preserve"> Given this hegemonic influence, one would expect television to have had a significant impact on the Fifties’ blossoming youth culture. It did- 30% of Coleman’s subjects spent more than three hours in front of the TV- but only to an extent.  Students in the 9</w:t>
      </w:r>
      <w:r w:rsidRPr="00624526">
        <w:rPr>
          <w:rFonts w:ascii="Georgia" w:hAnsi="Georgia" w:cs="Times New Roman"/>
          <w:sz w:val="24"/>
          <w:szCs w:val="24"/>
          <w:vertAlign w:val="superscript"/>
        </w:rPr>
        <w:t>th</w:t>
      </w:r>
      <w:r w:rsidRPr="00624526">
        <w:rPr>
          <w:rFonts w:ascii="Georgia" w:hAnsi="Georgia" w:cs="Times New Roman"/>
          <w:sz w:val="24"/>
          <w:szCs w:val="24"/>
        </w:rPr>
        <w:t>-12</w:t>
      </w:r>
      <w:r w:rsidRPr="00624526">
        <w:rPr>
          <w:rFonts w:ascii="Georgia" w:hAnsi="Georgia" w:cs="Times New Roman"/>
          <w:sz w:val="24"/>
          <w:szCs w:val="24"/>
          <w:vertAlign w:val="superscript"/>
        </w:rPr>
        <w:t>th</w:t>
      </w:r>
      <w:r w:rsidRPr="00624526">
        <w:rPr>
          <w:rFonts w:ascii="Georgia" w:hAnsi="Georgia" w:cs="Times New Roman"/>
          <w:sz w:val="24"/>
          <w:szCs w:val="24"/>
        </w:rPr>
        <w:t xml:space="preserve"> grade, the demographic from which youth culture was derived, spent significantly less time watching than their elementary and middle school counterparts.</w:t>
      </w:r>
      <w:r w:rsidRPr="00624526">
        <w:rPr>
          <w:rStyle w:val="FootnoteReference"/>
          <w:rFonts w:ascii="Georgia" w:hAnsi="Georgia" w:cs="Times New Roman"/>
          <w:sz w:val="24"/>
          <w:szCs w:val="24"/>
        </w:rPr>
        <w:footnoteReference w:id="11"/>
      </w:r>
      <w:r w:rsidRPr="00624526">
        <w:rPr>
          <w:rFonts w:ascii="Georgia" w:hAnsi="Georgia" w:cs="Times New Roman"/>
          <w:sz w:val="24"/>
          <w:szCs w:val="24"/>
        </w:rPr>
        <w:t xml:space="preserve"> I would argue, then, that in terms of creating the distinctive youth culture of the 1950s, television’s impact was more indirect than it was direct. Indeed, television actually helped other media accommodate rock ‘n’ roll, and, as I will later explain, also encouraged more teenagers to cinemas. </w:t>
      </w:r>
    </w:p>
    <w:p w14:paraId="56422A55" w14:textId="77777777" w:rsidR="00D77CAE" w:rsidRPr="00624526" w:rsidRDefault="00D77CAE" w:rsidP="00D77CAE">
      <w:pPr>
        <w:pStyle w:val="NoSpacing"/>
        <w:spacing w:line="360" w:lineRule="auto"/>
        <w:jc w:val="both"/>
        <w:rPr>
          <w:rFonts w:ascii="Georgia" w:hAnsi="Georgia" w:cs="Times New Roman"/>
          <w:sz w:val="24"/>
          <w:szCs w:val="24"/>
        </w:rPr>
      </w:pPr>
      <w:r w:rsidRPr="00624526">
        <w:rPr>
          <w:rFonts w:ascii="Georgia" w:hAnsi="Georgia" w:cs="Times New Roman"/>
          <w:sz w:val="24"/>
          <w:szCs w:val="24"/>
        </w:rPr>
        <w:tab/>
        <w:t xml:space="preserve">This needs qualification. Since, as rock historian Jim Curtis put it, television was so important in the Fifties “that the media mix consisted of television on one hand and everything else on the other,” TV necessarily had a part to play in youth culture, especially in the rise of rock ‘n’ roll. Television was the “ground” on which rock ‘n’ roll’s </w:t>
      </w:r>
      <w:r w:rsidRPr="00624526">
        <w:rPr>
          <w:rFonts w:ascii="Georgia" w:hAnsi="Georgia" w:cs="Times New Roman"/>
          <w:sz w:val="24"/>
          <w:szCs w:val="24"/>
        </w:rPr>
        <w:lastRenderedPageBreak/>
        <w:t xml:space="preserve">popularity was judged: Elvis Presley truly emerged as a national sensation with a series of TV appearances in 1955, most famously on the Ed Sullivan show, and by 1957 network television was broadcasting Dick Clark’s </w:t>
      </w:r>
      <w:r w:rsidRPr="00624526">
        <w:rPr>
          <w:rFonts w:ascii="Georgia" w:hAnsi="Georgia" w:cs="Times New Roman"/>
          <w:i/>
          <w:sz w:val="24"/>
          <w:szCs w:val="24"/>
        </w:rPr>
        <w:t>American Bandstand</w:t>
      </w:r>
      <w:r w:rsidRPr="00624526">
        <w:rPr>
          <w:rFonts w:ascii="Georgia" w:hAnsi="Georgia" w:cs="Times New Roman"/>
          <w:sz w:val="24"/>
          <w:szCs w:val="24"/>
        </w:rPr>
        <w:t>, a whole program devoted to the new music.</w:t>
      </w:r>
      <w:r w:rsidRPr="00624526">
        <w:rPr>
          <w:rStyle w:val="FootnoteReference"/>
          <w:rFonts w:ascii="Georgia" w:hAnsi="Georgia" w:cs="Times New Roman"/>
          <w:sz w:val="24"/>
          <w:szCs w:val="24"/>
        </w:rPr>
        <w:t xml:space="preserve"> </w:t>
      </w:r>
      <w:r w:rsidRPr="00624526">
        <w:rPr>
          <w:rStyle w:val="FootnoteReference"/>
          <w:rFonts w:ascii="Georgia" w:hAnsi="Georgia" w:cs="Times New Roman"/>
          <w:sz w:val="24"/>
          <w:szCs w:val="24"/>
        </w:rPr>
        <w:footnoteReference w:id="12"/>
      </w:r>
      <w:r w:rsidRPr="00624526">
        <w:rPr>
          <w:rFonts w:ascii="Georgia" w:hAnsi="Georgia" w:cs="Times New Roman"/>
          <w:sz w:val="24"/>
          <w:szCs w:val="24"/>
        </w:rPr>
        <w:t xml:space="preserve"> But by this time the stylistic innovations that created rock ‘n’ roll had already taken place; rhythm and blues songs had started to become crossover hits and Elvis act had been worked out in Memphis before making it big. Rock ‘n’ roll was popular before it made it to television, and networks did not accord it prime time anyhow. Doubtless, television boosted rock ‘n’ roll’s success but artists had already made an impact in other media before making it onto the nation’s screens. Radio played a bigger role in rock ‘n’ roll’s emergence, devoting far more air-time to it than TV, especially with the advent of Top Forty stations. Ironically, radio was only able to do this as a result of television’s success: the transfer of comedy and variety programming from radio to TV left hours of empty air-time which was filled by popular music.</w:t>
      </w:r>
      <w:r w:rsidRPr="00624526">
        <w:rPr>
          <w:rStyle w:val="FootnoteReference"/>
          <w:rFonts w:ascii="Georgia" w:hAnsi="Georgia" w:cs="Times New Roman"/>
          <w:sz w:val="24"/>
          <w:szCs w:val="24"/>
        </w:rPr>
        <w:footnoteReference w:id="13"/>
      </w:r>
      <w:r w:rsidRPr="00624526">
        <w:rPr>
          <w:rFonts w:ascii="Georgia" w:hAnsi="Georgia" w:cs="Times New Roman"/>
          <w:sz w:val="24"/>
          <w:szCs w:val="24"/>
        </w:rPr>
        <w:t xml:space="preserve"> By the mid-Fifties rock disc-jockeys emerged as a new type of celebrity across the country, symptomatic of radio’s influence. The mass-distribution of the transistor radio in the Fifties was particularly significant to rock ‘n’ roll’s popularity with a young audience. Transistors were small, portable and could be listened to in a variety of settings. Fifties teenagers could, therefore, listen to music in their own private spaces, namely the bedroom or the car, away from their parents, which gave teenagers a more intimate and personal relationship with the music they listened to than was previously possible.</w:t>
      </w:r>
      <w:r w:rsidRPr="00624526">
        <w:rPr>
          <w:rStyle w:val="FootnoteReference"/>
          <w:rFonts w:ascii="Georgia" w:hAnsi="Georgia" w:cs="Times New Roman"/>
          <w:sz w:val="24"/>
          <w:szCs w:val="24"/>
        </w:rPr>
        <w:footnoteReference w:id="14"/>
      </w:r>
      <w:r w:rsidRPr="00624526">
        <w:rPr>
          <w:rFonts w:ascii="Georgia" w:hAnsi="Georgia" w:cs="Times New Roman"/>
          <w:sz w:val="24"/>
          <w:szCs w:val="24"/>
        </w:rPr>
        <w:t xml:space="preserve"> </w:t>
      </w:r>
    </w:p>
    <w:p w14:paraId="435EF51E" w14:textId="77777777" w:rsidR="00D77CAE" w:rsidRPr="00624526" w:rsidRDefault="00D77CAE" w:rsidP="00D77CAE">
      <w:pPr>
        <w:pStyle w:val="NoSpacing"/>
        <w:spacing w:line="360" w:lineRule="auto"/>
        <w:ind w:firstLine="720"/>
        <w:jc w:val="both"/>
        <w:rPr>
          <w:rFonts w:ascii="Georgia" w:hAnsi="Georgia" w:cs="Times New Roman"/>
          <w:sz w:val="24"/>
          <w:szCs w:val="24"/>
        </w:rPr>
      </w:pPr>
      <w:r w:rsidRPr="00624526">
        <w:rPr>
          <w:rFonts w:ascii="Georgia" w:hAnsi="Georgia" w:cs="Times New Roman"/>
          <w:sz w:val="24"/>
          <w:szCs w:val="24"/>
        </w:rPr>
        <w:t>The 45-rpm (revolutions-per-minute) single served a similar function. Prior to the Fifties, recorded music was sold</w:t>
      </w:r>
      <w:r w:rsidRPr="00624526">
        <w:rPr>
          <w:rFonts w:ascii="Georgia" w:hAnsi="Georgia" w:cs="Times New Roman"/>
          <w:color w:val="000000" w:themeColor="text1"/>
          <w:sz w:val="24"/>
          <w:szCs w:val="24"/>
        </w:rPr>
        <w:t xml:space="preserve"> in heavy 10-12 inch, 78rpm celluloid, and sheet music remained popular music’s primary medium. This changed when record companies developed vinyl records in 1948, Columbia’s 33½-rpm format and RCA Victor 45-rpm units.  Vinyl had numerous advantages over the old 78rpms: forty-fives were light, durable and cheap. People could “flip through the records, stack them or carry them around” much easier, and could be listened to again and again. Sales of recorded music increased dramatically - by the end of the 1950s the 45-rpm single was the “most widespread medium” among young people.</w:t>
      </w:r>
      <w:r w:rsidRPr="00624526">
        <w:rPr>
          <w:rStyle w:val="FootnoteReference"/>
          <w:rFonts w:ascii="Georgia" w:hAnsi="Georgia" w:cs="Times New Roman"/>
          <w:color w:val="000000" w:themeColor="text1"/>
          <w:sz w:val="24"/>
          <w:szCs w:val="24"/>
        </w:rPr>
        <w:footnoteReference w:id="15"/>
      </w:r>
      <w:r w:rsidRPr="00624526">
        <w:rPr>
          <w:rFonts w:ascii="Georgia" w:hAnsi="Georgia" w:cs="Times New Roman"/>
          <w:color w:val="000000" w:themeColor="text1"/>
          <w:sz w:val="24"/>
          <w:szCs w:val="24"/>
        </w:rPr>
        <w:t xml:space="preserve"> This marked Fifties youths as </w:t>
      </w:r>
      <w:r w:rsidRPr="00624526">
        <w:rPr>
          <w:rFonts w:ascii="Georgia" w:hAnsi="Georgia" w:cs="Times New Roman"/>
          <w:color w:val="000000" w:themeColor="text1"/>
          <w:sz w:val="24"/>
          <w:szCs w:val="24"/>
        </w:rPr>
        <w:lastRenderedPageBreak/>
        <w:t xml:space="preserve">different to previous generations; since teenagers could </w:t>
      </w:r>
      <w:r w:rsidRPr="00624526">
        <w:rPr>
          <w:rFonts w:ascii="Georgia" w:hAnsi="Georgia" w:cs="Times New Roman"/>
          <w:i/>
          <w:color w:val="000000" w:themeColor="text1"/>
          <w:sz w:val="24"/>
          <w:szCs w:val="24"/>
        </w:rPr>
        <w:t>own</w:t>
      </w:r>
      <w:r w:rsidRPr="00624526">
        <w:rPr>
          <w:rFonts w:ascii="Georgia" w:hAnsi="Georgia" w:cs="Times New Roman"/>
          <w:color w:val="000000" w:themeColor="text1"/>
          <w:sz w:val="24"/>
          <w:szCs w:val="24"/>
        </w:rPr>
        <w:t xml:space="preserve"> their favourite songs in a convenient format they had a closer relationship to the music they listened to - they were no longer restricted to live performance or unreliable 78rpm units. The fact that more young people bought records than adults increased their </w:t>
      </w:r>
      <w:r w:rsidRPr="00624526">
        <w:rPr>
          <w:rFonts w:ascii="Georgia" w:hAnsi="Georgia" w:cs="Times New Roman"/>
          <w:sz w:val="24"/>
          <w:szCs w:val="24"/>
        </w:rPr>
        <w:t xml:space="preserve">consciousness of themselves as separate from their parents’ world. This was enhanced by the uniqueness of the music they </w:t>
      </w:r>
      <w:r w:rsidRPr="00624526">
        <w:rPr>
          <w:rFonts w:ascii="Georgia" w:hAnsi="Georgia" w:cs="Times New Roman"/>
          <w:color w:val="000000" w:themeColor="text1"/>
          <w:sz w:val="24"/>
          <w:szCs w:val="24"/>
        </w:rPr>
        <w:t xml:space="preserve">listened to, rock ‘n’ roll, which </w:t>
      </w:r>
      <w:r w:rsidRPr="00624526">
        <w:rPr>
          <w:rFonts w:ascii="Georgia" w:hAnsi="Georgia" w:cs="Times New Roman"/>
          <w:sz w:val="24"/>
          <w:szCs w:val="24"/>
        </w:rPr>
        <w:t xml:space="preserve">integrated adolescent themes, such as in Chuck Berry’s ‘School Days.’ Young people could listen to songs about their own lives sung by their peers: the Fifties saw a succession of teen-acts like Frankie </w:t>
      </w:r>
      <w:proofErr w:type="spellStart"/>
      <w:r w:rsidRPr="00624526">
        <w:rPr>
          <w:rFonts w:ascii="Georgia" w:hAnsi="Georgia" w:cs="Times New Roman"/>
          <w:sz w:val="24"/>
          <w:szCs w:val="24"/>
        </w:rPr>
        <w:t>Lymon</w:t>
      </w:r>
      <w:proofErr w:type="spellEnd"/>
      <w:r w:rsidRPr="00624526">
        <w:rPr>
          <w:rFonts w:ascii="Georgia" w:hAnsi="Georgia" w:cs="Times New Roman"/>
          <w:sz w:val="24"/>
          <w:szCs w:val="24"/>
        </w:rPr>
        <w:t xml:space="preserve"> and The Teenagers and Richie Valens (who was only seventeen when he died).</w:t>
      </w:r>
      <w:r w:rsidRPr="00624526">
        <w:rPr>
          <w:rStyle w:val="FootnoteReference"/>
          <w:rFonts w:ascii="Georgia" w:hAnsi="Georgia" w:cs="Times New Roman"/>
          <w:sz w:val="24"/>
          <w:szCs w:val="24"/>
        </w:rPr>
        <w:footnoteReference w:id="16"/>
      </w:r>
    </w:p>
    <w:p w14:paraId="2CEE4B81" w14:textId="77777777" w:rsidR="00D77CAE" w:rsidRPr="00624526" w:rsidRDefault="00D77CAE" w:rsidP="00D77CAE">
      <w:pPr>
        <w:pStyle w:val="NoSpacing"/>
        <w:spacing w:line="360" w:lineRule="auto"/>
        <w:ind w:firstLine="720"/>
        <w:jc w:val="both"/>
        <w:rPr>
          <w:rFonts w:ascii="Georgia" w:hAnsi="Georgia" w:cs="Times New Roman"/>
          <w:sz w:val="24"/>
          <w:szCs w:val="24"/>
        </w:rPr>
      </w:pPr>
      <w:r w:rsidRPr="00624526">
        <w:rPr>
          <w:rFonts w:ascii="Georgia" w:hAnsi="Georgia" w:cs="Times New Roman"/>
          <w:sz w:val="24"/>
          <w:szCs w:val="24"/>
        </w:rPr>
        <w:t xml:space="preserve">Just as television had helped increase the popularity of rock ‘n’ roll, so did the movies. Indeed, one of the first films to deal with juvenile delinquency, </w:t>
      </w:r>
      <w:r w:rsidRPr="00624526">
        <w:rPr>
          <w:rFonts w:ascii="Georgia" w:hAnsi="Georgia" w:cs="Times New Roman"/>
          <w:i/>
          <w:sz w:val="24"/>
          <w:szCs w:val="24"/>
        </w:rPr>
        <w:t>Blackboard Jungle</w:t>
      </w:r>
      <w:r w:rsidRPr="00624526">
        <w:rPr>
          <w:rFonts w:ascii="Georgia" w:hAnsi="Georgia" w:cs="Times New Roman"/>
          <w:sz w:val="24"/>
          <w:szCs w:val="24"/>
        </w:rPr>
        <w:t xml:space="preserve"> (1955), was largely responsible for popularising the first crossover rock ‘n’ roll hit ‘Rock Around the Clock’ by Bill Haley and the Comets.</w:t>
      </w:r>
      <w:r w:rsidRPr="00624526">
        <w:rPr>
          <w:rStyle w:val="FootnoteReference"/>
          <w:rFonts w:ascii="Georgia" w:hAnsi="Georgia" w:cs="Times New Roman"/>
          <w:sz w:val="24"/>
          <w:szCs w:val="24"/>
        </w:rPr>
        <w:footnoteReference w:id="17"/>
      </w:r>
      <w:r w:rsidRPr="00624526">
        <w:rPr>
          <w:rFonts w:ascii="Georgia" w:hAnsi="Georgia" w:cs="Times New Roman"/>
          <w:sz w:val="24"/>
          <w:szCs w:val="24"/>
        </w:rPr>
        <w:t xml:space="preserve"> Likewise, Elvis’ hugely successful film career further contributed to his mass appeal. Again it was television that created the market for movies featuring rebellious youth or musicians. Whilst great swathes of the adult population remained at home to be entertained by television, the adolescent audience at movie theatres maintained its numbers in the 1950s. The teenage dollar thus assumed great significance in the economy of the film industry- as a consequence, by the mid-Fifties Hollywood began catering to the youth market by making movies that addressed young people’s interests and concerns.</w:t>
      </w:r>
      <w:r w:rsidRPr="00624526">
        <w:rPr>
          <w:rStyle w:val="FootnoteReference"/>
          <w:rFonts w:ascii="Georgia" w:hAnsi="Georgia" w:cs="Times New Roman"/>
          <w:sz w:val="24"/>
          <w:szCs w:val="24"/>
        </w:rPr>
        <w:footnoteReference w:id="18"/>
      </w:r>
      <w:r w:rsidRPr="00624526">
        <w:rPr>
          <w:rFonts w:ascii="Georgia" w:hAnsi="Georgia" w:cs="Times New Roman"/>
          <w:sz w:val="24"/>
          <w:szCs w:val="24"/>
        </w:rPr>
        <w:t xml:space="preserve"> Having seen the success of Haley’s song, Columbia commissioned the cash-in </w:t>
      </w:r>
      <w:r w:rsidRPr="00624526">
        <w:rPr>
          <w:rFonts w:ascii="Georgia" w:hAnsi="Georgia" w:cs="Times New Roman"/>
          <w:i/>
          <w:sz w:val="24"/>
          <w:szCs w:val="24"/>
        </w:rPr>
        <w:t>Rock Around the Clock</w:t>
      </w:r>
      <w:r w:rsidRPr="00624526">
        <w:rPr>
          <w:rFonts w:ascii="Georgia" w:hAnsi="Georgia" w:cs="Times New Roman"/>
          <w:sz w:val="24"/>
          <w:szCs w:val="24"/>
        </w:rPr>
        <w:t xml:space="preserve"> (1956), which set the tone for a cycle of movies featuring numerous early rockers. Similarly, buoyed by the success of </w:t>
      </w:r>
      <w:r w:rsidRPr="00624526">
        <w:rPr>
          <w:rFonts w:ascii="Georgia" w:hAnsi="Georgia" w:cs="Times New Roman"/>
          <w:i/>
          <w:sz w:val="24"/>
          <w:szCs w:val="24"/>
        </w:rPr>
        <w:t xml:space="preserve">Rebel </w:t>
      </w:r>
      <w:proofErr w:type="gramStart"/>
      <w:r w:rsidRPr="00624526">
        <w:rPr>
          <w:rFonts w:ascii="Georgia" w:hAnsi="Georgia" w:cs="Times New Roman"/>
          <w:i/>
          <w:sz w:val="24"/>
          <w:szCs w:val="24"/>
        </w:rPr>
        <w:t>Without</w:t>
      </w:r>
      <w:proofErr w:type="gramEnd"/>
      <w:r w:rsidRPr="00624526">
        <w:rPr>
          <w:rFonts w:ascii="Georgia" w:hAnsi="Georgia" w:cs="Times New Roman"/>
          <w:i/>
          <w:sz w:val="24"/>
          <w:szCs w:val="24"/>
        </w:rPr>
        <w:t xml:space="preserve"> a Cause</w:t>
      </w:r>
      <w:r w:rsidRPr="00624526">
        <w:rPr>
          <w:rFonts w:ascii="Georgia" w:hAnsi="Georgia" w:cs="Times New Roman"/>
          <w:sz w:val="24"/>
          <w:szCs w:val="24"/>
        </w:rPr>
        <w:t xml:space="preserve"> (1955), studios released a swathe of movies featuring drag-racing and delinquency - </w:t>
      </w:r>
      <w:r w:rsidRPr="00624526">
        <w:rPr>
          <w:rFonts w:ascii="Georgia" w:hAnsi="Georgia" w:cs="Times New Roman"/>
          <w:i/>
          <w:sz w:val="24"/>
          <w:szCs w:val="24"/>
        </w:rPr>
        <w:t xml:space="preserve">Teenage </w:t>
      </w:r>
      <w:proofErr w:type="spellStart"/>
      <w:r w:rsidRPr="00624526">
        <w:rPr>
          <w:rFonts w:ascii="Georgia" w:hAnsi="Georgia" w:cs="Times New Roman"/>
          <w:i/>
          <w:sz w:val="24"/>
          <w:szCs w:val="24"/>
        </w:rPr>
        <w:t>Crimewave</w:t>
      </w:r>
      <w:proofErr w:type="spellEnd"/>
      <w:r w:rsidRPr="00624526">
        <w:rPr>
          <w:rFonts w:ascii="Georgia" w:hAnsi="Georgia" w:cs="Times New Roman"/>
          <w:i/>
          <w:sz w:val="24"/>
          <w:szCs w:val="24"/>
        </w:rPr>
        <w:t xml:space="preserve"> </w:t>
      </w:r>
      <w:r w:rsidRPr="00624526">
        <w:rPr>
          <w:rFonts w:ascii="Georgia" w:hAnsi="Georgia" w:cs="Times New Roman"/>
          <w:sz w:val="24"/>
          <w:szCs w:val="24"/>
        </w:rPr>
        <w:t xml:space="preserve">(1955), </w:t>
      </w:r>
      <w:r w:rsidRPr="00624526">
        <w:rPr>
          <w:rFonts w:ascii="Georgia" w:hAnsi="Georgia" w:cs="Times New Roman"/>
          <w:i/>
          <w:sz w:val="24"/>
          <w:szCs w:val="24"/>
        </w:rPr>
        <w:t>Crime in the Streets</w:t>
      </w:r>
      <w:r w:rsidRPr="00624526">
        <w:rPr>
          <w:rFonts w:ascii="Georgia" w:hAnsi="Georgia" w:cs="Times New Roman"/>
          <w:sz w:val="24"/>
          <w:szCs w:val="24"/>
        </w:rPr>
        <w:t xml:space="preserve"> (1956) and </w:t>
      </w:r>
      <w:r w:rsidRPr="00624526">
        <w:rPr>
          <w:rFonts w:ascii="Georgia" w:hAnsi="Georgia" w:cs="Times New Roman"/>
          <w:i/>
          <w:sz w:val="24"/>
          <w:szCs w:val="24"/>
        </w:rPr>
        <w:t>The Delinquents</w:t>
      </w:r>
      <w:r w:rsidRPr="00624526">
        <w:rPr>
          <w:rFonts w:ascii="Georgia" w:hAnsi="Georgia" w:cs="Times New Roman"/>
          <w:sz w:val="24"/>
          <w:szCs w:val="24"/>
        </w:rPr>
        <w:t xml:space="preserve"> (1957) to name but three.</w:t>
      </w:r>
      <w:r w:rsidRPr="00624526">
        <w:rPr>
          <w:rStyle w:val="FootnoteReference"/>
          <w:rFonts w:ascii="Georgia" w:hAnsi="Georgia" w:cs="Times New Roman"/>
          <w:sz w:val="24"/>
          <w:szCs w:val="24"/>
        </w:rPr>
        <w:footnoteReference w:id="19"/>
      </w:r>
      <w:r w:rsidRPr="00624526">
        <w:rPr>
          <w:rFonts w:ascii="Georgia" w:hAnsi="Georgia" w:cs="Times New Roman"/>
          <w:sz w:val="24"/>
          <w:szCs w:val="24"/>
        </w:rPr>
        <w:t xml:space="preserve"> In addition, pictures such as </w:t>
      </w:r>
      <w:r w:rsidRPr="00624526">
        <w:rPr>
          <w:rFonts w:ascii="Georgia" w:hAnsi="Georgia" w:cs="Times New Roman"/>
          <w:i/>
          <w:sz w:val="24"/>
          <w:szCs w:val="24"/>
        </w:rPr>
        <w:t>The Curse of Frankenstein</w:t>
      </w:r>
      <w:r w:rsidRPr="00624526">
        <w:rPr>
          <w:rFonts w:ascii="Georgia" w:hAnsi="Georgia" w:cs="Times New Roman"/>
          <w:sz w:val="24"/>
          <w:szCs w:val="24"/>
        </w:rPr>
        <w:t xml:space="preserve"> (1956) and </w:t>
      </w:r>
      <w:r w:rsidRPr="00624526">
        <w:rPr>
          <w:rFonts w:ascii="Georgia" w:hAnsi="Georgia" w:cs="Times New Roman"/>
          <w:i/>
          <w:sz w:val="24"/>
          <w:szCs w:val="24"/>
        </w:rPr>
        <w:t>The Fly</w:t>
      </w:r>
      <w:r w:rsidRPr="00624526">
        <w:rPr>
          <w:rFonts w:ascii="Georgia" w:hAnsi="Georgia" w:cs="Times New Roman"/>
          <w:sz w:val="24"/>
          <w:szCs w:val="24"/>
        </w:rPr>
        <w:t xml:space="preserve"> (1958) appealed to teenage audiences by featuring young people as characters at a time when improvements in effects-technology horror and science fiction movies </w:t>
      </w:r>
      <w:r w:rsidRPr="00624526">
        <w:rPr>
          <w:rFonts w:ascii="Georgia" w:hAnsi="Georgia" w:cs="Times New Roman"/>
          <w:sz w:val="24"/>
          <w:szCs w:val="24"/>
        </w:rPr>
        <w:lastRenderedPageBreak/>
        <w:t>could more convincingly rendered.</w:t>
      </w:r>
      <w:r w:rsidRPr="00624526">
        <w:rPr>
          <w:rStyle w:val="FootnoteReference"/>
          <w:rFonts w:ascii="Georgia" w:hAnsi="Georgia" w:cs="Times New Roman"/>
          <w:sz w:val="24"/>
          <w:szCs w:val="24"/>
        </w:rPr>
        <w:footnoteReference w:id="20"/>
      </w:r>
      <w:r w:rsidRPr="00624526">
        <w:rPr>
          <w:rFonts w:ascii="Georgia" w:hAnsi="Georgia" w:cs="Times New Roman"/>
          <w:sz w:val="24"/>
          <w:szCs w:val="24"/>
        </w:rPr>
        <w:t xml:space="preserve"> This specific targeting made Fifties teenagers different to their predecessors: the films they went to see were aimed towards their tastes, and shared similar claims as rock ‘n’ roll songs to be specially made </w:t>
      </w:r>
      <w:r w:rsidRPr="00624526">
        <w:rPr>
          <w:rFonts w:ascii="Georgia" w:hAnsi="Georgia" w:cs="Times New Roman"/>
          <w:i/>
          <w:sz w:val="24"/>
          <w:szCs w:val="24"/>
        </w:rPr>
        <w:t>for them</w:t>
      </w:r>
      <w:r w:rsidRPr="00624526">
        <w:rPr>
          <w:rFonts w:ascii="Georgia" w:hAnsi="Georgia" w:cs="Times New Roman"/>
          <w:sz w:val="24"/>
          <w:szCs w:val="24"/>
        </w:rPr>
        <w:t>. Such was the increased economic importance of adolescents to Hollywood that by the end of the decade cinema had become a “special medium” for teenagers.</w:t>
      </w:r>
      <w:r w:rsidRPr="00624526">
        <w:rPr>
          <w:rStyle w:val="FootnoteReference"/>
          <w:rFonts w:ascii="Georgia" w:hAnsi="Georgia" w:cs="Times New Roman"/>
          <w:sz w:val="24"/>
          <w:szCs w:val="24"/>
        </w:rPr>
        <w:footnoteReference w:id="21"/>
      </w:r>
      <w:r w:rsidRPr="00624526">
        <w:rPr>
          <w:rFonts w:ascii="Georgia" w:hAnsi="Georgia" w:cs="Times New Roman"/>
          <w:sz w:val="24"/>
          <w:szCs w:val="24"/>
        </w:rPr>
        <w:t xml:space="preserve"> This exclusivity reinforced the notion that a distinctive youth culture was being formed. </w:t>
      </w:r>
    </w:p>
    <w:p w14:paraId="4CD351E7" w14:textId="77777777" w:rsidR="00D77CAE" w:rsidRPr="00624526" w:rsidRDefault="00D77CAE" w:rsidP="00D77CAE">
      <w:pPr>
        <w:pStyle w:val="NoSpacing"/>
        <w:spacing w:line="360" w:lineRule="auto"/>
        <w:ind w:firstLine="720"/>
        <w:jc w:val="both"/>
        <w:rPr>
          <w:rFonts w:ascii="Georgia" w:hAnsi="Georgia" w:cs="Times New Roman"/>
          <w:sz w:val="24"/>
          <w:szCs w:val="24"/>
        </w:rPr>
      </w:pPr>
      <w:r w:rsidRPr="00624526">
        <w:rPr>
          <w:rFonts w:ascii="Georgia" w:hAnsi="Georgia" w:cs="Times New Roman"/>
          <w:sz w:val="24"/>
          <w:szCs w:val="24"/>
        </w:rPr>
        <w:t>One should be aware, though, that just because youth culture became more exclusive from the adult world did not necessarily mean it had broken from mainstream norms and values. Indeed, the spending patterns of teenagers reveal how much Fifties teenagers conformed to corporate capitalism; they were a valuable market within this system, spending an estimated $10 billion per annum during the 1950s.</w:t>
      </w:r>
      <w:r w:rsidRPr="00624526">
        <w:rPr>
          <w:rStyle w:val="FootnoteReference"/>
          <w:rFonts w:ascii="Georgia" w:hAnsi="Georgia" w:cs="Times New Roman"/>
          <w:sz w:val="24"/>
          <w:szCs w:val="24"/>
        </w:rPr>
        <w:footnoteReference w:id="22"/>
      </w:r>
      <w:r w:rsidRPr="00624526">
        <w:rPr>
          <w:rFonts w:ascii="Georgia" w:hAnsi="Georgia" w:cs="Times New Roman"/>
          <w:sz w:val="24"/>
          <w:szCs w:val="24"/>
        </w:rPr>
        <w:t xml:space="preserve"> Illuminatingly, Coleman believed that the image of juvenile rebellion had been falsely manipulated by the press, observing: “Many adults have little contact with teen-agers except through newspapers...if they think of teen-agers as members of delinquent gangs and rock-and-roll addicts it is in part because these are the only activities visible to them via the news.”</w:t>
      </w:r>
      <w:r w:rsidRPr="00624526">
        <w:rPr>
          <w:rStyle w:val="FootnoteReference"/>
          <w:rFonts w:ascii="Georgia" w:hAnsi="Georgia" w:cs="Times New Roman"/>
          <w:sz w:val="24"/>
          <w:szCs w:val="24"/>
        </w:rPr>
        <w:footnoteReference w:id="23"/>
      </w:r>
      <w:r w:rsidRPr="00624526">
        <w:rPr>
          <w:rFonts w:ascii="Georgia" w:hAnsi="Georgia" w:cs="Times New Roman"/>
          <w:sz w:val="24"/>
          <w:szCs w:val="24"/>
        </w:rPr>
        <w:t xml:space="preserve"> An analysis of the popular films and music of the day supports Coleman’s assertion. Whilst less likely to attract headlines or critical analysis, a cycle of “clean </w:t>
      </w:r>
      <w:proofErr w:type="spellStart"/>
      <w:r w:rsidRPr="00624526">
        <w:rPr>
          <w:rFonts w:ascii="Georgia" w:hAnsi="Georgia" w:cs="Times New Roman"/>
          <w:sz w:val="24"/>
          <w:szCs w:val="24"/>
        </w:rPr>
        <w:t>teenpics</w:t>
      </w:r>
      <w:proofErr w:type="spellEnd"/>
      <w:r w:rsidRPr="00624526">
        <w:rPr>
          <w:rFonts w:ascii="Georgia" w:hAnsi="Georgia" w:cs="Times New Roman"/>
          <w:sz w:val="24"/>
          <w:szCs w:val="24"/>
        </w:rPr>
        <w:t>” which offered the “prospect of a warm, familial acceptance and reconciliation” earned box-office receipts from the same audience that flocked to juvenile delinquent films during the Fifties.</w:t>
      </w:r>
      <w:r w:rsidRPr="00624526">
        <w:rPr>
          <w:rStyle w:val="FootnoteReference"/>
          <w:rFonts w:ascii="Georgia" w:hAnsi="Georgia" w:cs="Times New Roman"/>
          <w:sz w:val="24"/>
          <w:szCs w:val="24"/>
        </w:rPr>
        <w:footnoteReference w:id="24"/>
      </w:r>
      <w:r w:rsidRPr="00624526">
        <w:rPr>
          <w:rFonts w:ascii="Georgia" w:hAnsi="Georgia" w:cs="Times New Roman"/>
          <w:sz w:val="24"/>
          <w:szCs w:val="24"/>
        </w:rPr>
        <w:t xml:space="preserve"> Likewise clean-cut, cardigan wearing Pat Boone, not Elvis Presley, listed as high school students’ favourite singer.</w:t>
      </w:r>
      <w:r w:rsidRPr="00624526">
        <w:rPr>
          <w:rStyle w:val="FootnoteReference"/>
          <w:rFonts w:ascii="Georgia" w:hAnsi="Georgia" w:cs="Times New Roman"/>
          <w:sz w:val="24"/>
          <w:szCs w:val="24"/>
        </w:rPr>
        <w:footnoteReference w:id="25"/>
      </w:r>
      <w:r w:rsidRPr="00624526">
        <w:rPr>
          <w:rFonts w:ascii="Georgia" w:hAnsi="Georgia" w:cs="Times New Roman"/>
          <w:sz w:val="24"/>
          <w:szCs w:val="24"/>
        </w:rPr>
        <w:t xml:space="preserve"> </w:t>
      </w:r>
    </w:p>
    <w:p w14:paraId="61F9F40A" w14:textId="77777777" w:rsidR="00D77CAE" w:rsidRPr="00624526" w:rsidRDefault="00D77CAE" w:rsidP="00D77CAE">
      <w:pPr>
        <w:pStyle w:val="NoSpacing"/>
        <w:spacing w:line="360" w:lineRule="auto"/>
        <w:ind w:firstLine="720"/>
        <w:jc w:val="both"/>
        <w:rPr>
          <w:rFonts w:ascii="Georgia" w:hAnsi="Georgia" w:cs="Times New Roman"/>
          <w:b/>
          <w:sz w:val="24"/>
          <w:szCs w:val="24"/>
        </w:rPr>
      </w:pPr>
      <w:r w:rsidRPr="00624526">
        <w:rPr>
          <w:rFonts w:ascii="Georgia" w:hAnsi="Georgia" w:cs="Times New Roman"/>
          <w:sz w:val="24"/>
          <w:szCs w:val="24"/>
        </w:rPr>
        <w:t xml:space="preserve">It matters less, though, whether the image of adolescents in print and songs or onscreen was conformist or rebellious than the fact that youth culture was acknowledged in the media on an unprecedented level in the 1950s. In addition to this increased representation, the different ways young people consumed media made Fifties youth culture different to preceding generations. Reading Coleman, it seems clear that media served a primarily a social function in youth culture. He wrote:  “Music and dancing provide a context which (adolescents) can more easily meet and enjoy the company of the opposite sex and movies provide a place to be alone with a </w:t>
      </w:r>
      <w:r w:rsidRPr="00624526">
        <w:rPr>
          <w:rFonts w:ascii="Georgia" w:hAnsi="Georgia" w:cs="Times New Roman"/>
          <w:sz w:val="24"/>
          <w:szCs w:val="24"/>
        </w:rPr>
        <w:lastRenderedPageBreak/>
        <w:t>date,” whereas television- usually situated in a communal living room- had a “less obvious” function for teenagers.</w:t>
      </w:r>
      <w:r w:rsidRPr="00624526">
        <w:rPr>
          <w:rStyle w:val="FootnoteReference"/>
          <w:rFonts w:ascii="Georgia" w:hAnsi="Georgia" w:cs="Times New Roman"/>
          <w:sz w:val="24"/>
          <w:szCs w:val="24"/>
        </w:rPr>
        <w:t xml:space="preserve"> </w:t>
      </w:r>
      <w:r w:rsidRPr="00624526">
        <w:rPr>
          <w:rStyle w:val="FootnoteReference"/>
          <w:rFonts w:ascii="Georgia" w:hAnsi="Georgia" w:cs="Times New Roman"/>
          <w:sz w:val="24"/>
          <w:szCs w:val="24"/>
        </w:rPr>
        <w:footnoteReference w:id="26"/>
      </w:r>
      <w:r w:rsidRPr="00624526">
        <w:rPr>
          <w:rStyle w:val="FootnoteReference"/>
          <w:rFonts w:ascii="Georgia" w:hAnsi="Georgia" w:cs="Times New Roman"/>
          <w:sz w:val="24"/>
          <w:szCs w:val="24"/>
        </w:rPr>
        <w:t xml:space="preserve"> </w:t>
      </w:r>
      <w:r w:rsidRPr="00624526">
        <w:rPr>
          <w:rFonts w:ascii="Georgia" w:hAnsi="Georgia" w:cs="Times New Roman"/>
          <w:sz w:val="24"/>
          <w:szCs w:val="24"/>
        </w:rPr>
        <w:t xml:space="preserve">Of course, the desire to “meet and enjoy” people of the same age was nothing new, but the structural and technological changes to the media – the impact of television on radio and cinema, the innovation of transistors and vinyl records- created new ways and settings for young people to do so. As a result of the growing separateness of the adolescent and adult worlds, both the movie and music industries embraced the potential of youth markets and altered their output to match the needs and wants of adolescents. This had a reinforcing effect: the more youth culture became visible in the media, the more it came to be seen as distinctive. Fifties youth cultures had media that was increasingly </w:t>
      </w:r>
      <w:r w:rsidRPr="00624526">
        <w:rPr>
          <w:rFonts w:ascii="Georgia" w:hAnsi="Georgia" w:cs="Times New Roman"/>
          <w:i/>
          <w:sz w:val="24"/>
          <w:szCs w:val="24"/>
        </w:rPr>
        <w:t xml:space="preserve">about </w:t>
      </w:r>
      <w:r w:rsidRPr="00624526">
        <w:rPr>
          <w:rFonts w:ascii="Georgia" w:hAnsi="Georgia" w:cs="Times New Roman"/>
          <w:sz w:val="24"/>
          <w:szCs w:val="24"/>
        </w:rPr>
        <w:t xml:space="preserve">them and that they could enjoy on their own or with their peers, in the absence of adults:  it was new technological capabilities and the changes effected by them to media that allowed this to occur. </w:t>
      </w:r>
      <w:r w:rsidRPr="00624526">
        <w:rPr>
          <w:rFonts w:ascii="Georgia" w:hAnsi="Georgia" w:cs="Times New Roman"/>
          <w:b/>
          <w:sz w:val="24"/>
          <w:szCs w:val="24"/>
        </w:rPr>
        <w:t>Word Count: 2,353</w:t>
      </w:r>
    </w:p>
    <w:p w14:paraId="4D141DC4" w14:textId="77777777" w:rsidR="00D77CAE" w:rsidRPr="00624526" w:rsidRDefault="00D77CAE" w:rsidP="00D77CAE">
      <w:pPr>
        <w:rPr>
          <w:rFonts w:ascii="Georgia" w:hAnsi="Georgia" w:cs="Times New Roman"/>
          <w:b/>
          <w:sz w:val="24"/>
          <w:szCs w:val="24"/>
        </w:rPr>
      </w:pPr>
      <w:r w:rsidRPr="00624526">
        <w:rPr>
          <w:rFonts w:ascii="Georgia" w:hAnsi="Georgia" w:cs="Times New Roman"/>
          <w:b/>
          <w:sz w:val="24"/>
          <w:szCs w:val="24"/>
        </w:rPr>
        <w:br w:type="page"/>
      </w:r>
    </w:p>
    <w:p w14:paraId="17C6C4E4" w14:textId="77777777" w:rsidR="00D77CAE" w:rsidRPr="00624526" w:rsidRDefault="00D77CAE" w:rsidP="00D77CAE">
      <w:pPr>
        <w:pStyle w:val="NoSpacing"/>
        <w:spacing w:line="360" w:lineRule="auto"/>
        <w:ind w:firstLine="720"/>
        <w:jc w:val="both"/>
        <w:rPr>
          <w:rFonts w:ascii="Georgia" w:hAnsi="Georgia" w:cs="Times New Roman"/>
          <w:b/>
          <w:sz w:val="24"/>
          <w:szCs w:val="24"/>
        </w:rPr>
      </w:pPr>
    </w:p>
    <w:sdt>
      <w:sdtPr>
        <w:rPr>
          <w:rFonts w:ascii="Georgia" w:hAnsi="Georgia" w:cs="Times New Roman"/>
          <w:b/>
          <w:bCs/>
          <w:sz w:val="24"/>
          <w:szCs w:val="24"/>
        </w:rPr>
        <w:id w:val="11857232"/>
        <w:docPartObj>
          <w:docPartGallery w:val="Bibliographies"/>
          <w:docPartUnique/>
        </w:docPartObj>
      </w:sdtPr>
      <w:sdtEndPr>
        <w:rPr>
          <w:b w:val="0"/>
          <w:bCs w:val="0"/>
        </w:rPr>
      </w:sdtEndPr>
      <w:sdtContent>
        <w:p w14:paraId="3F7C2CC1" w14:textId="77777777" w:rsidR="00D77CAE" w:rsidRPr="00624526" w:rsidRDefault="00D77CAE" w:rsidP="00D77CAE">
          <w:pPr>
            <w:jc w:val="both"/>
            <w:rPr>
              <w:rFonts w:ascii="Georgia" w:hAnsi="Georgia" w:cs="Times New Roman"/>
              <w:sz w:val="24"/>
              <w:szCs w:val="24"/>
              <w:lang w:val="en-US" w:bidi="en-US"/>
            </w:rPr>
          </w:pPr>
          <w:r w:rsidRPr="00624526">
            <w:rPr>
              <w:rFonts w:ascii="Georgia" w:hAnsi="Georgia" w:cs="Times New Roman"/>
              <w:b/>
              <w:sz w:val="24"/>
              <w:szCs w:val="24"/>
              <w:u w:val="single"/>
            </w:rPr>
            <w:t>Bibliography</w:t>
          </w:r>
        </w:p>
        <w:sdt>
          <w:sdtPr>
            <w:rPr>
              <w:rFonts w:ascii="Georgia" w:hAnsi="Georgia" w:cs="Times New Roman"/>
              <w:sz w:val="24"/>
              <w:szCs w:val="24"/>
            </w:rPr>
            <w:id w:val="111145805"/>
            <w:bibliography/>
          </w:sdtPr>
          <w:sdtContent>
            <w:p w14:paraId="19CDBE5C"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sz w:val="24"/>
                  <w:szCs w:val="24"/>
                </w:rPr>
                <w:fldChar w:fldCharType="begin"/>
              </w:r>
              <w:r w:rsidRPr="00624526">
                <w:rPr>
                  <w:rFonts w:ascii="Georgia" w:hAnsi="Georgia" w:cs="Times New Roman"/>
                  <w:sz w:val="24"/>
                  <w:szCs w:val="24"/>
                </w:rPr>
                <w:instrText xml:space="preserve"> BIBLIOGRAPHY </w:instrText>
              </w:r>
              <w:r w:rsidRPr="00624526">
                <w:rPr>
                  <w:rFonts w:ascii="Georgia" w:hAnsi="Georgia" w:cs="Times New Roman"/>
                  <w:sz w:val="24"/>
                  <w:szCs w:val="24"/>
                </w:rPr>
                <w:fldChar w:fldCharType="separate"/>
              </w:r>
              <w:r w:rsidRPr="00624526">
                <w:rPr>
                  <w:rFonts w:ascii="Georgia" w:hAnsi="Georgia" w:cs="Times New Roman"/>
                  <w:noProof/>
                  <w:sz w:val="24"/>
                  <w:szCs w:val="24"/>
                </w:rPr>
                <w:t xml:space="preserve">Bogard, Leo. </w:t>
              </w:r>
              <w:r w:rsidRPr="00624526">
                <w:rPr>
                  <w:rFonts w:ascii="Georgia" w:hAnsi="Georgia" w:cs="Times New Roman"/>
                  <w:i/>
                  <w:iCs/>
                  <w:noProof/>
                  <w:sz w:val="24"/>
                  <w:szCs w:val="24"/>
                </w:rPr>
                <w:t>The Age of Television: A Study of Viewing Habits and the Impact on American Life.</w:t>
              </w:r>
              <w:r w:rsidRPr="00624526">
                <w:rPr>
                  <w:rFonts w:ascii="Georgia" w:hAnsi="Georgia" w:cs="Times New Roman"/>
                  <w:noProof/>
                  <w:sz w:val="24"/>
                  <w:szCs w:val="24"/>
                </w:rPr>
                <w:t xml:space="preserve"> New York: Ungar Publishing, 1956.</w:t>
              </w:r>
            </w:p>
            <w:p w14:paraId="050C8586"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Coleman, James R. </w:t>
              </w:r>
              <w:r w:rsidRPr="00624526">
                <w:rPr>
                  <w:rFonts w:ascii="Georgia" w:hAnsi="Georgia" w:cs="Times New Roman"/>
                  <w:i/>
                  <w:iCs/>
                  <w:noProof/>
                  <w:sz w:val="24"/>
                  <w:szCs w:val="24"/>
                </w:rPr>
                <w:t>The Adolescent Society: The Social Life of the Teenager and Its Impact on Education.</w:t>
              </w:r>
              <w:r w:rsidRPr="00624526">
                <w:rPr>
                  <w:rFonts w:ascii="Georgia" w:hAnsi="Georgia" w:cs="Times New Roman"/>
                  <w:noProof/>
                  <w:sz w:val="24"/>
                  <w:szCs w:val="24"/>
                </w:rPr>
                <w:t xml:space="preserve"> New York: Free Press of Glencoe, 1961.</w:t>
              </w:r>
            </w:p>
            <w:p w14:paraId="4C6B1EB3"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Cowley, Malcolm and Robert, eds. </w:t>
              </w:r>
              <w:r w:rsidRPr="00624526">
                <w:rPr>
                  <w:rFonts w:ascii="Georgia" w:hAnsi="Georgia" w:cs="Times New Roman"/>
                  <w:i/>
                  <w:iCs/>
                  <w:noProof/>
                  <w:sz w:val="24"/>
                  <w:szCs w:val="24"/>
                </w:rPr>
                <w:t>Fitzgerald and the Jazz Age.</w:t>
              </w:r>
              <w:r w:rsidRPr="00624526">
                <w:rPr>
                  <w:rFonts w:ascii="Georgia" w:hAnsi="Georgia" w:cs="Times New Roman"/>
                  <w:noProof/>
                  <w:sz w:val="24"/>
                  <w:szCs w:val="24"/>
                </w:rPr>
                <w:t xml:space="preserve"> New York: Charles Scriber’s Sons, New York, 1965.</w:t>
              </w:r>
            </w:p>
            <w:p w14:paraId="44859BA2"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Curtis, Jim. </w:t>
              </w:r>
              <w:r w:rsidRPr="00624526">
                <w:rPr>
                  <w:rFonts w:ascii="Georgia" w:hAnsi="Georgia" w:cs="Times New Roman"/>
                  <w:i/>
                  <w:iCs/>
                  <w:noProof/>
                  <w:sz w:val="24"/>
                  <w:szCs w:val="24"/>
                </w:rPr>
                <w:t>Rock Eras: Interpretations of Music and Society, 1954-1984.</w:t>
              </w:r>
              <w:r w:rsidRPr="00624526">
                <w:rPr>
                  <w:rFonts w:ascii="Georgia" w:hAnsi="Georgia" w:cs="Times New Roman"/>
                  <w:noProof/>
                  <w:sz w:val="24"/>
                  <w:szCs w:val="24"/>
                </w:rPr>
                <w:t xml:space="preserve"> Bowling Green, Ohio: Popular Press, 1987.</w:t>
              </w:r>
            </w:p>
            <w:p w14:paraId="54B07130"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Doherty, Thomas. </w:t>
              </w:r>
              <w:r w:rsidRPr="00624526">
                <w:rPr>
                  <w:rFonts w:ascii="Georgia" w:hAnsi="Georgia" w:cs="Times New Roman"/>
                  <w:i/>
                  <w:iCs/>
                  <w:noProof/>
                  <w:sz w:val="24"/>
                  <w:szCs w:val="24"/>
                </w:rPr>
                <w:t>Teenagers and Teenpics: The Juvenilization of American Movies in the 1950s.</w:t>
              </w:r>
              <w:r w:rsidRPr="00624526">
                <w:rPr>
                  <w:rFonts w:ascii="Georgia" w:hAnsi="Georgia" w:cs="Times New Roman"/>
                  <w:noProof/>
                  <w:sz w:val="24"/>
                  <w:szCs w:val="24"/>
                </w:rPr>
                <w:t xml:space="preserve"> Boston: Hyam, 1988.</w:t>
              </w:r>
            </w:p>
            <w:p w14:paraId="0FF32864"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Foreman, Joel, ed. </w:t>
              </w:r>
              <w:r w:rsidRPr="00624526">
                <w:rPr>
                  <w:rFonts w:ascii="Georgia" w:hAnsi="Georgia" w:cs="Times New Roman"/>
                  <w:i/>
                  <w:iCs/>
                  <w:noProof/>
                  <w:sz w:val="24"/>
                  <w:szCs w:val="24"/>
                </w:rPr>
                <w:t>The Other Fifties: Interrogating Midcentury American Icons.</w:t>
              </w:r>
              <w:r w:rsidRPr="00624526">
                <w:rPr>
                  <w:rFonts w:ascii="Georgia" w:hAnsi="Georgia" w:cs="Times New Roman"/>
                  <w:noProof/>
                  <w:sz w:val="24"/>
                  <w:szCs w:val="24"/>
                </w:rPr>
                <w:t xml:space="preserve"> Chicago: University of Illinois, 1997.</w:t>
              </w:r>
            </w:p>
            <w:p w14:paraId="7E6131A8"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Hart, Jeffrey. </w:t>
              </w:r>
              <w:r w:rsidRPr="00624526">
                <w:rPr>
                  <w:rFonts w:ascii="Georgia" w:hAnsi="Georgia" w:cs="Times New Roman"/>
                  <w:i/>
                  <w:iCs/>
                  <w:noProof/>
                  <w:sz w:val="24"/>
                  <w:szCs w:val="24"/>
                </w:rPr>
                <w:t>When the Going Was Good! American Life in the Fifties.</w:t>
              </w:r>
              <w:r w:rsidRPr="00624526">
                <w:rPr>
                  <w:rFonts w:ascii="Georgia" w:hAnsi="Georgia" w:cs="Times New Roman"/>
                  <w:noProof/>
                  <w:sz w:val="24"/>
                  <w:szCs w:val="24"/>
                </w:rPr>
                <w:t xml:space="preserve"> New York: Crown Publishers, 1982.</w:t>
              </w:r>
            </w:p>
            <w:p w14:paraId="71BAF61C"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Lynd, Robert and Helen. </w:t>
              </w:r>
              <w:r w:rsidRPr="00624526">
                <w:rPr>
                  <w:rFonts w:ascii="Georgia" w:hAnsi="Georgia" w:cs="Times New Roman"/>
                  <w:i/>
                  <w:iCs/>
                  <w:noProof/>
                  <w:sz w:val="24"/>
                  <w:szCs w:val="24"/>
                </w:rPr>
                <w:t>Middletown: A Study in American Culture.</w:t>
              </w:r>
              <w:r w:rsidRPr="00624526">
                <w:rPr>
                  <w:rFonts w:ascii="Georgia" w:hAnsi="Georgia" w:cs="Times New Roman"/>
                  <w:noProof/>
                  <w:sz w:val="24"/>
                  <w:szCs w:val="24"/>
                </w:rPr>
                <w:t xml:space="preserve"> Harcourt and Brace Co, New York, 1929.</w:t>
              </w:r>
            </w:p>
            <w:p w14:paraId="2C808895" w14:textId="77777777" w:rsidR="00D77CAE" w:rsidRPr="00624526" w:rsidRDefault="00D77CAE" w:rsidP="00D77CAE">
              <w:pPr>
                <w:jc w:val="both"/>
                <w:rPr>
                  <w:rFonts w:ascii="Georgia" w:hAnsi="Georgia" w:cs="Times New Roman"/>
                  <w:noProof/>
                  <w:sz w:val="24"/>
                  <w:szCs w:val="24"/>
                </w:rPr>
              </w:pPr>
              <w:r w:rsidRPr="00624526">
                <w:rPr>
                  <w:rFonts w:ascii="Georgia" w:hAnsi="Georgia" w:cs="Times New Roman"/>
                  <w:noProof/>
                  <w:sz w:val="24"/>
                  <w:szCs w:val="24"/>
                </w:rPr>
                <w:t xml:space="preserve">May, Elaine Tyler. </w:t>
              </w:r>
              <w:r w:rsidRPr="00624526">
                <w:rPr>
                  <w:rFonts w:ascii="Georgia" w:hAnsi="Georgia" w:cs="Times New Roman"/>
                  <w:i/>
                  <w:iCs/>
                  <w:noProof/>
                  <w:sz w:val="24"/>
                  <w:szCs w:val="24"/>
                </w:rPr>
                <w:t>Homeward Bound: American Families in the Cold War.</w:t>
              </w:r>
              <w:r w:rsidRPr="00624526">
                <w:rPr>
                  <w:rFonts w:ascii="Georgia" w:hAnsi="Georgia" w:cs="Times New Roman"/>
                  <w:noProof/>
                  <w:sz w:val="24"/>
                  <w:szCs w:val="24"/>
                </w:rPr>
                <w:t xml:space="preserve"> Basic Books, 1999.</w:t>
              </w:r>
            </w:p>
            <w:p w14:paraId="5A049212" w14:textId="77777777" w:rsidR="00D77CAE" w:rsidRPr="00624526" w:rsidRDefault="00D77CAE" w:rsidP="00D77CAE">
              <w:pPr>
                <w:jc w:val="both"/>
                <w:rPr>
                  <w:rFonts w:ascii="Georgia" w:hAnsi="Georgia" w:cs="Times New Roman"/>
                  <w:sz w:val="24"/>
                  <w:szCs w:val="24"/>
                </w:rPr>
              </w:pPr>
              <w:r w:rsidRPr="00624526">
                <w:rPr>
                  <w:rFonts w:ascii="Georgia" w:hAnsi="Georgia" w:cs="Times New Roman"/>
                  <w:noProof/>
                  <w:sz w:val="24"/>
                  <w:szCs w:val="24"/>
                </w:rPr>
                <w:t xml:space="preserve">Norton, Mary Beth, et al. </w:t>
              </w:r>
              <w:r w:rsidRPr="00624526">
                <w:rPr>
                  <w:rFonts w:ascii="Georgia" w:hAnsi="Georgia" w:cs="Times New Roman"/>
                  <w:i/>
                  <w:iCs/>
                  <w:noProof/>
                  <w:sz w:val="24"/>
                  <w:szCs w:val="24"/>
                </w:rPr>
                <w:t>A People and a Nation: A History of the United States.</w:t>
              </w:r>
              <w:r w:rsidRPr="00624526">
                <w:rPr>
                  <w:rFonts w:ascii="Georgia" w:hAnsi="Georgia" w:cs="Times New Roman"/>
                  <w:noProof/>
                  <w:sz w:val="24"/>
                  <w:szCs w:val="24"/>
                </w:rPr>
                <w:t xml:space="preserve"> Boston: Houghton Mifflin, 2007.</w:t>
              </w:r>
              <w:r w:rsidRPr="00624526">
                <w:rPr>
                  <w:rFonts w:ascii="Georgia" w:hAnsi="Georgia" w:cs="Times New Roman"/>
                  <w:sz w:val="24"/>
                  <w:szCs w:val="24"/>
                </w:rPr>
                <w:fldChar w:fldCharType="end"/>
              </w:r>
            </w:p>
          </w:sdtContent>
        </w:sdt>
      </w:sdtContent>
    </w:sdt>
    <w:p w14:paraId="7C64A37D" w14:textId="77777777" w:rsidR="007961B2" w:rsidRPr="00D77CAE" w:rsidRDefault="007961B2">
      <w:pPr>
        <w:rPr>
          <w:b/>
        </w:rPr>
      </w:pPr>
    </w:p>
    <w:sectPr w:rsidR="007961B2" w:rsidRPr="00D77C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44C6D" w14:textId="77777777" w:rsidR="00D77CAE" w:rsidRDefault="00D77CAE" w:rsidP="00D77CAE">
      <w:pPr>
        <w:spacing w:after="0" w:line="240" w:lineRule="auto"/>
      </w:pPr>
      <w:r>
        <w:separator/>
      </w:r>
    </w:p>
  </w:endnote>
  <w:endnote w:type="continuationSeparator" w:id="0">
    <w:p w14:paraId="5AFF5B6D" w14:textId="77777777" w:rsidR="00D77CAE" w:rsidRDefault="00D77CAE" w:rsidP="00D7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9FF95" w14:textId="77777777" w:rsidR="00D77CAE" w:rsidRDefault="00D77CAE" w:rsidP="00D77CAE">
      <w:pPr>
        <w:spacing w:after="0" w:line="240" w:lineRule="auto"/>
      </w:pPr>
      <w:r>
        <w:separator/>
      </w:r>
    </w:p>
  </w:footnote>
  <w:footnote w:type="continuationSeparator" w:id="0">
    <w:p w14:paraId="5FC039EB" w14:textId="77777777" w:rsidR="00D77CAE" w:rsidRDefault="00D77CAE" w:rsidP="00D77CAE">
      <w:pPr>
        <w:spacing w:after="0" w:line="240" w:lineRule="auto"/>
      </w:pPr>
      <w:r>
        <w:continuationSeparator/>
      </w:r>
    </w:p>
  </w:footnote>
  <w:footnote w:id="1">
    <w:p w14:paraId="76FAFF3A"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James Coleman, </w:t>
      </w:r>
      <w:r w:rsidRPr="00EB5C7B">
        <w:rPr>
          <w:rFonts w:ascii="Times New Roman" w:hAnsi="Times New Roman" w:cs="Times New Roman"/>
          <w:i/>
          <w:sz w:val="20"/>
          <w:szCs w:val="20"/>
        </w:rPr>
        <w:t>The Adolescent Society: The Social Life of the Teenager and Its Impact on Education</w:t>
      </w:r>
      <w:r w:rsidRPr="0082086C">
        <w:rPr>
          <w:rFonts w:ascii="Times New Roman" w:hAnsi="Times New Roman" w:cs="Times New Roman"/>
          <w:sz w:val="20"/>
          <w:szCs w:val="20"/>
        </w:rPr>
        <w:t xml:space="preserve"> </w:t>
      </w:r>
      <w:r>
        <w:rPr>
          <w:rFonts w:ascii="Times New Roman" w:hAnsi="Times New Roman" w:cs="Times New Roman"/>
          <w:sz w:val="20"/>
          <w:szCs w:val="20"/>
        </w:rPr>
        <w:t>(</w:t>
      </w:r>
      <w:r w:rsidRPr="0082086C">
        <w:rPr>
          <w:rFonts w:ascii="Times New Roman" w:hAnsi="Times New Roman" w:cs="Times New Roman"/>
          <w:sz w:val="20"/>
          <w:szCs w:val="20"/>
        </w:rPr>
        <w:t>New York</w:t>
      </w:r>
      <w:r>
        <w:rPr>
          <w:rFonts w:ascii="Times New Roman" w:hAnsi="Times New Roman" w:cs="Times New Roman"/>
          <w:sz w:val="20"/>
          <w:szCs w:val="20"/>
        </w:rPr>
        <w:t>: Free Press of Glencoe</w:t>
      </w:r>
      <w:r w:rsidRPr="0082086C">
        <w:rPr>
          <w:rFonts w:ascii="Times New Roman" w:hAnsi="Times New Roman" w:cs="Times New Roman"/>
          <w:sz w:val="20"/>
          <w:szCs w:val="20"/>
        </w:rPr>
        <w:t>, 1961)</w:t>
      </w:r>
      <w:r>
        <w:rPr>
          <w:rFonts w:ascii="Times New Roman" w:hAnsi="Times New Roman" w:cs="Times New Roman"/>
          <w:sz w:val="20"/>
          <w:szCs w:val="20"/>
        </w:rPr>
        <w:t>,</w:t>
      </w:r>
      <w:r w:rsidRPr="0082086C">
        <w:rPr>
          <w:rFonts w:ascii="Times New Roman" w:hAnsi="Times New Roman" w:cs="Times New Roman"/>
          <w:sz w:val="20"/>
          <w:szCs w:val="20"/>
        </w:rPr>
        <w:t xml:space="preserve"> p.12</w:t>
      </w:r>
      <w:r>
        <w:rPr>
          <w:rFonts w:ascii="Times New Roman" w:hAnsi="Times New Roman" w:cs="Times New Roman"/>
          <w:sz w:val="20"/>
          <w:szCs w:val="20"/>
        </w:rPr>
        <w:t>.</w:t>
      </w:r>
    </w:p>
  </w:footnote>
  <w:footnote w:id="2">
    <w:p w14:paraId="161E5D31"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Mary Beth Norton, et al, </w:t>
      </w:r>
      <w:r w:rsidRPr="00EB5C7B">
        <w:rPr>
          <w:rFonts w:ascii="Times New Roman" w:hAnsi="Times New Roman" w:cs="Times New Roman"/>
          <w:i/>
          <w:sz w:val="20"/>
          <w:szCs w:val="20"/>
        </w:rPr>
        <w:t>A People and a Nation: A History of the United States</w:t>
      </w:r>
      <w:r w:rsidRPr="0082086C">
        <w:rPr>
          <w:rFonts w:ascii="Times New Roman" w:hAnsi="Times New Roman" w:cs="Times New Roman"/>
          <w:sz w:val="20"/>
          <w:szCs w:val="20"/>
        </w:rPr>
        <w:t xml:space="preserve"> (Boston</w:t>
      </w:r>
      <w:r>
        <w:rPr>
          <w:rFonts w:ascii="Times New Roman" w:hAnsi="Times New Roman" w:cs="Times New Roman"/>
          <w:sz w:val="20"/>
          <w:szCs w:val="20"/>
        </w:rPr>
        <w:t>:</w:t>
      </w:r>
      <w:r w:rsidRPr="00B5433F">
        <w:rPr>
          <w:rFonts w:ascii="Times New Roman" w:hAnsi="Times New Roman" w:cs="Times New Roman"/>
          <w:sz w:val="20"/>
          <w:szCs w:val="20"/>
        </w:rPr>
        <w:t xml:space="preserve"> </w:t>
      </w:r>
      <w:r w:rsidRPr="0082086C">
        <w:rPr>
          <w:rFonts w:ascii="Times New Roman" w:hAnsi="Times New Roman" w:cs="Times New Roman"/>
          <w:sz w:val="20"/>
          <w:szCs w:val="20"/>
        </w:rPr>
        <w:t>Houghton Mifflin, 2007)</w:t>
      </w:r>
      <w:r>
        <w:rPr>
          <w:rFonts w:ascii="Times New Roman" w:hAnsi="Times New Roman" w:cs="Times New Roman"/>
          <w:sz w:val="20"/>
          <w:szCs w:val="20"/>
        </w:rPr>
        <w:t xml:space="preserve">, </w:t>
      </w:r>
      <w:r w:rsidRPr="0082086C">
        <w:rPr>
          <w:rFonts w:ascii="Times New Roman" w:hAnsi="Times New Roman" w:cs="Times New Roman"/>
          <w:sz w:val="20"/>
          <w:szCs w:val="20"/>
        </w:rPr>
        <w:t>pp. 826</w:t>
      </w:r>
      <w:r>
        <w:rPr>
          <w:rFonts w:ascii="Times New Roman" w:hAnsi="Times New Roman" w:cs="Times New Roman"/>
          <w:sz w:val="20"/>
          <w:szCs w:val="20"/>
        </w:rPr>
        <w:t>–</w:t>
      </w:r>
      <w:r w:rsidRPr="0082086C">
        <w:rPr>
          <w:rFonts w:ascii="Times New Roman" w:hAnsi="Times New Roman" w:cs="Times New Roman"/>
          <w:sz w:val="20"/>
          <w:szCs w:val="20"/>
        </w:rPr>
        <w:t>829</w:t>
      </w:r>
      <w:r>
        <w:rPr>
          <w:rFonts w:ascii="Times New Roman" w:hAnsi="Times New Roman" w:cs="Times New Roman"/>
          <w:sz w:val="20"/>
          <w:szCs w:val="20"/>
        </w:rPr>
        <w:t>.</w:t>
      </w:r>
    </w:p>
  </w:footnote>
  <w:footnote w:id="3">
    <w:p w14:paraId="25E9E3DD"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Thomas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EB5C7B">
        <w:rPr>
          <w:rFonts w:ascii="Times New Roman" w:hAnsi="Times New Roman" w:cs="Times New Roman"/>
          <w:i/>
          <w:sz w:val="20"/>
          <w:szCs w:val="20"/>
        </w:rPr>
        <w:t xml:space="preserve">: The </w:t>
      </w:r>
      <w:proofErr w:type="spellStart"/>
      <w:r w:rsidRPr="00EB5C7B">
        <w:rPr>
          <w:rFonts w:ascii="Times New Roman" w:hAnsi="Times New Roman" w:cs="Times New Roman"/>
          <w:i/>
          <w:sz w:val="20"/>
          <w:szCs w:val="20"/>
        </w:rPr>
        <w:t>Juvenilization</w:t>
      </w:r>
      <w:proofErr w:type="spellEnd"/>
      <w:r w:rsidRPr="00EB5C7B">
        <w:rPr>
          <w:rFonts w:ascii="Times New Roman" w:hAnsi="Times New Roman" w:cs="Times New Roman"/>
          <w:i/>
          <w:sz w:val="20"/>
          <w:szCs w:val="20"/>
        </w:rPr>
        <w:t xml:space="preserve"> of American Movies in the 1950s</w:t>
      </w:r>
      <w:r w:rsidRPr="0082086C">
        <w:rPr>
          <w:rFonts w:ascii="Times New Roman" w:hAnsi="Times New Roman" w:cs="Times New Roman"/>
          <w:sz w:val="20"/>
          <w:szCs w:val="20"/>
        </w:rPr>
        <w:t xml:space="preserve"> (Boston</w:t>
      </w:r>
      <w:r>
        <w:rPr>
          <w:rFonts w:ascii="Times New Roman" w:hAnsi="Times New Roman" w:cs="Times New Roman"/>
          <w:sz w:val="20"/>
          <w:szCs w:val="20"/>
        </w:rPr>
        <w:t xml:space="preserve">: </w:t>
      </w:r>
      <w:r w:rsidRPr="0082086C">
        <w:rPr>
          <w:rFonts w:ascii="Times New Roman" w:hAnsi="Times New Roman" w:cs="Times New Roman"/>
          <w:sz w:val="20"/>
          <w:szCs w:val="20"/>
        </w:rPr>
        <w:t xml:space="preserve">Unwin </w:t>
      </w:r>
      <w:proofErr w:type="spellStart"/>
      <w:r w:rsidRPr="0082086C">
        <w:rPr>
          <w:rFonts w:ascii="Times New Roman" w:hAnsi="Times New Roman" w:cs="Times New Roman"/>
          <w:sz w:val="20"/>
          <w:szCs w:val="20"/>
        </w:rPr>
        <w:t>Hyam</w:t>
      </w:r>
      <w:proofErr w:type="spellEnd"/>
      <w:r w:rsidRPr="0082086C">
        <w:rPr>
          <w:rFonts w:ascii="Times New Roman" w:hAnsi="Times New Roman" w:cs="Times New Roman"/>
          <w:sz w:val="20"/>
          <w:szCs w:val="20"/>
        </w:rPr>
        <w:t>, 1985) pp. 44</w:t>
      </w:r>
      <w:r>
        <w:rPr>
          <w:rFonts w:ascii="Times New Roman" w:hAnsi="Times New Roman" w:cs="Times New Roman"/>
          <w:sz w:val="20"/>
          <w:szCs w:val="20"/>
        </w:rPr>
        <w:t>–</w:t>
      </w:r>
      <w:r w:rsidRPr="0082086C">
        <w:rPr>
          <w:rFonts w:ascii="Times New Roman" w:hAnsi="Times New Roman" w:cs="Times New Roman"/>
          <w:sz w:val="20"/>
          <w:szCs w:val="20"/>
        </w:rPr>
        <w:t>46</w:t>
      </w:r>
      <w:r>
        <w:rPr>
          <w:rFonts w:ascii="Times New Roman" w:hAnsi="Times New Roman" w:cs="Times New Roman"/>
          <w:sz w:val="20"/>
          <w:szCs w:val="20"/>
        </w:rPr>
        <w:t>.</w:t>
      </w:r>
    </w:p>
  </w:footnote>
  <w:footnote w:id="4">
    <w:p w14:paraId="18D75E91"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See F. Scott Fitzgerald, ‘Echoes of the Jazz </w:t>
      </w:r>
      <w:r>
        <w:rPr>
          <w:rFonts w:ascii="Times New Roman" w:hAnsi="Times New Roman" w:cs="Times New Roman"/>
          <w:sz w:val="20"/>
          <w:szCs w:val="20"/>
        </w:rPr>
        <w:t xml:space="preserve">Age’ (1931) and John F. Carter, </w:t>
      </w:r>
      <w:proofErr w:type="spellStart"/>
      <w:r>
        <w:rPr>
          <w:rFonts w:ascii="Times New Roman" w:hAnsi="Times New Roman" w:cs="Times New Roman"/>
          <w:sz w:val="20"/>
          <w:szCs w:val="20"/>
        </w:rPr>
        <w:t>jr.</w:t>
      </w:r>
      <w:proofErr w:type="spellEnd"/>
      <w:r>
        <w:rPr>
          <w:rFonts w:ascii="Times New Roman" w:hAnsi="Times New Roman" w:cs="Times New Roman"/>
          <w:sz w:val="20"/>
          <w:szCs w:val="20"/>
        </w:rPr>
        <w:t xml:space="preserve"> ‘“These Wild Young People,”</w:t>
      </w:r>
      <w:r w:rsidRPr="0082086C">
        <w:rPr>
          <w:rFonts w:ascii="Times New Roman" w:hAnsi="Times New Roman" w:cs="Times New Roman"/>
          <w:sz w:val="20"/>
          <w:szCs w:val="20"/>
        </w:rPr>
        <w:t xml:space="preserve"> by One of Them,’ </w:t>
      </w:r>
      <w:r>
        <w:rPr>
          <w:rFonts w:ascii="Times New Roman" w:hAnsi="Times New Roman" w:cs="Times New Roman"/>
          <w:sz w:val="20"/>
          <w:szCs w:val="20"/>
        </w:rPr>
        <w:t xml:space="preserve">in </w:t>
      </w:r>
      <w:r w:rsidRPr="0082086C">
        <w:rPr>
          <w:rFonts w:ascii="Times New Roman" w:hAnsi="Times New Roman" w:cs="Times New Roman"/>
          <w:sz w:val="20"/>
          <w:szCs w:val="20"/>
        </w:rPr>
        <w:t xml:space="preserve">Malcolm and Robert </w:t>
      </w:r>
      <w:proofErr w:type="spellStart"/>
      <w:r w:rsidRPr="0082086C">
        <w:rPr>
          <w:rFonts w:ascii="Times New Roman" w:hAnsi="Times New Roman" w:cs="Times New Roman"/>
          <w:sz w:val="20"/>
          <w:szCs w:val="20"/>
        </w:rPr>
        <w:t>Cowle</w:t>
      </w:r>
      <w:r>
        <w:rPr>
          <w:rFonts w:ascii="Times New Roman" w:hAnsi="Times New Roman" w:cs="Times New Roman"/>
          <w:sz w:val="20"/>
          <w:szCs w:val="20"/>
        </w:rPr>
        <w:t>y</w:t>
      </w:r>
      <w:proofErr w:type="spellEnd"/>
      <w:r w:rsidRPr="0082086C">
        <w:rPr>
          <w:rFonts w:ascii="Times New Roman" w:hAnsi="Times New Roman" w:cs="Times New Roman"/>
          <w:sz w:val="20"/>
          <w:szCs w:val="20"/>
        </w:rPr>
        <w:t xml:space="preserve">, eds. </w:t>
      </w:r>
      <w:r w:rsidRPr="00EB5C7B">
        <w:rPr>
          <w:rFonts w:ascii="Times New Roman" w:hAnsi="Times New Roman" w:cs="Times New Roman"/>
          <w:i/>
          <w:sz w:val="20"/>
          <w:szCs w:val="20"/>
        </w:rPr>
        <w:t>Fitzgerald and the Jazz Age</w:t>
      </w:r>
      <w:r w:rsidRPr="0082086C">
        <w:rPr>
          <w:rFonts w:ascii="Times New Roman" w:hAnsi="Times New Roman" w:cs="Times New Roman"/>
          <w:sz w:val="20"/>
          <w:szCs w:val="20"/>
        </w:rPr>
        <w:t xml:space="preserve"> (Charles Scriber’s Sons: New York, 1966)</w:t>
      </w:r>
      <w:r>
        <w:rPr>
          <w:rFonts w:ascii="Times New Roman" w:hAnsi="Times New Roman" w:cs="Times New Roman"/>
          <w:sz w:val="20"/>
          <w:szCs w:val="20"/>
        </w:rPr>
        <w:t xml:space="preserve">. </w:t>
      </w:r>
    </w:p>
  </w:footnote>
  <w:footnote w:id="5">
    <w:p w14:paraId="1953ACE1"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Norton, et al, </w:t>
      </w:r>
      <w:r w:rsidRPr="00EB5C7B">
        <w:rPr>
          <w:rFonts w:ascii="Times New Roman" w:hAnsi="Times New Roman" w:cs="Times New Roman"/>
          <w:i/>
          <w:sz w:val="20"/>
          <w:szCs w:val="20"/>
        </w:rPr>
        <w:t>A People and a Nation,</w:t>
      </w:r>
      <w:r w:rsidRPr="0082086C">
        <w:rPr>
          <w:rFonts w:ascii="Times New Roman" w:hAnsi="Times New Roman" w:cs="Times New Roman"/>
          <w:sz w:val="20"/>
          <w:szCs w:val="20"/>
        </w:rPr>
        <w:t xml:space="preserve"> pp. 806</w:t>
      </w:r>
      <w:r>
        <w:rPr>
          <w:rFonts w:ascii="Times New Roman" w:hAnsi="Times New Roman" w:cs="Times New Roman"/>
          <w:sz w:val="20"/>
          <w:szCs w:val="20"/>
        </w:rPr>
        <w:t>–</w:t>
      </w:r>
      <w:r w:rsidRPr="0082086C">
        <w:rPr>
          <w:rFonts w:ascii="Times New Roman" w:hAnsi="Times New Roman" w:cs="Times New Roman"/>
          <w:sz w:val="20"/>
          <w:szCs w:val="20"/>
        </w:rPr>
        <w:t>08, 820</w:t>
      </w:r>
      <w:r>
        <w:rPr>
          <w:rFonts w:ascii="Times New Roman" w:hAnsi="Times New Roman" w:cs="Times New Roman"/>
          <w:sz w:val="20"/>
          <w:szCs w:val="20"/>
        </w:rPr>
        <w:t>–</w:t>
      </w:r>
      <w:r w:rsidRPr="0082086C">
        <w:rPr>
          <w:rFonts w:ascii="Times New Roman" w:hAnsi="Times New Roman" w:cs="Times New Roman"/>
          <w:sz w:val="20"/>
          <w:szCs w:val="20"/>
        </w:rPr>
        <w:t>29</w:t>
      </w:r>
      <w:r>
        <w:rPr>
          <w:rFonts w:ascii="Times New Roman" w:hAnsi="Times New Roman" w:cs="Times New Roman"/>
          <w:sz w:val="20"/>
          <w:szCs w:val="20"/>
        </w:rPr>
        <w:t>.</w:t>
      </w:r>
      <w:r w:rsidRPr="00EB5C7B">
        <w:rPr>
          <w:rFonts w:ascii="Times New Roman" w:hAnsi="Times New Roman" w:cs="Times New Roman"/>
          <w:sz w:val="20"/>
          <w:szCs w:val="20"/>
        </w:rPr>
        <w:t xml:space="preserve"> </w:t>
      </w:r>
      <w:r w:rsidRPr="0082086C">
        <w:rPr>
          <w:rFonts w:ascii="Times New Roman" w:hAnsi="Times New Roman" w:cs="Times New Roman"/>
          <w:sz w:val="20"/>
          <w:szCs w:val="20"/>
        </w:rPr>
        <w:t>There was a 24% increase in the amount of 5-9 year-olds in</w:t>
      </w:r>
      <w:r>
        <w:rPr>
          <w:rFonts w:ascii="Times New Roman" w:hAnsi="Times New Roman" w:cs="Times New Roman"/>
          <w:sz w:val="20"/>
          <w:szCs w:val="20"/>
        </w:rPr>
        <w:t xml:space="preserve"> the 1950 Census compared to 1940.</w:t>
      </w:r>
    </w:p>
  </w:footnote>
  <w:footnote w:id="6">
    <w:p w14:paraId="3A1C032A"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w:t>
      </w:r>
      <w:r>
        <w:rPr>
          <w:rFonts w:ascii="Times New Roman" w:hAnsi="Times New Roman" w:cs="Times New Roman"/>
          <w:sz w:val="20"/>
          <w:szCs w:val="20"/>
        </w:rPr>
        <w:t xml:space="preserve">,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xml:space="preserve">, </w:t>
      </w:r>
      <w:r>
        <w:rPr>
          <w:rFonts w:ascii="Times New Roman" w:hAnsi="Times New Roman" w:cs="Times New Roman"/>
          <w:sz w:val="20"/>
          <w:szCs w:val="20"/>
        </w:rPr>
        <w:t>p. 11.</w:t>
      </w:r>
    </w:p>
  </w:footnote>
  <w:footnote w:id="7">
    <w:p w14:paraId="5FB22A6A"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Robert and Helen Lynd, </w:t>
      </w:r>
      <w:r w:rsidRPr="00EB5C7B">
        <w:rPr>
          <w:rFonts w:ascii="Times New Roman" w:hAnsi="Times New Roman" w:cs="Times New Roman"/>
          <w:i/>
          <w:sz w:val="20"/>
          <w:szCs w:val="20"/>
        </w:rPr>
        <w:t>Middletown: A Study in American Culture</w:t>
      </w:r>
      <w:r w:rsidRPr="0082086C">
        <w:rPr>
          <w:rFonts w:ascii="Times New Roman" w:hAnsi="Times New Roman" w:cs="Times New Roman"/>
          <w:sz w:val="20"/>
          <w:szCs w:val="20"/>
        </w:rPr>
        <w:t xml:space="preserve"> (New York</w:t>
      </w:r>
      <w:r>
        <w:rPr>
          <w:rFonts w:ascii="Times New Roman" w:hAnsi="Times New Roman" w:cs="Times New Roman"/>
          <w:sz w:val="20"/>
          <w:szCs w:val="20"/>
        </w:rPr>
        <w:t xml:space="preserve">: </w:t>
      </w:r>
      <w:r w:rsidRPr="0082086C">
        <w:rPr>
          <w:rFonts w:ascii="Times New Roman" w:hAnsi="Times New Roman" w:cs="Times New Roman"/>
          <w:sz w:val="20"/>
          <w:szCs w:val="20"/>
        </w:rPr>
        <w:t>Harcourt a</w:t>
      </w:r>
      <w:r>
        <w:rPr>
          <w:rFonts w:ascii="Times New Roman" w:hAnsi="Times New Roman" w:cs="Times New Roman"/>
          <w:sz w:val="20"/>
          <w:szCs w:val="20"/>
        </w:rPr>
        <w:t>nd Brace Co.</w:t>
      </w:r>
      <w:r w:rsidRPr="0082086C">
        <w:rPr>
          <w:rFonts w:ascii="Times New Roman" w:hAnsi="Times New Roman" w:cs="Times New Roman"/>
          <w:sz w:val="20"/>
          <w:szCs w:val="20"/>
        </w:rPr>
        <w:t>, 1929</w:t>
      </w:r>
      <w:r>
        <w:rPr>
          <w:rFonts w:ascii="Times New Roman" w:hAnsi="Times New Roman" w:cs="Times New Roman"/>
          <w:sz w:val="20"/>
          <w:szCs w:val="20"/>
        </w:rPr>
        <w:t>),</w:t>
      </w:r>
      <w:r w:rsidRPr="0082086C">
        <w:rPr>
          <w:rFonts w:ascii="Times New Roman" w:hAnsi="Times New Roman" w:cs="Times New Roman"/>
          <w:sz w:val="20"/>
          <w:szCs w:val="20"/>
        </w:rPr>
        <w:t xml:space="preserve"> pp. 208</w:t>
      </w:r>
      <w:r>
        <w:rPr>
          <w:rFonts w:ascii="Times New Roman" w:hAnsi="Times New Roman" w:cs="Times New Roman"/>
          <w:sz w:val="20"/>
          <w:szCs w:val="20"/>
        </w:rPr>
        <w:t>–</w:t>
      </w:r>
      <w:r w:rsidRPr="0082086C">
        <w:rPr>
          <w:rFonts w:ascii="Times New Roman" w:hAnsi="Times New Roman" w:cs="Times New Roman"/>
          <w:sz w:val="20"/>
          <w:szCs w:val="20"/>
        </w:rPr>
        <w:t xml:space="preserve">212; Coleman, </w:t>
      </w:r>
      <w:proofErr w:type="gramStart"/>
      <w:r w:rsidRPr="00EB5C7B">
        <w:rPr>
          <w:rFonts w:ascii="Times New Roman" w:hAnsi="Times New Roman" w:cs="Times New Roman"/>
          <w:i/>
          <w:sz w:val="20"/>
          <w:szCs w:val="20"/>
        </w:rPr>
        <w:t>The</w:t>
      </w:r>
      <w:proofErr w:type="gramEnd"/>
      <w:r w:rsidRPr="00EB5C7B">
        <w:rPr>
          <w:rFonts w:ascii="Times New Roman" w:hAnsi="Times New Roman" w:cs="Times New Roman"/>
          <w:i/>
          <w:sz w:val="20"/>
          <w:szCs w:val="20"/>
        </w:rPr>
        <w:t xml:space="preserve"> Adolescent Society</w:t>
      </w:r>
      <w:r w:rsidRPr="0082086C">
        <w:rPr>
          <w:rFonts w:ascii="Times New Roman" w:hAnsi="Times New Roman" w:cs="Times New Roman"/>
          <w:sz w:val="20"/>
          <w:szCs w:val="20"/>
        </w:rPr>
        <w:t>, pp.</w:t>
      </w:r>
      <w:r>
        <w:rPr>
          <w:rFonts w:ascii="Times New Roman" w:hAnsi="Times New Roman" w:cs="Times New Roman"/>
          <w:sz w:val="20"/>
          <w:szCs w:val="20"/>
        </w:rPr>
        <w:t xml:space="preserve"> </w:t>
      </w:r>
      <w:r w:rsidRPr="0082086C">
        <w:rPr>
          <w:rFonts w:ascii="Times New Roman" w:hAnsi="Times New Roman" w:cs="Times New Roman"/>
          <w:sz w:val="20"/>
          <w:szCs w:val="20"/>
        </w:rPr>
        <w:t>3</w:t>
      </w:r>
      <w:r>
        <w:rPr>
          <w:rFonts w:ascii="Times New Roman" w:hAnsi="Times New Roman" w:cs="Times New Roman"/>
          <w:sz w:val="20"/>
          <w:szCs w:val="20"/>
        </w:rPr>
        <w:t>–</w:t>
      </w:r>
      <w:r w:rsidRPr="0082086C">
        <w:rPr>
          <w:rFonts w:ascii="Times New Roman" w:hAnsi="Times New Roman" w:cs="Times New Roman"/>
          <w:sz w:val="20"/>
          <w:szCs w:val="20"/>
        </w:rPr>
        <w:t>6</w:t>
      </w:r>
      <w:r>
        <w:rPr>
          <w:rFonts w:ascii="Times New Roman" w:hAnsi="Times New Roman" w:cs="Times New Roman"/>
          <w:sz w:val="20"/>
          <w:szCs w:val="20"/>
        </w:rPr>
        <w:t>.</w:t>
      </w:r>
    </w:p>
  </w:footnote>
  <w:footnote w:id="8">
    <w:p w14:paraId="5111FB46"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This interruption can be explained by the fact that electronics factories were appropriated by the state during the war</w:t>
      </w:r>
      <w:r>
        <w:rPr>
          <w:rFonts w:ascii="Times New Roman" w:hAnsi="Times New Roman" w:cs="Times New Roman"/>
          <w:sz w:val="20"/>
          <w:szCs w:val="20"/>
        </w:rPr>
        <w:t>.</w:t>
      </w:r>
    </w:p>
  </w:footnote>
  <w:footnote w:id="9">
    <w:p w14:paraId="39E1934F"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Leo </w:t>
      </w:r>
      <w:proofErr w:type="spellStart"/>
      <w:r w:rsidRPr="0082086C">
        <w:rPr>
          <w:rFonts w:ascii="Times New Roman" w:hAnsi="Times New Roman" w:cs="Times New Roman"/>
          <w:sz w:val="20"/>
          <w:szCs w:val="20"/>
        </w:rPr>
        <w:t>Bogard</w:t>
      </w:r>
      <w:proofErr w:type="spellEnd"/>
      <w:r w:rsidRPr="0082086C">
        <w:rPr>
          <w:rFonts w:ascii="Times New Roman" w:hAnsi="Times New Roman" w:cs="Times New Roman"/>
          <w:sz w:val="20"/>
          <w:szCs w:val="20"/>
        </w:rPr>
        <w:t xml:space="preserve">, </w:t>
      </w:r>
      <w:hyperlink r:id="rId1" w:history="1">
        <w:proofErr w:type="gramStart"/>
        <w:r w:rsidRPr="00EB5C7B">
          <w:rPr>
            <w:rStyle w:val="Hyperlink"/>
            <w:rFonts w:ascii="Times New Roman" w:hAnsi="Times New Roman" w:cs="Times New Roman"/>
            <w:i/>
            <w:sz w:val="20"/>
            <w:szCs w:val="20"/>
          </w:rPr>
          <w:t>The</w:t>
        </w:r>
        <w:proofErr w:type="gramEnd"/>
        <w:r w:rsidRPr="00EB5C7B">
          <w:rPr>
            <w:rStyle w:val="Hyperlink"/>
            <w:rFonts w:ascii="Times New Roman" w:hAnsi="Times New Roman" w:cs="Times New Roman"/>
            <w:i/>
            <w:sz w:val="20"/>
            <w:szCs w:val="20"/>
          </w:rPr>
          <w:t xml:space="preserve"> Age of </w:t>
        </w:r>
        <w:r w:rsidRPr="00EB5C7B">
          <w:rPr>
            <w:rStyle w:val="text3"/>
            <w:rFonts w:ascii="Times New Roman" w:hAnsi="Times New Roman" w:cs="Times New Roman"/>
            <w:i/>
            <w:sz w:val="20"/>
            <w:szCs w:val="20"/>
          </w:rPr>
          <w:t>Television</w:t>
        </w:r>
        <w:r w:rsidRPr="00EB5C7B">
          <w:rPr>
            <w:rStyle w:val="Hyperlink"/>
            <w:rFonts w:ascii="Times New Roman" w:hAnsi="Times New Roman" w:cs="Times New Roman"/>
            <w:i/>
            <w:sz w:val="20"/>
            <w:szCs w:val="20"/>
          </w:rPr>
          <w:t xml:space="preserve">: A Study of Viewing Habits and the Impact of </w:t>
        </w:r>
        <w:r w:rsidRPr="00EB5C7B">
          <w:rPr>
            <w:rStyle w:val="text3"/>
            <w:rFonts w:ascii="Times New Roman" w:hAnsi="Times New Roman" w:cs="Times New Roman"/>
            <w:i/>
            <w:sz w:val="20"/>
            <w:szCs w:val="20"/>
          </w:rPr>
          <w:t>Television</w:t>
        </w:r>
        <w:r w:rsidRPr="00EB5C7B">
          <w:rPr>
            <w:rStyle w:val="Hyperlink"/>
            <w:rFonts w:ascii="Times New Roman" w:hAnsi="Times New Roman" w:cs="Times New Roman"/>
            <w:i/>
            <w:sz w:val="20"/>
            <w:szCs w:val="20"/>
          </w:rPr>
          <w:t xml:space="preserve"> on American Life</w:t>
        </w:r>
      </w:hyperlink>
      <w:r w:rsidRPr="0082086C">
        <w:rPr>
          <w:rFonts w:ascii="Times New Roman" w:hAnsi="Times New Roman" w:cs="Times New Roman"/>
          <w:sz w:val="20"/>
          <w:szCs w:val="20"/>
        </w:rPr>
        <w:t xml:space="preserve"> (New York</w:t>
      </w:r>
      <w:r>
        <w:rPr>
          <w:rFonts w:ascii="Times New Roman" w:hAnsi="Times New Roman" w:cs="Times New Roman"/>
          <w:sz w:val="20"/>
          <w:szCs w:val="20"/>
        </w:rPr>
        <w:t>:</w:t>
      </w:r>
      <w:r w:rsidRPr="0082086C">
        <w:rPr>
          <w:rFonts w:ascii="Times New Roman" w:hAnsi="Times New Roman" w:cs="Times New Roman"/>
          <w:sz w:val="20"/>
          <w:szCs w:val="20"/>
        </w:rPr>
        <w:t xml:space="preserve"> F. </w:t>
      </w:r>
      <w:proofErr w:type="spellStart"/>
      <w:r w:rsidRPr="0082086C">
        <w:rPr>
          <w:rFonts w:ascii="Times New Roman" w:hAnsi="Times New Roman" w:cs="Times New Roman"/>
          <w:sz w:val="20"/>
          <w:szCs w:val="20"/>
        </w:rPr>
        <w:t>Ungar</w:t>
      </w:r>
      <w:proofErr w:type="spellEnd"/>
      <w:r w:rsidRPr="0082086C">
        <w:rPr>
          <w:rFonts w:ascii="Times New Roman" w:hAnsi="Times New Roman" w:cs="Times New Roman"/>
          <w:sz w:val="20"/>
          <w:szCs w:val="20"/>
        </w:rPr>
        <w:t xml:space="preserve"> Publishing, 1956); Norton</w:t>
      </w:r>
      <w:r>
        <w:rPr>
          <w:rFonts w:ascii="Times New Roman" w:hAnsi="Times New Roman" w:cs="Times New Roman"/>
          <w:sz w:val="20"/>
          <w:szCs w:val="20"/>
        </w:rPr>
        <w:t xml:space="preserve">, </w:t>
      </w:r>
      <w:r>
        <w:rPr>
          <w:rFonts w:ascii="Times New Roman" w:hAnsi="Times New Roman" w:cs="Times New Roman"/>
          <w:i/>
          <w:sz w:val="20"/>
          <w:szCs w:val="20"/>
        </w:rPr>
        <w:t>People and a Nation</w:t>
      </w:r>
      <w:r>
        <w:rPr>
          <w:rFonts w:ascii="Times New Roman" w:hAnsi="Times New Roman" w:cs="Times New Roman"/>
          <w:sz w:val="20"/>
          <w:szCs w:val="20"/>
        </w:rPr>
        <w:t xml:space="preserve">, </w:t>
      </w:r>
      <w:r w:rsidRPr="0082086C">
        <w:rPr>
          <w:rFonts w:ascii="Times New Roman" w:hAnsi="Times New Roman" w:cs="Times New Roman"/>
          <w:sz w:val="20"/>
          <w:szCs w:val="20"/>
        </w:rPr>
        <w:t>p. 823</w:t>
      </w:r>
      <w:r>
        <w:rPr>
          <w:rFonts w:ascii="Times New Roman" w:hAnsi="Times New Roman" w:cs="Times New Roman"/>
          <w:sz w:val="20"/>
          <w:szCs w:val="20"/>
        </w:rPr>
        <w:t>.</w:t>
      </w:r>
    </w:p>
  </w:footnote>
  <w:footnote w:id="10">
    <w:p w14:paraId="1DDD003D"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Jeffrey Hart, </w:t>
      </w:r>
      <w:r w:rsidRPr="00EB5C7B">
        <w:rPr>
          <w:rFonts w:ascii="Times New Roman" w:hAnsi="Times New Roman" w:cs="Times New Roman"/>
          <w:i/>
          <w:sz w:val="20"/>
          <w:szCs w:val="20"/>
        </w:rPr>
        <w:t xml:space="preserve">When the Going was </w:t>
      </w:r>
      <w:proofErr w:type="gramStart"/>
      <w:r w:rsidRPr="00EB5C7B">
        <w:rPr>
          <w:rFonts w:ascii="Times New Roman" w:hAnsi="Times New Roman" w:cs="Times New Roman"/>
          <w:i/>
          <w:sz w:val="20"/>
          <w:szCs w:val="20"/>
        </w:rPr>
        <w:t>Good</w:t>
      </w:r>
      <w:proofErr w:type="gramEnd"/>
      <w:r w:rsidRPr="00EB5C7B">
        <w:rPr>
          <w:rFonts w:ascii="Times New Roman" w:hAnsi="Times New Roman" w:cs="Times New Roman"/>
          <w:i/>
          <w:sz w:val="20"/>
          <w:szCs w:val="20"/>
        </w:rPr>
        <w:t>! American Life in the Fifties</w:t>
      </w:r>
      <w:r>
        <w:rPr>
          <w:rFonts w:ascii="Times New Roman" w:hAnsi="Times New Roman" w:cs="Times New Roman"/>
          <w:sz w:val="20"/>
          <w:szCs w:val="20"/>
        </w:rPr>
        <w:t xml:space="preserve"> </w:t>
      </w:r>
      <w:r w:rsidRPr="0082086C">
        <w:rPr>
          <w:rFonts w:ascii="Times New Roman" w:hAnsi="Times New Roman" w:cs="Times New Roman"/>
          <w:sz w:val="20"/>
          <w:szCs w:val="20"/>
        </w:rPr>
        <w:t>(New York</w:t>
      </w:r>
      <w:r>
        <w:rPr>
          <w:rFonts w:ascii="Times New Roman" w:hAnsi="Times New Roman" w:cs="Times New Roman"/>
          <w:sz w:val="20"/>
          <w:szCs w:val="20"/>
        </w:rPr>
        <w:t>:</w:t>
      </w:r>
      <w:r w:rsidRPr="00B5433F">
        <w:rPr>
          <w:rFonts w:ascii="Times New Roman" w:hAnsi="Times New Roman" w:cs="Times New Roman"/>
          <w:sz w:val="20"/>
          <w:szCs w:val="20"/>
        </w:rPr>
        <w:t xml:space="preserve"> </w:t>
      </w:r>
      <w:r w:rsidRPr="0082086C">
        <w:rPr>
          <w:rFonts w:ascii="Times New Roman" w:hAnsi="Times New Roman" w:cs="Times New Roman"/>
          <w:sz w:val="20"/>
          <w:szCs w:val="20"/>
        </w:rPr>
        <w:t>Crown Publishers, 1982)</w:t>
      </w:r>
      <w:r>
        <w:rPr>
          <w:rFonts w:ascii="Times New Roman" w:hAnsi="Times New Roman" w:cs="Times New Roman"/>
          <w:sz w:val="20"/>
          <w:szCs w:val="20"/>
        </w:rPr>
        <w:t>, p. 141.</w:t>
      </w:r>
    </w:p>
  </w:footnote>
  <w:footnote w:id="11">
    <w:p w14:paraId="425EE306"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w:t>
      </w:r>
      <w:r w:rsidRPr="00213FE7">
        <w:rPr>
          <w:rFonts w:ascii="Times New Roman" w:hAnsi="Times New Roman" w:cs="Times New Roman"/>
          <w:i/>
          <w:sz w:val="20"/>
          <w:szCs w:val="20"/>
        </w:rPr>
        <w:t xml:space="preserve">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xml:space="preserve">, p. 18; </w:t>
      </w:r>
      <w:proofErr w:type="spellStart"/>
      <w:r w:rsidRPr="0082086C">
        <w:rPr>
          <w:rFonts w:ascii="Times New Roman" w:hAnsi="Times New Roman" w:cs="Times New Roman"/>
          <w:sz w:val="20"/>
          <w:szCs w:val="20"/>
        </w:rPr>
        <w:t>Bogard</w:t>
      </w:r>
      <w:proofErr w:type="spellEnd"/>
      <w:r w:rsidRPr="0082086C">
        <w:rPr>
          <w:rFonts w:ascii="Times New Roman" w:hAnsi="Times New Roman" w:cs="Times New Roman"/>
          <w:sz w:val="20"/>
          <w:szCs w:val="20"/>
        </w:rPr>
        <w:t xml:space="preserve">, </w:t>
      </w:r>
      <w:proofErr w:type="gramStart"/>
      <w:r w:rsidRPr="00EB5C7B">
        <w:rPr>
          <w:rFonts w:ascii="Times New Roman" w:hAnsi="Times New Roman" w:cs="Times New Roman"/>
          <w:i/>
          <w:sz w:val="20"/>
          <w:szCs w:val="20"/>
        </w:rPr>
        <w:t>The</w:t>
      </w:r>
      <w:proofErr w:type="gramEnd"/>
      <w:r w:rsidRPr="00EB5C7B">
        <w:rPr>
          <w:rFonts w:ascii="Times New Roman" w:hAnsi="Times New Roman" w:cs="Times New Roman"/>
          <w:i/>
          <w:sz w:val="20"/>
          <w:szCs w:val="20"/>
        </w:rPr>
        <w:t xml:space="preserve"> Age of Television</w:t>
      </w:r>
      <w:r w:rsidRPr="0082086C">
        <w:rPr>
          <w:rFonts w:ascii="Times New Roman" w:hAnsi="Times New Roman" w:cs="Times New Roman"/>
          <w:sz w:val="20"/>
          <w:szCs w:val="20"/>
        </w:rPr>
        <w:t>, p. 235</w:t>
      </w:r>
      <w:r>
        <w:rPr>
          <w:rFonts w:ascii="Times New Roman" w:hAnsi="Times New Roman" w:cs="Times New Roman"/>
          <w:sz w:val="20"/>
          <w:szCs w:val="20"/>
        </w:rPr>
        <w:t>.</w:t>
      </w:r>
    </w:p>
  </w:footnote>
  <w:footnote w:id="12">
    <w:p w14:paraId="4D38463B"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Curtis, </w:t>
      </w:r>
      <w:r w:rsidRPr="00EB5C7B">
        <w:rPr>
          <w:rFonts w:ascii="Times New Roman" w:hAnsi="Times New Roman" w:cs="Times New Roman"/>
          <w:i/>
          <w:sz w:val="20"/>
          <w:szCs w:val="20"/>
        </w:rPr>
        <w:t>Rock Eras</w:t>
      </w:r>
      <w:r w:rsidRPr="0082086C">
        <w:rPr>
          <w:rFonts w:ascii="Times New Roman" w:hAnsi="Times New Roman" w:cs="Times New Roman"/>
          <w:sz w:val="20"/>
          <w:szCs w:val="20"/>
        </w:rPr>
        <w:t>, pp. 38, 41</w:t>
      </w:r>
      <w:r>
        <w:rPr>
          <w:rFonts w:ascii="Times New Roman" w:hAnsi="Times New Roman" w:cs="Times New Roman"/>
          <w:sz w:val="20"/>
          <w:szCs w:val="20"/>
        </w:rPr>
        <w:t>.</w:t>
      </w:r>
    </w:p>
  </w:footnote>
  <w:footnote w:id="13">
    <w:p w14:paraId="02EB123D"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Curtis, </w:t>
      </w:r>
      <w:r w:rsidRPr="00EB5C7B">
        <w:rPr>
          <w:rFonts w:ascii="Times New Roman" w:hAnsi="Times New Roman" w:cs="Times New Roman"/>
          <w:i/>
          <w:sz w:val="20"/>
          <w:szCs w:val="20"/>
        </w:rPr>
        <w:t>Rock Eras</w:t>
      </w:r>
      <w:r w:rsidRPr="0082086C">
        <w:rPr>
          <w:rFonts w:ascii="Times New Roman" w:hAnsi="Times New Roman" w:cs="Times New Roman"/>
          <w:sz w:val="20"/>
          <w:szCs w:val="20"/>
        </w:rPr>
        <w:t>, pp. 41</w:t>
      </w:r>
      <w:r>
        <w:rPr>
          <w:rFonts w:ascii="Times New Roman" w:hAnsi="Times New Roman" w:cs="Times New Roman"/>
          <w:sz w:val="20"/>
          <w:szCs w:val="20"/>
        </w:rPr>
        <w:t>–</w:t>
      </w:r>
      <w:r w:rsidRPr="0082086C">
        <w:rPr>
          <w:rFonts w:ascii="Times New Roman" w:hAnsi="Times New Roman" w:cs="Times New Roman"/>
          <w:sz w:val="20"/>
          <w:szCs w:val="20"/>
        </w:rPr>
        <w:t>43</w:t>
      </w:r>
      <w:r>
        <w:rPr>
          <w:rFonts w:ascii="Times New Roman" w:hAnsi="Times New Roman" w:cs="Times New Roman"/>
          <w:sz w:val="20"/>
          <w:szCs w:val="20"/>
        </w:rPr>
        <w:t>.</w:t>
      </w:r>
    </w:p>
  </w:footnote>
  <w:footnote w:id="14">
    <w:p w14:paraId="0F27689C"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By 1956</w:t>
      </w:r>
      <w:r>
        <w:rPr>
          <w:rFonts w:ascii="Times New Roman" w:hAnsi="Times New Roman" w:cs="Times New Roman"/>
          <w:sz w:val="20"/>
          <w:szCs w:val="20"/>
        </w:rPr>
        <w:t>,</w:t>
      </w:r>
      <w:r w:rsidRPr="0082086C">
        <w:rPr>
          <w:rFonts w:ascii="Times New Roman" w:hAnsi="Times New Roman" w:cs="Times New Roman"/>
          <w:sz w:val="20"/>
          <w:szCs w:val="20"/>
        </w:rPr>
        <w:t xml:space="preserve"> 57% of radios in homes with TVs were located in the bedroom, and 71% were in cars as opposed to just 40% of hom</w:t>
      </w:r>
      <w:r>
        <w:rPr>
          <w:rFonts w:ascii="Times New Roman" w:hAnsi="Times New Roman" w:cs="Times New Roman"/>
          <w:sz w:val="20"/>
          <w:szCs w:val="20"/>
        </w:rPr>
        <w:t>es who did not own a television.</w:t>
      </w:r>
      <w:r w:rsidRPr="0082086C">
        <w:rPr>
          <w:rFonts w:ascii="Times New Roman" w:hAnsi="Times New Roman" w:cs="Times New Roman"/>
          <w:sz w:val="20"/>
          <w:szCs w:val="20"/>
        </w:rPr>
        <w:t xml:space="preserve"> </w:t>
      </w:r>
      <w:proofErr w:type="spellStart"/>
      <w:r w:rsidRPr="0082086C">
        <w:rPr>
          <w:rFonts w:ascii="Times New Roman" w:hAnsi="Times New Roman" w:cs="Times New Roman"/>
          <w:sz w:val="20"/>
          <w:szCs w:val="20"/>
        </w:rPr>
        <w:t>Bogard</w:t>
      </w:r>
      <w:proofErr w:type="spellEnd"/>
      <w:r w:rsidRPr="0082086C">
        <w:rPr>
          <w:rFonts w:ascii="Times New Roman" w:hAnsi="Times New Roman" w:cs="Times New Roman"/>
          <w:sz w:val="20"/>
          <w:szCs w:val="20"/>
        </w:rPr>
        <w:t>,</w:t>
      </w:r>
      <w:r>
        <w:rPr>
          <w:rFonts w:ascii="Times New Roman" w:hAnsi="Times New Roman" w:cs="Times New Roman"/>
          <w:sz w:val="20"/>
          <w:szCs w:val="20"/>
        </w:rPr>
        <w:t xml:space="preserve"> </w:t>
      </w:r>
      <w:r w:rsidRPr="00213FE7">
        <w:rPr>
          <w:rFonts w:ascii="Times New Roman" w:hAnsi="Times New Roman" w:cs="Times New Roman"/>
          <w:i/>
          <w:sz w:val="20"/>
          <w:szCs w:val="20"/>
        </w:rPr>
        <w:t>Age of Television</w:t>
      </w:r>
      <w:r>
        <w:rPr>
          <w:rFonts w:ascii="Times New Roman" w:hAnsi="Times New Roman" w:cs="Times New Roman"/>
          <w:sz w:val="20"/>
          <w:szCs w:val="20"/>
        </w:rPr>
        <w:t xml:space="preserve">, </w:t>
      </w:r>
      <w:r w:rsidRPr="0082086C">
        <w:rPr>
          <w:rFonts w:ascii="Times New Roman" w:hAnsi="Times New Roman" w:cs="Times New Roman"/>
          <w:sz w:val="20"/>
          <w:szCs w:val="20"/>
        </w:rPr>
        <w:t>p. 115</w:t>
      </w:r>
      <w:r>
        <w:rPr>
          <w:rFonts w:ascii="Times New Roman" w:hAnsi="Times New Roman" w:cs="Times New Roman"/>
          <w:sz w:val="20"/>
          <w:szCs w:val="20"/>
        </w:rPr>
        <w:t>.</w:t>
      </w:r>
    </w:p>
  </w:footnote>
  <w:footnote w:id="15">
    <w:p w14:paraId="75E4CFDC"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Curtis</w:t>
      </w:r>
      <w:r>
        <w:rPr>
          <w:rFonts w:ascii="Times New Roman" w:hAnsi="Times New Roman" w:cs="Times New Roman"/>
          <w:sz w:val="20"/>
          <w:szCs w:val="20"/>
        </w:rPr>
        <w:t xml:space="preserve">, </w:t>
      </w:r>
      <w:r>
        <w:rPr>
          <w:rFonts w:ascii="Times New Roman" w:hAnsi="Times New Roman" w:cs="Times New Roman"/>
          <w:i/>
          <w:sz w:val="20"/>
          <w:szCs w:val="20"/>
        </w:rPr>
        <w:t>Rock Eras</w:t>
      </w:r>
      <w:r w:rsidRPr="0082086C">
        <w:rPr>
          <w:rFonts w:ascii="Times New Roman" w:hAnsi="Times New Roman" w:cs="Times New Roman"/>
          <w:sz w:val="20"/>
          <w:szCs w:val="20"/>
        </w:rPr>
        <w:t>, pp. 44</w:t>
      </w:r>
      <w:r>
        <w:rPr>
          <w:rFonts w:ascii="Times New Roman" w:hAnsi="Times New Roman" w:cs="Times New Roman"/>
          <w:sz w:val="20"/>
          <w:szCs w:val="20"/>
        </w:rPr>
        <w:t>–</w:t>
      </w:r>
      <w:r w:rsidRPr="0082086C">
        <w:rPr>
          <w:rFonts w:ascii="Times New Roman" w:hAnsi="Times New Roman" w:cs="Times New Roman"/>
          <w:sz w:val="20"/>
          <w:szCs w:val="20"/>
        </w:rPr>
        <w:t>49</w:t>
      </w:r>
      <w:r>
        <w:rPr>
          <w:rFonts w:ascii="Times New Roman" w:hAnsi="Times New Roman" w:cs="Times New Roman"/>
          <w:sz w:val="20"/>
          <w:szCs w:val="20"/>
        </w:rPr>
        <w:t>.</w:t>
      </w:r>
    </w:p>
  </w:footnote>
  <w:footnote w:id="16">
    <w:p w14:paraId="66071BB0"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Curtis</w:t>
      </w:r>
      <w:r>
        <w:rPr>
          <w:rFonts w:ascii="Times New Roman" w:hAnsi="Times New Roman" w:cs="Times New Roman"/>
          <w:sz w:val="20"/>
          <w:szCs w:val="20"/>
        </w:rPr>
        <w:t xml:space="preserve">, </w:t>
      </w:r>
      <w:r>
        <w:rPr>
          <w:rFonts w:ascii="Times New Roman" w:hAnsi="Times New Roman" w:cs="Times New Roman"/>
          <w:i/>
          <w:sz w:val="20"/>
          <w:szCs w:val="20"/>
        </w:rPr>
        <w:t>Rock Eras</w:t>
      </w:r>
      <w:r w:rsidRPr="0082086C">
        <w:rPr>
          <w:rFonts w:ascii="Times New Roman" w:hAnsi="Times New Roman" w:cs="Times New Roman"/>
          <w:sz w:val="20"/>
          <w:szCs w:val="20"/>
        </w:rPr>
        <w:t xml:space="preserve">, pp. 46; George </w:t>
      </w:r>
      <w:proofErr w:type="spellStart"/>
      <w:r w:rsidRPr="0082086C">
        <w:rPr>
          <w:rFonts w:ascii="Times New Roman" w:hAnsi="Times New Roman" w:cs="Times New Roman"/>
          <w:sz w:val="20"/>
          <w:szCs w:val="20"/>
        </w:rPr>
        <w:t>Lipsitz</w:t>
      </w:r>
      <w:proofErr w:type="spellEnd"/>
      <w:r w:rsidRPr="0082086C">
        <w:rPr>
          <w:rFonts w:ascii="Times New Roman" w:hAnsi="Times New Roman" w:cs="Times New Roman"/>
          <w:sz w:val="20"/>
          <w:szCs w:val="20"/>
        </w:rPr>
        <w:t>, ‘Land of a Thousand Dance: Youth Minorities and the Rise of Rock ‘n’ Roll,’</w:t>
      </w:r>
      <w:r>
        <w:rPr>
          <w:rFonts w:ascii="Times New Roman" w:hAnsi="Times New Roman" w:cs="Times New Roman"/>
          <w:sz w:val="20"/>
          <w:szCs w:val="20"/>
        </w:rPr>
        <w:t xml:space="preserve"> in ed. </w:t>
      </w:r>
      <w:proofErr w:type="spellStart"/>
      <w:r>
        <w:rPr>
          <w:rFonts w:ascii="Times New Roman" w:hAnsi="Times New Roman" w:cs="Times New Roman"/>
          <w:sz w:val="20"/>
          <w:szCs w:val="20"/>
        </w:rPr>
        <w:t>Lary</w:t>
      </w:r>
      <w:proofErr w:type="spellEnd"/>
      <w:r>
        <w:rPr>
          <w:rFonts w:ascii="Times New Roman" w:hAnsi="Times New Roman" w:cs="Times New Roman"/>
          <w:sz w:val="20"/>
          <w:szCs w:val="20"/>
        </w:rPr>
        <w:t xml:space="preserve"> May ed. </w:t>
      </w:r>
      <w:r w:rsidRPr="00EB5C7B">
        <w:rPr>
          <w:rFonts w:ascii="Times New Roman" w:hAnsi="Times New Roman" w:cs="Times New Roman"/>
          <w:i/>
          <w:sz w:val="20"/>
          <w:szCs w:val="20"/>
        </w:rPr>
        <w:t>Recasting America: Culture and Politics in the Age of the Cold War</w:t>
      </w:r>
      <w:r>
        <w:rPr>
          <w:rFonts w:ascii="Times New Roman" w:hAnsi="Times New Roman" w:cs="Times New Roman"/>
          <w:sz w:val="20"/>
          <w:szCs w:val="20"/>
        </w:rPr>
        <w:t xml:space="preserve"> (</w:t>
      </w:r>
      <w:r w:rsidRPr="0082086C">
        <w:rPr>
          <w:rFonts w:ascii="Times New Roman" w:hAnsi="Times New Roman" w:cs="Times New Roman"/>
          <w:sz w:val="20"/>
          <w:szCs w:val="20"/>
        </w:rPr>
        <w:t>University of Chicago</w:t>
      </w:r>
      <w:r>
        <w:rPr>
          <w:rFonts w:ascii="Times New Roman" w:hAnsi="Times New Roman" w:cs="Times New Roman"/>
          <w:sz w:val="20"/>
          <w:szCs w:val="20"/>
        </w:rPr>
        <w:t xml:space="preserve">: </w:t>
      </w:r>
      <w:r w:rsidRPr="0082086C">
        <w:rPr>
          <w:rFonts w:ascii="Times New Roman" w:hAnsi="Times New Roman" w:cs="Times New Roman"/>
          <w:sz w:val="20"/>
          <w:szCs w:val="20"/>
        </w:rPr>
        <w:t>Chicago, 1989)</w:t>
      </w:r>
      <w:r>
        <w:rPr>
          <w:rFonts w:ascii="Times New Roman" w:hAnsi="Times New Roman" w:cs="Times New Roman"/>
          <w:sz w:val="20"/>
          <w:szCs w:val="20"/>
        </w:rPr>
        <w:t>,</w:t>
      </w:r>
      <w:r w:rsidRPr="0082086C">
        <w:rPr>
          <w:rFonts w:ascii="Times New Roman" w:hAnsi="Times New Roman" w:cs="Times New Roman"/>
          <w:sz w:val="20"/>
          <w:szCs w:val="20"/>
        </w:rPr>
        <w:t xml:space="preserve"> pp. 267</w:t>
      </w:r>
      <w:r>
        <w:rPr>
          <w:rFonts w:ascii="Times New Roman" w:hAnsi="Times New Roman" w:cs="Times New Roman"/>
          <w:sz w:val="20"/>
          <w:szCs w:val="20"/>
        </w:rPr>
        <w:t>–</w:t>
      </w:r>
      <w:r w:rsidRPr="0082086C">
        <w:rPr>
          <w:rFonts w:ascii="Times New Roman" w:hAnsi="Times New Roman" w:cs="Times New Roman"/>
          <w:sz w:val="20"/>
          <w:szCs w:val="20"/>
        </w:rPr>
        <w:t>81</w:t>
      </w:r>
      <w:r>
        <w:rPr>
          <w:rFonts w:ascii="Times New Roman" w:hAnsi="Times New Roman" w:cs="Times New Roman"/>
          <w:sz w:val="20"/>
          <w:szCs w:val="20"/>
        </w:rPr>
        <w:t>.</w:t>
      </w:r>
    </w:p>
  </w:footnote>
  <w:footnote w:id="17">
    <w:p w14:paraId="39BE1703"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Curtis,</w:t>
      </w:r>
      <w:r>
        <w:rPr>
          <w:rFonts w:ascii="Times New Roman" w:hAnsi="Times New Roman" w:cs="Times New Roman"/>
          <w:sz w:val="20"/>
          <w:szCs w:val="20"/>
        </w:rPr>
        <w:t xml:space="preserve"> </w:t>
      </w:r>
      <w:r>
        <w:rPr>
          <w:rFonts w:ascii="Times New Roman" w:hAnsi="Times New Roman" w:cs="Times New Roman"/>
          <w:i/>
          <w:sz w:val="20"/>
          <w:szCs w:val="20"/>
        </w:rPr>
        <w:t>Rock Eras</w:t>
      </w:r>
      <w:r>
        <w:rPr>
          <w:rFonts w:ascii="Times New Roman" w:hAnsi="Times New Roman" w:cs="Times New Roman"/>
          <w:sz w:val="20"/>
          <w:szCs w:val="20"/>
        </w:rPr>
        <w:t xml:space="preserve">, </w:t>
      </w:r>
      <w:r w:rsidRPr="0082086C">
        <w:rPr>
          <w:rFonts w:ascii="Times New Roman" w:hAnsi="Times New Roman" w:cs="Times New Roman"/>
          <w:sz w:val="20"/>
          <w:szCs w:val="20"/>
        </w:rPr>
        <w:t>p. 37</w:t>
      </w:r>
      <w:r>
        <w:rPr>
          <w:rFonts w:ascii="Times New Roman" w:hAnsi="Times New Roman" w:cs="Times New Roman"/>
          <w:sz w:val="20"/>
          <w:szCs w:val="20"/>
        </w:rPr>
        <w:t>.</w:t>
      </w:r>
    </w:p>
  </w:footnote>
  <w:footnote w:id="18">
    <w:p w14:paraId="4C85B364"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82086C">
        <w:rPr>
          <w:rFonts w:ascii="Times New Roman" w:hAnsi="Times New Roman" w:cs="Times New Roman"/>
          <w:sz w:val="20"/>
          <w:szCs w:val="20"/>
        </w:rPr>
        <w:t>, p. 71</w:t>
      </w:r>
      <w:r>
        <w:rPr>
          <w:rFonts w:ascii="Times New Roman" w:hAnsi="Times New Roman" w:cs="Times New Roman"/>
          <w:sz w:val="20"/>
          <w:szCs w:val="20"/>
        </w:rPr>
        <w:t>.</w:t>
      </w:r>
    </w:p>
  </w:footnote>
  <w:footnote w:id="19">
    <w:p w14:paraId="403FF359"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82086C">
        <w:rPr>
          <w:rFonts w:ascii="Times New Roman" w:hAnsi="Times New Roman" w:cs="Times New Roman"/>
          <w:sz w:val="20"/>
          <w:szCs w:val="20"/>
        </w:rPr>
        <w:t>, pp. 105</w:t>
      </w:r>
      <w:r>
        <w:rPr>
          <w:rFonts w:ascii="Times New Roman" w:hAnsi="Times New Roman" w:cs="Times New Roman"/>
          <w:sz w:val="20"/>
          <w:szCs w:val="20"/>
        </w:rPr>
        <w:t>–</w:t>
      </w:r>
      <w:r w:rsidRPr="0082086C">
        <w:rPr>
          <w:rFonts w:ascii="Times New Roman" w:hAnsi="Times New Roman" w:cs="Times New Roman"/>
          <w:sz w:val="20"/>
          <w:szCs w:val="20"/>
        </w:rPr>
        <w:t>13</w:t>
      </w:r>
      <w:r>
        <w:rPr>
          <w:rFonts w:ascii="Times New Roman" w:hAnsi="Times New Roman" w:cs="Times New Roman"/>
          <w:sz w:val="20"/>
          <w:szCs w:val="20"/>
        </w:rPr>
        <w:t>.</w:t>
      </w:r>
    </w:p>
  </w:footnote>
  <w:footnote w:id="20">
    <w:p w14:paraId="70676603"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82086C">
        <w:rPr>
          <w:rFonts w:ascii="Times New Roman" w:hAnsi="Times New Roman" w:cs="Times New Roman"/>
          <w:sz w:val="20"/>
          <w:szCs w:val="20"/>
        </w:rPr>
        <w:t>, p. 142</w:t>
      </w:r>
      <w:r>
        <w:rPr>
          <w:rFonts w:ascii="Times New Roman" w:hAnsi="Times New Roman" w:cs="Times New Roman"/>
          <w:sz w:val="20"/>
          <w:szCs w:val="20"/>
        </w:rPr>
        <w:t>.</w:t>
      </w:r>
    </w:p>
  </w:footnote>
  <w:footnote w:id="21">
    <w:p w14:paraId="49C16246"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p. 4</w:t>
      </w:r>
      <w:r>
        <w:rPr>
          <w:rFonts w:ascii="Times New Roman" w:hAnsi="Times New Roman" w:cs="Times New Roman"/>
          <w:sz w:val="20"/>
          <w:szCs w:val="20"/>
        </w:rPr>
        <w:t>.</w:t>
      </w:r>
    </w:p>
  </w:footnote>
  <w:footnote w:id="22">
    <w:p w14:paraId="1AE3E189"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82086C">
        <w:rPr>
          <w:rFonts w:ascii="Times New Roman" w:hAnsi="Times New Roman" w:cs="Times New Roman"/>
          <w:sz w:val="20"/>
          <w:szCs w:val="20"/>
        </w:rPr>
        <w:t xml:space="preserve">, </w:t>
      </w:r>
      <w:r>
        <w:rPr>
          <w:rFonts w:ascii="Times New Roman" w:hAnsi="Times New Roman" w:cs="Times New Roman"/>
          <w:sz w:val="20"/>
          <w:szCs w:val="20"/>
        </w:rPr>
        <w:t>p</w:t>
      </w:r>
      <w:r w:rsidRPr="0082086C">
        <w:rPr>
          <w:rFonts w:ascii="Times New Roman" w:hAnsi="Times New Roman" w:cs="Times New Roman"/>
          <w:sz w:val="20"/>
          <w:szCs w:val="20"/>
        </w:rPr>
        <w:t>. 52</w:t>
      </w:r>
      <w:r>
        <w:rPr>
          <w:rFonts w:ascii="Times New Roman" w:hAnsi="Times New Roman" w:cs="Times New Roman"/>
          <w:sz w:val="20"/>
          <w:szCs w:val="20"/>
        </w:rPr>
        <w:t>.</w:t>
      </w:r>
    </w:p>
  </w:footnote>
  <w:footnote w:id="23">
    <w:p w14:paraId="335010E6"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xml:space="preserve"> p. 15</w:t>
      </w:r>
      <w:r>
        <w:rPr>
          <w:rFonts w:ascii="Times New Roman" w:hAnsi="Times New Roman" w:cs="Times New Roman"/>
          <w:sz w:val="20"/>
          <w:szCs w:val="20"/>
        </w:rPr>
        <w:t>.</w:t>
      </w:r>
    </w:p>
  </w:footnote>
  <w:footnote w:id="24">
    <w:p w14:paraId="21A51003"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Doherty, </w:t>
      </w:r>
      <w:r w:rsidRPr="00EB5C7B">
        <w:rPr>
          <w:rFonts w:ascii="Times New Roman" w:hAnsi="Times New Roman" w:cs="Times New Roman"/>
          <w:i/>
          <w:sz w:val="20"/>
          <w:szCs w:val="20"/>
        </w:rPr>
        <w:t xml:space="preserve">Teenagers and </w:t>
      </w:r>
      <w:proofErr w:type="spellStart"/>
      <w:r w:rsidRPr="00EB5C7B">
        <w:rPr>
          <w:rFonts w:ascii="Times New Roman" w:hAnsi="Times New Roman" w:cs="Times New Roman"/>
          <w:i/>
          <w:sz w:val="20"/>
          <w:szCs w:val="20"/>
        </w:rPr>
        <w:t>Teenpics</w:t>
      </w:r>
      <w:proofErr w:type="spellEnd"/>
      <w:r w:rsidRPr="0082086C">
        <w:rPr>
          <w:rFonts w:ascii="Times New Roman" w:hAnsi="Times New Roman" w:cs="Times New Roman"/>
          <w:sz w:val="20"/>
          <w:szCs w:val="20"/>
        </w:rPr>
        <w:t xml:space="preserve">, </w:t>
      </w:r>
      <w:r>
        <w:rPr>
          <w:rFonts w:ascii="Times New Roman" w:hAnsi="Times New Roman" w:cs="Times New Roman"/>
          <w:sz w:val="20"/>
          <w:szCs w:val="20"/>
        </w:rPr>
        <w:t>pp. 196–</w:t>
      </w:r>
      <w:r w:rsidRPr="0082086C">
        <w:rPr>
          <w:rFonts w:ascii="Times New Roman" w:hAnsi="Times New Roman" w:cs="Times New Roman"/>
          <w:sz w:val="20"/>
          <w:szCs w:val="20"/>
        </w:rPr>
        <w:t>98</w:t>
      </w:r>
      <w:r>
        <w:rPr>
          <w:rFonts w:ascii="Times New Roman" w:hAnsi="Times New Roman" w:cs="Times New Roman"/>
          <w:sz w:val="20"/>
          <w:szCs w:val="20"/>
        </w:rPr>
        <w:t>.</w:t>
      </w:r>
    </w:p>
  </w:footnote>
  <w:footnote w:id="25">
    <w:p w14:paraId="54640F5E"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w:t>
      </w:r>
      <w:r>
        <w:rPr>
          <w:rFonts w:ascii="Times New Roman" w:hAnsi="Times New Roman" w:cs="Times New Roman"/>
          <w:sz w:val="20"/>
          <w:szCs w:val="20"/>
        </w:rPr>
        <w:t xml:space="preserve">,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pp. 22</w:t>
      </w:r>
      <w:r>
        <w:rPr>
          <w:rFonts w:ascii="Times New Roman" w:hAnsi="Times New Roman" w:cs="Times New Roman"/>
          <w:sz w:val="20"/>
          <w:szCs w:val="20"/>
        </w:rPr>
        <w:t xml:space="preserve">–23. 43% of boys and 45% </w:t>
      </w:r>
      <w:r w:rsidRPr="0082086C">
        <w:rPr>
          <w:rFonts w:ascii="Times New Roman" w:hAnsi="Times New Roman" w:cs="Times New Roman"/>
          <w:sz w:val="20"/>
          <w:szCs w:val="20"/>
        </w:rPr>
        <w:t>of girls said Pat Boone was their favourite singer as opposed to just 21% and 17% respectively who preferred Elvis Presley</w:t>
      </w:r>
      <w:r>
        <w:rPr>
          <w:rFonts w:ascii="Times New Roman" w:hAnsi="Times New Roman" w:cs="Times New Roman"/>
          <w:sz w:val="20"/>
          <w:szCs w:val="20"/>
        </w:rPr>
        <w:t>.</w:t>
      </w:r>
    </w:p>
  </w:footnote>
  <w:footnote w:id="26">
    <w:p w14:paraId="1DAE5F8B" w14:textId="77777777" w:rsidR="00D77CAE" w:rsidRPr="0082086C" w:rsidRDefault="00D77CAE" w:rsidP="00D77CAE">
      <w:pPr>
        <w:pStyle w:val="NoSpacing"/>
        <w:jc w:val="both"/>
        <w:rPr>
          <w:rFonts w:ascii="Times New Roman" w:hAnsi="Times New Roman" w:cs="Times New Roman"/>
          <w:sz w:val="20"/>
          <w:szCs w:val="20"/>
        </w:rPr>
      </w:pPr>
      <w:r w:rsidRPr="0082086C">
        <w:rPr>
          <w:rStyle w:val="FootnoteReference"/>
          <w:rFonts w:ascii="Times New Roman" w:hAnsi="Times New Roman" w:cs="Times New Roman"/>
          <w:sz w:val="20"/>
          <w:szCs w:val="20"/>
        </w:rPr>
        <w:footnoteRef/>
      </w:r>
      <w:r w:rsidRPr="0082086C">
        <w:rPr>
          <w:rFonts w:ascii="Times New Roman" w:hAnsi="Times New Roman" w:cs="Times New Roman"/>
          <w:sz w:val="20"/>
          <w:szCs w:val="20"/>
        </w:rPr>
        <w:t xml:space="preserve"> Coleman</w:t>
      </w:r>
      <w:r>
        <w:rPr>
          <w:rFonts w:ascii="Times New Roman" w:hAnsi="Times New Roman" w:cs="Times New Roman"/>
          <w:sz w:val="20"/>
          <w:szCs w:val="20"/>
        </w:rPr>
        <w:t xml:space="preserve">, </w:t>
      </w:r>
      <w:r w:rsidRPr="00EB5C7B">
        <w:rPr>
          <w:rFonts w:ascii="Times New Roman" w:hAnsi="Times New Roman" w:cs="Times New Roman"/>
          <w:i/>
          <w:sz w:val="20"/>
          <w:szCs w:val="20"/>
        </w:rPr>
        <w:t>Adolescent Society</w:t>
      </w:r>
      <w:r w:rsidRPr="0082086C">
        <w:rPr>
          <w:rFonts w:ascii="Times New Roman" w:hAnsi="Times New Roman" w:cs="Times New Roman"/>
          <w:sz w:val="20"/>
          <w:szCs w:val="20"/>
        </w:rPr>
        <w:t>, p. 236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AE"/>
    <w:rsid w:val="0002730B"/>
    <w:rsid w:val="000443E7"/>
    <w:rsid w:val="000636CD"/>
    <w:rsid w:val="0006742A"/>
    <w:rsid w:val="00082B80"/>
    <w:rsid w:val="00085DC3"/>
    <w:rsid w:val="00091256"/>
    <w:rsid w:val="00091ECD"/>
    <w:rsid w:val="00096949"/>
    <w:rsid w:val="000A5533"/>
    <w:rsid w:val="000A6A10"/>
    <w:rsid w:val="000B52DD"/>
    <w:rsid w:val="000C1229"/>
    <w:rsid w:val="000D7190"/>
    <w:rsid w:val="000E4188"/>
    <w:rsid w:val="00100F45"/>
    <w:rsid w:val="00121491"/>
    <w:rsid w:val="0013658C"/>
    <w:rsid w:val="00141568"/>
    <w:rsid w:val="00162DAA"/>
    <w:rsid w:val="00181D39"/>
    <w:rsid w:val="001A1422"/>
    <w:rsid w:val="001C1CE2"/>
    <w:rsid w:val="001C50EB"/>
    <w:rsid w:val="001D19F4"/>
    <w:rsid w:val="001D3350"/>
    <w:rsid w:val="0020066F"/>
    <w:rsid w:val="00207141"/>
    <w:rsid w:val="00210C90"/>
    <w:rsid w:val="002175CC"/>
    <w:rsid w:val="0023094A"/>
    <w:rsid w:val="00246AB3"/>
    <w:rsid w:val="002506DE"/>
    <w:rsid w:val="002938D4"/>
    <w:rsid w:val="002A1126"/>
    <w:rsid w:val="002B1799"/>
    <w:rsid w:val="002B3809"/>
    <w:rsid w:val="002D05C6"/>
    <w:rsid w:val="002D63E2"/>
    <w:rsid w:val="002E4010"/>
    <w:rsid w:val="00314972"/>
    <w:rsid w:val="003151F9"/>
    <w:rsid w:val="00343105"/>
    <w:rsid w:val="00350A62"/>
    <w:rsid w:val="003750D3"/>
    <w:rsid w:val="003865AD"/>
    <w:rsid w:val="003920F6"/>
    <w:rsid w:val="003C4A0F"/>
    <w:rsid w:val="003C6BF1"/>
    <w:rsid w:val="003D65AE"/>
    <w:rsid w:val="003E1BE5"/>
    <w:rsid w:val="003E5A7C"/>
    <w:rsid w:val="003E5D9A"/>
    <w:rsid w:val="004020B6"/>
    <w:rsid w:val="00402E8E"/>
    <w:rsid w:val="00440610"/>
    <w:rsid w:val="004479A2"/>
    <w:rsid w:val="0048059B"/>
    <w:rsid w:val="004A3D9B"/>
    <w:rsid w:val="004B7F1D"/>
    <w:rsid w:val="004C2D60"/>
    <w:rsid w:val="004E7EE6"/>
    <w:rsid w:val="004F164D"/>
    <w:rsid w:val="004F5A04"/>
    <w:rsid w:val="0050442A"/>
    <w:rsid w:val="00531DD1"/>
    <w:rsid w:val="005422BB"/>
    <w:rsid w:val="005453BF"/>
    <w:rsid w:val="0057062A"/>
    <w:rsid w:val="00571E82"/>
    <w:rsid w:val="00575389"/>
    <w:rsid w:val="005C49A5"/>
    <w:rsid w:val="005E567B"/>
    <w:rsid w:val="005E7701"/>
    <w:rsid w:val="005F0C50"/>
    <w:rsid w:val="005F2C99"/>
    <w:rsid w:val="006164A1"/>
    <w:rsid w:val="006206B3"/>
    <w:rsid w:val="00625394"/>
    <w:rsid w:val="00630AC1"/>
    <w:rsid w:val="00633E0D"/>
    <w:rsid w:val="00650B16"/>
    <w:rsid w:val="00663485"/>
    <w:rsid w:val="0067440B"/>
    <w:rsid w:val="00685095"/>
    <w:rsid w:val="006B1EF8"/>
    <w:rsid w:val="006B22DD"/>
    <w:rsid w:val="006B38C2"/>
    <w:rsid w:val="006B43E7"/>
    <w:rsid w:val="006F5742"/>
    <w:rsid w:val="00701E38"/>
    <w:rsid w:val="007026D7"/>
    <w:rsid w:val="007110FE"/>
    <w:rsid w:val="007120EE"/>
    <w:rsid w:val="0071478B"/>
    <w:rsid w:val="00721CCE"/>
    <w:rsid w:val="007302EF"/>
    <w:rsid w:val="00734DC8"/>
    <w:rsid w:val="0075116E"/>
    <w:rsid w:val="0076090C"/>
    <w:rsid w:val="007652BA"/>
    <w:rsid w:val="00770243"/>
    <w:rsid w:val="00786043"/>
    <w:rsid w:val="00792F5A"/>
    <w:rsid w:val="007961B2"/>
    <w:rsid w:val="00796CC8"/>
    <w:rsid w:val="007A2402"/>
    <w:rsid w:val="007C7281"/>
    <w:rsid w:val="007D22E7"/>
    <w:rsid w:val="007D5D70"/>
    <w:rsid w:val="007F1085"/>
    <w:rsid w:val="007F4CA6"/>
    <w:rsid w:val="007F4E31"/>
    <w:rsid w:val="00801260"/>
    <w:rsid w:val="00810521"/>
    <w:rsid w:val="00816944"/>
    <w:rsid w:val="00825E95"/>
    <w:rsid w:val="00852456"/>
    <w:rsid w:val="00857003"/>
    <w:rsid w:val="00883921"/>
    <w:rsid w:val="00890EE6"/>
    <w:rsid w:val="008A0ED1"/>
    <w:rsid w:val="008C2DD8"/>
    <w:rsid w:val="008D352E"/>
    <w:rsid w:val="008D3C6C"/>
    <w:rsid w:val="008D4FA7"/>
    <w:rsid w:val="008F7019"/>
    <w:rsid w:val="0090342B"/>
    <w:rsid w:val="00904486"/>
    <w:rsid w:val="0090561E"/>
    <w:rsid w:val="0090620B"/>
    <w:rsid w:val="009156FA"/>
    <w:rsid w:val="009360BF"/>
    <w:rsid w:val="009405E8"/>
    <w:rsid w:val="00940E85"/>
    <w:rsid w:val="009528CD"/>
    <w:rsid w:val="009827F6"/>
    <w:rsid w:val="009B7416"/>
    <w:rsid w:val="009C034C"/>
    <w:rsid w:val="009E4C12"/>
    <w:rsid w:val="009F4487"/>
    <w:rsid w:val="009F7FA2"/>
    <w:rsid w:val="00A42AFB"/>
    <w:rsid w:val="00A53F56"/>
    <w:rsid w:val="00A645E4"/>
    <w:rsid w:val="00A75091"/>
    <w:rsid w:val="00A90F08"/>
    <w:rsid w:val="00A96E2E"/>
    <w:rsid w:val="00AB2E34"/>
    <w:rsid w:val="00AB357C"/>
    <w:rsid w:val="00AB5401"/>
    <w:rsid w:val="00AC1302"/>
    <w:rsid w:val="00AC4D35"/>
    <w:rsid w:val="00B20050"/>
    <w:rsid w:val="00B25AC1"/>
    <w:rsid w:val="00B5737D"/>
    <w:rsid w:val="00B65390"/>
    <w:rsid w:val="00B673AF"/>
    <w:rsid w:val="00B73E3E"/>
    <w:rsid w:val="00B80C72"/>
    <w:rsid w:val="00B958BF"/>
    <w:rsid w:val="00B95DDB"/>
    <w:rsid w:val="00BB4A54"/>
    <w:rsid w:val="00BC6971"/>
    <w:rsid w:val="00BF7739"/>
    <w:rsid w:val="00C00BDD"/>
    <w:rsid w:val="00C01473"/>
    <w:rsid w:val="00C209C8"/>
    <w:rsid w:val="00C30D1A"/>
    <w:rsid w:val="00C334BF"/>
    <w:rsid w:val="00C34231"/>
    <w:rsid w:val="00C570A1"/>
    <w:rsid w:val="00C608E7"/>
    <w:rsid w:val="00CA0233"/>
    <w:rsid w:val="00CB0A84"/>
    <w:rsid w:val="00CB3B89"/>
    <w:rsid w:val="00CC32F3"/>
    <w:rsid w:val="00CC6647"/>
    <w:rsid w:val="00CD3159"/>
    <w:rsid w:val="00CE06B9"/>
    <w:rsid w:val="00D11DA3"/>
    <w:rsid w:val="00D51463"/>
    <w:rsid w:val="00D53A57"/>
    <w:rsid w:val="00D54558"/>
    <w:rsid w:val="00D620D5"/>
    <w:rsid w:val="00D7023D"/>
    <w:rsid w:val="00D76624"/>
    <w:rsid w:val="00D77CAE"/>
    <w:rsid w:val="00DE7271"/>
    <w:rsid w:val="00DF217C"/>
    <w:rsid w:val="00E140A3"/>
    <w:rsid w:val="00E61366"/>
    <w:rsid w:val="00E64611"/>
    <w:rsid w:val="00E64987"/>
    <w:rsid w:val="00E671FD"/>
    <w:rsid w:val="00E70552"/>
    <w:rsid w:val="00E91C03"/>
    <w:rsid w:val="00EB6A91"/>
    <w:rsid w:val="00EC31CA"/>
    <w:rsid w:val="00F01625"/>
    <w:rsid w:val="00F02C65"/>
    <w:rsid w:val="00F251C8"/>
    <w:rsid w:val="00F33049"/>
    <w:rsid w:val="00F34DF3"/>
    <w:rsid w:val="00F37BFA"/>
    <w:rsid w:val="00F54883"/>
    <w:rsid w:val="00F6433F"/>
    <w:rsid w:val="00F6465C"/>
    <w:rsid w:val="00F7255F"/>
    <w:rsid w:val="00F9260F"/>
    <w:rsid w:val="00F92FE5"/>
    <w:rsid w:val="00F94E9C"/>
    <w:rsid w:val="00FA4398"/>
    <w:rsid w:val="00FA7759"/>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17F3"/>
  <w15:chartTrackingRefBased/>
  <w15:docId w15:val="{B15446A7-3610-448F-BF60-D51D1538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CA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7CAE"/>
    <w:pPr>
      <w:spacing w:after="0" w:line="240" w:lineRule="auto"/>
    </w:pPr>
  </w:style>
  <w:style w:type="character" w:styleId="FootnoteReference">
    <w:name w:val="footnote reference"/>
    <w:basedOn w:val="DefaultParagraphFont"/>
    <w:uiPriority w:val="99"/>
    <w:semiHidden/>
    <w:unhideWhenUsed/>
    <w:rsid w:val="00D77CAE"/>
    <w:rPr>
      <w:vertAlign w:val="superscript"/>
    </w:rPr>
  </w:style>
  <w:style w:type="character" w:styleId="Hyperlink">
    <w:name w:val="Hyperlink"/>
    <w:basedOn w:val="DefaultParagraphFont"/>
    <w:uiPriority w:val="99"/>
    <w:unhideWhenUsed/>
    <w:rsid w:val="00D77CAE"/>
    <w:rPr>
      <w:color w:val="0563C1" w:themeColor="hyperlink"/>
      <w:u w:val="single"/>
    </w:rPr>
  </w:style>
  <w:style w:type="character" w:customStyle="1" w:styleId="text3">
    <w:name w:val="text3"/>
    <w:basedOn w:val="DefaultParagraphFont"/>
    <w:rsid w:val="00D77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javascript:open_window(%22http://cat.lib.lancs.ac.uk:80/F/H4YXSCYF9KKXESE3HFT98N21R5DU2VKN79KHINSQVYLT4L7RS8-47933?func=service&amp;doc_number=000216215&amp;line_number=0012&amp;service_type=TA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CHICAGO.XSL" StyleName="Chicago" Version="">
  <b:Source>
    <b:Tag>Gai91</b:Tag>
    <b:SourceType>Book</b:SourceType>
    <b:Guid>{1F0AE52E-C436-4324-B485-4F1509EA781E}</b:Guid>
    <b:Author>
      <b:Author>
        <b:NameList>
          <b:Person>
            <b:Last>Gainnetti</b:Last>
            <b:First>Louis</b:First>
            <b:Middle>and Eyman, Scott</b:Middle>
          </b:Person>
        </b:NameList>
      </b:Author>
    </b:Author>
    <b:Title>Flashback: A Brief History of Film</b:Title>
    <b:Year>1991</b:Year>
    <b:City>Englewood Cliffs, New Jersey</b:City>
    <b:Publisher>Simon &amp; Schuster</b:Publisher>
    <b:RefOrder>1</b:RefOrder>
  </b:Source>
  <b:Source>
    <b:Tag>Cur87</b:Tag>
    <b:SourceType>Book</b:SourceType>
    <b:Guid>{12EA0674-E8B2-408B-9BCF-EC31AFD9511D}</b:Guid>
    <b:Author>
      <b:Author>
        <b:NameList>
          <b:Person>
            <b:Last>Curtis</b:Last>
            <b:First>Jim</b:First>
          </b:Person>
        </b:NameList>
      </b:Author>
    </b:Author>
    <b:Title>Rock Eras: Interpretations of Music and Society, 1954-1984</b:Title>
    <b:Year>1987</b:Year>
    <b:City>Bowling Green, Ohio</b:City>
    <b:Publisher>Popular Press</b:Publisher>
    <b:RefOrder>2</b:RefOrder>
  </b:Source>
  <b:Source>
    <b:Tag>Nor07</b:Tag>
    <b:SourceType>Book</b:SourceType>
    <b:Guid>{DA8D5FEE-6012-417C-AAB7-261BD16D571C}</b:Guid>
    <b:Author>
      <b:Author>
        <b:NameList>
          <b:Person>
            <b:Last>Norton</b:Last>
            <b:First>Mary</b:First>
            <b:Middle>Beth, et al</b:Middle>
          </b:Person>
        </b:NameList>
      </b:Author>
    </b:Author>
    <b:Title>A People and a Nation: A History of the United States</b:Title>
    <b:Year>2007</b:Year>
    <b:City>Boston</b:City>
    <b:Publisher>Houghton Mifflin</b:Publisher>
    <b:RefOrder>3</b:RefOrder>
  </b:Source>
  <b:Source>
    <b:Tag>Doh88</b:Tag>
    <b:SourceType>Book</b:SourceType>
    <b:Guid>{1F98CEE4-945B-4238-830D-388AFA96F0E7}</b:Guid>
    <b:Author>
      <b:Author>
        <b:NameList>
          <b:Person>
            <b:Last>Doherty</b:Last>
            <b:First>Thomas</b:First>
          </b:Person>
        </b:NameList>
      </b:Author>
    </b:Author>
    <b:Title>Teenagers and Teenpics: The Juvenilization of American Movies in the 1950s</b:Title>
    <b:Year>1988</b:Year>
    <b:City>Boston</b:City>
    <b:Publisher>Hyam</b:Publisher>
    <b:RefOrder>4</b:RefOrder>
  </b:Source>
  <b:Source>
    <b:Tag>Har82</b:Tag>
    <b:SourceType>Book</b:SourceType>
    <b:Guid>{0A32DA3F-7578-45FA-8E73-EE7447A4479F}</b:Guid>
    <b:Author>
      <b:Author>
        <b:NameList>
          <b:Person>
            <b:Last>Hart</b:Last>
            <b:First>Jeffrey</b:First>
          </b:Person>
        </b:NameList>
      </b:Author>
    </b:Author>
    <b:Title>When the Going Was Good! American Life in the Fifties</b:Title>
    <b:Year>1982</b:Year>
    <b:City>New York</b:City>
    <b:Publisher>Crown Publishers</b:Publisher>
    <b:RefOrder>5</b:RefOrder>
  </b:Source>
  <b:Source>
    <b:Tag>Bog56</b:Tag>
    <b:SourceType>Book</b:SourceType>
    <b:Guid>{A304FBA8-39B8-49BC-AC47-4F84035D9EC0}</b:Guid>
    <b:Author>
      <b:Author>
        <b:NameList>
          <b:Person>
            <b:Last>Bogard</b:Last>
            <b:First>Leo</b:First>
          </b:Person>
        </b:NameList>
      </b:Author>
    </b:Author>
    <b:Title>The Age of Television: A Study of Viewing Habits and the Impact on American Life</b:Title>
    <b:Year>1956</b:Year>
    <b:City>New York</b:City>
    <b:Publisher>Ungar Publishing</b:Publisher>
    <b:RefOrder>6</b:RefOrder>
  </b:Source>
  <b:Source>
    <b:Tag>Col61</b:Tag>
    <b:SourceType>Book</b:SourceType>
    <b:Guid>{A0C3596E-7F95-413E-BAB9-808CEF28E592}</b:Guid>
    <b:Author>
      <b:Author>
        <b:NameList>
          <b:Person>
            <b:Last>Coleman</b:Last>
            <b:First>James</b:First>
            <b:Middle>R.</b:Middle>
          </b:Person>
        </b:NameList>
      </b:Author>
    </b:Author>
    <b:Title>The Adolescent Society: The Social Life of the Teenager and Its Impact on Education</b:Title>
    <b:Year>1961</b:Year>
    <b:City>New York</b:City>
    <b:Publisher>Free Press of Glencoe</b:Publisher>
    <b:RefOrder>7</b:RefOrder>
  </b:Source>
  <b:Source>
    <b:Tag>For97</b:Tag>
    <b:SourceType>Book</b:SourceType>
    <b:Guid>{67C8301A-6050-41E0-A8DF-7CDBA694C940}</b:Guid>
    <b:Author>
      <b:Author>
        <b:NameList>
          <b:Person>
            <b:Last>Foreman</b:Last>
            <b:First>Joel,</b:First>
            <b:Middle>ed.</b:Middle>
          </b:Person>
        </b:NameList>
      </b:Author>
    </b:Author>
    <b:Title>The Other Fifties: Interrogating  Midcentury American Icons</b:Title>
    <b:Year>1997</b:Year>
    <b:City>Chicago</b:City>
    <b:Publisher>University of Illinois</b:Publisher>
    <b:RefOrder>8</b:RefOrder>
  </b:Source>
  <b:Source>
    <b:Tag>May99</b:Tag>
    <b:SourceType>Book</b:SourceType>
    <b:Guid>{B4165AEF-485F-441B-B906-48F0A8F238F6}</b:Guid>
    <b:Author>
      <b:Author>
        <b:NameList>
          <b:Person>
            <b:Last>May</b:Last>
            <b:First>Elaine</b:First>
            <b:Middle>Tyler</b:Middle>
          </b:Person>
        </b:NameList>
      </b:Author>
    </b:Author>
    <b:Title>Homeward Bound: American Families in the Cold War</b:Title>
    <b:Year>1999</b:Year>
    <b:Publisher>Basic Books</b:Publisher>
    <b:RefOrder>9</b:RefOrder>
  </b:Source>
  <b:Source>
    <b:Tag>Cowrk</b:Tag>
    <b:SourceType>Book</b:SourceType>
    <b:Guid>{E9F14F4E-BBC9-4E47-B65D-C8386C5B28FF}</b:Guid>
    <b:Author>
      <b:Author>
        <b:NameList>
          <b:Person>
            <b:Last>Cowley</b:Last>
            <b:First>Malcolm</b:First>
            <b:Middle>and Robert, eds.</b:Middle>
          </b:Person>
        </b:NameList>
      </b:Author>
    </b:Author>
    <b:Title>Fitzgerald and the Jazz Age</b:Title>
    <b:Year>New York</b:Year>
    <b:City>New York</b:City>
    <b:Publisher>Charles Scriber’s Sons</b:Publisher>
    <b:RefOrder>10</b:RefOrder>
  </b:Source>
  <b:Source>
    <b:Tag>Lynrk</b:Tag>
    <b:SourceType>Book</b:SourceType>
    <b:Guid>{17052288-8716-4A8D-B0C2-90FB7F309857}</b:Guid>
    <b:Author>
      <b:Author>
        <b:NameList>
          <b:Person>
            <b:Last>Lynd</b:Last>
            <b:First>Robert</b:First>
            <b:Middle>and Helen</b:Middle>
          </b:Person>
        </b:NameList>
      </b:Author>
    </b:Author>
    <b:Title>Middletown: A Study in American Culture</b:Title>
    <b:Year>New York</b:Year>
    <b:City>1929</b:City>
    <b:Publisher>Harcourt and Brace Co</b:Publisher>
    <b:RefOrder>11</b:RefOrder>
  </b:Source>
</b:Sources>
</file>

<file path=customXml/itemProps1.xml><?xml version="1.0" encoding="utf-8"?>
<ds:datastoreItem xmlns:ds="http://schemas.openxmlformats.org/officeDocument/2006/customXml" ds:itemID="{4C11090A-980F-4F4F-825B-7FD9C1A81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8C92C-5111-4CC8-A738-A485DD88793A}">
  <ds:schemaRefs>
    <ds:schemaRef ds:uri="http://schemas.microsoft.com/sharepoint/v3/contenttype/forms"/>
  </ds:schemaRefs>
</ds:datastoreItem>
</file>

<file path=customXml/itemProps3.xml><?xml version="1.0" encoding="utf-8"?>
<ds:datastoreItem xmlns:ds="http://schemas.openxmlformats.org/officeDocument/2006/customXml" ds:itemID="{876ADC58-CA06-46F4-869C-27EF123BCDB7}">
  <ds:schemaRefs>
    <ds:schemaRef ds:uri="18e00798-69c8-4d73-a841-5247a1895ee0"/>
    <ds:schemaRef ds:uri="http://purl.org/dc/terms/"/>
    <ds:schemaRef ds:uri="http://schemas.openxmlformats.org/package/2006/metadata/core-properties"/>
    <ds:schemaRef ds:uri="53eb33a0-f383-4069-9f53-0e79fd56955c"/>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FEA75D5-C8AE-452D-8435-7547047F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2020-10-28T12:20:00Z</dcterms:created>
  <dcterms:modified xsi:type="dcterms:W3CDTF">2020-10-28T12:20:00Z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