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3C8675" w14:textId="081BBAA0" w:rsidR="00717F5C" w:rsidRPr="0036199C" w:rsidRDefault="003F6321" w:rsidP="005E2172">
      <w:pPr>
        <w:spacing w:before="100" w:beforeAutospacing="1" w:after="100" w:afterAutospacing="1" w:line="240" w:lineRule="auto"/>
        <w:rPr>
          <w:rFonts w:ascii="Arial" w:hAnsi="Arial" w:cs="Arial"/>
          <w:b/>
          <w:bCs/>
          <w:kern w:val="0"/>
          <w:sz w:val="56"/>
          <w:szCs w:val="56"/>
          <w:u w:val="single"/>
          <w14:ligatures w14:val="none"/>
        </w:rPr>
      </w:pPr>
      <w:r w:rsidRPr="0036199C">
        <w:rPr>
          <w:rFonts w:ascii="Arial" w:hAnsi="Arial" w:cs="Arial"/>
          <w:b/>
          <w:bCs/>
          <w:kern w:val="0"/>
          <w:sz w:val="56"/>
          <w:szCs w:val="56"/>
          <w:u w:val="single"/>
          <w14:ligatures w14:val="none"/>
        </w:rPr>
        <w:t xml:space="preserve">WRITTEN ASSIGNMENT </w:t>
      </w:r>
    </w:p>
    <w:p w14:paraId="7E3A279F" w14:textId="77777777" w:rsidR="00717F5C" w:rsidRPr="008655DE" w:rsidRDefault="00717F5C" w:rsidP="005E2172">
      <w:pPr>
        <w:spacing w:before="100" w:beforeAutospacing="1" w:after="100" w:afterAutospacing="1" w:line="240" w:lineRule="auto"/>
        <w:rPr>
          <w:rFonts w:ascii="Arial" w:hAnsi="Arial" w:cs="Arial"/>
          <w:kern w:val="0"/>
          <w:sz w:val="22"/>
          <w:szCs w:val="22"/>
          <w14:ligatures w14:val="none"/>
        </w:rPr>
      </w:pPr>
    </w:p>
    <w:p w14:paraId="78280221" w14:textId="1CFF039C" w:rsidR="005E2172" w:rsidRPr="008655DE" w:rsidRDefault="005E2172" w:rsidP="005E2172">
      <w:pPr>
        <w:spacing w:before="100" w:beforeAutospacing="1" w:after="100" w:afterAutospacing="1" w:line="240" w:lineRule="auto"/>
        <w:rPr>
          <w:rFonts w:ascii="Arial" w:hAnsi="Arial" w:cs="Arial"/>
          <w:kern w:val="0"/>
          <w:sz w:val="22"/>
          <w:szCs w:val="22"/>
          <w14:ligatures w14:val="none"/>
        </w:rPr>
      </w:pPr>
      <w:r w:rsidRPr="008655DE">
        <w:rPr>
          <w:rFonts w:ascii="Arial" w:hAnsi="Arial" w:cs="Arial"/>
          <w:kern w:val="0"/>
          <w:sz w:val="22"/>
          <w:szCs w:val="22"/>
          <w14:ligatures w14:val="none"/>
        </w:rPr>
        <w:t>Student Name: Abibat Bamidele</w:t>
      </w:r>
    </w:p>
    <w:p w14:paraId="31E6AD77" w14:textId="77777777" w:rsidR="005E2172" w:rsidRPr="008655DE" w:rsidRDefault="005E2172" w:rsidP="005E2172">
      <w:pPr>
        <w:spacing w:before="100" w:beforeAutospacing="1" w:after="100" w:afterAutospacing="1" w:line="240" w:lineRule="auto"/>
        <w:rPr>
          <w:rFonts w:ascii="Arial" w:hAnsi="Arial" w:cs="Arial"/>
          <w:kern w:val="0"/>
          <w:sz w:val="22"/>
          <w:szCs w:val="22"/>
          <w14:ligatures w14:val="none"/>
        </w:rPr>
      </w:pPr>
      <w:r w:rsidRPr="008655DE">
        <w:rPr>
          <w:rFonts w:ascii="Arial" w:hAnsi="Arial" w:cs="Arial"/>
          <w:kern w:val="0"/>
          <w:sz w:val="22"/>
          <w:szCs w:val="22"/>
          <w14:ligatures w14:val="none"/>
        </w:rPr>
        <w:t>Student Number: 2513925</w:t>
      </w:r>
    </w:p>
    <w:p w14:paraId="79998345" w14:textId="12807564" w:rsidR="005E2172" w:rsidRPr="008655DE" w:rsidRDefault="005E2172" w:rsidP="005E2172">
      <w:pPr>
        <w:spacing w:before="100" w:beforeAutospacing="1" w:after="100" w:afterAutospacing="1" w:line="240" w:lineRule="auto"/>
        <w:rPr>
          <w:rFonts w:ascii="Arial" w:hAnsi="Arial" w:cs="Arial"/>
          <w:kern w:val="0"/>
          <w:sz w:val="22"/>
          <w:szCs w:val="22"/>
          <w14:ligatures w14:val="none"/>
        </w:rPr>
      </w:pPr>
      <w:r w:rsidRPr="008655DE">
        <w:rPr>
          <w:rFonts w:ascii="Arial" w:hAnsi="Arial" w:cs="Arial"/>
          <w:kern w:val="0"/>
          <w:sz w:val="22"/>
          <w:szCs w:val="22"/>
          <w14:ligatures w14:val="none"/>
        </w:rPr>
        <w:t>Module Code: LCHS</w:t>
      </w:r>
      <w:r w:rsidR="00CC0279" w:rsidRPr="008655DE">
        <w:rPr>
          <w:rFonts w:ascii="Arial" w:hAnsi="Arial" w:cs="Arial"/>
          <w:kern w:val="0"/>
          <w:sz w:val="22"/>
          <w:szCs w:val="22"/>
          <w14:ligatures w14:val="none"/>
        </w:rPr>
        <w:t>4003</w:t>
      </w:r>
    </w:p>
    <w:p w14:paraId="114DF47E" w14:textId="38F5DA3B" w:rsidR="005E2172" w:rsidRPr="008655DE" w:rsidRDefault="005E2172" w:rsidP="005E2172">
      <w:pPr>
        <w:spacing w:before="100" w:beforeAutospacing="1" w:after="100" w:afterAutospacing="1" w:line="240" w:lineRule="auto"/>
        <w:rPr>
          <w:rFonts w:ascii="Arial" w:hAnsi="Arial" w:cs="Arial"/>
          <w:kern w:val="0"/>
          <w:sz w:val="22"/>
          <w:szCs w:val="22"/>
          <w14:ligatures w14:val="none"/>
        </w:rPr>
      </w:pPr>
      <w:r w:rsidRPr="008655DE">
        <w:rPr>
          <w:rFonts w:ascii="Arial" w:hAnsi="Arial" w:cs="Arial"/>
          <w:kern w:val="0"/>
          <w:sz w:val="22"/>
          <w:szCs w:val="22"/>
          <w14:ligatures w14:val="none"/>
        </w:rPr>
        <w:t>Module Title: Introduction to</w:t>
      </w:r>
      <w:r w:rsidR="004F74DB" w:rsidRPr="008655DE">
        <w:rPr>
          <w:rFonts w:ascii="Arial" w:hAnsi="Arial" w:cs="Arial"/>
          <w:kern w:val="0"/>
          <w:sz w:val="22"/>
          <w:szCs w:val="22"/>
          <w14:ligatures w14:val="none"/>
        </w:rPr>
        <w:t xml:space="preserve"> Health and social care </w:t>
      </w:r>
    </w:p>
    <w:p w14:paraId="17FD4E91" w14:textId="5471EFBF" w:rsidR="00E317DF" w:rsidRPr="008655DE" w:rsidRDefault="005E2172">
      <w:pPr>
        <w:pStyle w:val="p1"/>
        <w:rPr>
          <w:rFonts w:ascii="Arial" w:hAnsi="Arial" w:cs="Arial"/>
          <w:sz w:val="22"/>
          <w:szCs w:val="22"/>
        </w:rPr>
      </w:pPr>
      <w:r w:rsidRPr="008655DE">
        <w:rPr>
          <w:rFonts w:ascii="Arial" w:hAnsi="Arial" w:cs="Arial"/>
          <w:sz w:val="22"/>
          <w:szCs w:val="22"/>
        </w:rPr>
        <w:t>Lecturer:</w:t>
      </w:r>
      <w:r w:rsidR="006C58C4" w:rsidRPr="008655DE">
        <w:rPr>
          <w:rFonts w:ascii="Arial" w:hAnsi="Arial" w:cs="Arial"/>
          <w:sz w:val="22"/>
          <w:szCs w:val="22"/>
        </w:rPr>
        <w:t xml:space="preserve"> Mumtaz Goolam </w:t>
      </w:r>
    </w:p>
    <w:p w14:paraId="76A93400" w14:textId="510F5560" w:rsidR="005E2172" w:rsidRPr="008655DE" w:rsidRDefault="005E2172" w:rsidP="008F7240">
      <w:pPr>
        <w:pStyle w:val="p1"/>
        <w:rPr>
          <w:rFonts w:ascii="Arial" w:hAnsi="Arial" w:cs="Arial"/>
          <w:sz w:val="22"/>
          <w:szCs w:val="22"/>
        </w:rPr>
      </w:pPr>
      <w:r w:rsidRPr="008655DE">
        <w:rPr>
          <w:rFonts w:ascii="Arial" w:hAnsi="Arial" w:cs="Arial"/>
          <w:sz w:val="22"/>
          <w:szCs w:val="22"/>
        </w:rPr>
        <w:t xml:space="preserve"> </w:t>
      </w:r>
      <w:r w:rsidR="00E317DF" w:rsidRPr="008655DE">
        <w:rPr>
          <w:rFonts w:ascii="Arial" w:hAnsi="Arial" w:cs="Arial"/>
          <w:sz w:val="22"/>
          <w:szCs w:val="22"/>
        </w:rPr>
        <w:t>Dr Helen Parsons (</w:t>
      </w:r>
      <w:r w:rsidR="00C77192" w:rsidRPr="008655DE">
        <w:rPr>
          <w:rFonts w:ascii="Arial" w:hAnsi="Arial" w:cs="Arial"/>
          <w:sz w:val="22"/>
          <w:szCs w:val="22"/>
        </w:rPr>
        <w:t>Module lead)</w:t>
      </w:r>
    </w:p>
    <w:p w14:paraId="543CE6F9" w14:textId="235C3E0E" w:rsidR="005E2172" w:rsidRPr="008655DE" w:rsidRDefault="005E2172" w:rsidP="005E2172">
      <w:pPr>
        <w:spacing w:before="100" w:beforeAutospacing="1" w:after="100" w:afterAutospacing="1" w:line="240" w:lineRule="auto"/>
        <w:rPr>
          <w:rFonts w:ascii="Arial" w:hAnsi="Arial" w:cs="Arial"/>
          <w:kern w:val="0"/>
          <w:sz w:val="22"/>
          <w:szCs w:val="22"/>
          <w14:ligatures w14:val="none"/>
        </w:rPr>
      </w:pPr>
      <w:r w:rsidRPr="008655DE">
        <w:rPr>
          <w:rFonts w:ascii="Arial" w:hAnsi="Arial" w:cs="Arial"/>
          <w:kern w:val="0"/>
          <w:sz w:val="22"/>
          <w:szCs w:val="22"/>
          <w14:ligatures w14:val="none"/>
        </w:rPr>
        <w:t xml:space="preserve">Assignment Title: </w:t>
      </w:r>
      <w:r w:rsidR="008D7A1D" w:rsidRPr="008655DE">
        <w:rPr>
          <w:rFonts w:ascii="Arial" w:hAnsi="Arial" w:cs="Arial"/>
          <w:kern w:val="0"/>
          <w:sz w:val="22"/>
          <w:szCs w:val="22"/>
          <w14:ligatures w14:val="none"/>
        </w:rPr>
        <w:t xml:space="preserve">Written assignment </w:t>
      </w:r>
    </w:p>
    <w:p w14:paraId="3A302E4C" w14:textId="1423CD65" w:rsidR="00717F5C" w:rsidRPr="005636CA" w:rsidRDefault="005E2172" w:rsidP="005636CA">
      <w:pPr>
        <w:spacing w:after="0" w:line="240" w:lineRule="auto"/>
        <w:rPr>
          <w:rFonts w:ascii="Arial" w:eastAsia="Times New Roman" w:hAnsi="Arial" w:cs="Arial"/>
          <w:kern w:val="0"/>
          <w14:ligatures w14:val="none"/>
        </w:rPr>
      </w:pPr>
      <w:r w:rsidRPr="008655DE">
        <w:rPr>
          <w:rFonts w:ascii="Arial" w:eastAsia="Times New Roman" w:hAnsi="Arial" w:cs="Arial"/>
          <w:noProof/>
          <w:kern w:val="0"/>
          <w14:ligatures w14:val="none"/>
        </w:rPr>
        <mc:AlternateContent>
          <mc:Choice Requires="wps">
            <w:drawing>
              <wp:inline distT="0" distB="0" distL="0" distR="0" wp14:anchorId="40FA0D28" wp14:editId="53D78C0D">
                <wp:extent cx="5731510" cy="1270"/>
                <wp:effectExtent l="0" t="31750" r="0" b="36830"/>
                <wp:docPr id="912998508"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3CB5E0D"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5176BA9" w14:textId="12935BA9" w:rsidR="005E2172" w:rsidRPr="0036199C" w:rsidRDefault="005E2172" w:rsidP="005E2172">
      <w:pPr>
        <w:spacing w:before="100" w:beforeAutospacing="1" w:after="100" w:afterAutospacing="1" w:line="240" w:lineRule="auto"/>
        <w:outlineLvl w:val="0"/>
        <w:rPr>
          <w:rFonts w:ascii="Arial" w:eastAsia="Times New Roman" w:hAnsi="Arial" w:cs="Arial"/>
          <w:b/>
          <w:bCs/>
          <w:kern w:val="36"/>
          <w:sz w:val="22"/>
          <w:szCs w:val="22"/>
          <w14:ligatures w14:val="none"/>
        </w:rPr>
      </w:pPr>
      <w:r w:rsidRPr="0036199C">
        <w:rPr>
          <w:rFonts w:ascii="Arial" w:eastAsia="Times New Roman" w:hAnsi="Arial" w:cs="Arial"/>
          <w:b/>
          <w:bCs/>
          <w:kern w:val="36"/>
          <w:sz w:val="22"/>
          <w:szCs w:val="22"/>
          <w14:ligatures w14:val="none"/>
        </w:rPr>
        <w:t xml:space="preserve">Introduction </w:t>
      </w:r>
    </w:p>
    <w:p w14:paraId="34934A74" w14:textId="175C8B8B" w:rsidR="006148E9" w:rsidRPr="008655DE" w:rsidRDefault="006148E9" w:rsidP="00530E69">
      <w:pPr>
        <w:pStyle w:val="p1"/>
        <w:rPr>
          <w:rFonts w:ascii="Arial" w:hAnsi="Arial" w:cs="Arial"/>
          <w:sz w:val="22"/>
          <w:szCs w:val="22"/>
        </w:rPr>
      </w:pPr>
      <w:r w:rsidRPr="008655DE">
        <w:rPr>
          <w:rStyle w:val="s1"/>
          <w:rFonts w:ascii="Arial" w:hAnsi="Arial" w:cs="Arial"/>
          <w:sz w:val="22"/>
          <w:szCs w:val="22"/>
        </w:rPr>
        <w:t>Effective care delivery in health and social care relies on the integration of communication, administrative competence, and multidisciplinary collaboration. However, the importance of these elements becomes more apparent in complex cases, where even relatively small failures can have significant consequences. This is particularly evident in the case of Mr Ahmed, a 68-year-old man recovering from a stroke and requiring ongoing domiciliary care.</w:t>
      </w:r>
    </w:p>
    <w:p w14:paraId="2BD287E5" w14:textId="6D9F67C3" w:rsidR="006148E9" w:rsidRPr="00242BC2" w:rsidRDefault="006148E9" w:rsidP="00530E69">
      <w:pPr>
        <w:pStyle w:val="p1"/>
        <w:rPr>
          <w:rFonts w:ascii="Arial" w:hAnsi="Arial" w:cs="Arial"/>
          <w:sz w:val="22"/>
          <w:szCs w:val="22"/>
        </w:rPr>
      </w:pPr>
      <w:r w:rsidRPr="008655DE">
        <w:rPr>
          <w:rStyle w:val="s1"/>
          <w:rFonts w:ascii="Arial" w:hAnsi="Arial" w:cs="Arial"/>
          <w:sz w:val="22"/>
          <w:szCs w:val="22"/>
        </w:rPr>
        <w:t>Stroke is associated with physical, cognitive, and communication impairments that can significantly affect an individual’s ability to engage with healthcare services (Stroke Association, 2023; NICE, 2023). In Mr Ahmed’s case, his limited English proficiency introduces an additional layer of complexity, increasing the likelihood of miscommunication and potentially compromising both his safety and autonomy (Papadopoulos, 2006). Furthermore, the recent missed care visit, which resulted in delayed medication, highlights underlying weaknesses in administrative systems and care co</w:t>
      </w:r>
      <w:r w:rsidRPr="00242BC2">
        <w:rPr>
          <w:rStyle w:val="s1"/>
          <w:rFonts w:ascii="Arial" w:hAnsi="Arial" w:cs="Arial"/>
          <w:sz w:val="22"/>
          <w:szCs w:val="22"/>
        </w:rPr>
        <w:t>ordination (Care Quality Commission, 2023).</w:t>
      </w:r>
    </w:p>
    <w:p w14:paraId="46B41B81" w14:textId="77777777" w:rsidR="006148E9" w:rsidRDefault="006148E9">
      <w:pPr>
        <w:pStyle w:val="p1"/>
        <w:rPr>
          <w:rStyle w:val="s1"/>
          <w:rFonts w:ascii="Arial" w:hAnsi="Arial" w:cs="Arial"/>
          <w:sz w:val="22"/>
          <w:szCs w:val="22"/>
        </w:rPr>
      </w:pPr>
      <w:r w:rsidRPr="00242BC2">
        <w:rPr>
          <w:rStyle w:val="s1"/>
          <w:rFonts w:ascii="Arial" w:hAnsi="Arial" w:cs="Arial"/>
          <w:sz w:val="22"/>
          <w:szCs w:val="22"/>
        </w:rPr>
        <w:t>This report critically examines the importance of effective communication, drawing on the Equality Act 2010 and communication theory. It also evaluates administrative practices in line with the Data Protection Act 2018 and explores the role of collaborative working in ensuring safe, coordinated and person-centred care (NHS England, 2019).</w:t>
      </w:r>
    </w:p>
    <w:p w14:paraId="0AA05A92" w14:textId="521D9981" w:rsidR="008B39F5" w:rsidRPr="00EB2863" w:rsidRDefault="008B39F5" w:rsidP="008B39F5">
      <w:pPr>
        <w:spacing w:after="0" w:line="240" w:lineRule="auto"/>
        <w:rPr>
          <w:rFonts w:ascii="Arial" w:eastAsia="Times New Roman" w:hAnsi="Arial" w:cs="Arial"/>
          <w:color w:val="111111"/>
          <w:kern w:val="0"/>
          <w:sz w:val="22"/>
          <w:szCs w:val="22"/>
          <w14:ligatures w14:val="none"/>
        </w:rPr>
      </w:pPr>
      <w:r w:rsidRPr="00EB2863">
        <w:rPr>
          <w:rFonts w:ascii="Arial" w:eastAsia="Times New Roman" w:hAnsi="Arial" w:cs="Arial"/>
          <w:color w:val="111111"/>
          <w:kern w:val="0"/>
          <w:sz w:val="22"/>
          <w:szCs w:val="22"/>
          <w14:ligatures w14:val="none"/>
        </w:rPr>
        <w:t>While these frameworks provide guidance, their effectiveness ultimately depends on how consistently they are implemented in practice.</w:t>
      </w:r>
    </w:p>
    <w:p w14:paraId="111A605E" w14:textId="77777777" w:rsidR="00D7106F" w:rsidRPr="00EB2863" w:rsidRDefault="00D7106F">
      <w:pPr>
        <w:pStyle w:val="p1"/>
        <w:rPr>
          <w:rFonts w:ascii="Arial" w:hAnsi="Arial" w:cs="Arial"/>
          <w:sz w:val="22"/>
          <w:szCs w:val="22"/>
        </w:rPr>
      </w:pPr>
    </w:p>
    <w:p w14:paraId="0E89E81F" w14:textId="77777777" w:rsidR="005E2172" w:rsidRPr="00242BC2" w:rsidRDefault="005E2172" w:rsidP="005E2172">
      <w:pPr>
        <w:spacing w:before="100" w:beforeAutospacing="1" w:after="100" w:afterAutospacing="1" w:line="240" w:lineRule="auto"/>
        <w:rPr>
          <w:rFonts w:ascii="Arial" w:hAnsi="Arial" w:cs="Arial"/>
          <w:kern w:val="0"/>
          <w:sz w:val="22"/>
          <w:szCs w:val="22"/>
          <w14:ligatures w14:val="none"/>
        </w:rPr>
      </w:pPr>
    </w:p>
    <w:p w14:paraId="577114AF" w14:textId="77777777" w:rsidR="005E2172" w:rsidRPr="00242BC2" w:rsidRDefault="005E2172" w:rsidP="005E2172">
      <w:pPr>
        <w:spacing w:after="0" w:line="240" w:lineRule="auto"/>
        <w:rPr>
          <w:rFonts w:ascii="Arial" w:eastAsia="Times New Roman" w:hAnsi="Arial" w:cs="Arial"/>
          <w:kern w:val="0"/>
          <w:sz w:val="22"/>
          <w:szCs w:val="22"/>
          <w14:ligatures w14:val="none"/>
        </w:rPr>
      </w:pPr>
      <w:r w:rsidRPr="00242BC2">
        <w:rPr>
          <w:rFonts w:ascii="Arial" w:eastAsia="Times New Roman" w:hAnsi="Arial" w:cs="Arial"/>
          <w:noProof/>
          <w:kern w:val="0"/>
          <w:sz w:val="22"/>
          <w:szCs w:val="22"/>
          <w14:ligatures w14:val="none"/>
        </w:rPr>
        <mc:AlternateContent>
          <mc:Choice Requires="wps">
            <w:drawing>
              <wp:inline distT="0" distB="0" distL="0" distR="0" wp14:anchorId="0F24A45E" wp14:editId="0BC2753B">
                <wp:extent cx="5731510" cy="1270"/>
                <wp:effectExtent l="0" t="31750" r="0" b="36830"/>
                <wp:docPr id="179709404"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2428E62"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833570A" w14:textId="005697AE" w:rsidR="005E2172" w:rsidRPr="00242BC2" w:rsidRDefault="005E2172" w:rsidP="005E2172">
      <w:pPr>
        <w:spacing w:before="100" w:beforeAutospacing="1" w:after="100" w:afterAutospacing="1" w:line="240" w:lineRule="auto"/>
        <w:outlineLvl w:val="0"/>
        <w:rPr>
          <w:rFonts w:ascii="Arial" w:hAnsi="Arial" w:cs="Arial"/>
          <w:b/>
          <w:bCs/>
          <w:kern w:val="36"/>
          <w:sz w:val="22"/>
          <w:szCs w:val="22"/>
          <w14:ligatures w14:val="none"/>
        </w:rPr>
      </w:pPr>
      <w:r w:rsidRPr="00242BC2">
        <w:rPr>
          <w:rFonts w:ascii="Arial" w:eastAsia="Times New Roman" w:hAnsi="Arial" w:cs="Arial"/>
          <w:b/>
          <w:bCs/>
          <w:kern w:val="36"/>
          <w:sz w:val="22"/>
          <w:szCs w:val="22"/>
          <w14:ligatures w14:val="none"/>
        </w:rPr>
        <w:t xml:space="preserve"> Importance of Effective Communication </w:t>
      </w:r>
    </w:p>
    <w:p w14:paraId="0302A4A4" w14:textId="54F09A53" w:rsidR="00E63EC8" w:rsidRPr="00242BC2" w:rsidRDefault="00E63EC8" w:rsidP="00530E69">
      <w:pPr>
        <w:pStyle w:val="p1"/>
        <w:rPr>
          <w:rFonts w:ascii="Arial" w:hAnsi="Arial" w:cs="Arial"/>
          <w:sz w:val="22"/>
          <w:szCs w:val="22"/>
        </w:rPr>
      </w:pPr>
      <w:r w:rsidRPr="00242BC2">
        <w:rPr>
          <w:rStyle w:val="s1"/>
          <w:rFonts w:ascii="Arial" w:hAnsi="Arial" w:cs="Arial"/>
          <w:sz w:val="22"/>
          <w:szCs w:val="22"/>
        </w:rPr>
        <w:t xml:space="preserve">Effective communication is widely recognised as a cornerstone of safe and high-quality care; however, its implementation in practice is not always consistent, particularly in more complex cases such as Mr Ahmed’s. Following a stroke, individuals may experience aphasia, </w:t>
      </w:r>
      <w:r w:rsidRPr="00242BC2">
        <w:rPr>
          <w:rStyle w:val="s1"/>
          <w:rFonts w:ascii="Arial" w:hAnsi="Arial" w:cs="Arial"/>
          <w:sz w:val="22"/>
          <w:szCs w:val="22"/>
        </w:rPr>
        <w:lastRenderedPageBreak/>
        <w:t>cognitive impairment, and reduced comprehension, all of which can limit their ability to engage in care processes (NICE, 2023; Stroke Association, 2023). In this situation, these challenges are further compounded by language barriers, increasing the risk of misinterpreting medication instructions or care plans, which may lead to adverse outcomes (Street et al., 2009).</w:t>
      </w:r>
    </w:p>
    <w:p w14:paraId="2E1944F1" w14:textId="7DEACA70" w:rsidR="00E63EC8" w:rsidRPr="0067557D" w:rsidRDefault="00E63EC8" w:rsidP="00083D12">
      <w:pPr>
        <w:rPr>
          <w:rFonts w:ascii="Arial" w:eastAsia="Times New Roman" w:hAnsi="Arial" w:cs="Arial"/>
          <w:color w:val="111111"/>
          <w:kern w:val="0"/>
          <w:sz w:val="22"/>
          <w:szCs w:val="22"/>
          <w14:ligatures w14:val="none"/>
        </w:rPr>
      </w:pPr>
      <w:r w:rsidRPr="00242BC2">
        <w:rPr>
          <w:rStyle w:val="s1"/>
          <w:rFonts w:ascii="Arial" w:hAnsi="Arial" w:cs="Arial"/>
          <w:sz w:val="22"/>
          <w:szCs w:val="22"/>
        </w:rPr>
        <w:t>The Equality Act 2010 places a legal duty on healthcare providers to ensure that individuals are not disadvantaged in accessing services, including through the provision of reasonable adjustments such as language support (Gov.uk, 2010). In practice, this may involve the use of professional interpreters or translated materials. While Mr Ahmed’s wife currently supports communication, reliance on family members can raise concerns regarding accuracy, confidentiality, and the limitation of patient autonomy (NHS England, 2019; Silverman et al., 2013). It could be argued that this approach, although practical, may unintentionally reduce Mr Ahmed’s active involvement in decision-making (Papadopoulos, 2006).</w:t>
      </w:r>
      <w:r w:rsidR="00083D12">
        <w:rPr>
          <w:rStyle w:val="s1"/>
          <w:rFonts w:ascii="Arial" w:hAnsi="Arial" w:cs="Arial"/>
          <w:sz w:val="22"/>
          <w:szCs w:val="22"/>
        </w:rPr>
        <w:t xml:space="preserve"> </w:t>
      </w:r>
      <w:r w:rsidR="00083D12" w:rsidRPr="0067557D">
        <w:rPr>
          <w:rFonts w:ascii="Arial" w:eastAsia="Times New Roman" w:hAnsi="Arial" w:cs="Arial"/>
          <w:color w:val="111111"/>
          <w:kern w:val="0"/>
          <w:sz w:val="22"/>
          <w:szCs w:val="22"/>
          <w14:ligatures w14:val="none"/>
        </w:rPr>
        <w:t>However, this approach may be problematic in practice, as family members may unintentionally filter information or influence decision-making, raising concerns about informed consent and patient autonomy.</w:t>
      </w:r>
    </w:p>
    <w:p w14:paraId="51895BD1" w14:textId="682B83E3" w:rsidR="00E63EC8" w:rsidRPr="00242BC2" w:rsidRDefault="00E63EC8" w:rsidP="00530E69">
      <w:pPr>
        <w:pStyle w:val="p1"/>
        <w:rPr>
          <w:rFonts w:ascii="Arial" w:hAnsi="Arial" w:cs="Arial"/>
          <w:sz w:val="22"/>
          <w:szCs w:val="22"/>
        </w:rPr>
      </w:pPr>
      <w:r w:rsidRPr="00242BC2">
        <w:rPr>
          <w:rStyle w:val="s1"/>
          <w:rFonts w:ascii="Arial" w:hAnsi="Arial" w:cs="Arial"/>
          <w:sz w:val="22"/>
          <w:szCs w:val="22"/>
        </w:rPr>
        <w:t xml:space="preserve">The </w:t>
      </w:r>
      <w:r w:rsidR="006170CE">
        <w:rPr>
          <w:rStyle w:val="s1"/>
          <w:rFonts w:ascii="Arial" w:hAnsi="Arial" w:cs="Arial"/>
          <w:sz w:val="22"/>
          <w:szCs w:val="22"/>
        </w:rPr>
        <w:t>Shannon and</w:t>
      </w:r>
      <w:r w:rsidR="00BF7FF2">
        <w:rPr>
          <w:rStyle w:val="s1"/>
          <w:rFonts w:ascii="Arial" w:hAnsi="Arial" w:cs="Arial"/>
          <w:sz w:val="22"/>
          <w:szCs w:val="22"/>
        </w:rPr>
        <w:t xml:space="preserve"> Weaver </w:t>
      </w:r>
      <w:r w:rsidR="00DB6237">
        <w:rPr>
          <w:rStyle w:val="s1"/>
          <w:rFonts w:ascii="Arial" w:hAnsi="Arial" w:cs="Arial"/>
          <w:sz w:val="22"/>
          <w:szCs w:val="22"/>
        </w:rPr>
        <w:t>model of communication p</w:t>
      </w:r>
      <w:r w:rsidRPr="00242BC2">
        <w:rPr>
          <w:rStyle w:val="s1"/>
          <w:rFonts w:ascii="Arial" w:hAnsi="Arial" w:cs="Arial"/>
          <w:sz w:val="22"/>
          <w:szCs w:val="22"/>
        </w:rPr>
        <w:t xml:space="preserve">rovides a useful framework for understanding these barriers. Within this model, the healthcare professional acts as the sender, while Mr Ahmed is the receiver. The presence of a language barrier can be understood as “noise,” disrupting the clarity of the message and increasing the likelihood of misunderstanding (Shannon and Weaver, 1949). This reinforces the idea that communication difficulties are not purely </w:t>
      </w:r>
      <w:r w:rsidR="00502CC3" w:rsidRPr="00242BC2">
        <w:rPr>
          <w:rStyle w:val="s1"/>
          <w:rFonts w:ascii="Arial" w:hAnsi="Arial" w:cs="Arial"/>
          <w:sz w:val="22"/>
          <w:szCs w:val="22"/>
        </w:rPr>
        <w:t>individual but</w:t>
      </w:r>
      <w:r w:rsidRPr="00242BC2">
        <w:rPr>
          <w:rStyle w:val="s1"/>
          <w:rFonts w:ascii="Arial" w:hAnsi="Arial" w:cs="Arial"/>
          <w:sz w:val="22"/>
          <w:szCs w:val="22"/>
        </w:rPr>
        <w:t xml:space="preserve"> are influenced by wider systemic and environmental factors.</w:t>
      </w:r>
    </w:p>
    <w:p w14:paraId="59E74B27" w14:textId="20163DC0" w:rsidR="00E63EC8" w:rsidRPr="005B4E14" w:rsidRDefault="00E63EC8" w:rsidP="005B4E14">
      <w:pPr>
        <w:rPr>
          <w:rFonts w:ascii="Arial" w:eastAsia="Times New Roman" w:hAnsi="Arial" w:cs="Arial"/>
          <w:color w:val="111111"/>
          <w:kern w:val="0"/>
          <w:sz w:val="22"/>
          <w:szCs w:val="22"/>
          <w14:ligatures w14:val="none"/>
        </w:rPr>
      </w:pPr>
      <w:r w:rsidRPr="008655DE">
        <w:rPr>
          <w:rStyle w:val="s1"/>
          <w:rFonts w:ascii="Arial" w:hAnsi="Arial" w:cs="Arial"/>
          <w:sz w:val="22"/>
          <w:szCs w:val="22"/>
        </w:rPr>
        <w:t>However, it is important to recognise that simply providing interpreters does not automatically ensure effective communication. Factors such as cultural differences, health literacy, and power dynamics can still influence how information is understood and shared (Ha Dinh et al., 2016; Street et al., 2009). For this reason, a more person-centred approach is required. Techniques such as the teach-back method can help confirm understanding, while visual aids and simplified language can enhance clarity (Ha Dinh et al., 2016). Non-verbal communication also plays a key role, particularly where speech is affected by stroke.</w:t>
      </w:r>
      <w:r w:rsidR="007639AA">
        <w:rPr>
          <w:rStyle w:val="s1"/>
          <w:rFonts w:ascii="Arial" w:hAnsi="Arial" w:cs="Arial"/>
          <w:sz w:val="22"/>
          <w:szCs w:val="22"/>
        </w:rPr>
        <w:t xml:space="preserve"> </w:t>
      </w:r>
      <w:r w:rsidR="007639AA" w:rsidRPr="00276B08">
        <w:rPr>
          <w:rFonts w:ascii="Arial" w:eastAsia="Times New Roman" w:hAnsi="Arial" w:cs="Arial"/>
          <w:color w:val="111111"/>
          <w:kern w:val="0"/>
          <w:sz w:val="22"/>
          <w:szCs w:val="22"/>
          <w14:ligatures w14:val="none"/>
        </w:rPr>
        <w:t>A key limitation of this approach is that it assumes patients have sufficient cognitive capacity to engage with these strategies, which may not always be the case following a stroke.</w:t>
      </w:r>
    </w:p>
    <w:p w14:paraId="193AEBC4" w14:textId="77777777" w:rsidR="00E63EC8" w:rsidRPr="00242BC2" w:rsidRDefault="00E63EC8">
      <w:pPr>
        <w:pStyle w:val="p1"/>
        <w:rPr>
          <w:rFonts w:ascii="Arial" w:hAnsi="Arial" w:cs="Arial"/>
          <w:sz w:val="22"/>
          <w:szCs w:val="22"/>
        </w:rPr>
      </w:pPr>
      <w:r w:rsidRPr="008655DE">
        <w:rPr>
          <w:rStyle w:val="s1"/>
          <w:rFonts w:ascii="Arial" w:hAnsi="Arial" w:cs="Arial"/>
          <w:sz w:val="22"/>
          <w:szCs w:val="22"/>
        </w:rPr>
        <w:t>Furthermore, the involvement of the speech and language therapist is essential in supporting communicat</w:t>
      </w:r>
      <w:r w:rsidRPr="00242BC2">
        <w:rPr>
          <w:rStyle w:val="s1"/>
          <w:rFonts w:ascii="Arial" w:hAnsi="Arial" w:cs="Arial"/>
          <w:sz w:val="22"/>
          <w:szCs w:val="22"/>
        </w:rPr>
        <w:t>ion and swallowing, contributing to improved long-term outcomes (RCSLT, 2021). Overall, effective communication should be viewed as an ongoing and adaptive process, rather than a one-time exchange of information, requiring continuous reflection and adjustment to meet individual needs (Silverman et al., 2013).</w:t>
      </w:r>
    </w:p>
    <w:p w14:paraId="549EEFD3" w14:textId="77777777" w:rsidR="005E2172" w:rsidRPr="00242BC2" w:rsidRDefault="005E2172" w:rsidP="005E2172">
      <w:pPr>
        <w:spacing w:before="100" w:beforeAutospacing="1" w:after="100" w:afterAutospacing="1" w:line="240" w:lineRule="auto"/>
        <w:rPr>
          <w:rFonts w:ascii="Arial" w:hAnsi="Arial" w:cs="Arial"/>
          <w:kern w:val="0"/>
          <w:sz w:val="22"/>
          <w:szCs w:val="22"/>
          <w14:ligatures w14:val="none"/>
        </w:rPr>
      </w:pPr>
    </w:p>
    <w:p w14:paraId="675C8A01" w14:textId="77777777" w:rsidR="005E2172" w:rsidRPr="00242BC2" w:rsidRDefault="005E2172" w:rsidP="005E2172">
      <w:pPr>
        <w:spacing w:after="0" w:line="240" w:lineRule="auto"/>
        <w:rPr>
          <w:rFonts w:ascii="Arial" w:eastAsia="Times New Roman" w:hAnsi="Arial" w:cs="Arial"/>
          <w:kern w:val="0"/>
          <w:sz w:val="22"/>
          <w:szCs w:val="22"/>
          <w14:ligatures w14:val="none"/>
        </w:rPr>
      </w:pPr>
      <w:r w:rsidRPr="00242BC2">
        <w:rPr>
          <w:rFonts w:ascii="Arial" w:eastAsia="Times New Roman" w:hAnsi="Arial" w:cs="Arial"/>
          <w:noProof/>
          <w:kern w:val="0"/>
          <w:sz w:val="22"/>
          <w:szCs w:val="22"/>
          <w14:ligatures w14:val="none"/>
        </w:rPr>
        <mc:AlternateContent>
          <mc:Choice Requires="wps">
            <w:drawing>
              <wp:inline distT="0" distB="0" distL="0" distR="0" wp14:anchorId="3E180C0F" wp14:editId="3B937B0F">
                <wp:extent cx="5731510" cy="1270"/>
                <wp:effectExtent l="0" t="31750" r="0" b="36830"/>
                <wp:docPr id="654832218"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B2882FC"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42747F7" w14:textId="50A0F26E" w:rsidR="005E2172" w:rsidRPr="00242BC2" w:rsidRDefault="005E2172" w:rsidP="005E2172">
      <w:pPr>
        <w:spacing w:before="100" w:beforeAutospacing="1" w:after="100" w:afterAutospacing="1" w:line="240" w:lineRule="auto"/>
        <w:outlineLvl w:val="0"/>
        <w:rPr>
          <w:rFonts w:ascii="Arial" w:eastAsia="Times New Roman" w:hAnsi="Arial" w:cs="Arial"/>
          <w:b/>
          <w:bCs/>
          <w:kern w:val="36"/>
          <w:sz w:val="22"/>
          <w:szCs w:val="22"/>
          <w14:ligatures w14:val="none"/>
        </w:rPr>
      </w:pPr>
      <w:r w:rsidRPr="00242BC2">
        <w:rPr>
          <w:rFonts w:ascii="Arial" w:eastAsia="Times New Roman" w:hAnsi="Arial" w:cs="Arial"/>
          <w:b/>
          <w:bCs/>
          <w:kern w:val="36"/>
          <w:sz w:val="22"/>
          <w:szCs w:val="22"/>
          <w14:ligatures w14:val="none"/>
        </w:rPr>
        <w:t>Importance of Administrative Skills and Record Keeping</w:t>
      </w:r>
    </w:p>
    <w:p w14:paraId="006A99E3" w14:textId="5952D660" w:rsidR="00A65681" w:rsidRPr="003245F8" w:rsidRDefault="00A65681" w:rsidP="003245F8">
      <w:pPr>
        <w:rPr>
          <w:rFonts w:ascii="Arial" w:eastAsia="Times New Roman" w:hAnsi="Arial" w:cs="Arial"/>
          <w:color w:val="111111"/>
          <w:kern w:val="0"/>
          <w:sz w:val="22"/>
          <w:szCs w:val="22"/>
          <w14:ligatures w14:val="none"/>
        </w:rPr>
      </w:pPr>
      <w:r w:rsidRPr="00242BC2">
        <w:rPr>
          <w:rStyle w:val="s1"/>
          <w:rFonts w:ascii="Arial" w:hAnsi="Arial" w:cs="Arial"/>
          <w:sz w:val="22"/>
          <w:szCs w:val="22"/>
        </w:rPr>
        <w:t xml:space="preserve">Administrative competence, particularly in relation to accurate record keeping, is fundamental to ensuring safe, effective, and accountable care. </w:t>
      </w:r>
      <w:r w:rsidR="009F1697">
        <w:rPr>
          <w:rStyle w:val="s1"/>
          <w:rFonts w:ascii="Arial" w:hAnsi="Arial" w:cs="Arial"/>
          <w:sz w:val="22"/>
          <w:szCs w:val="22"/>
        </w:rPr>
        <w:t>For this individual’s c</w:t>
      </w:r>
      <w:r w:rsidRPr="00242BC2">
        <w:rPr>
          <w:rStyle w:val="s1"/>
          <w:rFonts w:ascii="Arial" w:hAnsi="Arial" w:cs="Arial"/>
          <w:sz w:val="22"/>
          <w:szCs w:val="22"/>
        </w:rPr>
        <w:t xml:space="preserve">ase, the </w:t>
      </w:r>
      <w:r w:rsidRPr="00242BC2">
        <w:rPr>
          <w:rStyle w:val="s1"/>
          <w:rFonts w:ascii="Arial" w:hAnsi="Arial" w:cs="Arial"/>
          <w:sz w:val="22"/>
          <w:szCs w:val="22"/>
        </w:rPr>
        <w:lastRenderedPageBreak/>
        <w:t>missed domiciliary care visit, which resulted in delayed medication, highlights the potential consequences of weaknesses within administrative systems. While such incidents may initially appear isolated, they often reflect broader systemic issues related to communication, scheduling, and organisational processes (Care Quality Commission, 2023; Waring, 2016).</w:t>
      </w:r>
      <w:r w:rsidR="00725090">
        <w:rPr>
          <w:rStyle w:val="s1"/>
          <w:rFonts w:ascii="Arial" w:hAnsi="Arial" w:cs="Arial"/>
          <w:sz w:val="22"/>
          <w:szCs w:val="22"/>
        </w:rPr>
        <w:t xml:space="preserve"> </w:t>
      </w:r>
      <w:r w:rsidR="001657D6" w:rsidRPr="00E249CF">
        <w:rPr>
          <w:rFonts w:ascii="Arial" w:eastAsia="Times New Roman" w:hAnsi="Arial" w:cs="Arial"/>
          <w:color w:val="111111"/>
          <w:kern w:val="0"/>
          <w:sz w:val="22"/>
          <w:szCs w:val="22"/>
          <w14:ligatures w14:val="none"/>
        </w:rPr>
        <w:t>This is particularly concerning as it suggests a reactive rather than proactive system, where errors are identified only after harm has occurred</w:t>
      </w:r>
      <w:r w:rsidR="00465A88">
        <w:rPr>
          <w:rFonts w:ascii="Arial" w:eastAsia="Times New Roman" w:hAnsi="Arial" w:cs="Arial"/>
          <w:color w:val="111111"/>
          <w:kern w:val="0"/>
          <w:sz w:val="22"/>
          <w:szCs w:val="22"/>
          <w14:ligatures w14:val="none"/>
        </w:rPr>
        <w:t>.</w:t>
      </w:r>
    </w:p>
    <w:p w14:paraId="1798CFA0" w14:textId="4CE29C6A" w:rsidR="00A65681" w:rsidRPr="00242BC2" w:rsidRDefault="00A65681" w:rsidP="00530E69">
      <w:pPr>
        <w:pStyle w:val="p1"/>
        <w:rPr>
          <w:rFonts w:ascii="Arial" w:hAnsi="Arial" w:cs="Arial"/>
          <w:sz w:val="22"/>
          <w:szCs w:val="22"/>
        </w:rPr>
      </w:pPr>
      <w:r w:rsidRPr="00242BC2">
        <w:rPr>
          <w:rStyle w:val="s1"/>
          <w:rFonts w:ascii="Arial" w:hAnsi="Arial" w:cs="Arial"/>
          <w:sz w:val="22"/>
          <w:szCs w:val="22"/>
        </w:rPr>
        <w:t>Accurate record keeping is essential for maintaining continuity of care and supporting clinical decision-making. Records must be clear, accurate, timely, and comprehensive to ensure that all professionals involved have access to relevant information (NMC, 2018; NHS England, 2019). In t</w:t>
      </w:r>
      <w:r w:rsidR="00C043BC">
        <w:rPr>
          <w:rStyle w:val="s1"/>
          <w:rFonts w:ascii="Arial" w:hAnsi="Arial" w:cs="Arial"/>
          <w:sz w:val="22"/>
          <w:szCs w:val="22"/>
        </w:rPr>
        <w:t>his context</w:t>
      </w:r>
      <w:r w:rsidRPr="00242BC2">
        <w:rPr>
          <w:rStyle w:val="s1"/>
          <w:rFonts w:ascii="Arial" w:hAnsi="Arial" w:cs="Arial"/>
          <w:sz w:val="22"/>
          <w:szCs w:val="22"/>
        </w:rPr>
        <w:t>, domiciliary care workers are responsible for documenting visits and confirming medication administration. A failure in this process increases the risk of medication errors, which can have serious implications for patient safety, particularly in older adults (Age UK, 2022; Elliott et al., 2020).</w:t>
      </w:r>
    </w:p>
    <w:p w14:paraId="319A9990" w14:textId="04497D6D" w:rsidR="00A65681" w:rsidRPr="00242BC2" w:rsidRDefault="00A65681" w:rsidP="00530E69">
      <w:pPr>
        <w:pStyle w:val="p1"/>
        <w:rPr>
          <w:rFonts w:ascii="Arial" w:hAnsi="Arial" w:cs="Arial"/>
          <w:sz w:val="22"/>
          <w:szCs w:val="22"/>
        </w:rPr>
      </w:pPr>
      <w:r w:rsidRPr="00242BC2">
        <w:rPr>
          <w:rStyle w:val="s1"/>
          <w:rFonts w:ascii="Arial" w:hAnsi="Arial" w:cs="Arial"/>
          <w:sz w:val="22"/>
          <w:szCs w:val="22"/>
        </w:rPr>
        <w:t xml:space="preserve">The </w:t>
      </w:r>
      <w:r w:rsidR="00DB6237">
        <w:rPr>
          <w:rStyle w:val="s2"/>
          <w:rFonts w:ascii="Arial" w:hAnsi="Arial" w:cs="Arial"/>
          <w:color w:val="000000" w:themeColor="text1"/>
          <w:sz w:val="22"/>
          <w:szCs w:val="22"/>
          <w:u w:val="single"/>
        </w:rPr>
        <w:t xml:space="preserve">Data </w:t>
      </w:r>
      <w:r w:rsidR="00A61FB0">
        <w:rPr>
          <w:rStyle w:val="s2"/>
          <w:rFonts w:ascii="Arial" w:hAnsi="Arial" w:cs="Arial"/>
          <w:color w:val="000000" w:themeColor="text1"/>
          <w:sz w:val="22"/>
          <w:szCs w:val="22"/>
          <w:u w:val="single"/>
        </w:rPr>
        <w:t>Protection</w:t>
      </w:r>
      <w:r w:rsidR="00DB6237">
        <w:rPr>
          <w:rStyle w:val="s2"/>
          <w:rFonts w:ascii="Arial" w:hAnsi="Arial" w:cs="Arial"/>
          <w:color w:val="000000" w:themeColor="text1"/>
          <w:sz w:val="22"/>
          <w:szCs w:val="22"/>
          <w:u w:val="single"/>
        </w:rPr>
        <w:t xml:space="preserve"> </w:t>
      </w:r>
      <w:r w:rsidR="006170CE">
        <w:rPr>
          <w:rStyle w:val="s1"/>
          <w:rFonts w:ascii="Arial" w:hAnsi="Arial" w:cs="Arial"/>
          <w:sz w:val="22"/>
          <w:szCs w:val="22"/>
        </w:rPr>
        <w:t>Act 2018, provides</w:t>
      </w:r>
      <w:r w:rsidRPr="00242BC2">
        <w:rPr>
          <w:rStyle w:val="s1"/>
          <w:rFonts w:ascii="Arial" w:hAnsi="Arial" w:cs="Arial"/>
          <w:sz w:val="22"/>
          <w:szCs w:val="22"/>
        </w:rPr>
        <w:t xml:space="preserve"> a legal framework governing the handling of personal data, emphasising principles such as lawful processing, accuracy, and confidentiality (Gov.uk, 2018). In practice, this requires healthcare professionals to balance effective information sharing with the need to protect patient privacy. This creates an ongoing tension, as insufficient sharing may compromise care, while excessive sharing may breach legal and ethical standards (ICO, 2023).</w:t>
      </w:r>
    </w:p>
    <w:p w14:paraId="532319CE" w14:textId="34CB52AB" w:rsidR="00237EA6" w:rsidRPr="00AB096E" w:rsidRDefault="00A65681">
      <w:pPr>
        <w:rPr>
          <w:rFonts w:ascii="Arial" w:eastAsia="Times New Roman" w:hAnsi="Arial" w:cs="Arial"/>
          <w:color w:val="111111"/>
          <w:kern w:val="0"/>
          <w:sz w:val="22"/>
          <w:szCs w:val="22"/>
          <w14:ligatures w14:val="none"/>
        </w:rPr>
      </w:pPr>
      <w:r w:rsidRPr="00242BC2">
        <w:rPr>
          <w:rStyle w:val="s1"/>
          <w:rFonts w:ascii="Arial" w:hAnsi="Arial" w:cs="Arial"/>
          <w:sz w:val="22"/>
          <w:szCs w:val="22"/>
        </w:rPr>
        <w:t>The missed domiciliary visit suggests a breakdown in administrative systems rather than a purely individual error</w:t>
      </w:r>
      <w:r w:rsidR="00814F0D" w:rsidRPr="00242BC2">
        <w:rPr>
          <w:rStyle w:val="s1"/>
          <w:rFonts w:ascii="Arial" w:hAnsi="Arial" w:cs="Arial"/>
          <w:sz w:val="22"/>
          <w:szCs w:val="22"/>
        </w:rPr>
        <w:t xml:space="preserve">. </w:t>
      </w:r>
      <w:r w:rsidR="00814F0D" w:rsidRPr="00814F0D">
        <w:rPr>
          <w:rFonts w:ascii="Arial" w:eastAsia="Times New Roman" w:hAnsi="Arial" w:cs="Arial"/>
          <w:color w:val="111111"/>
          <w:kern w:val="0"/>
          <w:sz w:val="22"/>
          <w:szCs w:val="22"/>
          <w14:ligatures w14:val="none"/>
        </w:rPr>
        <w:t>This raises wider concerns about organisational accountability, as systemic failures are often attributed to individual staff rather than underlying structural issues.</w:t>
      </w:r>
    </w:p>
    <w:p w14:paraId="4DE6D05C" w14:textId="04A1C643" w:rsidR="00A65681" w:rsidRPr="00242BC2" w:rsidRDefault="00A65681" w:rsidP="00530E69">
      <w:pPr>
        <w:pStyle w:val="p1"/>
        <w:rPr>
          <w:rFonts w:ascii="Arial" w:hAnsi="Arial" w:cs="Arial"/>
          <w:sz w:val="22"/>
          <w:szCs w:val="22"/>
        </w:rPr>
      </w:pPr>
      <w:r w:rsidRPr="00242BC2">
        <w:rPr>
          <w:rStyle w:val="s1"/>
          <w:rFonts w:ascii="Arial" w:hAnsi="Arial" w:cs="Arial"/>
          <w:sz w:val="22"/>
          <w:szCs w:val="22"/>
        </w:rPr>
        <w:t>Issues such as ineffective scheduling, poor communication between staff, or limited accountability may all contribute to such incidents (Waring, 2016). According to the Care Quality Commission (2023), these failures may indicate non-compliance with fundamental standards, particularly in relation to safe care and treatment.</w:t>
      </w:r>
    </w:p>
    <w:p w14:paraId="290D2B08" w14:textId="38D3CCCA" w:rsidR="00A65681" w:rsidRPr="00242BC2" w:rsidRDefault="00A65681" w:rsidP="00530E69">
      <w:pPr>
        <w:pStyle w:val="p1"/>
        <w:rPr>
          <w:rFonts w:ascii="Arial" w:hAnsi="Arial" w:cs="Arial"/>
          <w:sz w:val="22"/>
          <w:szCs w:val="22"/>
        </w:rPr>
      </w:pPr>
      <w:r w:rsidRPr="00242BC2">
        <w:rPr>
          <w:rStyle w:val="s1"/>
          <w:rFonts w:ascii="Arial" w:hAnsi="Arial" w:cs="Arial"/>
          <w:sz w:val="22"/>
          <w:szCs w:val="22"/>
        </w:rPr>
        <w:t>The increasing use of digital systems within healthcare has the potential to improve administrative efficiency and reduce errors. Electronic health records enable real-time updates and support communication across multidisciplinary teams (NHS Digital, 2022). In addition, automated alerts for missed visits or medication schedules can enable earlier intervention. However, the effectiveness of these systems depends on consistent use and adequate staff training, suggesting that technology alone is not sufficient (Waring, 2016).</w:t>
      </w:r>
    </w:p>
    <w:p w14:paraId="5200B562" w14:textId="46C6FB55" w:rsidR="005E2172" w:rsidRPr="00242BC2" w:rsidRDefault="00A65681" w:rsidP="003245F8">
      <w:pPr>
        <w:pStyle w:val="p1"/>
        <w:rPr>
          <w:rFonts w:ascii="Arial" w:hAnsi="Arial" w:cs="Arial"/>
          <w:sz w:val="22"/>
          <w:szCs w:val="22"/>
        </w:rPr>
      </w:pPr>
      <w:r w:rsidRPr="00242BC2">
        <w:rPr>
          <w:rStyle w:val="s1"/>
          <w:rFonts w:ascii="Arial" w:hAnsi="Arial" w:cs="Arial"/>
          <w:sz w:val="22"/>
          <w:szCs w:val="22"/>
        </w:rPr>
        <w:t>Overall, strong administrative practices are essential in ensuring accountability, continuity, and patient safety. Mr Ahmed’s case illustrates how weaknesses in these systems can directly impact both the quality and safety of care delivered (Elliott et al., 2020)</w:t>
      </w:r>
      <w:r w:rsidR="00AC05AC" w:rsidRPr="00242BC2">
        <w:rPr>
          <w:rStyle w:val="s1"/>
          <w:rFonts w:ascii="Arial" w:hAnsi="Arial" w:cs="Arial"/>
          <w:sz w:val="22"/>
          <w:szCs w:val="22"/>
        </w:rPr>
        <w:t>.</w:t>
      </w:r>
    </w:p>
    <w:p w14:paraId="2F5AC23F" w14:textId="77777777" w:rsidR="005E2172" w:rsidRPr="00242BC2" w:rsidRDefault="005E2172" w:rsidP="005E2172">
      <w:pPr>
        <w:spacing w:after="0" w:line="240" w:lineRule="auto"/>
        <w:rPr>
          <w:rFonts w:ascii="Arial" w:eastAsia="Times New Roman" w:hAnsi="Arial" w:cs="Arial"/>
          <w:kern w:val="0"/>
          <w:sz w:val="22"/>
          <w:szCs w:val="22"/>
          <w14:ligatures w14:val="none"/>
        </w:rPr>
      </w:pPr>
      <w:r w:rsidRPr="00242BC2">
        <w:rPr>
          <w:rFonts w:ascii="Arial" w:eastAsia="Times New Roman" w:hAnsi="Arial" w:cs="Arial"/>
          <w:noProof/>
          <w:kern w:val="0"/>
          <w:sz w:val="22"/>
          <w:szCs w:val="22"/>
          <w14:ligatures w14:val="none"/>
        </w:rPr>
        <mc:AlternateContent>
          <mc:Choice Requires="wps">
            <w:drawing>
              <wp:inline distT="0" distB="0" distL="0" distR="0" wp14:anchorId="23E4BF99" wp14:editId="19971F8F">
                <wp:extent cx="5731510" cy="1270"/>
                <wp:effectExtent l="0" t="31750" r="0" b="36830"/>
                <wp:docPr id="1066833242"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3EB38B1"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7DAB1B2" w14:textId="503DBB41" w:rsidR="005E2172" w:rsidRPr="00242BC2" w:rsidRDefault="005E2172" w:rsidP="005E2172">
      <w:pPr>
        <w:spacing w:before="100" w:beforeAutospacing="1" w:after="100" w:afterAutospacing="1" w:line="240" w:lineRule="auto"/>
        <w:outlineLvl w:val="0"/>
        <w:rPr>
          <w:rFonts w:ascii="Arial" w:eastAsia="Times New Roman" w:hAnsi="Arial" w:cs="Arial"/>
          <w:b/>
          <w:bCs/>
          <w:kern w:val="36"/>
          <w:sz w:val="22"/>
          <w:szCs w:val="22"/>
          <w14:ligatures w14:val="none"/>
        </w:rPr>
      </w:pPr>
      <w:r w:rsidRPr="00242BC2">
        <w:rPr>
          <w:rFonts w:ascii="Arial" w:eastAsia="Times New Roman" w:hAnsi="Arial" w:cs="Arial"/>
          <w:b/>
          <w:bCs/>
          <w:kern w:val="36"/>
          <w:sz w:val="22"/>
          <w:szCs w:val="22"/>
          <w14:ligatures w14:val="none"/>
        </w:rPr>
        <w:t xml:space="preserve">Importance of Collaborative Working </w:t>
      </w:r>
    </w:p>
    <w:p w14:paraId="5415EDEA" w14:textId="43AF581B" w:rsidR="009F3866" w:rsidRPr="00242BC2" w:rsidRDefault="009F3866" w:rsidP="00530E69">
      <w:pPr>
        <w:pStyle w:val="p1"/>
        <w:rPr>
          <w:rFonts w:ascii="Arial" w:hAnsi="Arial" w:cs="Arial"/>
          <w:sz w:val="22"/>
          <w:szCs w:val="22"/>
        </w:rPr>
      </w:pPr>
      <w:r w:rsidRPr="00242BC2">
        <w:rPr>
          <w:rStyle w:val="s1"/>
          <w:rFonts w:ascii="Arial" w:hAnsi="Arial" w:cs="Arial"/>
          <w:sz w:val="22"/>
          <w:szCs w:val="22"/>
        </w:rPr>
        <w:t xml:space="preserve">Collaborative working is essential in delivering holistic and coordinated care, particularly for individuals with complex needs such as Mr Ahmed. His care involves a range of professionals, including a GP, district nurse, domiciliary care workers, and a speech and language therapist, each contributing specialised expertise. Effective multidisciplinary </w:t>
      </w:r>
      <w:r w:rsidRPr="00242BC2">
        <w:rPr>
          <w:rStyle w:val="s1"/>
          <w:rFonts w:ascii="Arial" w:hAnsi="Arial" w:cs="Arial"/>
          <w:sz w:val="22"/>
          <w:szCs w:val="22"/>
        </w:rPr>
        <w:lastRenderedPageBreak/>
        <w:t>collaboration ensures that care is consistent, responsive, and centred around the individual (Reeves et al., 2017; WHO, 2010).</w:t>
      </w:r>
    </w:p>
    <w:p w14:paraId="23EE2610" w14:textId="314472CC" w:rsidR="009F3866" w:rsidRPr="00C33FC7" w:rsidRDefault="009F3866" w:rsidP="00C33FC7">
      <w:pPr>
        <w:rPr>
          <w:rFonts w:ascii="Arial" w:eastAsia="Times New Roman" w:hAnsi="Arial" w:cs="Arial"/>
          <w:color w:val="111111"/>
          <w:kern w:val="0"/>
          <w:sz w:val="22"/>
          <w:szCs w:val="22"/>
          <w14:ligatures w14:val="none"/>
        </w:rPr>
      </w:pPr>
      <w:r w:rsidRPr="00242BC2">
        <w:rPr>
          <w:rStyle w:val="s1"/>
          <w:rFonts w:ascii="Arial" w:hAnsi="Arial" w:cs="Arial"/>
          <w:sz w:val="22"/>
          <w:szCs w:val="22"/>
        </w:rPr>
        <w:t>In this case, collaboration is particularly important due to both the complexity of Mr Ahmed’s condition and the presence of communication barriers. For example, information gathered by the district nurse must be effectively shared with other professionals to inform decision-making. However, the missed domiciliary visit highlights how breakdowns in communication and coordination can disrupt care delivery and increase risk (Glasby and Dickinson, 2014).</w:t>
      </w:r>
      <w:r w:rsidR="00031652">
        <w:rPr>
          <w:rStyle w:val="s1"/>
          <w:rFonts w:ascii="Arial" w:hAnsi="Arial" w:cs="Arial"/>
          <w:sz w:val="22"/>
          <w:szCs w:val="22"/>
        </w:rPr>
        <w:t xml:space="preserve"> </w:t>
      </w:r>
      <w:r w:rsidR="00C33FC7" w:rsidRPr="00C33FC7">
        <w:rPr>
          <w:rFonts w:ascii="Arial" w:eastAsia="Times New Roman" w:hAnsi="Arial" w:cs="Arial"/>
          <w:color w:val="111111"/>
          <w:kern w:val="0"/>
          <w:sz w:val="22"/>
          <w:szCs w:val="22"/>
          <w14:ligatures w14:val="none"/>
        </w:rPr>
        <w:t>In</w:t>
      </w:r>
      <w:r w:rsidR="00031652" w:rsidRPr="00C33FC7">
        <w:rPr>
          <w:rFonts w:ascii="Arial" w:eastAsia="Times New Roman" w:hAnsi="Arial" w:cs="Arial"/>
          <w:color w:val="111111"/>
          <w:kern w:val="0"/>
          <w:sz w:val="22"/>
          <w:szCs w:val="22"/>
          <w14:ligatures w14:val="none"/>
        </w:rPr>
        <w:t xml:space="preserve"> practice, such breakdowns are often linked to time pressures and workforce shortages, which can limit opportunities for effective communication between professionals.</w:t>
      </w:r>
    </w:p>
    <w:p w14:paraId="109E64AF" w14:textId="7589C48D" w:rsidR="009F3866" w:rsidRPr="00242BC2" w:rsidRDefault="009F3866" w:rsidP="00530E69">
      <w:pPr>
        <w:pStyle w:val="p1"/>
        <w:rPr>
          <w:rFonts w:ascii="Arial" w:hAnsi="Arial" w:cs="Arial"/>
          <w:sz w:val="22"/>
          <w:szCs w:val="22"/>
        </w:rPr>
      </w:pPr>
      <w:r w:rsidRPr="00242BC2">
        <w:rPr>
          <w:rStyle w:val="s1"/>
          <w:rFonts w:ascii="Arial" w:hAnsi="Arial" w:cs="Arial"/>
          <w:sz w:val="22"/>
          <w:szCs w:val="22"/>
        </w:rPr>
        <w:t>Multi-agency working is often challenged by factors such as role ambiguity, professional hierarchies, and differences in organisational culture (Glasby and Dickinson, 2014; Reeves et al., 2017). In addition, language barriers may further complicate interactions between professionals and the patient, potentially leading to fragmented or inconsistent care (Papadopoulos, 2006). This suggests that effective collaboration requires not only communication between professionals, but also a shared understanding of the patient’s needs.</w:t>
      </w:r>
    </w:p>
    <w:p w14:paraId="5B37AE5E" w14:textId="4D793377" w:rsidR="009F3866" w:rsidRPr="00242BC2" w:rsidRDefault="009F3866" w:rsidP="00530E69">
      <w:pPr>
        <w:pStyle w:val="p1"/>
        <w:rPr>
          <w:rFonts w:ascii="Arial" w:hAnsi="Arial" w:cs="Arial"/>
          <w:sz w:val="22"/>
          <w:szCs w:val="22"/>
        </w:rPr>
      </w:pPr>
      <w:r w:rsidRPr="00242BC2">
        <w:rPr>
          <w:rStyle w:val="s1"/>
          <w:rFonts w:ascii="Arial" w:hAnsi="Arial" w:cs="Arial"/>
          <w:sz w:val="22"/>
          <w:szCs w:val="22"/>
        </w:rPr>
        <w:t xml:space="preserve">To address these challenges, structured approaches such as regular multidisciplinary team meetings can support information sharing and joint decision-making. Shared electronic records improve access to up-to-date information, while clearly defined roles enhance accountability (NHS England, 2019). Furthermore, frameworks developed by the World Health </w:t>
      </w:r>
      <w:r w:rsidR="00CA7B99" w:rsidRPr="00242BC2">
        <w:rPr>
          <w:rStyle w:val="s1"/>
          <w:rFonts w:ascii="Arial" w:hAnsi="Arial" w:cs="Arial"/>
          <w:sz w:val="22"/>
          <w:szCs w:val="22"/>
        </w:rPr>
        <w:t>Organisation</w:t>
      </w:r>
      <w:r w:rsidRPr="00242BC2">
        <w:rPr>
          <w:rStyle w:val="s1"/>
          <w:rFonts w:ascii="Arial" w:hAnsi="Arial" w:cs="Arial"/>
          <w:sz w:val="22"/>
          <w:szCs w:val="22"/>
        </w:rPr>
        <w:t xml:space="preserve"> emphasise the importance of </w:t>
      </w:r>
      <w:r w:rsidR="00CA7B99" w:rsidRPr="00242BC2">
        <w:rPr>
          <w:rStyle w:val="s1"/>
          <w:rFonts w:ascii="Arial" w:hAnsi="Arial" w:cs="Arial"/>
          <w:sz w:val="22"/>
          <w:szCs w:val="22"/>
        </w:rPr>
        <w:t>inter-professional</w:t>
      </w:r>
      <w:r w:rsidRPr="00242BC2">
        <w:rPr>
          <w:rStyle w:val="s1"/>
          <w:rFonts w:ascii="Arial" w:hAnsi="Arial" w:cs="Arial"/>
          <w:sz w:val="22"/>
          <w:szCs w:val="22"/>
        </w:rPr>
        <w:t xml:space="preserve"> collaboration in improving outcomes (WHO, 2010).</w:t>
      </w:r>
    </w:p>
    <w:p w14:paraId="1B5096ED" w14:textId="735CC4ED" w:rsidR="00AC05AC" w:rsidRPr="00C33FC7" w:rsidRDefault="009F3866" w:rsidP="00C33FC7">
      <w:pPr>
        <w:rPr>
          <w:rFonts w:ascii="Arial" w:eastAsia="Times New Roman" w:hAnsi="Arial" w:cs="Arial"/>
          <w:color w:val="111111"/>
          <w:kern w:val="0"/>
          <w:sz w:val="22"/>
          <w:szCs w:val="22"/>
          <w14:ligatures w14:val="none"/>
        </w:rPr>
      </w:pPr>
      <w:r w:rsidRPr="00242BC2">
        <w:rPr>
          <w:rStyle w:val="s1"/>
          <w:rFonts w:ascii="Arial" w:hAnsi="Arial" w:cs="Arial"/>
          <w:sz w:val="22"/>
          <w:szCs w:val="22"/>
        </w:rPr>
        <w:t xml:space="preserve">Importantly, a person-centred approach should underpin all collaborative efforts. Involving both Mr Ahmed and his wife in care planning helps ensure that care is tailored to his needs while also promoting autonomy (Reeves et al., 2017). </w:t>
      </w:r>
      <w:r w:rsidR="0074680F" w:rsidRPr="00C33FC7">
        <w:rPr>
          <w:rFonts w:ascii="Arial" w:eastAsia="Times New Roman" w:hAnsi="Arial" w:cs="Arial"/>
          <w:color w:val="111111"/>
          <w:kern w:val="0"/>
          <w:sz w:val="22"/>
          <w:szCs w:val="22"/>
          <w14:ligatures w14:val="none"/>
        </w:rPr>
        <w:t>Ultimately, effective collaboration is not simply about working together, but about working in a coordinated and accountable way, which can be challenging to achieve consistently in practice.</w:t>
      </w:r>
    </w:p>
    <w:p w14:paraId="222E8B7C" w14:textId="77777777" w:rsidR="005E2172" w:rsidRPr="00242BC2" w:rsidRDefault="005E2172" w:rsidP="005E2172">
      <w:pPr>
        <w:spacing w:after="0" w:line="240" w:lineRule="auto"/>
        <w:rPr>
          <w:rFonts w:ascii="Arial" w:eastAsia="Times New Roman" w:hAnsi="Arial" w:cs="Arial"/>
          <w:kern w:val="0"/>
          <w:sz w:val="22"/>
          <w:szCs w:val="22"/>
          <w14:ligatures w14:val="none"/>
        </w:rPr>
      </w:pPr>
      <w:r w:rsidRPr="00242BC2">
        <w:rPr>
          <w:rFonts w:ascii="Arial" w:eastAsia="Times New Roman" w:hAnsi="Arial" w:cs="Arial"/>
          <w:noProof/>
          <w:kern w:val="0"/>
          <w:sz w:val="22"/>
          <w:szCs w:val="22"/>
          <w14:ligatures w14:val="none"/>
        </w:rPr>
        <mc:AlternateContent>
          <mc:Choice Requires="wps">
            <w:drawing>
              <wp:inline distT="0" distB="0" distL="0" distR="0" wp14:anchorId="55A275A8" wp14:editId="54889D86">
                <wp:extent cx="5731510" cy="1270"/>
                <wp:effectExtent l="0" t="31750" r="0" b="36830"/>
                <wp:docPr id="1483396430"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787D529"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EA9E62A" w14:textId="0E490F8C" w:rsidR="005E2172" w:rsidRPr="00242BC2" w:rsidRDefault="005E2172" w:rsidP="005E2172">
      <w:pPr>
        <w:spacing w:before="100" w:beforeAutospacing="1" w:after="100" w:afterAutospacing="1" w:line="240" w:lineRule="auto"/>
        <w:outlineLvl w:val="0"/>
        <w:rPr>
          <w:rFonts w:ascii="Arial" w:eastAsia="Times New Roman" w:hAnsi="Arial" w:cs="Arial"/>
          <w:b/>
          <w:bCs/>
          <w:kern w:val="36"/>
          <w:sz w:val="22"/>
          <w:szCs w:val="22"/>
          <w14:ligatures w14:val="none"/>
        </w:rPr>
      </w:pPr>
      <w:r w:rsidRPr="00242BC2">
        <w:rPr>
          <w:rFonts w:ascii="Arial" w:eastAsia="Times New Roman" w:hAnsi="Arial" w:cs="Arial"/>
          <w:b/>
          <w:bCs/>
          <w:kern w:val="36"/>
          <w:sz w:val="22"/>
          <w:szCs w:val="22"/>
          <w14:ligatures w14:val="none"/>
        </w:rPr>
        <w:t>Conclusion</w:t>
      </w:r>
    </w:p>
    <w:p w14:paraId="0786CEB0" w14:textId="228A7291" w:rsidR="00530E69" w:rsidRPr="00242BC2" w:rsidRDefault="00530E69" w:rsidP="00530E69">
      <w:pPr>
        <w:pStyle w:val="p1"/>
        <w:rPr>
          <w:rFonts w:ascii="Arial" w:hAnsi="Arial" w:cs="Arial"/>
          <w:sz w:val="22"/>
          <w:szCs w:val="22"/>
        </w:rPr>
      </w:pPr>
      <w:r w:rsidRPr="00242BC2">
        <w:rPr>
          <w:rStyle w:val="s1"/>
          <w:rFonts w:ascii="Arial" w:hAnsi="Arial" w:cs="Arial"/>
          <w:sz w:val="22"/>
          <w:szCs w:val="22"/>
        </w:rPr>
        <w:t>In conclusion, the case of Mr Ahmed highlights the interdependent nature of communication, administrative competence, and collaborative working in health and social care. Effective communication, supported by the Equality Act 2010, is essential in addressing language barriers and promoting patient safety and autonomy (Gov.uk, 2010). Administrative practices, guided by the Data Protection Act 2018, ensure accurate record keeping and accountability, reducing the risk of errors such as missed medication (Gov.uk, 2018). Furthermore, collaborative working strengthens coordination and supports holistic care delivery (WHO, 2010).</w:t>
      </w:r>
    </w:p>
    <w:p w14:paraId="06EFDC76" w14:textId="640EB033" w:rsidR="005E2172" w:rsidRPr="00242BC2" w:rsidRDefault="00530E69" w:rsidP="00530E69">
      <w:pPr>
        <w:pStyle w:val="p1"/>
        <w:rPr>
          <w:rFonts w:ascii="Arial" w:hAnsi="Arial" w:cs="Arial"/>
          <w:sz w:val="22"/>
          <w:szCs w:val="22"/>
        </w:rPr>
      </w:pPr>
      <w:r w:rsidRPr="00242BC2">
        <w:rPr>
          <w:rStyle w:val="s1"/>
          <w:rFonts w:ascii="Arial" w:hAnsi="Arial" w:cs="Arial"/>
          <w:sz w:val="22"/>
          <w:szCs w:val="22"/>
        </w:rPr>
        <w:t>The incident involving Mr Ahmed demonstrates how failures across these areas can compromise care quality and safety. It reinforces the need for a proactive and integrated approach, where communication, administration, and teamwork are continuously evaluated and improved. Overall, delivering high-quality care requires not only professional competence but also adaptability and a sustained focus on person-centred practice (NHS England, 2019).</w:t>
      </w:r>
    </w:p>
    <w:p w14:paraId="23BFD406" w14:textId="77777777" w:rsidR="005E2172" w:rsidRPr="00242BC2" w:rsidRDefault="005E2172" w:rsidP="005E2172">
      <w:pPr>
        <w:spacing w:after="0" w:line="240" w:lineRule="auto"/>
        <w:rPr>
          <w:rFonts w:ascii="Arial" w:eastAsia="Times New Roman" w:hAnsi="Arial" w:cs="Arial"/>
          <w:kern w:val="0"/>
          <w:sz w:val="22"/>
          <w:szCs w:val="22"/>
          <w14:ligatures w14:val="none"/>
        </w:rPr>
      </w:pPr>
      <w:r w:rsidRPr="00242BC2">
        <w:rPr>
          <w:rFonts w:ascii="Arial" w:eastAsia="Times New Roman" w:hAnsi="Arial" w:cs="Arial"/>
          <w:noProof/>
          <w:kern w:val="0"/>
          <w:sz w:val="22"/>
          <w:szCs w:val="22"/>
          <w14:ligatures w14:val="none"/>
        </w:rPr>
        <w:lastRenderedPageBreak/>
        <mc:AlternateContent>
          <mc:Choice Requires="wps">
            <w:drawing>
              <wp:inline distT="0" distB="0" distL="0" distR="0" wp14:anchorId="18100250" wp14:editId="3935685E">
                <wp:extent cx="5731510" cy="1270"/>
                <wp:effectExtent l="0" t="31750" r="0" b="36830"/>
                <wp:docPr id="152364272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BF231D7"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1359CE9" w14:textId="58699CC7" w:rsidR="005E2172" w:rsidRPr="00242BC2" w:rsidRDefault="005E2172" w:rsidP="005E2172">
      <w:pPr>
        <w:spacing w:before="100" w:beforeAutospacing="1" w:after="100" w:afterAutospacing="1" w:line="240" w:lineRule="auto"/>
        <w:outlineLvl w:val="0"/>
        <w:rPr>
          <w:rFonts w:ascii="Arial" w:hAnsi="Arial" w:cs="Arial"/>
          <w:b/>
          <w:bCs/>
          <w:kern w:val="36"/>
          <w:sz w:val="22"/>
          <w:szCs w:val="22"/>
          <w14:ligatures w14:val="none"/>
        </w:rPr>
      </w:pPr>
    </w:p>
    <w:p w14:paraId="07EA3AE1" w14:textId="2891B3D1" w:rsidR="005E2172" w:rsidRPr="00242BC2" w:rsidRDefault="005E2172" w:rsidP="00554CCD">
      <w:pPr>
        <w:spacing w:before="100" w:beforeAutospacing="1" w:after="100" w:afterAutospacing="1" w:line="240" w:lineRule="auto"/>
        <w:outlineLvl w:val="0"/>
        <w:rPr>
          <w:rFonts w:ascii="Arial" w:eastAsia="Times New Roman" w:hAnsi="Arial" w:cs="Arial"/>
          <w:b/>
          <w:bCs/>
          <w:kern w:val="36"/>
          <w:sz w:val="22"/>
          <w:szCs w:val="22"/>
          <w14:ligatures w14:val="none"/>
        </w:rPr>
      </w:pPr>
      <w:r w:rsidRPr="00242BC2">
        <w:rPr>
          <w:rFonts w:ascii="Arial" w:eastAsia="Times New Roman" w:hAnsi="Arial" w:cs="Arial"/>
          <w:b/>
          <w:bCs/>
          <w:kern w:val="36"/>
          <w:sz w:val="22"/>
          <w:szCs w:val="22"/>
          <w14:ligatures w14:val="none"/>
        </w:rPr>
        <w:t xml:space="preserve"> REFERENCE LIST</w:t>
      </w:r>
    </w:p>
    <w:p w14:paraId="6204A52F" w14:textId="1831013E" w:rsidR="000A78CB" w:rsidRDefault="000A78CB" w:rsidP="00411AAC">
      <w:pPr>
        <w:pStyle w:val="p1"/>
      </w:pPr>
      <w:r>
        <w:rPr>
          <w:rStyle w:val="s1"/>
        </w:rPr>
        <w:t xml:space="preserve">Age UK (2022) </w:t>
      </w:r>
      <w:r>
        <w:rPr>
          <w:rStyle w:val="s2"/>
        </w:rPr>
        <w:t>Medication safety for older people</w:t>
      </w:r>
      <w:r>
        <w:rPr>
          <w:rStyle w:val="s1"/>
        </w:rPr>
        <w:t>. London: Age UK.</w:t>
      </w:r>
    </w:p>
    <w:p w14:paraId="6475FB24" w14:textId="358DAAD7" w:rsidR="000A78CB" w:rsidRDefault="000A78CB" w:rsidP="00411AAC">
      <w:pPr>
        <w:pStyle w:val="p1"/>
      </w:pPr>
      <w:r>
        <w:rPr>
          <w:rStyle w:val="s1"/>
        </w:rPr>
        <w:t xml:space="preserve">Care Quality Commission (2023) </w:t>
      </w:r>
      <w:r>
        <w:rPr>
          <w:rStyle w:val="s2"/>
        </w:rPr>
        <w:t>Fundamental standards</w:t>
      </w:r>
      <w:r>
        <w:rPr>
          <w:rStyle w:val="s1"/>
        </w:rPr>
        <w:t>. Available at: https://www.cqc.org.uk (Accessed: 24 March 2026).</w:t>
      </w:r>
    </w:p>
    <w:p w14:paraId="6B1FE68D" w14:textId="16DFDAFE" w:rsidR="000A78CB" w:rsidRDefault="000A78CB" w:rsidP="00411AAC">
      <w:pPr>
        <w:pStyle w:val="p1"/>
      </w:pPr>
      <w:r>
        <w:rPr>
          <w:rStyle w:val="s1"/>
        </w:rPr>
        <w:t xml:space="preserve">Elliott, R.A., Camacho, E., Jankovic, D., Sculpher, M.J. and Faria, R. (2020) ‘Economic analysis of medication errors in older adults’, </w:t>
      </w:r>
      <w:r>
        <w:rPr>
          <w:rStyle w:val="s2"/>
        </w:rPr>
        <w:t>BMJ Quality &amp; Safety</w:t>
      </w:r>
      <w:r>
        <w:rPr>
          <w:rStyle w:val="s1"/>
        </w:rPr>
        <w:t>, 29(2), pp. 96–105.</w:t>
      </w:r>
    </w:p>
    <w:p w14:paraId="47D0168A" w14:textId="24E0F06E" w:rsidR="000A78CB" w:rsidRDefault="000A78CB" w:rsidP="00411AAC">
      <w:pPr>
        <w:pStyle w:val="p1"/>
      </w:pPr>
      <w:r>
        <w:rPr>
          <w:rStyle w:val="s1"/>
        </w:rPr>
        <w:t xml:space="preserve">Glasby, J. and Dickinson, H. (2014) </w:t>
      </w:r>
      <w:r>
        <w:rPr>
          <w:rStyle w:val="s2"/>
        </w:rPr>
        <w:t>Partnership working in health and social care</w:t>
      </w:r>
      <w:r>
        <w:rPr>
          <w:rStyle w:val="s1"/>
        </w:rPr>
        <w:t>. Bristol: Policy Press.</w:t>
      </w:r>
    </w:p>
    <w:p w14:paraId="5AAAEE6A" w14:textId="6474819A" w:rsidR="000A78CB" w:rsidRDefault="000A78CB" w:rsidP="00411AAC">
      <w:pPr>
        <w:pStyle w:val="p1"/>
      </w:pPr>
      <w:r>
        <w:rPr>
          <w:rStyle w:val="s1"/>
        </w:rPr>
        <w:t xml:space="preserve">Gov.uk (2010) </w:t>
      </w:r>
      <w:r>
        <w:rPr>
          <w:rStyle w:val="s2"/>
        </w:rPr>
        <w:t>Equality Act 2010</w:t>
      </w:r>
      <w:r>
        <w:rPr>
          <w:rStyle w:val="s1"/>
        </w:rPr>
        <w:t>. Available at: https://www.legislation.gov.uk (Accessed: 24 March 2026).</w:t>
      </w:r>
    </w:p>
    <w:p w14:paraId="302046AE" w14:textId="649CE263" w:rsidR="000A78CB" w:rsidRDefault="000A78CB" w:rsidP="00411AAC">
      <w:pPr>
        <w:pStyle w:val="p1"/>
      </w:pPr>
      <w:r>
        <w:rPr>
          <w:rStyle w:val="s1"/>
        </w:rPr>
        <w:t xml:space="preserve">Gov.uk (2018) </w:t>
      </w:r>
      <w:r>
        <w:rPr>
          <w:rStyle w:val="s2"/>
        </w:rPr>
        <w:t>Data Protection Act 2018</w:t>
      </w:r>
      <w:r>
        <w:rPr>
          <w:rStyle w:val="s1"/>
        </w:rPr>
        <w:t>. Available at: https://www.legislation.gov.uk (Accessed: 24 March 2026).</w:t>
      </w:r>
    </w:p>
    <w:p w14:paraId="1668B345" w14:textId="71A5C9F3" w:rsidR="000A78CB" w:rsidRDefault="000A78CB" w:rsidP="00411AAC">
      <w:pPr>
        <w:pStyle w:val="p1"/>
      </w:pPr>
      <w:r>
        <w:rPr>
          <w:rStyle w:val="s1"/>
        </w:rPr>
        <w:t xml:space="preserve">Ha Dinh, T.T., Bonner, A., Clark, R., Ramsbotham, J. and Hines, S. (2016) ‘The effectiveness of the teach-back method’, </w:t>
      </w:r>
      <w:r>
        <w:rPr>
          <w:rStyle w:val="s2"/>
        </w:rPr>
        <w:t>JBI Database of Systematic Reviews and Implementation Reports</w:t>
      </w:r>
      <w:r>
        <w:rPr>
          <w:rStyle w:val="s1"/>
        </w:rPr>
        <w:t>, 14(1), pp. 210–247.</w:t>
      </w:r>
    </w:p>
    <w:p w14:paraId="4EA87B0E" w14:textId="00417541" w:rsidR="000A78CB" w:rsidRDefault="000A78CB" w:rsidP="00411AAC">
      <w:pPr>
        <w:pStyle w:val="p1"/>
      </w:pPr>
      <w:r>
        <w:rPr>
          <w:rStyle w:val="s1"/>
        </w:rPr>
        <w:t xml:space="preserve">Information Commissioner’s Office (ICO) (2023) </w:t>
      </w:r>
      <w:r>
        <w:rPr>
          <w:rStyle w:val="s2"/>
        </w:rPr>
        <w:t>Guide to data protection</w:t>
      </w:r>
      <w:r>
        <w:rPr>
          <w:rStyle w:val="s1"/>
        </w:rPr>
        <w:t>. Available at: https://ico.org.uk (Accessed: 24 March 2026).</w:t>
      </w:r>
    </w:p>
    <w:p w14:paraId="14BE0EF3" w14:textId="6A3BE965" w:rsidR="000A78CB" w:rsidRDefault="000A78CB" w:rsidP="00411AAC">
      <w:pPr>
        <w:pStyle w:val="p1"/>
      </w:pPr>
      <w:r>
        <w:rPr>
          <w:rStyle w:val="s1"/>
        </w:rPr>
        <w:t xml:space="preserve">Kitwood, T. (1997) </w:t>
      </w:r>
      <w:r>
        <w:rPr>
          <w:rStyle w:val="s2"/>
        </w:rPr>
        <w:t>Dementia reconsidered: The person comes first</w:t>
      </w:r>
      <w:r>
        <w:rPr>
          <w:rStyle w:val="s1"/>
        </w:rPr>
        <w:t>. Buckingham: Open University Press.</w:t>
      </w:r>
    </w:p>
    <w:p w14:paraId="53345565" w14:textId="1775BD09" w:rsidR="000A78CB" w:rsidRDefault="000A78CB" w:rsidP="00411AAC">
      <w:pPr>
        <w:pStyle w:val="p1"/>
      </w:pPr>
      <w:r>
        <w:rPr>
          <w:rStyle w:val="s1"/>
        </w:rPr>
        <w:t xml:space="preserve">NHS Digital (2022) </w:t>
      </w:r>
      <w:r>
        <w:rPr>
          <w:rStyle w:val="s2"/>
        </w:rPr>
        <w:t>Electronic health records overview</w:t>
      </w:r>
      <w:r>
        <w:rPr>
          <w:rStyle w:val="s1"/>
        </w:rPr>
        <w:t>. Available at: https://digital.nhs.uk (Accessed: 24 March 2026).</w:t>
      </w:r>
    </w:p>
    <w:p w14:paraId="7EB94E7F" w14:textId="1AE1AF01" w:rsidR="000A78CB" w:rsidRDefault="000A78CB" w:rsidP="00411AAC">
      <w:pPr>
        <w:pStyle w:val="p1"/>
      </w:pPr>
      <w:r>
        <w:rPr>
          <w:rStyle w:val="s1"/>
        </w:rPr>
        <w:t xml:space="preserve">NHS England (2019) </w:t>
      </w:r>
      <w:r>
        <w:rPr>
          <w:rStyle w:val="s2"/>
        </w:rPr>
        <w:t>Record keeping guidance</w:t>
      </w:r>
      <w:r>
        <w:rPr>
          <w:rStyle w:val="s1"/>
        </w:rPr>
        <w:t>. Available at: https://www.england.nhs.uk (Accessed: 24 March 2026).</w:t>
      </w:r>
    </w:p>
    <w:p w14:paraId="3554B48C" w14:textId="5F037DB2" w:rsidR="000A78CB" w:rsidRDefault="000A78CB" w:rsidP="00411AAC">
      <w:pPr>
        <w:pStyle w:val="p1"/>
      </w:pPr>
      <w:r>
        <w:rPr>
          <w:rStyle w:val="s1"/>
        </w:rPr>
        <w:t xml:space="preserve">NICE (2023) </w:t>
      </w:r>
      <w:r>
        <w:rPr>
          <w:rStyle w:val="s2"/>
        </w:rPr>
        <w:t>Stroke rehabilitation in adults</w:t>
      </w:r>
      <w:r>
        <w:rPr>
          <w:rStyle w:val="s1"/>
        </w:rPr>
        <w:t>. Available at: https://www.nice.org.uk (Accessed: 24 March 2026).</w:t>
      </w:r>
    </w:p>
    <w:p w14:paraId="30465D17" w14:textId="23FA08AE" w:rsidR="000A78CB" w:rsidRDefault="000A78CB" w:rsidP="00411AAC">
      <w:pPr>
        <w:pStyle w:val="p1"/>
      </w:pPr>
      <w:r>
        <w:rPr>
          <w:rStyle w:val="s1"/>
        </w:rPr>
        <w:t xml:space="preserve">Nursing and Midwifery Council (2018) </w:t>
      </w:r>
      <w:r>
        <w:rPr>
          <w:rStyle w:val="s2"/>
        </w:rPr>
        <w:t>The Code: Professional standards of practice and behaviour for nurses, midwives and nursing associates</w:t>
      </w:r>
      <w:r>
        <w:rPr>
          <w:rStyle w:val="s1"/>
        </w:rPr>
        <w:t>. London: NMC.</w:t>
      </w:r>
    </w:p>
    <w:p w14:paraId="14393E7E" w14:textId="4A2BCE15" w:rsidR="000A78CB" w:rsidRDefault="000A78CB" w:rsidP="00411AAC">
      <w:pPr>
        <w:pStyle w:val="p1"/>
      </w:pPr>
      <w:r>
        <w:rPr>
          <w:rStyle w:val="s1"/>
        </w:rPr>
        <w:t xml:space="preserve">Papadopoulos, I. (2006) </w:t>
      </w:r>
      <w:r>
        <w:rPr>
          <w:rStyle w:val="s2"/>
        </w:rPr>
        <w:t>Transcultural health and social care: Development of culturally competent practitioners</w:t>
      </w:r>
      <w:r>
        <w:rPr>
          <w:rStyle w:val="s1"/>
        </w:rPr>
        <w:t>. London: Elsevier.</w:t>
      </w:r>
    </w:p>
    <w:p w14:paraId="0ADE1E01" w14:textId="0D8DD16D" w:rsidR="000A78CB" w:rsidRDefault="000A78CB" w:rsidP="00411AAC">
      <w:pPr>
        <w:pStyle w:val="p1"/>
      </w:pPr>
      <w:r>
        <w:rPr>
          <w:rStyle w:val="s1"/>
        </w:rPr>
        <w:t xml:space="preserve">Reeves, S., Pelone, F., Harrison, R., Goldman, J. and Zwarenstein, M. (2017) </w:t>
      </w:r>
      <w:r>
        <w:rPr>
          <w:rStyle w:val="s2"/>
        </w:rPr>
        <w:t>Interprofessional teamwork for health and social care</w:t>
      </w:r>
      <w:r>
        <w:rPr>
          <w:rStyle w:val="s1"/>
        </w:rPr>
        <w:t>. Oxford: Wiley-Blackwell.</w:t>
      </w:r>
    </w:p>
    <w:p w14:paraId="3DD2EA31" w14:textId="14A7F541" w:rsidR="000A78CB" w:rsidRDefault="000A78CB" w:rsidP="00411AAC">
      <w:pPr>
        <w:pStyle w:val="p1"/>
      </w:pPr>
      <w:r>
        <w:rPr>
          <w:rStyle w:val="s1"/>
        </w:rPr>
        <w:t xml:space="preserve">Royal College of Speech and Language Therapists (RCSLT) (2021) </w:t>
      </w:r>
      <w:r>
        <w:rPr>
          <w:rStyle w:val="s2"/>
        </w:rPr>
        <w:t>Speech and language therapy guidance</w:t>
      </w:r>
      <w:r>
        <w:rPr>
          <w:rStyle w:val="s1"/>
        </w:rPr>
        <w:t>. Available at: https://www.rcslt.org (Accessed: 24 March 2026).</w:t>
      </w:r>
    </w:p>
    <w:p w14:paraId="473136DB" w14:textId="0A786A00" w:rsidR="000A78CB" w:rsidRDefault="000A78CB" w:rsidP="00411AAC">
      <w:pPr>
        <w:pStyle w:val="p1"/>
      </w:pPr>
      <w:r>
        <w:rPr>
          <w:rStyle w:val="s1"/>
        </w:rPr>
        <w:t xml:space="preserve">Shannon, C.E. and Weaver, W. (1949) </w:t>
      </w:r>
      <w:r>
        <w:rPr>
          <w:rStyle w:val="s2"/>
        </w:rPr>
        <w:t>The mathematical theory of communication</w:t>
      </w:r>
      <w:r>
        <w:rPr>
          <w:rStyle w:val="s1"/>
        </w:rPr>
        <w:t>. Illinois: University of Illinois Press.</w:t>
      </w:r>
    </w:p>
    <w:p w14:paraId="456BAD2D" w14:textId="48873BFF" w:rsidR="000A78CB" w:rsidRDefault="000A78CB" w:rsidP="00411AAC">
      <w:pPr>
        <w:pStyle w:val="p1"/>
      </w:pPr>
      <w:r>
        <w:rPr>
          <w:rStyle w:val="s1"/>
        </w:rPr>
        <w:t xml:space="preserve">Silverman, J., Kurtz, S. and Draper, J. (2013) </w:t>
      </w:r>
      <w:r>
        <w:rPr>
          <w:rStyle w:val="s2"/>
        </w:rPr>
        <w:t>Skills for communicating with patients</w:t>
      </w:r>
      <w:r>
        <w:rPr>
          <w:rStyle w:val="s1"/>
        </w:rPr>
        <w:t>. 3rd edn. London: Radcliffe Publishing.</w:t>
      </w:r>
    </w:p>
    <w:p w14:paraId="6DF1C581" w14:textId="4D15D8A0" w:rsidR="000A78CB" w:rsidRDefault="000A78CB" w:rsidP="00411AAC">
      <w:pPr>
        <w:pStyle w:val="p1"/>
      </w:pPr>
      <w:r>
        <w:rPr>
          <w:rStyle w:val="s1"/>
        </w:rPr>
        <w:t xml:space="preserve">Street, R.L., Makoul, G., Arora, N.K. and Epstein, R.M. (2009) ‘How does communication heal?’, </w:t>
      </w:r>
      <w:r>
        <w:rPr>
          <w:rStyle w:val="s2"/>
        </w:rPr>
        <w:t>Patient Education and Counseling</w:t>
      </w:r>
      <w:r>
        <w:rPr>
          <w:rStyle w:val="s1"/>
        </w:rPr>
        <w:t>, 74(3), pp. 295–301.</w:t>
      </w:r>
    </w:p>
    <w:p w14:paraId="09F9A23E" w14:textId="2E9B55A2" w:rsidR="000A78CB" w:rsidRDefault="000A78CB" w:rsidP="00411AAC">
      <w:pPr>
        <w:pStyle w:val="p1"/>
      </w:pPr>
      <w:r>
        <w:rPr>
          <w:rStyle w:val="s1"/>
        </w:rPr>
        <w:t xml:space="preserve">Stroke Association (2023) </w:t>
      </w:r>
      <w:r>
        <w:rPr>
          <w:rStyle w:val="s2"/>
        </w:rPr>
        <w:t>Effects of stroke</w:t>
      </w:r>
      <w:r>
        <w:rPr>
          <w:rStyle w:val="s1"/>
        </w:rPr>
        <w:t>. Available at: https://www.stroke.org.uk (Accessed: 24 March 2026).</w:t>
      </w:r>
    </w:p>
    <w:p w14:paraId="3701B688" w14:textId="7C85A86D" w:rsidR="000A78CB" w:rsidRDefault="000A78CB" w:rsidP="00411AAC">
      <w:pPr>
        <w:pStyle w:val="p1"/>
      </w:pPr>
      <w:r>
        <w:rPr>
          <w:rStyle w:val="s1"/>
        </w:rPr>
        <w:t xml:space="preserve">Waring, J. (2016) </w:t>
      </w:r>
      <w:r>
        <w:rPr>
          <w:rStyle w:val="s2"/>
        </w:rPr>
        <w:t>Healthcare quality and safety: A sociological perspective</w:t>
      </w:r>
      <w:r>
        <w:rPr>
          <w:rStyle w:val="s1"/>
        </w:rPr>
        <w:t>. Bristol: Policy Press.</w:t>
      </w:r>
    </w:p>
    <w:p w14:paraId="57C45CB1" w14:textId="5C65A74B" w:rsidR="000A78CB" w:rsidRDefault="000A78CB">
      <w:pPr>
        <w:pStyle w:val="p1"/>
      </w:pPr>
      <w:r>
        <w:rPr>
          <w:rStyle w:val="s1"/>
        </w:rPr>
        <w:t xml:space="preserve">World Health </w:t>
      </w:r>
      <w:r w:rsidR="00411AAC">
        <w:rPr>
          <w:rStyle w:val="s1"/>
        </w:rPr>
        <w:t>Organisation</w:t>
      </w:r>
      <w:r>
        <w:rPr>
          <w:rStyle w:val="s1"/>
        </w:rPr>
        <w:t xml:space="preserve"> (2010) </w:t>
      </w:r>
      <w:r>
        <w:rPr>
          <w:rStyle w:val="s2"/>
        </w:rPr>
        <w:t xml:space="preserve">Framework for action on </w:t>
      </w:r>
      <w:r w:rsidR="00C768CC">
        <w:rPr>
          <w:rStyle w:val="s2"/>
        </w:rPr>
        <w:t>inter-professional</w:t>
      </w:r>
      <w:r>
        <w:rPr>
          <w:rStyle w:val="s2"/>
        </w:rPr>
        <w:t xml:space="preserve"> education and collaborative practice</w:t>
      </w:r>
      <w:r>
        <w:rPr>
          <w:rStyle w:val="s1"/>
        </w:rPr>
        <w:t>. Geneva: WHO.</w:t>
      </w:r>
    </w:p>
    <w:p w14:paraId="2F71D21F" w14:textId="77777777" w:rsidR="00AF23F5" w:rsidRPr="005E2172" w:rsidRDefault="00AF23F5" w:rsidP="005E2172">
      <w:pPr>
        <w:spacing w:before="100" w:beforeAutospacing="1" w:after="100" w:afterAutospacing="1" w:line="240" w:lineRule="auto"/>
        <w:rPr>
          <w:rFonts w:ascii="Times New Roman" w:hAnsi="Times New Roman" w:cs="Times New Roman"/>
          <w:kern w:val="0"/>
          <w14:ligatures w14:val="none"/>
        </w:rPr>
      </w:pPr>
    </w:p>
    <w:p w14:paraId="1DABA337" w14:textId="77777777" w:rsidR="00EC6A0C" w:rsidRPr="005E2172" w:rsidRDefault="00EC6A0C">
      <w:pPr>
        <w:rPr>
          <w:color w:val="000000" w:themeColor="text1"/>
        </w:rPr>
      </w:pPr>
    </w:p>
    <w:sectPr w:rsidR="00EC6A0C" w:rsidRPr="005E21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FD33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526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A0C"/>
    <w:rsid w:val="00031652"/>
    <w:rsid w:val="000638CE"/>
    <w:rsid w:val="00083D12"/>
    <w:rsid w:val="000A78CB"/>
    <w:rsid w:val="001657D6"/>
    <w:rsid w:val="00237EA6"/>
    <w:rsid w:val="00242BC2"/>
    <w:rsid w:val="00276B08"/>
    <w:rsid w:val="002C15A2"/>
    <w:rsid w:val="003245F8"/>
    <w:rsid w:val="0036199C"/>
    <w:rsid w:val="00396409"/>
    <w:rsid w:val="003C3C6F"/>
    <w:rsid w:val="003F6321"/>
    <w:rsid w:val="00411AAC"/>
    <w:rsid w:val="004412C1"/>
    <w:rsid w:val="00465A88"/>
    <w:rsid w:val="004F74DB"/>
    <w:rsid w:val="00502CC3"/>
    <w:rsid w:val="00530E69"/>
    <w:rsid w:val="00551F1F"/>
    <w:rsid w:val="00554CCD"/>
    <w:rsid w:val="00555BA3"/>
    <w:rsid w:val="005636CA"/>
    <w:rsid w:val="005A0FD5"/>
    <w:rsid w:val="005B4E14"/>
    <w:rsid w:val="005B65B9"/>
    <w:rsid w:val="005E2172"/>
    <w:rsid w:val="00601E16"/>
    <w:rsid w:val="006148E9"/>
    <w:rsid w:val="006170CE"/>
    <w:rsid w:val="0067424F"/>
    <w:rsid w:val="0067557D"/>
    <w:rsid w:val="006C5139"/>
    <w:rsid w:val="006C58C4"/>
    <w:rsid w:val="00717F5C"/>
    <w:rsid w:val="00725090"/>
    <w:rsid w:val="007371AC"/>
    <w:rsid w:val="0074680F"/>
    <w:rsid w:val="007639AA"/>
    <w:rsid w:val="007B044D"/>
    <w:rsid w:val="007C3147"/>
    <w:rsid w:val="00814F0D"/>
    <w:rsid w:val="008655DE"/>
    <w:rsid w:val="008B39F5"/>
    <w:rsid w:val="008B776D"/>
    <w:rsid w:val="008D7A1D"/>
    <w:rsid w:val="008E2308"/>
    <w:rsid w:val="008F7240"/>
    <w:rsid w:val="0091422E"/>
    <w:rsid w:val="009F1697"/>
    <w:rsid w:val="009F3866"/>
    <w:rsid w:val="00A61FB0"/>
    <w:rsid w:val="00A65681"/>
    <w:rsid w:val="00AB096E"/>
    <w:rsid w:val="00AC05AC"/>
    <w:rsid w:val="00AC42FA"/>
    <w:rsid w:val="00AF23F5"/>
    <w:rsid w:val="00BF20C8"/>
    <w:rsid w:val="00BF7FF2"/>
    <w:rsid w:val="00C043BC"/>
    <w:rsid w:val="00C33FC7"/>
    <w:rsid w:val="00C464CD"/>
    <w:rsid w:val="00C768CC"/>
    <w:rsid w:val="00C77192"/>
    <w:rsid w:val="00CA7B99"/>
    <w:rsid w:val="00CC0279"/>
    <w:rsid w:val="00D05BA5"/>
    <w:rsid w:val="00D7106F"/>
    <w:rsid w:val="00D7182B"/>
    <w:rsid w:val="00DB6237"/>
    <w:rsid w:val="00E249CF"/>
    <w:rsid w:val="00E317DF"/>
    <w:rsid w:val="00E42A3D"/>
    <w:rsid w:val="00E55DBE"/>
    <w:rsid w:val="00E63EC8"/>
    <w:rsid w:val="00EA6FD2"/>
    <w:rsid w:val="00EB2863"/>
    <w:rsid w:val="00EC2C87"/>
    <w:rsid w:val="00EC6A0C"/>
    <w:rsid w:val="00EF0474"/>
    <w:rsid w:val="00F15178"/>
    <w:rsid w:val="00FD720C"/>
    <w:rsid w:val="00FF0474"/>
    <w:rsid w:val="00FF3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9F9CF6"/>
  <w15:chartTrackingRefBased/>
  <w15:docId w15:val="{D0166880-790D-C64D-A4FD-7EF85210D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6A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6A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6A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6A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6A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A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A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A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A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A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6A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6A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6A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6A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A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A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A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A0C"/>
    <w:rPr>
      <w:rFonts w:eastAsiaTheme="majorEastAsia" w:cstheme="majorBidi"/>
      <w:color w:val="272727" w:themeColor="text1" w:themeTint="D8"/>
    </w:rPr>
  </w:style>
  <w:style w:type="paragraph" w:styleId="Title">
    <w:name w:val="Title"/>
    <w:basedOn w:val="Normal"/>
    <w:next w:val="Normal"/>
    <w:link w:val="TitleChar"/>
    <w:uiPriority w:val="10"/>
    <w:qFormat/>
    <w:rsid w:val="00EC6A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A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A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A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A0C"/>
    <w:pPr>
      <w:spacing w:before="160"/>
      <w:jc w:val="center"/>
    </w:pPr>
    <w:rPr>
      <w:i/>
      <w:iCs/>
      <w:color w:val="404040" w:themeColor="text1" w:themeTint="BF"/>
    </w:rPr>
  </w:style>
  <w:style w:type="character" w:customStyle="1" w:styleId="QuoteChar">
    <w:name w:val="Quote Char"/>
    <w:basedOn w:val="DefaultParagraphFont"/>
    <w:link w:val="Quote"/>
    <w:uiPriority w:val="29"/>
    <w:rsid w:val="00EC6A0C"/>
    <w:rPr>
      <w:i/>
      <w:iCs/>
      <w:color w:val="404040" w:themeColor="text1" w:themeTint="BF"/>
    </w:rPr>
  </w:style>
  <w:style w:type="paragraph" w:styleId="ListParagraph">
    <w:name w:val="List Paragraph"/>
    <w:basedOn w:val="Normal"/>
    <w:uiPriority w:val="34"/>
    <w:qFormat/>
    <w:rsid w:val="00EC6A0C"/>
    <w:pPr>
      <w:ind w:left="720"/>
      <w:contextualSpacing/>
    </w:pPr>
  </w:style>
  <w:style w:type="character" w:styleId="IntenseEmphasis">
    <w:name w:val="Intense Emphasis"/>
    <w:basedOn w:val="DefaultParagraphFont"/>
    <w:uiPriority w:val="21"/>
    <w:qFormat/>
    <w:rsid w:val="00EC6A0C"/>
    <w:rPr>
      <w:i/>
      <w:iCs/>
      <w:color w:val="0F4761" w:themeColor="accent1" w:themeShade="BF"/>
    </w:rPr>
  </w:style>
  <w:style w:type="paragraph" w:styleId="IntenseQuote">
    <w:name w:val="Intense Quote"/>
    <w:basedOn w:val="Normal"/>
    <w:next w:val="Normal"/>
    <w:link w:val="IntenseQuoteChar"/>
    <w:uiPriority w:val="30"/>
    <w:qFormat/>
    <w:rsid w:val="00EC6A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A0C"/>
    <w:rPr>
      <w:i/>
      <w:iCs/>
      <w:color w:val="0F4761" w:themeColor="accent1" w:themeShade="BF"/>
    </w:rPr>
  </w:style>
  <w:style w:type="character" w:styleId="IntenseReference">
    <w:name w:val="Intense Reference"/>
    <w:basedOn w:val="DefaultParagraphFont"/>
    <w:uiPriority w:val="32"/>
    <w:qFormat/>
    <w:rsid w:val="00EC6A0C"/>
    <w:rPr>
      <w:b/>
      <w:bCs/>
      <w:smallCaps/>
      <w:color w:val="0F4761" w:themeColor="accent1" w:themeShade="BF"/>
      <w:spacing w:val="5"/>
    </w:rPr>
  </w:style>
  <w:style w:type="paragraph" w:customStyle="1" w:styleId="p1">
    <w:name w:val="p1"/>
    <w:basedOn w:val="Normal"/>
    <w:rsid w:val="005E2172"/>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5E2172"/>
  </w:style>
  <w:style w:type="character" w:customStyle="1" w:styleId="s2">
    <w:name w:val="s2"/>
    <w:basedOn w:val="DefaultParagraphFont"/>
    <w:rsid w:val="005E2172"/>
  </w:style>
  <w:style w:type="character" w:customStyle="1" w:styleId="s3">
    <w:name w:val="s3"/>
    <w:basedOn w:val="DefaultParagraphFont"/>
    <w:rsid w:val="005E2172"/>
  </w:style>
  <w:style w:type="paragraph" w:customStyle="1" w:styleId="p3">
    <w:name w:val="p3"/>
    <w:basedOn w:val="Normal"/>
    <w:rsid w:val="005E2172"/>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5E2172"/>
  </w:style>
  <w:style w:type="character" w:customStyle="1" w:styleId="apple-converted-space">
    <w:name w:val="apple-converted-space"/>
    <w:basedOn w:val="DefaultParagraphFont"/>
    <w:rsid w:val="005E2172"/>
  </w:style>
  <w:style w:type="character" w:customStyle="1" w:styleId="s5">
    <w:name w:val="s5"/>
    <w:basedOn w:val="DefaultParagraphFont"/>
    <w:rsid w:val="005E2172"/>
  </w:style>
  <w:style w:type="paragraph" w:customStyle="1" w:styleId="p2">
    <w:name w:val="p2"/>
    <w:basedOn w:val="Normal"/>
    <w:rsid w:val="006148E9"/>
    <w:pPr>
      <w:spacing w:before="100" w:beforeAutospacing="1" w:after="100" w:afterAutospacing="1" w:line="240" w:lineRule="auto"/>
    </w:pPr>
    <w:rPr>
      <w:rFonts w:ascii="Times New Roman" w:hAnsi="Times New Roman" w:cs="Times New Roman"/>
      <w:kern w:val="0"/>
      <w14:ligatures w14:val="none"/>
    </w:rPr>
  </w:style>
  <w:style w:type="character" w:customStyle="1" w:styleId="bumpedfont15">
    <w:name w:val="bumpedfont15"/>
    <w:basedOn w:val="DefaultParagraphFont"/>
    <w:rsid w:val="00AF23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2218</Words>
  <Characters>12649</Characters>
  <Application>Microsoft Office Word</Application>
  <DocSecurity>0</DocSecurity>
  <Lines>105</Lines>
  <Paragraphs>29</Paragraphs>
  <ScaleCrop>false</ScaleCrop>
  <Company/>
  <LinksUpToDate>false</LinksUpToDate>
  <CharactersWithSpaces>14838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Abibat Laura Bamidele Bamidele (2513925)</dc:creator>
  <cp:keywords/>
  <dc:description/>
  <cp:lastModifiedBy>Abibat Laura Bamidele Bamidele (2513925)</cp:lastModifiedBy>
  <cp:revision>2</cp:revision>
  <dcterms:created xsi:type="dcterms:W3CDTF">2026-03-24T02:47:00Z</dcterms:created>
  <dcterms:modified xsi:type="dcterms:W3CDTF">2026-03-24T02:47:00Z</dcterms:modified>
</cp:coreProperties>
</file>