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C40AC7" w14:textId="77777777" w:rsidR="00653FC8" w:rsidRDefault="00653FC8" w:rsidP="00653FC8">
      <w:pPr>
        <w:spacing w:before="600"/>
      </w:pPr>
    </w:p>
    <w:p w14:paraId="1EDE8189" w14:textId="77777777" w:rsidR="00653FC8" w:rsidRDefault="00653FC8" w:rsidP="00653FC8">
      <w:pPr>
        <w:spacing w:before="80" w:after="80"/>
        <w:jc w:val="center"/>
      </w:pPr>
      <w:r>
        <w:rPr>
          <w:rFonts w:ascii="Arial" w:eastAsia="Arial" w:hAnsi="Arial" w:cs="Arial"/>
          <w:b/>
          <w:bCs/>
          <w:color w:val="6B7280"/>
          <w:sz w:val="22"/>
          <w:szCs w:val="22"/>
        </w:rPr>
        <w:t>ACFA7004 – Research Methods and Professional Development</w:t>
      </w:r>
    </w:p>
    <w:p w14:paraId="591C2761" w14:textId="77777777" w:rsidR="00653FC8" w:rsidRDefault="00653FC8" w:rsidP="00653FC8">
      <w:pPr>
        <w:spacing w:before="80" w:after="80"/>
        <w:jc w:val="center"/>
      </w:pPr>
      <w:r>
        <w:rPr>
          <w:rFonts w:ascii="Arial" w:eastAsia="Arial" w:hAnsi="Arial" w:cs="Arial"/>
          <w:b/>
          <w:bCs/>
          <w:color w:val="6B7280"/>
          <w:sz w:val="22"/>
          <w:szCs w:val="22"/>
        </w:rPr>
        <w:t>MSc Sustainable Construction</w:t>
      </w:r>
    </w:p>
    <w:p w14:paraId="281FA070" w14:textId="77777777" w:rsidR="00653FC8" w:rsidRDefault="00653FC8" w:rsidP="00653FC8">
      <w:pPr>
        <w:spacing w:before="200"/>
      </w:pPr>
    </w:p>
    <w:p w14:paraId="605AA740" w14:textId="77777777" w:rsidR="00653FC8" w:rsidRDefault="00653FC8" w:rsidP="00653FC8">
      <w:pPr>
        <w:pBdr>
          <w:top w:val="single" w:sz="12" w:space="0" w:color="0D7377"/>
          <w:bottom w:val="single" w:sz="12" w:space="0" w:color="0D7377"/>
        </w:pBdr>
        <w:spacing w:before="200" w:after="200"/>
        <w:jc w:val="center"/>
      </w:pPr>
      <w:r>
        <w:rPr>
          <w:rFonts w:ascii="Arial" w:eastAsia="Arial" w:hAnsi="Arial" w:cs="Arial"/>
          <w:b/>
          <w:bCs/>
          <w:color w:val="0F3460"/>
          <w:sz w:val="40"/>
          <w:szCs w:val="40"/>
        </w:rPr>
        <w:t>RESEARCH PROPOSAL</w:t>
      </w:r>
    </w:p>
    <w:p w14:paraId="10CF35CB" w14:textId="77777777" w:rsidR="00653FC8" w:rsidRDefault="00653FC8" w:rsidP="00653FC8">
      <w:pPr>
        <w:spacing w:before="120"/>
      </w:pPr>
    </w:p>
    <w:p w14:paraId="784F63AA" w14:textId="77777777" w:rsidR="00653FC8" w:rsidRDefault="00653FC8" w:rsidP="00653FC8">
      <w:pPr>
        <w:spacing w:before="80" w:after="80"/>
        <w:jc w:val="center"/>
      </w:pPr>
      <w:r>
        <w:rPr>
          <w:rFonts w:ascii="Arial" w:eastAsia="Arial" w:hAnsi="Arial" w:cs="Arial"/>
          <w:b/>
          <w:bCs/>
          <w:color w:val="8B2500"/>
          <w:sz w:val="28"/>
          <w:szCs w:val="28"/>
        </w:rPr>
        <w:t>Use of Cockle Shell Powder and Reclaimed Brick Powder as Sustainable Cement Replacements: A Circular Economy Solution for the UK Construction Sector</w:t>
      </w:r>
    </w:p>
    <w:p w14:paraId="18AF766F" w14:textId="77777777" w:rsidR="00653FC8" w:rsidRDefault="00653FC8" w:rsidP="00653FC8">
      <w:pPr>
        <w:spacing w:before="300"/>
      </w:pPr>
    </w:p>
    <w:tbl>
      <w:tblPr>
        <w:tblW w:w="72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4800"/>
      </w:tblGrid>
      <w:tr w:rsidR="00653FC8" w14:paraId="755F7F34" w14:textId="77777777" w:rsidTr="00811385">
        <w:trPr>
          <w:jc w:val="center"/>
        </w:trPr>
        <w:tc>
          <w:tcPr>
            <w:tcW w:w="2400" w:type="dxa"/>
            <w:tcBorders>
              <w:top w:val="single" w:sz="4" w:space="0" w:color="E5E7EB"/>
              <w:left w:val="single" w:sz="4" w:space="0" w:color="E5E7EB"/>
              <w:bottom w:val="single" w:sz="4" w:space="0" w:color="E5E7EB"/>
              <w:right w:val="single" w:sz="4" w:space="0" w:color="E5E7EB"/>
            </w:tcBorders>
            <w:shd w:val="clear" w:color="auto" w:fill="F3F4F6"/>
            <w:tcMar>
              <w:top w:w="80" w:type="dxa"/>
              <w:left w:w="140" w:type="dxa"/>
              <w:bottom w:w="80" w:type="dxa"/>
              <w:right w:w="120" w:type="dxa"/>
            </w:tcMar>
          </w:tcPr>
          <w:p w14:paraId="1E5F359A" w14:textId="77777777" w:rsidR="00653FC8" w:rsidRDefault="00653FC8" w:rsidP="00811385">
            <w:r>
              <w:rPr>
                <w:rFonts w:ascii="Arial" w:eastAsia="Arial" w:hAnsi="Arial" w:cs="Arial"/>
                <w:b/>
                <w:bCs/>
                <w:color w:val="0F3460"/>
                <w:sz w:val="22"/>
                <w:szCs w:val="22"/>
              </w:rPr>
              <w:t>Module Code:</w:t>
            </w:r>
          </w:p>
        </w:tc>
        <w:tc>
          <w:tcPr>
            <w:tcW w:w="4800" w:type="dxa"/>
            <w:tcBorders>
              <w:top w:val="single" w:sz="4" w:space="0" w:color="E5E7EB"/>
              <w:left w:val="single" w:sz="4" w:space="0" w:color="E5E7EB"/>
              <w:bottom w:val="single" w:sz="4" w:space="0" w:color="E5E7EB"/>
              <w:right w:val="single" w:sz="4" w:space="0" w:color="E5E7EB"/>
            </w:tcBorders>
            <w:tcMar>
              <w:top w:w="80" w:type="dxa"/>
              <w:left w:w="140" w:type="dxa"/>
              <w:bottom w:w="80" w:type="dxa"/>
              <w:right w:w="120" w:type="dxa"/>
            </w:tcMar>
          </w:tcPr>
          <w:p w14:paraId="45980E0A" w14:textId="77777777" w:rsidR="00653FC8" w:rsidRDefault="00653FC8" w:rsidP="00811385">
            <w:r>
              <w:rPr>
                <w:sz w:val="22"/>
                <w:szCs w:val="22"/>
              </w:rPr>
              <w:t>ACFA7004</w:t>
            </w:r>
          </w:p>
        </w:tc>
      </w:tr>
      <w:tr w:rsidR="00653FC8" w14:paraId="7175BB9E" w14:textId="77777777" w:rsidTr="00811385">
        <w:trPr>
          <w:jc w:val="center"/>
        </w:trPr>
        <w:tc>
          <w:tcPr>
            <w:tcW w:w="2400" w:type="dxa"/>
            <w:tcBorders>
              <w:top w:val="single" w:sz="4" w:space="0" w:color="E5E7EB"/>
              <w:left w:val="single" w:sz="4" w:space="0" w:color="E5E7EB"/>
              <w:bottom w:val="single" w:sz="4" w:space="0" w:color="E5E7EB"/>
              <w:right w:val="single" w:sz="4" w:space="0" w:color="E5E7EB"/>
            </w:tcBorders>
            <w:shd w:val="clear" w:color="auto" w:fill="F3F4F6"/>
            <w:tcMar>
              <w:top w:w="80" w:type="dxa"/>
              <w:left w:w="140" w:type="dxa"/>
              <w:bottom w:w="80" w:type="dxa"/>
              <w:right w:w="120" w:type="dxa"/>
            </w:tcMar>
          </w:tcPr>
          <w:p w14:paraId="6B9FEB78" w14:textId="77777777" w:rsidR="00653FC8" w:rsidRDefault="00653FC8" w:rsidP="00811385">
            <w:r>
              <w:rPr>
                <w:rFonts w:ascii="Arial" w:eastAsia="Arial" w:hAnsi="Arial" w:cs="Arial"/>
                <w:b/>
                <w:bCs/>
                <w:color w:val="0F3460"/>
                <w:sz w:val="22"/>
                <w:szCs w:val="22"/>
              </w:rPr>
              <w:t>Student Name:</w:t>
            </w:r>
          </w:p>
        </w:tc>
        <w:tc>
          <w:tcPr>
            <w:tcW w:w="4800" w:type="dxa"/>
            <w:tcBorders>
              <w:top w:val="single" w:sz="4" w:space="0" w:color="E5E7EB"/>
              <w:left w:val="single" w:sz="4" w:space="0" w:color="E5E7EB"/>
              <w:bottom w:val="single" w:sz="4" w:space="0" w:color="E5E7EB"/>
              <w:right w:val="single" w:sz="4" w:space="0" w:color="E5E7EB"/>
            </w:tcBorders>
            <w:tcMar>
              <w:top w:w="80" w:type="dxa"/>
              <w:left w:w="140" w:type="dxa"/>
              <w:bottom w:w="80" w:type="dxa"/>
              <w:right w:w="120" w:type="dxa"/>
            </w:tcMar>
          </w:tcPr>
          <w:p w14:paraId="711944EA" w14:textId="77777777" w:rsidR="00653FC8" w:rsidRDefault="00653FC8" w:rsidP="00811385">
            <w:r>
              <w:t>Nikhil</w:t>
            </w:r>
          </w:p>
        </w:tc>
      </w:tr>
      <w:tr w:rsidR="00653FC8" w14:paraId="6B2F7576" w14:textId="77777777" w:rsidTr="00811385">
        <w:trPr>
          <w:jc w:val="center"/>
        </w:trPr>
        <w:tc>
          <w:tcPr>
            <w:tcW w:w="2400" w:type="dxa"/>
            <w:tcBorders>
              <w:top w:val="single" w:sz="4" w:space="0" w:color="E5E7EB"/>
              <w:left w:val="single" w:sz="4" w:space="0" w:color="E5E7EB"/>
              <w:bottom w:val="single" w:sz="4" w:space="0" w:color="E5E7EB"/>
              <w:right w:val="single" w:sz="4" w:space="0" w:color="E5E7EB"/>
            </w:tcBorders>
            <w:shd w:val="clear" w:color="auto" w:fill="F3F4F6"/>
            <w:tcMar>
              <w:top w:w="80" w:type="dxa"/>
              <w:left w:w="140" w:type="dxa"/>
              <w:bottom w:w="80" w:type="dxa"/>
              <w:right w:w="120" w:type="dxa"/>
            </w:tcMar>
          </w:tcPr>
          <w:p w14:paraId="4CAB8AEB" w14:textId="77777777" w:rsidR="00653FC8" w:rsidRDefault="00653FC8" w:rsidP="00811385">
            <w:r>
              <w:rPr>
                <w:rFonts w:ascii="Arial" w:eastAsia="Arial" w:hAnsi="Arial" w:cs="Arial"/>
                <w:b/>
                <w:bCs/>
                <w:color w:val="0F3460"/>
                <w:sz w:val="22"/>
                <w:szCs w:val="22"/>
              </w:rPr>
              <w:t>Student ID:</w:t>
            </w:r>
          </w:p>
        </w:tc>
        <w:tc>
          <w:tcPr>
            <w:tcW w:w="4800" w:type="dxa"/>
            <w:tcBorders>
              <w:top w:val="single" w:sz="4" w:space="0" w:color="E5E7EB"/>
              <w:left w:val="single" w:sz="4" w:space="0" w:color="E5E7EB"/>
              <w:bottom w:val="single" w:sz="4" w:space="0" w:color="E5E7EB"/>
              <w:right w:val="single" w:sz="4" w:space="0" w:color="E5E7EB"/>
            </w:tcBorders>
            <w:tcMar>
              <w:top w:w="80" w:type="dxa"/>
              <w:left w:w="140" w:type="dxa"/>
              <w:bottom w:w="80" w:type="dxa"/>
              <w:right w:w="120" w:type="dxa"/>
            </w:tcMar>
          </w:tcPr>
          <w:p w14:paraId="6BFD3036" w14:textId="77777777" w:rsidR="00653FC8" w:rsidRDefault="00653FC8" w:rsidP="00811385">
            <w:r>
              <w:t>2511003</w:t>
            </w:r>
          </w:p>
        </w:tc>
      </w:tr>
      <w:tr w:rsidR="00653FC8" w14:paraId="0ED3E4AE" w14:textId="77777777" w:rsidTr="00811385">
        <w:trPr>
          <w:jc w:val="center"/>
        </w:trPr>
        <w:tc>
          <w:tcPr>
            <w:tcW w:w="2400" w:type="dxa"/>
            <w:tcBorders>
              <w:top w:val="single" w:sz="4" w:space="0" w:color="E5E7EB"/>
              <w:left w:val="single" w:sz="4" w:space="0" w:color="E5E7EB"/>
              <w:bottom w:val="single" w:sz="4" w:space="0" w:color="E5E7EB"/>
              <w:right w:val="single" w:sz="4" w:space="0" w:color="E5E7EB"/>
            </w:tcBorders>
            <w:shd w:val="clear" w:color="auto" w:fill="F3F4F6"/>
            <w:tcMar>
              <w:top w:w="80" w:type="dxa"/>
              <w:left w:w="140" w:type="dxa"/>
              <w:bottom w:w="80" w:type="dxa"/>
              <w:right w:w="120" w:type="dxa"/>
            </w:tcMar>
          </w:tcPr>
          <w:p w14:paraId="16BA14CC" w14:textId="77777777" w:rsidR="00653FC8" w:rsidRDefault="00653FC8" w:rsidP="00811385">
            <w:r>
              <w:rPr>
                <w:rFonts w:ascii="Arial" w:eastAsia="Arial" w:hAnsi="Arial" w:cs="Arial"/>
                <w:b/>
                <w:bCs/>
                <w:color w:val="0F3460"/>
                <w:sz w:val="22"/>
                <w:szCs w:val="22"/>
              </w:rPr>
              <w:t>Programme:</w:t>
            </w:r>
          </w:p>
        </w:tc>
        <w:tc>
          <w:tcPr>
            <w:tcW w:w="4800" w:type="dxa"/>
            <w:tcBorders>
              <w:top w:val="single" w:sz="4" w:space="0" w:color="E5E7EB"/>
              <w:left w:val="single" w:sz="4" w:space="0" w:color="E5E7EB"/>
              <w:bottom w:val="single" w:sz="4" w:space="0" w:color="E5E7EB"/>
              <w:right w:val="single" w:sz="4" w:space="0" w:color="E5E7EB"/>
            </w:tcBorders>
            <w:tcMar>
              <w:top w:w="80" w:type="dxa"/>
              <w:left w:w="140" w:type="dxa"/>
              <w:bottom w:w="80" w:type="dxa"/>
              <w:right w:w="120" w:type="dxa"/>
            </w:tcMar>
          </w:tcPr>
          <w:p w14:paraId="7BBCA35B" w14:textId="77777777" w:rsidR="00653FC8" w:rsidRDefault="00653FC8" w:rsidP="00811385">
            <w:r>
              <w:rPr>
                <w:sz w:val="22"/>
                <w:szCs w:val="22"/>
              </w:rPr>
              <w:t>MSc Sustainable Construction</w:t>
            </w:r>
          </w:p>
        </w:tc>
      </w:tr>
      <w:tr w:rsidR="00653FC8" w14:paraId="530A3706" w14:textId="77777777" w:rsidTr="00811385">
        <w:trPr>
          <w:jc w:val="center"/>
        </w:trPr>
        <w:tc>
          <w:tcPr>
            <w:tcW w:w="2400" w:type="dxa"/>
            <w:tcBorders>
              <w:top w:val="single" w:sz="4" w:space="0" w:color="E5E7EB"/>
              <w:left w:val="single" w:sz="4" w:space="0" w:color="E5E7EB"/>
              <w:bottom w:val="single" w:sz="4" w:space="0" w:color="E5E7EB"/>
              <w:right w:val="single" w:sz="4" w:space="0" w:color="E5E7EB"/>
            </w:tcBorders>
            <w:shd w:val="clear" w:color="auto" w:fill="F3F4F6"/>
            <w:tcMar>
              <w:top w:w="80" w:type="dxa"/>
              <w:left w:w="140" w:type="dxa"/>
              <w:bottom w:w="80" w:type="dxa"/>
              <w:right w:w="120" w:type="dxa"/>
            </w:tcMar>
          </w:tcPr>
          <w:p w14:paraId="71F89C2F" w14:textId="77777777" w:rsidR="00653FC8" w:rsidRDefault="00653FC8" w:rsidP="00811385">
            <w:r>
              <w:rPr>
                <w:rFonts w:ascii="Arial" w:eastAsia="Arial" w:hAnsi="Arial" w:cs="Arial"/>
                <w:b/>
                <w:bCs/>
                <w:color w:val="0F3460"/>
                <w:sz w:val="22"/>
                <w:szCs w:val="22"/>
              </w:rPr>
              <w:t>Lecturer:</w:t>
            </w:r>
          </w:p>
        </w:tc>
        <w:tc>
          <w:tcPr>
            <w:tcW w:w="4800" w:type="dxa"/>
            <w:tcBorders>
              <w:top w:val="single" w:sz="4" w:space="0" w:color="E5E7EB"/>
              <w:left w:val="single" w:sz="4" w:space="0" w:color="E5E7EB"/>
              <w:bottom w:val="single" w:sz="4" w:space="0" w:color="E5E7EB"/>
              <w:right w:val="single" w:sz="4" w:space="0" w:color="E5E7EB"/>
            </w:tcBorders>
            <w:tcMar>
              <w:top w:w="80" w:type="dxa"/>
              <w:left w:w="140" w:type="dxa"/>
              <w:bottom w:w="80" w:type="dxa"/>
              <w:right w:w="120" w:type="dxa"/>
            </w:tcMar>
          </w:tcPr>
          <w:p w14:paraId="698CA105" w14:textId="77777777" w:rsidR="00653FC8" w:rsidRDefault="00653FC8" w:rsidP="00811385">
            <w:r>
              <w:rPr>
                <w:sz w:val="22"/>
                <w:szCs w:val="22"/>
              </w:rPr>
              <w:t>Dr Deborah Hughes</w:t>
            </w:r>
          </w:p>
        </w:tc>
      </w:tr>
      <w:tr w:rsidR="00653FC8" w14:paraId="74524479" w14:textId="77777777" w:rsidTr="00811385">
        <w:trPr>
          <w:jc w:val="center"/>
        </w:trPr>
        <w:tc>
          <w:tcPr>
            <w:tcW w:w="2400" w:type="dxa"/>
            <w:tcBorders>
              <w:top w:val="single" w:sz="4" w:space="0" w:color="E5E7EB"/>
              <w:left w:val="single" w:sz="4" w:space="0" w:color="E5E7EB"/>
              <w:bottom w:val="single" w:sz="4" w:space="0" w:color="E5E7EB"/>
              <w:right w:val="single" w:sz="4" w:space="0" w:color="E5E7EB"/>
            </w:tcBorders>
            <w:shd w:val="clear" w:color="auto" w:fill="F3F4F6"/>
            <w:tcMar>
              <w:top w:w="80" w:type="dxa"/>
              <w:left w:w="140" w:type="dxa"/>
              <w:bottom w:w="80" w:type="dxa"/>
              <w:right w:w="120" w:type="dxa"/>
            </w:tcMar>
          </w:tcPr>
          <w:p w14:paraId="49EDC4D6" w14:textId="77777777" w:rsidR="00653FC8" w:rsidRDefault="00653FC8" w:rsidP="00811385">
            <w:r>
              <w:rPr>
                <w:rFonts w:ascii="Arial" w:eastAsia="Arial" w:hAnsi="Arial" w:cs="Arial"/>
                <w:b/>
                <w:bCs/>
                <w:color w:val="0F3460"/>
                <w:sz w:val="22"/>
                <w:szCs w:val="22"/>
              </w:rPr>
              <w:t>Word Count:</w:t>
            </w:r>
          </w:p>
        </w:tc>
        <w:tc>
          <w:tcPr>
            <w:tcW w:w="4800" w:type="dxa"/>
            <w:tcBorders>
              <w:top w:val="single" w:sz="4" w:space="0" w:color="E5E7EB"/>
              <w:left w:val="single" w:sz="4" w:space="0" w:color="E5E7EB"/>
              <w:bottom w:val="single" w:sz="4" w:space="0" w:color="E5E7EB"/>
              <w:right w:val="single" w:sz="4" w:space="0" w:color="E5E7EB"/>
            </w:tcBorders>
            <w:tcMar>
              <w:top w:w="80" w:type="dxa"/>
              <w:left w:w="140" w:type="dxa"/>
              <w:bottom w:w="80" w:type="dxa"/>
              <w:right w:w="120" w:type="dxa"/>
            </w:tcMar>
          </w:tcPr>
          <w:p w14:paraId="41A50F8C" w14:textId="77777777" w:rsidR="00653FC8" w:rsidRDefault="00653FC8" w:rsidP="00811385">
            <w:r>
              <w:rPr>
                <w:sz w:val="22"/>
                <w:szCs w:val="22"/>
              </w:rPr>
              <w:t>Approximately 4,000 words</w:t>
            </w:r>
          </w:p>
        </w:tc>
      </w:tr>
      <w:tr w:rsidR="00653FC8" w14:paraId="5286E13F" w14:textId="77777777" w:rsidTr="00811385">
        <w:trPr>
          <w:jc w:val="center"/>
        </w:trPr>
        <w:tc>
          <w:tcPr>
            <w:tcW w:w="2400" w:type="dxa"/>
            <w:tcBorders>
              <w:top w:val="single" w:sz="4" w:space="0" w:color="E5E7EB"/>
              <w:left w:val="single" w:sz="4" w:space="0" w:color="E5E7EB"/>
              <w:bottom w:val="single" w:sz="4" w:space="0" w:color="E5E7EB"/>
              <w:right w:val="single" w:sz="4" w:space="0" w:color="E5E7EB"/>
            </w:tcBorders>
            <w:shd w:val="clear" w:color="auto" w:fill="F3F4F6"/>
            <w:tcMar>
              <w:top w:w="80" w:type="dxa"/>
              <w:left w:w="140" w:type="dxa"/>
              <w:bottom w:w="80" w:type="dxa"/>
              <w:right w:w="120" w:type="dxa"/>
            </w:tcMar>
          </w:tcPr>
          <w:p w14:paraId="1319D543" w14:textId="77777777" w:rsidR="00653FC8" w:rsidRDefault="00653FC8" w:rsidP="00811385">
            <w:r>
              <w:rPr>
                <w:rFonts w:ascii="Arial" w:eastAsia="Arial" w:hAnsi="Arial" w:cs="Arial"/>
                <w:b/>
                <w:bCs/>
                <w:color w:val="0F3460"/>
                <w:sz w:val="22"/>
                <w:szCs w:val="22"/>
              </w:rPr>
              <w:t>Submission:</w:t>
            </w:r>
          </w:p>
        </w:tc>
        <w:tc>
          <w:tcPr>
            <w:tcW w:w="4800" w:type="dxa"/>
            <w:tcBorders>
              <w:top w:val="single" w:sz="4" w:space="0" w:color="E5E7EB"/>
              <w:left w:val="single" w:sz="4" w:space="0" w:color="E5E7EB"/>
              <w:bottom w:val="single" w:sz="4" w:space="0" w:color="E5E7EB"/>
              <w:right w:val="single" w:sz="4" w:space="0" w:color="E5E7EB"/>
            </w:tcBorders>
            <w:tcMar>
              <w:top w:w="80" w:type="dxa"/>
              <w:left w:w="140" w:type="dxa"/>
              <w:bottom w:w="80" w:type="dxa"/>
              <w:right w:w="120" w:type="dxa"/>
            </w:tcMar>
          </w:tcPr>
          <w:p w14:paraId="61173631" w14:textId="77777777" w:rsidR="00653FC8" w:rsidRDefault="00653FC8" w:rsidP="00811385">
            <w:r>
              <w:rPr>
                <w:sz w:val="22"/>
                <w:szCs w:val="22"/>
              </w:rPr>
              <w:t>As per module schedule</w:t>
            </w:r>
          </w:p>
        </w:tc>
      </w:tr>
    </w:tbl>
    <w:p w14:paraId="1B7C19DC" w14:textId="77777777" w:rsidR="00653FC8" w:rsidRDefault="00653FC8" w:rsidP="00653FC8">
      <w:pPr>
        <w:spacing w:before="600"/>
      </w:pPr>
    </w:p>
    <w:p w14:paraId="02F8DCF3" w14:textId="77777777" w:rsidR="00653FC8" w:rsidRDefault="00653FC8" w:rsidP="00653FC8">
      <w:r>
        <w:br w:type="page"/>
      </w:r>
    </w:p>
    <w:p w14:paraId="20410975" w14:textId="77777777" w:rsidR="00653FC8" w:rsidRDefault="00653FC8" w:rsidP="00653FC8">
      <w:pPr>
        <w:pBdr>
          <w:bottom w:val="single" w:sz="4" w:space="0" w:color="0D7377"/>
        </w:pBdr>
        <w:spacing w:after="160"/>
      </w:pPr>
      <w:r>
        <w:rPr>
          <w:rFonts w:ascii="Arial" w:eastAsia="Arial" w:hAnsi="Arial" w:cs="Arial"/>
          <w:b/>
          <w:bCs/>
          <w:color w:val="0F3460"/>
          <w:sz w:val="26"/>
          <w:szCs w:val="26"/>
        </w:rPr>
        <w:lastRenderedPageBreak/>
        <w:t>ABSTRACT</w:t>
      </w:r>
    </w:p>
    <w:p w14:paraId="7A14834D" w14:textId="77777777" w:rsidR="00653FC8" w:rsidRPr="000408EC" w:rsidRDefault="00653FC8" w:rsidP="00653FC8">
      <w:pPr>
        <w:spacing w:before="200" w:line="360" w:lineRule="auto"/>
        <w:jc w:val="both"/>
      </w:pPr>
      <w:r w:rsidRPr="000408EC">
        <w:t>The U.K. construction industry faces an environmentally double-pronged challenge from the fact that around 7-8% of all global CO₂ emissions come from the manufacture of cement (IEA, 2019), and each year millions of tons of demolition waste and thousands of tons of by-products from the shellfish processing industry are sent to landfills (Carss et al., 2020; WRAP, 2019). This proposed research will examine how the synergistic combination of Reclaimed Brick Powder (RBP) and Cockle Shell Powder (CSP) can be used to replace some or all of the cement required to produce structural concrete in the context of UK construction. This study builds on prior literature reporting CaCO₃ contents exceeding 90% (Mohamad et al., 2021) and on the demonstrated pozzolanic activity of RBP when finely ground (Lavat et al., 2009). A multi-step experimental program will be undertaken to determine the optimal CSP-RBP blend ratio, compare mechanical properties at ages 7, 28, and 90 days, and investigate long-term durability under representative environmental exposure conditions relevant to UK construction. This project aims to provide novel experimental evidence on the simultaneous application of two types of WDCMs (waste-derived cementitious materials) that have previously been studied separately but never together. It also expects to deliver practical mix design information that supports the UK construction industry's achievement of its Net-Zero 2025 goals.</w:t>
      </w:r>
    </w:p>
    <w:p w14:paraId="7FFE21D9" w14:textId="77777777" w:rsidR="00653FC8" w:rsidRDefault="00653FC8" w:rsidP="00653FC8">
      <w:pPr>
        <w:spacing w:before="200" w:line="360" w:lineRule="auto"/>
        <w:jc w:val="both"/>
      </w:pPr>
    </w:p>
    <w:p w14:paraId="53656BDB" w14:textId="77777777" w:rsidR="00653FC8" w:rsidRDefault="00653FC8" w:rsidP="00653FC8">
      <w:pPr>
        <w:spacing w:line="360" w:lineRule="auto"/>
        <w:jc w:val="both"/>
      </w:pPr>
      <w:r>
        <w:br w:type="page"/>
      </w:r>
    </w:p>
    <w:p w14:paraId="74E78B4B" w14:textId="77777777" w:rsidR="00653FC8" w:rsidRDefault="00653FC8" w:rsidP="00653FC8">
      <w:pPr>
        <w:pStyle w:val="Heading1"/>
        <w:pBdr>
          <w:bottom w:val="single" w:sz="4" w:space="0" w:color="0D7377"/>
        </w:pBdr>
      </w:pPr>
      <w:r>
        <w:lastRenderedPageBreak/>
        <w:t>1. Introduction</w:t>
      </w:r>
    </w:p>
    <w:p w14:paraId="71D7BB2C" w14:textId="77777777" w:rsidR="00653FC8" w:rsidRDefault="00653FC8" w:rsidP="00653FC8">
      <w:pPr>
        <w:pStyle w:val="Heading2"/>
      </w:pPr>
      <w:r>
        <w:t>1.1 Background and Context</w:t>
      </w:r>
    </w:p>
    <w:p w14:paraId="7C347BCB" w14:textId="77777777" w:rsidR="00653FC8" w:rsidRPr="000408EC" w:rsidRDefault="00653FC8" w:rsidP="00653FC8">
      <w:pPr>
        <w:spacing w:before="100" w:after="100" w:line="360" w:lineRule="auto"/>
        <w:jc w:val="both"/>
      </w:pPr>
      <w:r w:rsidRPr="000408EC">
        <w:t>The global construction industry is currently at an inflection point. Globally, over 25 billion tons of concrete are produced every year (Afroughsabet et al., 2019), making it the world’s most widely used manufactured material. A significant amount of this concrete is made from OPC. The production process for OPC requires large amounts of limestone, clay, and energy, resulting in the release of around 2.2 Gt of CO₂ into the atmosphere each year – equivalent to 7-8% of all greenhouse gas emissions humans generate globally (Mohamad et al., 2021; IEA, 2019). With both the UK government and various UK industry bodies having signed up to the UN Paris Agreement and national net-zero targets (MPA, 2020; UK Government, 2021), decarbonization has become a high-priority objective within the construction industry.</w:t>
      </w:r>
      <w:r w:rsidRPr="000408EC">
        <w:br/>
        <w:t>In parallel, the UK is facing an increasing waste management issue. Construction and demolition operations produce approximately 120 mT of waste annually, with brick-and-mortar accounting for the largest share of that figure (Defra, 2022). In addition to these two forms of waste, the UK's seafood industry discards thousands of tons of shell material annually due to shellfish processing activities along the coast (FAO, 2019; Carss et al., 2020) across estuaries such as those found along the River Dee, River Thames and River Lune. Much of these wastes go to landfill thereby producing negative environmental impacts and economic consequences; however they also represent potential unexploited resource.</w:t>
      </w:r>
    </w:p>
    <w:p w14:paraId="047E21D9" w14:textId="77777777" w:rsidR="00653FC8" w:rsidRDefault="00653FC8" w:rsidP="00653FC8">
      <w:pPr>
        <w:spacing w:before="100" w:after="100" w:line="360" w:lineRule="auto"/>
        <w:jc w:val="both"/>
      </w:pPr>
      <w:r w:rsidRPr="000408EC">
        <w:t>The need to find alternative cement replacement products is increasing because traditional options, such as fly ash (the byproduct of burning coal) and GGBS (ground granulated blast furnace slag, or the byproduct of producing steel), which have traditionally been available in the U.K., are being rapidly depleted due to a decrease in the amount of coal used for electricity production in the U.K. and an increase in the way steel is produced. For the construction sector to continue using SCMs, it needs to identify and confirm new SCM sources that are abundant in the U.K., chemically suitable, and implementable in practice</w:t>
      </w:r>
      <w:r>
        <w:t>.</w:t>
      </w:r>
    </w:p>
    <w:p w14:paraId="75E52220" w14:textId="77777777" w:rsidR="00653FC8" w:rsidRDefault="00653FC8" w:rsidP="00653FC8">
      <w:pPr>
        <w:pStyle w:val="Heading2"/>
      </w:pPr>
      <w:r>
        <w:t>1.2 Research Problem and Rationale</w:t>
      </w:r>
    </w:p>
    <w:p w14:paraId="725B0A7A" w14:textId="77777777" w:rsidR="00653FC8" w:rsidRPr="000408EC" w:rsidRDefault="00653FC8" w:rsidP="00653FC8">
      <w:pPr>
        <w:spacing w:before="100" w:after="100" w:line="360" w:lineRule="auto"/>
        <w:jc w:val="both"/>
      </w:pPr>
      <w:r w:rsidRPr="000408EC">
        <w:t xml:space="preserve">This research proposal aims to determine whether the use of both Cockle Shell Powder (CSP) and Reclaimed Brick Powder (RBP) as a composite sustainable construction material (SCM) could offer an economically viable, environmentally friendly, and physically stable partial substitute for Ordinary Portland Cement (OPC) within the UK building industry. The chemical composition of cockle shells consists of over 90% calcium carbonate (CaCO₃); thus, they are </w:t>
      </w:r>
      <w:r w:rsidRPr="000408EC">
        <w:lastRenderedPageBreak/>
        <w:t>chemically similar to limestone, a primary raw material used in the manufacture of cement (Mohamed et al., 2012; Mohamad et al., 2021). On the other hand, reclaimed bricks from demolition sites throughout the UK contain high clay content, especially those dating back to the Victorian era. When these are crushed into a powder finer than 75 μm, they exhibit measurable pozzolanic activity, forming C-S-H gel when reacting with the excess lime formed during OPC hydration (Aliabdo et al., 2014; Lavat et al., 2009).</w:t>
      </w:r>
    </w:p>
    <w:p w14:paraId="29ADD70B" w14:textId="77777777" w:rsidR="00653FC8" w:rsidRDefault="00653FC8" w:rsidP="00653FC8">
      <w:pPr>
        <w:spacing w:before="100" w:after="100" w:line="360" w:lineRule="auto"/>
        <w:jc w:val="both"/>
      </w:pPr>
      <w:r w:rsidRPr="000408EC">
        <w:t>Although there have been several individual investigations of each material, there are no published studies on their combination in a blended SCM. It is proposed in this study that the use of CSP and RBP as a blended SCM will act in synergy. For example, the addition of CSP will improve mechanical properties at an early age by increasing packing density and enhancing tensile strength. Additionally, the use of RBP will contribute to longer term pozzolanic strength development and durability improvement. If such complimentary mechanisms are found to be effective, then this will represent a new area of application within the field of SCMs and will present an alternative solution to UK building industry's current sustainability problems.</w:t>
      </w:r>
    </w:p>
    <w:p w14:paraId="0D1F8A0E" w14:textId="77777777" w:rsidR="00653FC8" w:rsidRDefault="00653FC8" w:rsidP="00653FC8">
      <w:pPr>
        <w:pStyle w:val="Heading2"/>
      </w:pPr>
      <w:r>
        <w:t>1.3  Research Questions and Objectives</w:t>
      </w:r>
    </w:p>
    <w:p w14:paraId="0DFFF263" w14:textId="77777777" w:rsidR="00653FC8" w:rsidRDefault="00653FC8" w:rsidP="00653FC8">
      <w:pPr>
        <w:spacing w:before="100" w:after="100" w:line="360" w:lineRule="auto"/>
        <w:jc w:val="both"/>
      </w:pPr>
      <w:r>
        <w:t>The research is guided by the following primary research question:</w:t>
      </w:r>
    </w:p>
    <w:p w14:paraId="2F027564" w14:textId="77777777" w:rsidR="00653FC8" w:rsidRDefault="00653FC8" w:rsidP="00653FC8">
      <w:pPr>
        <w:spacing w:before="60" w:after="60" w:line="360" w:lineRule="auto"/>
        <w:jc w:val="both"/>
      </w:pPr>
      <w:r>
        <w:t>What is the optimal ratio of Cockle Shell Powder and Reclaimed Brick Powder as a partial cement replacement in structural concrete, and what are the mechanical and durability properties of the resulting hybrid mixes under UK construction conditions?</w:t>
      </w:r>
    </w:p>
    <w:p w14:paraId="0C5E445D" w14:textId="77777777" w:rsidR="00653FC8" w:rsidRDefault="00653FC8" w:rsidP="00653FC8">
      <w:pPr>
        <w:spacing w:before="100" w:after="100" w:line="360" w:lineRule="auto"/>
        <w:jc w:val="both"/>
      </w:pPr>
      <w:r>
        <w:t>This is supported by four specific objectives:</w:t>
      </w:r>
    </w:p>
    <w:p w14:paraId="17715EC2" w14:textId="77777777" w:rsidR="00653FC8" w:rsidRDefault="00653FC8" w:rsidP="00653FC8">
      <w:pPr>
        <w:pStyle w:val="ListParagraph"/>
        <w:numPr>
          <w:ilvl w:val="0"/>
          <w:numId w:val="1"/>
        </w:numPr>
        <w:spacing w:before="40" w:after="40" w:line="320" w:lineRule="auto"/>
        <w:contextualSpacing w:val="0"/>
      </w:pPr>
      <w:r>
        <w:t>To characterise the physical, chemical and morphological properties of CSP and RBP sourced from UK suppliers using X-ray Fluorescence (XRF), X-ray Diffraction (XRD) and Scanning Electron Microscopy (SEM) analysis.</w:t>
      </w:r>
    </w:p>
    <w:p w14:paraId="734CEA14" w14:textId="77777777" w:rsidR="00653FC8" w:rsidRDefault="00653FC8" w:rsidP="00653FC8">
      <w:pPr>
        <w:pStyle w:val="ListParagraph"/>
        <w:numPr>
          <w:ilvl w:val="0"/>
          <w:numId w:val="1"/>
        </w:numPr>
        <w:spacing w:before="40" w:after="40" w:line="320" w:lineRule="auto"/>
        <w:contextualSpacing w:val="0"/>
      </w:pPr>
      <w:r>
        <w:t>To evaluate the individual and combined effects of CSP and RBP at incremental cement replacement levels (5%, 10%, 15%, 20% and 25%) on the compressive, flexural and tensile strength of concrete at 7, 28 and 90-day curing periods.</w:t>
      </w:r>
    </w:p>
    <w:p w14:paraId="68BCE48B" w14:textId="77777777" w:rsidR="00653FC8" w:rsidRDefault="00653FC8" w:rsidP="00653FC8">
      <w:pPr>
        <w:pStyle w:val="ListParagraph"/>
        <w:numPr>
          <w:ilvl w:val="0"/>
          <w:numId w:val="1"/>
        </w:numPr>
        <w:spacing w:before="40" w:after="40" w:line="320" w:lineRule="auto"/>
        <w:contextualSpacing w:val="0"/>
      </w:pPr>
      <w:r>
        <w:t>To assess the durability of optimised CSP–RBP concrete mixes under UK-relevant exposure conditions, including water absorption, chloride ion penetration and carbonation depth, benchmarked against BS EN 206 requirements.</w:t>
      </w:r>
    </w:p>
    <w:p w14:paraId="31989C43" w14:textId="77777777" w:rsidR="00653FC8" w:rsidRDefault="00653FC8" w:rsidP="00653FC8">
      <w:pPr>
        <w:pStyle w:val="ListParagraph"/>
        <w:numPr>
          <w:ilvl w:val="0"/>
          <w:numId w:val="1"/>
        </w:numPr>
        <w:spacing w:before="40" w:after="40" w:line="320" w:lineRule="auto"/>
        <w:contextualSpacing w:val="0"/>
      </w:pPr>
      <w:r>
        <w:t>To quantify the sustainability benefit of optimised CSP–RBP blends through life-cycle CO₂ assessment and comparative cost analysis against conventional OPC concrete.</w:t>
      </w:r>
    </w:p>
    <w:p w14:paraId="46AF822B" w14:textId="77777777" w:rsidR="00653FC8" w:rsidRDefault="00653FC8" w:rsidP="00653FC8">
      <w:pPr>
        <w:pStyle w:val="Heading2"/>
      </w:pPr>
      <w:r>
        <w:lastRenderedPageBreak/>
        <w:t>1.4  Hypothesis</w:t>
      </w:r>
    </w:p>
    <w:p w14:paraId="56217E91" w14:textId="77777777" w:rsidR="00653FC8" w:rsidRDefault="00653FC8" w:rsidP="00653FC8">
      <w:pPr>
        <w:spacing w:before="100" w:after="100" w:line="360" w:lineRule="auto"/>
        <w:jc w:val="both"/>
      </w:pPr>
      <w:r>
        <w:t>It is hypothesised that a hybrid blend incorporating 5–10% CSP and 10–15% RBP as partial cement replacement will achieve compressive strength equal to or greater than a standard 30 MPa OPC control mix at 28 days, and will significantly exceed it at 90 days owing to the delayed pozzolanic contribution of RBP. Furthermore, it is anticipated that the hybrid blend will demonstrate equivalent or superior durability performance to OPC concrete in chloride-exposure conditions representative of UK coastal environments.</w:t>
      </w:r>
    </w:p>
    <w:p w14:paraId="5E015D6F" w14:textId="77777777" w:rsidR="00653FC8" w:rsidRDefault="00653FC8" w:rsidP="00653FC8">
      <w:pPr>
        <w:pStyle w:val="Heading2"/>
      </w:pPr>
      <w:r>
        <w:t>1.5  Scope and Definitions</w:t>
      </w:r>
    </w:p>
    <w:p w14:paraId="756A6694" w14:textId="77777777" w:rsidR="00653FC8" w:rsidRDefault="00653FC8" w:rsidP="00653FC8">
      <w:pPr>
        <w:spacing w:before="100" w:after="100" w:line="360" w:lineRule="auto"/>
        <w:jc w:val="both"/>
      </w:pPr>
      <w:r>
        <w:t>The study is bounded to laboratory-scale concrete specimens conforming to BS EN 206 and ASTM standards. Field or full-scale structural trials are outside the scope of this study. The following key terms are defined for clarity:</w:t>
      </w:r>
    </w:p>
    <w:p w14:paraId="0DEE3441" w14:textId="77777777" w:rsidR="00653FC8" w:rsidRDefault="00653FC8" w:rsidP="00653FC8">
      <w:pPr>
        <w:pStyle w:val="ListParagraph"/>
        <w:numPr>
          <w:ilvl w:val="0"/>
          <w:numId w:val="2"/>
        </w:numPr>
        <w:spacing w:before="40" w:after="40" w:line="320" w:lineRule="auto"/>
        <w:contextualSpacing w:val="0"/>
      </w:pPr>
      <w:r>
        <w:t>Cockle Shell Powder (CSP): Cockle shell (Anadara granosa) sourced from UK commercial fisheries, washed, dried and heat-treated to 500–600°C to produce a fine powder of &lt;75 µm particle size for use as a cement-grade replacement material.</w:t>
      </w:r>
    </w:p>
    <w:p w14:paraId="06575817" w14:textId="77777777" w:rsidR="00653FC8" w:rsidRDefault="00653FC8" w:rsidP="00653FC8">
      <w:pPr>
        <w:pStyle w:val="ListParagraph"/>
        <w:numPr>
          <w:ilvl w:val="0"/>
          <w:numId w:val="2"/>
        </w:numPr>
        <w:spacing w:before="40" w:after="40" w:line="320" w:lineRule="auto"/>
        <w:contextualSpacing w:val="0"/>
      </w:pPr>
      <w:r>
        <w:t>Reclaimed Brick Powder (RBP): Demolition brick sourced from pre-1970 UK common brickwork, cleaned of mortar residue, crushed and ground to &lt;75 µm for use as a pozzolanic supplementary cementitious material.</w:t>
      </w:r>
    </w:p>
    <w:p w14:paraId="5FDB1FDA" w14:textId="77777777" w:rsidR="00653FC8" w:rsidRDefault="00653FC8" w:rsidP="00653FC8">
      <w:pPr>
        <w:pStyle w:val="ListParagraph"/>
        <w:numPr>
          <w:ilvl w:val="0"/>
          <w:numId w:val="2"/>
        </w:numPr>
        <w:spacing w:before="40" w:after="40" w:line="320" w:lineRule="auto"/>
        <w:contextualSpacing w:val="0"/>
      </w:pPr>
      <w:r>
        <w:t>Supplementary Cementitious Materials (SCMs): Materials added to concrete in partial replacement of OPC to modify mechanical or durability properties; classified under BS EN 206 as Type I (nearly inert fillers) or Type II (pozzolanic or latent hydraulic materials).</w:t>
      </w:r>
    </w:p>
    <w:p w14:paraId="7461E28E" w14:textId="77777777" w:rsidR="00653FC8" w:rsidRDefault="00653FC8" w:rsidP="00653FC8">
      <w:pPr>
        <w:pStyle w:val="ListParagraph"/>
        <w:numPr>
          <w:ilvl w:val="0"/>
          <w:numId w:val="2"/>
        </w:numPr>
        <w:spacing w:before="40" w:after="40" w:line="320" w:lineRule="auto"/>
        <w:contextualSpacing w:val="0"/>
      </w:pPr>
      <w:r>
        <w:t>Pozzolanic Activity: The capacity of a material to react with calcium hydroxide (Ca(OH)₂) in the presence of water to form cementitious compounds (primarily C-S-H), contributing to long-term strength gain.</w:t>
      </w:r>
    </w:p>
    <w:p w14:paraId="6A3D6528" w14:textId="77777777" w:rsidR="00653FC8" w:rsidRDefault="00653FC8" w:rsidP="00653FC8">
      <w:pPr>
        <w:spacing w:before="100"/>
      </w:pPr>
    </w:p>
    <w:p w14:paraId="505EAE3C" w14:textId="77777777" w:rsidR="00653FC8" w:rsidRDefault="00653FC8" w:rsidP="00653FC8">
      <w:r>
        <w:br w:type="page"/>
      </w:r>
    </w:p>
    <w:p w14:paraId="5B4F138E" w14:textId="77777777" w:rsidR="00653FC8" w:rsidRDefault="00653FC8" w:rsidP="00653FC8">
      <w:pPr>
        <w:pStyle w:val="Heading1"/>
        <w:pBdr>
          <w:bottom w:val="single" w:sz="4" w:space="0" w:color="0D7377"/>
        </w:pBdr>
      </w:pPr>
      <w:r>
        <w:lastRenderedPageBreak/>
        <w:t>2. Literature Review</w:t>
      </w:r>
    </w:p>
    <w:p w14:paraId="03AE0DAD" w14:textId="77777777" w:rsidR="00653FC8" w:rsidRDefault="00653FC8" w:rsidP="00653FC8">
      <w:pPr>
        <w:pStyle w:val="Heading2"/>
      </w:pPr>
      <w:r>
        <w:t>2.1 Environmental Impact of Cement and the Case for SCMs</w:t>
      </w:r>
    </w:p>
    <w:p w14:paraId="474F4637" w14:textId="77777777" w:rsidR="00653FC8" w:rsidRDefault="00653FC8" w:rsidP="00653FC8">
      <w:pPr>
        <w:spacing w:before="100" w:after="100" w:line="360" w:lineRule="auto"/>
        <w:jc w:val="both"/>
      </w:pPr>
      <w:r w:rsidRPr="000408EC">
        <w:t>The environmental need to conduct research in this area is well documented in the academic literature. Cement manufacturing is the largest industrial producer of CO2 on the planet, accounting for over 4.2 billion tons in 2019 (Mohamad et al., 2021). Cement manufacture is inherently carbon-intensive; each tonne of OPC clinker manufactured will release an average of 0.83-0.90 kg of CO₂ due to the calcination of limestone and fossil fuel consumption (IEA, 2019). The Mineral Product Association (MPA) has committed to a ‘beyond net zero’ roadmap for the UK cement industry by 2050 via the substitution of clinker using supplementary cementitious materials (SCMs); however, global literature suggests that even marginal increases in resource efficiency will provide substantial environmental benefit when scaled up (de Brito et al., 2019).</w:t>
      </w:r>
    </w:p>
    <w:p w14:paraId="474597CD" w14:textId="77777777" w:rsidR="00653FC8" w:rsidRDefault="00653FC8" w:rsidP="00653FC8">
      <w:pPr>
        <w:spacing w:before="100" w:after="100" w:line="360" w:lineRule="auto"/>
        <w:jc w:val="both"/>
      </w:pPr>
      <w:r w:rsidRPr="000408EC">
        <w:t xml:space="preserve">However, the reduction of traditional SCMs presents additional challenges to these reductions. Fly ash and Ground Granulated Blast-Furnace Slag (GGBS), the two most widely used and commercially available SCMs in the UK, are by-products of two declining industrial processes. Although Lothenbach et al. (2011) provided a thorough overview of SCM mechanisms, including reactivity, long-term strength developments, and improved durability characteristics, there is limited scope to improve their availability. The UK Green Building Council (UKGBC) (2021) whole life carbon roadmap identified declining availability of </w:t>
      </w:r>
      <w:r>
        <w:t>F</w:t>
      </w:r>
      <w:r w:rsidRPr="000408EC">
        <w:t xml:space="preserve">ly ash and </w:t>
      </w:r>
      <w:r>
        <w:t xml:space="preserve">GGBFS </w:t>
      </w:r>
      <w:r w:rsidRPr="000408EC">
        <w:t>as a system-wide risk to achieving the Uk’s embodied carbon targets, thus highlighting the need for identifying alternative SCM sources.</w:t>
      </w:r>
    </w:p>
    <w:p w14:paraId="53DD7BEC" w14:textId="77777777" w:rsidR="00653FC8" w:rsidRDefault="00653FC8" w:rsidP="00653FC8">
      <w:pPr>
        <w:pStyle w:val="Heading2"/>
      </w:pPr>
      <w:r>
        <w:t>2.2 Cockle Shell in Concrete: Physical and Chemical Properties</w:t>
      </w:r>
    </w:p>
    <w:p w14:paraId="72E7EE83" w14:textId="77777777" w:rsidR="00653FC8" w:rsidRDefault="00653FC8" w:rsidP="00653FC8">
      <w:pPr>
        <w:spacing w:before="100" w:after="100" w:line="360" w:lineRule="auto"/>
        <w:jc w:val="both"/>
      </w:pPr>
      <w:r>
        <w:t>Cockle shell (Cerastoderma edule; Anadara granosa) has attracted growing research interest as a construction material additive since the early 2010s. The material's primary chemical characteristic — a calcium carbonate (CaCO₃) content consistently exceeding 90% by weight across multiple independent studies (Mohamed et al., 2012; Awang Junaidi et al., 2007; Ramakrishna and Sateesh, 2016) — positions it as a biological analogue to limestone, one of the four primary raw materials in OPC production (Mohamad et al., 2021). In morphological terms, the cockle shell exhibits a prismatic layered microstructure that confers high hardness, low thermal conductivity and a characteristically rough surface texture, all of which have implications for the interfacial transition zone (ITZ) between the shell material and the surrounding cement paste (Mohamad et al., 2021).</w:t>
      </w:r>
    </w:p>
    <w:p w14:paraId="46B6195E" w14:textId="77777777" w:rsidR="00653FC8" w:rsidRDefault="00653FC8" w:rsidP="00653FC8">
      <w:pPr>
        <w:spacing w:before="100" w:after="100" w:line="360" w:lineRule="auto"/>
        <w:jc w:val="both"/>
      </w:pPr>
      <w:r>
        <w:lastRenderedPageBreak/>
        <w:t>In terms of particle size, previous studies have consistently employed sub-75 µm cockle shell powder for cement replacement applications, with specific surface areas ranging from 3,800 to 8,299 cm²/g depending on grinding method and duration (Lertwattanaruk et al., 2012; Soltanzadeh et al., 2018). When used as coarse aggregate in uncrushed form, maximum sizes of 10–20 mm have been reported (Muthusamy et al., 2012; Kumar et al., 2016). The specific gravity of cockle shell falls in the range 2.09–2.64 — comparable to conventional coarse aggregate — making it dimensionally compatible with standard mix designs (Mohamad et al., 2021, Table 2).</w:t>
      </w:r>
    </w:p>
    <w:p w14:paraId="52F7F5B4" w14:textId="77777777" w:rsidR="00653FC8" w:rsidRDefault="00653FC8" w:rsidP="00653FC8">
      <w:pPr>
        <w:spacing w:before="100" w:after="100" w:line="360" w:lineRule="auto"/>
        <w:jc w:val="both"/>
      </w:pPr>
      <w:r>
        <w:t>One noteworthy consideration is the mineralogical form of CaCO₃ in cockle shell. As a biogenic material, cockle shell contains CaCO₃ predominantly in the metastable aragonite polymorph rather than the more stable calcite form (Soltanzadeh et al., 2018). Aragonite dissolves more readily in the pore solution of concrete, potentially enhancing its reactivity relative to geologically derived limestone. This distinction has not been consistently addressed in the existing literature and represents a mechanistic question that this study will investigate through XRD phase analysis in Phase one of the experimental programme.</w:t>
      </w:r>
    </w:p>
    <w:p w14:paraId="0D99C9F8" w14:textId="77777777" w:rsidR="00653FC8" w:rsidRDefault="00653FC8" w:rsidP="00653FC8">
      <w:pPr>
        <w:pStyle w:val="Heading2"/>
      </w:pPr>
      <w:r>
        <w:t>2.3 Mechanical Performance of Cockle Shell Concrete</w:t>
      </w:r>
    </w:p>
    <w:p w14:paraId="5FE5DED2" w14:textId="77777777" w:rsidR="00653FC8" w:rsidRDefault="00653FC8" w:rsidP="00653FC8">
      <w:pPr>
        <w:spacing w:before="100" w:after="100" w:line="360" w:lineRule="auto"/>
        <w:jc w:val="both"/>
      </w:pPr>
      <w:r>
        <w:t>The mechanical performance of cockle shell concrete has been investigated across a range of replacement types (cement, fine aggregate and coarse aggregate) and levels. The review by Mohamad et al. (2021) synthesises results from 13 independent studies, enabling several cross-study conclusions. For cement replacement, most studies report a reduction in early compressive strength relative to OPC control mixes, particularly at replacement levels above 10% (Lertwattanaruk et al., 2012; Hazurina et al., 2013; Olivia et al., 2015). However, Al-Zubaidi et al. (2015) and Soltanzadeh et al. (2018) both demonstrated that compressive strength increased progressively with increasing cockle shell powder ratio, attributed to the intrinsic hardness of the powder particles providing additional resistance centres to external compression — a 'filler effect' mechanism consistent with the behaviour of limestone powder SCMs in the mainstream literature.</w:t>
      </w:r>
    </w:p>
    <w:p w14:paraId="10A2132E" w14:textId="77777777" w:rsidR="00653FC8" w:rsidRDefault="00653FC8" w:rsidP="00653FC8">
      <w:pPr>
        <w:spacing w:before="100" w:after="100" w:line="360" w:lineRule="auto"/>
        <w:jc w:val="both"/>
      </w:pPr>
      <w:r>
        <w:t xml:space="preserve">The temporal pattern of strength development is of particular significance. Hazurina et al. (2013) demonstrated that concrete containing 5% (CSA5) and 10% (CSA10) cockle shell ash achieved compressive strengths exceeding 35 N/mm² at 28 days, and that strength continued to increase through 90 days, attributed to ongoing cement hydration and the slow dissolution of aragonitic CaCO₃ in the alkaline pore environment. Olivia et al. (2015) corroborated this </w:t>
      </w:r>
      <w:r>
        <w:lastRenderedPageBreak/>
        <w:t>pattern for tensile and flexural strength, finding that seashell concrete continued to gain strength between 28 and 91 days, with the 91-day flexural strength of 4% CSP-replaced concrete exceeding that of the OPC control. This long-term strength gain is a critical property for practical structural applications and will be a primary focus of the proposed experimental programme.</w:t>
      </w:r>
    </w:p>
    <w:p w14:paraId="34C68CF9" w14:textId="77777777" w:rsidR="00653FC8" w:rsidRDefault="00653FC8" w:rsidP="00653FC8">
      <w:pPr>
        <w:spacing w:before="100" w:after="100" w:line="360" w:lineRule="auto"/>
        <w:jc w:val="both"/>
      </w:pPr>
      <w:r>
        <w:t>For aggregate replacement, optimum compressive strength improvements have been reported at 20% coarse aggregate replacement with cockle shell (Ramakrishna and Sateesh, 2016), attributed to the rough surface texture enhancing interfacial bonding. Raju and Siva (2016) reported that combined replacement of 15% coarse aggregate and 20% fine aggregate with cockle shell and granite powder produced compressive strength of 43.7 MPa — significantly above the 30 MPa control — suggesting that synergistic effects between shell aggregate and other supplementary materials merit further investigation. This finding provides partial justification for the hybrid approach proposed in the present study.</w:t>
      </w:r>
    </w:p>
    <w:p w14:paraId="401B0E50" w14:textId="77777777" w:rsidR="00653FC8" w:rsidRDefault="00653FC8" w:rsidP="00653FC8">
      <w:pPr>
        <w:pStyle w:val="Heading2"/>
      </w:pPr>
      <w:r>
        <w:t>2.4 Reclaimed Brick Powder as a Pozzolanic SCM</w:t>
      </w:r>
    </w:p>
    <w:p w14:paraId="6900F571" w14:textId="77777777" w:rsidR="00653FC8" w:rsidRDefault="00653FC8" w:rsidP="00653FC8">
      <w:pPr>
        <w:spacing w:before="100" w:after="100" w:line="360" w:lineRule="auto"/>
        <w:jc w:val="both"/>
      </w:pPr>
      <w:r>
        <w:t>The pozzolanic potential of finely ground ceramic and brick waste has been established in a substantial body of literature. Lavat et al. (2009) characterised ceramic roof tile waste as a pozzolanic admixture, demonstrating that material ground to below 75 µm exhibited a Chapelle activity index comparable to class N natural pozzolans, with compressive strength of mortar specimens at 28 days reaching 75–80% of the OPC control. Rashad (2016) reviewed over 80 studies on ceramic waste as an SCM, concluding that the pozzolanic reactivity is primarily determined by the alumina and silica content of the clay minerals — both of which are characteristic of the high-clay common bricks prevalent in pre-1970 UK housing and commercial construction.</w:t>
      </w:r>
    </w:p>
    <w:p w14:paraId="64D4DCD8" w14:textId="77777777" w:rsidR="00653FC8" w:rsidRDefault="00653FC8" w:rsidP="00653FC8">
      <w:pPr>
        <w:spacing w:before="100" w:after="100" w:line="360" w:lineRule="auto"/>
        <w:jc w:val="both"/>
      </w:pPr>
      <w:r>
        <w:t>Aliabdo et al. (2014) conducted one of the most directly relevant experimental investigations, examining finely ground brick waste at 10%, 20% and 30% cement replacement in structural concrete. Results demonstrated that 20% replacement achieved compressive strength equivalent to the OPC control at 28 days, with measurable pozzolanic activity confirmed by the reduction in portlandite (Ca(OH)₂) content in the hardened paste at 90 days — indicating active consumption of free lime by the brick powder SCM. Durability improvements were also noted, with reduced water absorption and chloride penetration resistance at 20% replacement. These findings are directly applicable to the proposed study's methodological design.</w:t>
      </w:r>
    </w:p>
    <w:p w14:paraId="552940C8" w14:textId="77777777" w:rsidR="00653FC8" w:rsidRDefault="00653FC8" w:rsidP="00653FC8">
      <w:pPr>
        <w:spacing w:before="100" w:after="100" w:line="360" w:lineRule="auto"/>
        <w:jc w:val="both"/>
      </w:pPr>
      <w:r>
        <w:lastRenderedPageBreak/>
        <w:t>From a strategic UK perspective, the relevance of RBP extends beyond its technical properties. The UK's pre-1970 housing stock comprises an estimated 8.4 million homes and considerable commercial floor space built predominantly of clay brick (MHCLG, 2019). As the UK continues its programme of stock renewal, the volume of available reclaimed brick is anticipated to increase substantially over the coming decades. Unlike fly ash — whose supply is terminal — the supply of demolition brick powder is structurally linked to construction activity itself, creating a self-reinforcing circular economy dynamic.</w:t>
      </w:r>
    </w:p>
    <w:p w14:paraId="2AA70B3B" w14:textId="77777777" w:rsidR="00653FC8" w:rsidRDefault="00653FC8" w:rsidP="00653FC8">
      <w:pPr>
        <w:pStyle w:val="Heading2"/>
      </w:pPr>
      <w:r>
        <w:t>2.5  Hybrid and Synergistic SCM Blends: The Research Gap</w:t>
      </w:r>
    </w:p>
    <w:p w14:paraId="6566905A" w14:textId="77777777" w:rsidR="00653FC8" w:rsidRDefault="00653FC8" w:rsidP="00653FC8">
      <w:pPr>
        <w:spacing w:before="100" w:after="100" w:line="360" w:lineRule="auto"/>
        <w:jc w:val="both"/>
      </w:pPr>
      <w:r>
        <w:t>The combinatorial use of multiple waste-derived SCMs — often termed 'hybrid binders' or 'ternary blends' in the literature — has attracted increasing attention as researchers seek to exploit the complementary properties of different material types. Mo et al. (2016) reviewed the use of farming waste residues in green concrete, demonstrating that combinations of pozzolanic materials can outperform individual SCMs through complementary particle size distributions, differential reaction kinetics and cumulative chemical effects. Safi et al. (2015) demonstrated that the use of seashells as fine aggregate substitution in self-compacting mortar produced superior workability and long-term strength outcomes compared to control specimens, attributed to the particle morphology and CaCO₃ filler contribution.</w:t>
      </w:r>
    </w:p>
    <w:p w14:paraId="2ABCB632" w14:textId="77777777" w:rsidR="00653FC8" w:rsidRDefault="00653FC8" w:rsidP="00653FC8">
      <w:pPr>
        <w:spacing w:before="100" w:after="100" w:line="360" w:lineRule="auto"/>
        <w:jc w:val="both"/>
      </w:pPr>
      <w:r>
        <w:t>However, a systematic review of the available literature reveals no published study that has investigated the combined use of cockle shell powder and reclaimed brick powder as co-partial cement replacements in structural concrete. This gap is significant for two reasons. First, the two materials are chemically complementary: CSP's primary contribution is as a CaCO₃ filler with potential aragonite reactivity, while RBP's primary contribution is pozzolanic — a different mechanism operating at a different timescale. Second, both materials are UK-abundant and co-locationally available in UK demolition and fishing industry contexts. The absence of empirical data on their combined use represents a clear research gap that this proposal directly addresses.</w:t>
      </w:r>
    </w:p>
    <w:p w14:paraId="24A66C6A" w14:textId="77777777" w:rsidR="00653FC8" w:rsidRDefault="00653FC8" w:rsidP="00653FC8">
      <w:pPr>
        <w:spacing w:before="100" w:after="100" w:line="360" w:lineRule="auto"/>
        <w:jc w:val="both"/>
      </w:pPr>
      <w:r>
        <w:t xml:space="preserve">Furthermore, the existing cockle shell literature has notable methodological limitations. Many studies have been conducted in South East Asian contexts (Malaysia, Indonesia) using cockle species (Anadara granosa) and climatic exposure conditions that differ substantially from UK environments. No published study has validated cockle shell concrete performance against BS EN 206 for chloride-class XS or XD exposure conditions — a critical requirement for structural </w:t>
      </w:r>
      <w:r>
        <w:lastRenderedPageBreak/>
        <w:t>use in UK coastal or de-icing salt-exposed environments. This context-specific gap further justifies UK-situated experimental research.</w:t>
      </w:r>
    </w:p>
    <w:p w14:paraId="1F99E697" w14:textId="77777777" w:rsidR="00653FC8" w:rsidRDefault="00653FC8" w:rsidP="00653FC8">
      <w:pPr>
        <w:spacing w:before="100"/>
      </w:pPr>
    </w:p>
    <w:p w14:paraId="6E2FFEA7" w14:textId="77777777" w:rsidR="00653FC8" w:rsidRDefault="00653FC8" w:rsidP="00653FC8">
      <w:r>
        <w:br w:type="page"/>
      </w:r>
    </w:p>
    <w:p w14:paraId="424937AA" w14:textId="77777777" w:rsidR="00653FC8" w:rsidRDefault="00653FC8" w:rsidP="00653FC8">
      <w:pPr>
        <w:pStyle w:val="Heading1"/>
        <w:pBdr>
          <w:bottom w:val="single" w:sz="4" w:space="0" w:color="0D7377"/>
        </w:pBdr>
      </w:pPr>
      <w:r>
        <w:lastRenderedPageBreak/>
        <w:t>3. Research Design and Methodology</w:t>
      </w:r>
    </w:p>
    <w:p w14:paraId="0DE95D49" w14:textId="77777777" w:rsidR="00653FC8" w:rsidRDefault="00653FC8" w:rsidP="00653FC8">
      <w:pPr>
        <w:pStyle w:val="Heading2"/>
      </w:pPr>
      <w:r>
        <w:t>3.1  Research Philosophy and Approach</w:t>
      </w:r>
    </w:p>
    <w:p w14:paraId="4CAC7BE8" w14:textId="77777777" w:rsidR="00653FC8" w:rsidRDefault="00653FC8" w:rsidP="00653FC8">
      <w:pPr>
        <w:spacing w:before="100" w:after="100" w:line="360" w:lineRule="auto"/>
        <w:jc w:val="both"/>
      </w:pPr>
      <w:r>
        <w:t>This study adopts a positivist research philosophy, premised on the belief that empirical phenomena can be objectively measured, quantified and analysed to yield generalisable knowledge (Saunders et al., 2019). Within this paradigm, a deductive research approach is adopted: the study begins from theoretical propositions derived from the established SCM literature and tests them through systematic experimental observation. This is the dominant and most appropriate epistemological stance for materials science and concrete engineering research, where controlled laboratory experimentation provides the primary source of scientific knowledge (Neville, 2011).</w:t>
      </w:r>
    </w:p>
    <w:p w14:paraId="101A4A93" w14:textId="77777777" w:rsidR="00653FC8" w:rsidRDefault="00653FC8" w:rsidP="00653FC8">
      <w:pPr>
        <w:spacing w:before="100" w:after="100" w:line="360" w:lineRule="auto"/>
        <w:jc w:val="both"/>
      </w:pPr>
      <w:r>
        <w:t>A quantitative research strategy is employed, using laboratory experimentation as the primary research method. This approach is justified on grounds of validity, controllability and replicability: laboratory conditions allow systematic isolation of independent variables (material type and replacement level) from potential confounds (aggregate source, ambient temperature, curing conditions), enabling confident attribution of observed strength and durability outcomes to the materials under investigation. The experimental design follows a full factorial structure across material type and replacement level, ensuring comprehensive coverage of the variable space.</w:t>
      </w:r>
    </w:p>
    <w:p w14:paraId="5BABB454" w14:textId="77777777" w:rsidR="00653FC8" w:rsidRDefault="00653FC8" w:rsidP="00653FC8">
      <w:pPr>
        <w:pStyle w:val="Heading2"/>
      </w:pPr>
      <w:r>
        <w:t>3.2  Phase 1: Material Procurement and Characterisation</w:t>
      </w:r>
    </w:p>
    <w:p w14:paraId="6531ECEE" w14:textId="77777777" w:rsidR="00653FC8" w:rsidRDefault="00653FC8" w:rsidP="00653FC8">
      <w:pPr>
        <w:spacing w:before="100" w:after="100" w:line="360" w:lineRule="auto"/>
        <w:jc w:val="both"/>
      </w:pPr>
      <w:r>
        <w:t>Cockle shells will be procured from licensed commercial shellfish processors operating on the Dee Estuary and Thames Estuary — the UK's two highest-volume cockle harvesting zones (MMO, 2021). Shells will be subject to a standardised pre-treatment protocol: initial fresh water washing (×3 cycles) to remove saline contamination and organic matter; drying at 105°C for 24 hours; and heat-treatment (calcination) at 550°C for 2 hours in a muffle furnace to decompose residual organic compounds and produce a consistent cockle shell ash (CSA). The resulting material will be dry-ground in a ball mill and sieved to below 75 µm before use. This protocol follows the procedures established by Hazurina et al. (2013) and Lertwattanaruk et al. (2012), with adaptations to UK material sourcing.</w:t>
      </w:r>
    </w:p>
    <w:p w14:paraId="475B4E50" w14:textId="77777777" w:rsidR="00653FC8" w:rsidRDefault="00653FC8" w:rsidP="00653FC8">
      <w:pPr>
        <w:spacing w:before="100" w:after="100" w:line="360" w:lineRule="auto"/>
        <w:jc w:val="both"/>
      </w:pPr>
      <w:r>
        <w:t xml:space="preserve">Reclaimed bricks will be sourced from pre-1970 UK common clay brickwork demolition arisings — a material category characterised by high iron oxide and alumina content relative to post-1970 engineering bricks (Aliabdo et al., 2014). Brick samples will be pre-cleaned to remove mortar residue using mechanical means, subsequently crushed in a jaw crusher, and </w:t>
      </w:r>
      <w:r>
        <w:lastRenderedPageBreak/>
        <w:t>then ground in a ball mill to achieve a target particle size below 75 µm (d₅₀ ≤ 45 µm). The pozzolanic activity of each RBP batch will be confirmed by the modified Chapelle test (AFNOR NF P18-513) prior to use, with a minimum threshold of 700 mg Ca(OH)₂/g material required to confirm adequate pozzolanic reactivity.</w:t>
      </w:r>
    </w:p>
    <w:p w14:paraId="14D82377" w14:textId="77777777" w:rsidR="00653FC8" w:rsidRDefault="00653FC8" w:rsidP="00653FC8">
      <w:pPr>
        <w:spacing w:before="100" w:after="100" w:line="360" w:lineRule="auto"/>
        <w:jc w:val="both"/>
      </w:pPr>
      <w:r>
        <w:t>Both materials will be fully characterised using the following analytical methods: (i) X-ray Fluorescence (XRF) spectrometry for elemental chemical composition; (ii) X-ray Diffraction (XRD) for phase mineralogy, specifically to determine the calcite/aragonite ratio in CSP and the presence of reactive clay minerals in RBP; (iii) Scanning Electron Microscopy with Energy Dispersive X-ray analysis (SEM-EDX) for particle morphology and surface chemistry; and (iv) Laser particle size analysis for particle size distribution and specific surface area. These methods align with standard practice in SCM characterisation research (Lothenbach et al., 2011; Rashad, 2016).</w:t>
      </w:r>
    </w:p>
    <w:p w14:paraId="42D53BE3" w14:textId="77777777" w:rsidR="00653FC8" w:rsidRDefault="00653FC8" w:rsidP="00653FC8">
      <w:pPr>
        <w:pStyle w:val="Heading2"/>
      </w:pPr>
      <w:r>
        <w:t>3.3  Phase 2: Concrete Mix Design and Mechanical Testing</w:t>
      </w:r>
    </w:p>
    <w:p w14:paraId="09673B06" w14:textId="77777777" w:rsidR="00653FC8" w:rsidRDefault="00653FC8" w:rsidP="00653FC8">
      <w:pPr>
        <w:spacing w:before="100" w:after="100" w:line="360" w:lineRule="auto"/>
        <w:jc w:val="both"/>
      </w:pPr>
      <w:r>
        <w:t>The control mix will be designed to achieve a target compressive strength of 30 MPa at 28 days — equivalent to concrete class C28/35 under BS EN 206 — using CEM I 42.5N OPC, Thames Valley zone M fine aggregate (0–4 mm), crushed limestone coarse aggregate (4–20 mm) and a water-to-cement (w/c) ratio of 0.45. A polycarboxylate-based superplasticiser will be incorporated at 0.3–0.5% by binder weight to achieve a target slump of 75–100 mm (Neville, 2011). The w/c ratio will be held constant across all mixes; only superplasticiser dosage will be adjusted to maintain consistent workability, ensuring that any observed strength differences are attributable to the SCM material rather than dilution effects.</w:t>
      </w:r>
    </w:p>
    <w:p w14:paraId="58501A90" w14:textId="77777777" w:rsidR="00653FC8" w:rsidRDefault="00653FC8" w:rsidP="00653FC8">
      <w:pPr>
        <w:spacing w:before="100" w:after="100" w:line="360" w:lineRule="auto"/>
        <w:jc w:val="both"/>
      </w:pPr>
      <w:r>
        <w:t>Cement will be partially replaced by CSP and/or RBP at levels of 0% (control), 5%, 10%, 15%, 20% and 25% by mass. Both individual replacement mixes (CSP only and RBP only) and combined hybrid mixes will be tested. The hybrid mixes will be designed based on preliminary strength response data from the individual testing phase, targeting combinations such as 5%CSP + 10%RBP, 5%CSP + 15%RBP, and 10%CSP + 10%RBP, resulting in a total of approximately 18–20 distinct mix designs. A minimum of three specimens per test condition will be cast, yielding a minimum sample of 162 specimens across all ages and properties tested — providing adequate statistical power for ANOVA-based comparative analysis.</w:t>
      </w:r>
    </w:p>
    <w:p w14:paraId="1417E7CC" w14:textId="77777777" w:rsidR="00653FC8" w:rsidRDefault="00653FC8" w:rsidP="00653FC8">
      <w:pPr>
        <w:spacing w:before="100" w:after="100" w:line="360" w:lineRule="auto"/>
        <w:jc w:val="both"/>
      </w:pPr>
      <w:r>
        <w:t xml:space="preserve">Mechanical testing will be conducted at 7, 28 and 90 days of water curing at 20°C in accordance with the following standards: compressive strength (BS EN 12390-3); flexural strength (BS EN 12390-5); indirect tensile strength (splitting test, ASTM C496); and static modulus of </w:t>
      </w:r>
      <w:r>
        <w:lastRenderedPageBreak/>
        <w:t>elasticity (ASTM C469). All testing will be performed on calibrated load frames in an accredited laboratory environment.</w:t>
      </w:r>
    </w:p>
    <w:p w14:paraId="74243CA5" w14:textId="77777777" w:rsidR="00653FC8" w:rsidRDefault="00653FC8" w:rsidP="00653FC8">
      <w:pPr>
        <w:pStyle w:val="Heading2"/>
      </w:pPr>
      <w:r>
        <w:t>3.4 Phase 3: Durability Testing and Sustainability Analysis</w:t>
      </w:r>
    </w:p>
    <w:p w14:paraId="2D378758" w14:textId="77777777" w:rsidR="00653FC8" w:rsidRDefault="00653FC8" w:rsidP="00653FC8">
      <w:pPr>
        <w:spacing w:before="100" w:after="100" w:line="360" w:lineRule="auto"/>
        <w:jc w:val="both"/>
      </w:pPr>
      <w:r>
        <w:t>The durability testing programme will target the UK's characteristic exposure conditions: damp, temperate climate with coastal salt spray risk (Exposure Class XS1 under BS EN 206) and potential de-icing salt exposure (XD3 for carriageway structures). Three durability parameters will be measured: (i) Water absorption by immersion (BS EN 12390-12), as a measure of permeable porosity; (ii) Rapid Chloride Permeability Test (RCPT, ASTM C1202), providing a charge-passed index of chloride ion penetrability at 28 and 90 days; and (iii) Carbonation depth by phenolphthalein indicator after 28 days of accelerated carbonation exposure (5% CO₂ atmosphere, BS EN 12390-12). Selected optimised mixes will additionally be subjected to full immersion chloride profiling (NT Build 492) to characterise the chloride diffusion coefficient for service life modelling.</w:t>
      </w:r>
    </w:p>
    <w:p w14:paraId="4650091E" w14:textId="77777777" w:rsidR="00653FC8" w:rsidRDefault="00653FC8" w:rsidP="00653FC8">
      <w:pPr>
        <w:spacing w:before="100" w:after="100" w:line="360" w:lineRule="auto"/>
        <w:jc w:val="both"/>
      </w:pPr>
      <w:r>
        <w:t>The life-cycle CO₂ assessment will follow a cradle-to-gate boundary consistent with BS EN 15804 (Product Environmental Declarations for construction products). The embodied CO₂ of each optimised mix will be calculated using declared values for OPC (IEA, 2019), transportation factors for UK material logistics, and estimated processing energy for grinding and heat-treatment of CSP and RBP, benchmarked against the carbon intensity of the OPC control mix. A simplified economic analysis will compare raw material, processing and transportation costs of CSP–RBP concrete against OPC and against fly ash-blended concrete, expressed as cost per tonne of CO₂ saved.</w:t>
      </w:r>
    </w:p>
    <w:p w14:paraId="077AAF0D" w14:textId="77777777" w:rsidR="00653FC8" w:rsidRDefault="00653FC8" w:rsidP="00653FC8">
      <w:pPr>
        <w:pStyle w:val="Heading2"/>
      </w:pPr>
      <w:r>
        <w:t>3.5  Ethical Considerations</w:t>
      </w:r>
    </w:p>
    <w:p w14:paraId="089A2F76" w14:textId="77777777" w:rsidR="00653FC8" w:rsidRDefault="00653FC8" w:rsidP="00653FC8">
      <w:pPr>
        <w:spacing w:before="100" w:after="100" w:line="360" w:lineRule="auto"/>
        <w:jc w:val="both"/>
      </w:pPr>
      <w:r>
        <w:t>The study involves laboratory materials testing with no human participants, animal subjects or personal data; accordingly, ethical risk is assessed as low. However, health and safety considerations are significant. Both cockle shell powder and finely ground brick dust are classified as inhalable nuisance dusts; ground brick containing crystalline silica presents a respiratory hazard regulated under COSHH (HSE, 2020). A formal COSHH assessment will be completed prior to commencement. All grinding and handling operations will be conducted under local exhaust ventilation (LEV), with operatives wearing FFP3-rated respiratory protective equipment (RPE). Laboratory waste, including wash-water from shell pre-treatment, will be disposed of in compliance with the Water Industry Act 1991 and applicable trade effluent consents.</w:t>
      </w:r>
    </w:p>
    <w:p w14:paraId="1E1B7C04" w14:textId="77777777" w:rsidR="00653FC8" w:rsidRDefault="00653FC8" w:rsidP="00653FC8">
      <w:pPr>
        <w:spacing w:before="100"/>
      </w:pPr>
    </w:p>
    <w:p w14:paraId="1F715722" w14:textId="77777777" w:rsidR="00653FC8" w:rsidRDefault="00653FC8" w:rsidP="00653FC8">
      <w:r>
        <w:br w:type="page"/>
      </w:r>
    </w:p>
    <w:p w14:paraId="5A28773C" w14:textId="77777777" w:rsidR="00653FC8" w:rsidRDefault="00653FC8" w:rsidP="00653FC8">
      <w:pPr>
        <w:pStyle w:val="Heading1"/>
        <w:pBdr>
          <w:bottom w:val="single" w:sz="4" w:space="0" w:color="0D7377"/>
        </w:pBdr>
      </w:pPr>
      <w:r>
        <w:lastRenderedPageBreak/>
        <w:t>4. Expected Results</w:t>
      </w:r>
    </w:p>
    <w:p w14:paraId="5D73285D" w14:textId="77777777" w:rsidR="00653FC8" w:rsidRDefault="00653FC8" w:rsidP="00653FC8">
      <w:pPr>
        <w:pStyle w:val="Heading2"/>
      </w:pPr>
      <w:r>
        <w:t>4.1 Mechanical Performance Projections</w:t>
      </w:r>
    </w:p>
    <w:p w14:paraId="25E06362" w14:textId="77777777" w:rsidR="00653FC8" w:rsidRDefault="00653FC8" w:rsidP="00653FC8">
      <w:pPr>
        <w:spacing w:before="100" w:after="100" w:line="360" w:lineRule="auto"/>
        <w:jc w:val="both"/>
      </w:pPr>
      <w:r>
        <w:t>Based on the existing literature, the following outcomes are anticipated, subject to empirical confirmation through the experimental programme. At 7 days, CSP–RBP mixes are expected to achieve compressive strength marginally lower (5–15%) than the OPC control, consistent with the general behaviour of pozzolanic SCMs in the early curing period when hydration reactions are still maturing (Olivia et al., 2015; Lothenbach et al., 2011). By 28 days, mixes containing 5–10% CSP combined with 10–15% RBP are projected to achieve target compressive strength equal to or exceeding 30 MPa, consistent with C28/35 structural concrete requirements. At 90 days, the delayed pozzolanic contribution of RBP — through the continued reaction of reactive alumino-silicate phases with Ca(OH)₂ — is expected to produce compressive strength exceeding the OPC control by 10–20%, as observed in analogous brick powder studies (Aliabdo et al., 2014).</w:t>
      </w:r>
    </w:p>
    <w:p w14:paraId="2C517A26" w14:textId="77777777" w:rsidR="00653FC8" w:rsidRDefault="00653FC8" w:rsidP="00653FC8">
      <w:pPr>
        <w:spacing w:before="100" w:after="100" w:line="360" w:lineRule="auto"/>
        <w:jc w:val="both"/>
      </w:pPr>
      <w:r>
        <w:t>Tensile and flexural strength are anticipated to follow a similar trajectory, with the rough surface texture of CSP particles potentially contributing enhanced bond at the aggregate-paste interface, consistent with findings reported by Ramakrishna and Sateesh (2016). The modulus of elasticity is expected to increase with curing age as the paste matrix densifies through pozzolanic reaction, as observed in seashell concrete by Olivia et al. (2015). Statistical analysis using one-way ANOVA and post-hoc Tukey HSD tests will be applied to determine the significance of differences between mix designs at each testing age. A minimum significance level of p &lt; 0.05 will be adopted throughout.</w:t>
      </w:r>
    </w:p>
    <w:p w14:paraId="4CC7CB96" w14:textId="77777777" w:rsidR="00653FC8" w:rsidRDefault="00653FC8" w:rsidP="00653FC8">
      <w:pPr>
        <w:pStyle w:val="Heading2"/>
      </w:pPr>
      <w:r>
        <w:t>4.2 Durability and Sustainability Projections</w:t>
      </w:r>
    </w:p>
    <w:p w14:paraId="27DA13C8" w14:textId="77777777" w:rsidR="00653FC8" w:rsidRDefault="00653FC8" w:rsidP="00653FC8">
      <w:pPr>
        <w:spacing w:before="100" w:after="100" w:line="360" w:lineRule="auto"/>
        <w:jc w:val="both"/>
      </w:pPr>
      <w:r>
        <w:t>Durability performance projections are informed by the combined filler and pozzolanic mechanisms of the CSP–RBP blend. The CaCO₃ filler contribution of CSP is expected to reduce permeable porosity by improving particle packing in the paste microstructure, consistent with the known 'filler effect' of limestone powder SCMs (Lothenbach et al., 2011). The pozzolanic reaction of RBP reduces the volume of Ca(OH)₂ — a soluble phase vulnerable to leaching — and increases the volume of C-S-H gel, producing a denser, less permeable matrix. On this basis, water absorption and chloride penetration resistance of the optimised hybrid mix are projected to equal or improve upon the OPC control, particularly at 90 days.</w:t>
      </w:r>
    </w:p>
    <w:p w14:paraId="7435B4C6" w14:textId="77777777" w:rsidR="00653FC8" w:rsidRDefault="00653FC8" w:rsidP="00653FC8">
      <w:pPr>
        <w:spacing w:before="100" w:after="100" w:line="360" w:lineRule="auto"/>
        <w:jc w:val="both"/>
      </w:pPr>
      <w:r>
        <w:t xml:space="preserve">In terms of sustainability, a preliminary estimate — based on the CO₂ intensity of OPC (IEA, 2019) and the near-zero embodied carbon of waste-derived materials — suggests that replacing </w:t>
      </w:r>
      <w:r>
        <w:lastRenderedPageBreak/>
        <w:t>20% of cement with a CSP–RBP blend could reduce the embodied CO₂ of a standard C30 structural mix by approximately 15–25%, dependent on processing energy requirements. This estimate will be refined through the Life Cycle Assessment in Phase 3. Cost analysis is expected to show meaningful cost reductions relative to OPC, given that both raw materials are waste streams with no raw material acquisition cost, offset partially by processing and quality control costs.</w:t>
      </w:r>
    </w:p>
    <w:p w14:paraId="4B64F6F5" w14:textId="77777777" w:rsidR="00653FC8" w:rsidRDefault="00653FC8" w:rsidP="00653FC8">
      <w:pPr>
        <w:spacing w:before="100"/>
      </w:pPr>
    </w:p>
    <w:p w14:paraId="7B62E58C" w14:textId="77777777" w:rsidR="00653FC8" w:rsidRDefault="00653FC8" w:rsidP="00653FC8">
      <w:r>
        <w:br w:type="page"/>
      </w:r>
    </w:p>
    <w:p w14:paraId="1C0D362E" w14:textId="77777777" w:rsidR="00653FC8" w:rsidRDefault="00653FC8" w:rsidP="00653FC8">
      <w:pPr>
        <w:pStyle w:val="Heading1"/>
        <w:pBdr>
          <w:bottom w:val="single" w:sz="4" w:space="0" w:color="0D7377"/>
        </w:pBdr>
      </w:pPr>
      <w:r>
        <w:lastRenderedPageBreak/>
        <w:t>5. Evaluation</w:t>
      </w:r>
    </w:p>
    <w:p w14:paraId="41E4422D" w14:textId="77777777" w:rsidR="00653FC8" w:rsidRDefault="00653FC8" w:rsidP="00653FC8">
      <w:pPr>
        <w:pStyle w:val="Heading2"/>
      </w:pPr>
      <w:r>
        <w:t>5.1 Potential Impact and Significance</w:t>
      </w:r>
    </w:p>
    <w:p w14:paraId="6CCB8C6A" w14:textId="77777777" w:rsidR="00653FC8" w:rsidRDefault="00653FC8" w:rsidP="00653FC8">
      <w:pPr>
        <w:spacing w:before="100" w:after="100" w:line="360" w:lineRule="auto"/>
        <w:jc w:val="both"/>
      </w:pPr>
      <w:r>
        <w:t>The proposed research offers significance at multiple levels. At the scientific level, it will generate original empirical data on a previously uninvestigated hybrid SCM combination, providing a data-evidenced mechanistic understanding of the synergistic behaviour of CSP and RBP in a cementitious system. The study will directly address the methodological gaps identified in the literature review: the absence of UK-context testing, the lack of combined hybrid blend data, and the absence of long-term (90-day) durability characterisation for cockle shell concrete against BS EN 206 exposure classes.</w:t>
      </w:r>
    </w:p>
    <w:p w14:paraId="57D6B711" w14:textId="77777777" w:rsidR="00653FC8" w:rsidRDefault="00653FC8" w:rsidP="00653FC8">
      <w:pPr>
        <w:spacing w:before="100" w:after="100" w:line="360" w:lineRule="auto"/>
        <w:jc w:val="both"/>
      </w:pPr>
      <w:r>
        <w:t>At the practical level, the research has immediate relevance to the UK construction industry. The Mineral Products Association (2020) and UKGBC (2021) have both identified the need for industry-ready alternative SCMs to offset the declining availability of fly ash and GGBS. Validated mix designs from this study, confirmed against relevant British Standards, could be adopted by ready-mix concrete producers, structural engineers and specifying clients within the existing regulatory framework without requiring new product approval pathways. Furthermore, the co-location of cockle shell harvesting and demolition activity in UK coastal and urban areas suggests logistical feasibility for implementation at regional scale.</w:t>
      </w:r>
    </w:p>
    <w:p w14:paraId="6339EB0E" w14:textId="77777777" w:rsidR="00653FC8" w:rsidRDefault="00653FC8" w:rsidP="00653FC8">
      <w:pPr>
        <w:spacing w:before="100" w:after="100" w:line="360" w:lineRule="auto"/>
        <w:jc w:val="both"/>
      </w:pPr>
      <w:r>
        <w:t>At the policy level, the study aligns with the UK Government's Net Zero Strategy (2021), the Construction Sector Deal's commitment to halving the carbon impact of construction and infrastructure, and the specific 'Roadmap to Beyond Net Zero' targets set by the cement and concrete industry (MPA, 2020). The research will provide quantified CO₂ reduction data that industry and policymakers can reference in developing evidence-based procurement specifications and regulatory instruments.</w:t>
      </w:r>
    </w:p>
    <w:p w14:paraId="3FFB56CC" w14:textId="77777777" w:rsidR="00653FC8" w:rsidRDefault="00653FC8" w:rsidP="00653FC8">
      <w:pPr>
        <w:pStyle w:val="Heading2"/>
      </w:pPr>
      <w:r>
        <w:t>5.2  Limitations and Constraints</w:t>
      </w:r>
    </w:p>
    <w:p w14:paraId="283D9A5D" w14:textId="77777777" w:rsidR="00653FC8" w:rsidRDefault="00653FC8" w:rsidP="00653FC8">
      <w:pPr>
        <w:spacing w:before="100" w:after="100" w:line="360" w:lineRule="auto"/>
        <w:jc w:val="both"/>
      </w:pPr>
      <w:r>
        <w:t xml:space="preserve">The study acknowledges several limitations. First, the inherent variability of waste-derived materials — arising from differences in shell source location, harvest season, brick clay composition and demolition origin — may introduce batch-to-batch inconsistency that laboratory controls cannot fully eliminate. This is mitigated through rigorous batch characterisation (XRF, modified Chapelle test) and the adoption of minimum quality thresholds before material is admitted to the mix design phase. Second, the study is conducted at laboratory scale with standard specimens; full-scale structural behaviour, including effects of formwork pressure, site-mixed workability and contractor handling, is not captured. This is a </w:t>
      </w:r>
      <w:r>
        <w:lastRenderedPageBreak/>
        <w:t>common limitation of materials research at the proposal stage and is typical of the evidence base on which building standards are progressively developed (Neville, 2011). Third, the 36-month programme does not allow for service-life testing beyond 90 days; accelerated test methods (ASTM C1202, accelerated carbonation) are employed as validated proxies for long-term exposure.</w:t>
      </w:r>
    </w:p>
    <w:p w14:paraId="5E57BBD9" w14:textId="77777777" w:rsidR="00653FC8" w:rsidRDefault="00653FC8" w:rsidP="00653FC8">
      <w:pPr>
        <w:pStyle w:val="Heading2"/>
      </w:pPr>
      <w:r>
        <w:t>5.3 Research Timetable (Gantt Chart)</w:t>
      </w:r>
    </w:p>
    <w:p w14:paraId="66CE5A68" w14:textId="77777777" w:rsidR="00653FC8" w:rsidRDefault="00653FC8" w:rsidP="00653FC8">
      <w:pPr>
        <w:spacing w:before="100" w:after="100" w:line="360" w:lineRule="auto"/>
        <w:jc w:val="both"/>
      </w:pPr>
      <w:r>
        <w:t>The proposed research is structured across a 36-month (3-year) PhD-equivalent programme, divided into three sequential phases as described in Section 3. The Gantt chart below illustrates the planned timeline, with months indicated in three-month (quarterly) blocks.</w:t>
      </w:r>
    </w:p>
    <w:p w14:paraId="156F3B2C" w14:textId="77777777" w:rsidR="00653FC8" w:rsidRDefault="00653FC8" w:rsidP="00653FC8">
      <w:pPr>
        <w:spacing w:before="120"/>
      </w:pPr>
    </w:p>
    <w:tbl>
      <w:tblPr>
        <w:tblW w:w="89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81"/>
        <w:gridCol w:w="616"/>
        <w:gridCol w:w="616"/>
        <w:gridCol w:w="616"/>
        <w:gridCol w:w="639"/>
        <w:gridCol w:w="639"/>
        <w:gridCol w:w="639"/>
        <w:gridCol w:w="639"/>
        <w:gridCol w:w="639"/>
        <w:gridCol w:w="639"/>
        <w:gridCol w:w="639"/>
        <w:gridCol w:w="639"/>
        <w:gridCol w:w="639"/>
      </w:tblGrid>
      <w:tr w:rsidR="00653FC8" w14:paraId="7E7BFB7A" w14:textId="77777777" w:rsidTr="00811385">
        <w:trPr>
          <w:tblHeader/>
        </w:trPr>
        <w:tc>
          <w:tcPr>
            <w:tcW w:w="10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673DD655" w14:textId="77777777" w:rsidR="00653FC8" w:rsidRDefault="00653FC8" w:rsidP="00811385">
            <w:r>
              <w:rPr>
                <w:rFonts w:ascii="Arial" w:eastAsia="Arial" w:hAnsi="Arial" w:cs="Arial"/>
                <w:b/>
                <w:bCs/>
                <w:color w:val="FFFFFF"/>
                <w:sz w:val="18"/>
                <w:szCs w:val="18"/>
              </w:rPr>
              <w:t>Activity / Phase</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4A54626E" w14:textId="77777777" w:rsidR="00653FC8" w:rsidRDefault="00653FC8" w:rsidP="00811385">
            <w:r>
              <w:rPr>
                <w:rFonts w:ascii="Arial" w:eastAsia="Arial" w:hAnsi="Arial" w:cs="Arial"/>
                <w:b/>
                <w:bCs/>
                <w:color w:val="FFFFFF"/>
                <w:sz w:val="14"/>
                <w:szCs w:val="14"/>
              </w:rPr>
              <w:t>M1–M3</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2250F0DA" w14:textId="77777777" w:rsidR="00653FC8" w:rsidRDefault="00653FC8" w:rsidP="00811385">
            <w:r>
              <w:rPr>
                <w:rFonts w:ascii="Arial" w:eastAsia="Arial" w:hAnsi="Arial" w:cs="Arial"/>
                <w:b/>
                <w:bCs/>
                <w:color w:val="FFFFFF"/>
                <w:sz w:val="14"/>
                <w:szCs w:val="14"/>
              </w:rPr>
              <w:t>M4–M6</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16349B56" w14:textId="77777777" w:rsidR="00653FC8" w:rsidRDefault="00653FC8" w:rsidP="00811385">
            <w:r>
              <w:rPr>
                <w:rFonts w:ascii="Arial" w:eastAsia="Arial" w:hAnsi="Arial" w:cs="Arial"/>
                <w:b/>
                <w:bCs/>
                <w:color w:val="FFFFFF"/>
                <w:sz w:val="14"/>
                <w:szCs w:val="14"/>
              </w:rPr>
              <w:t>M7–M9</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7B37F84C" w14:textId="77777777" w:rsidR="00653FC8" w:rsidRDefault="00653FC8" w:rsidP="00811385">
            <w:r>
              <w:rPr>
                <w:rFonts w:ascii="Arial" w:eastAsia="Arial" w:hAnsi="Arial" w:cs="Arial"/>
                <w:b/>
                <w:bCs/>
                <w:color w:val="FFFFFF"/>
                <w:sz w:val="14"/>
                <w:szCs w:val="14"/>
              </w:rPr>
              <w:t>M10–M12</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2D3D7572" w14:textId="77777777" w:rsidR="00653FC8" w:rsidRDefault="00653FC8" w:rsidP="00811385">
            <w:r>
              <w:rPr>
                <w:rFonts w:ascii="Arial" w:eastAsia="Arial" w:hAnsi="Arial" w:cs="Arial"/>
                <w:b/>
                <w:bCs/>
                <w:color w:val="FFFFFF"/>
                <w:sz w:val="14"/>
                <w:szCs w:val="14"/>
              </w:rPr>
              <w:t>M13–M15</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29CF5761" w14:textId="77777777" w:rsidR="00653FC8" w:rsidRDefault="00653FC8" w:rsidP="00811385">
            <w:r>
              <w:rPr>
                <w:rFonts w:ascii="Arial" w:eastAsia="Arial" w:hAnsi="Arial" w:cs="Arial"/>
                <w:b/>
                <w:bCs/>
                <w:color w:val="FFFFFF"/>
                <w:sz w:val="14"/>
                <w:szCs w:val="14"/>
              </w:rPr>
              <w:t>M16–M18</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1257EA39" w14:textId="77777777" w:rsidR="00653FC8" w:rsidRDefault="00653FC8" w:rsidP="00811385">
            <w:r>
              <w:rPr>
                <w:rFonts w:ascii="Arial" w:eastAsia="Arial" w:hAnsi="Arial" w:cs="Arial"/>
                <w:b/>
                <w:bCs/>
                <w:color w:val="FFFFFF"/>
                <w:sz w:val="14"/>
                <w:szCs w:val="14"/>
              </w:rPr>
              <w:t>M19–M21</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51C15935" w14:textId="77777777" w:rsidR="00653FC8" w:rsidRDefault="00653FC8" w:rsidP="00811385">
            <w:r>
              <w:rPr>
                <w:rFonts w:ascii="Arial" w:eastAsia="Arial" w:hAnsi="Arial" w:cs="Arial"/>
                <w:b/>
                <w:bCs/>
                <w:color w:val="FFFFFF"/>
                <w:sz w:val="14"/>
                <w:szCs w:val="14"/>
              </w:rPr>
              <w:t>M22–M24</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0188318E" w14:textId="77777777" w:rsidR="00653FC8" w:rsidRDefault="00653FC8" w:rsidP="00811385">
            <w:r>
              <w:rPr>
                <w:rFonts w:ascii="Arial" w:eastAsia="Arial" w:hAnsi="Arial" w:cs="Arial"/>
                <w:b/>
                <w:bCs/>
                <w:color w:val="FFFFFF"/>
                <w:sz w:val="14"/>
                <w:szCs w:val="14"/>
              </w:rPr>
              <w:t>M25–M27</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60E1CC42" w14:textId="77777777" w:rsidR="00653FC8" w:rsidRDefault="00653FC8" w:rsidP="00811385">
            <w:r>
              <w:rPr>
                <w:rFonts w:ascii="Arial" w:eastAsia="Arial" w:hAnsi="Arial" w:cs="Arial"/>
                <w:b/>
                <w:bCs/>
                <w:color w:val="FFFFFF"/>
                <w:sz w:val="14"/>
                <w:szCs w:val="14"/>
              </w:rPr>
              <w:t>M28–M30</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5165D83E" w14:textId="77777777" w:rsidR="00653FC8" w:rsidRDefault="00653FC8" w:rsidP="00811385">
            <w:r>
              <w:rPr>
                <w:rFonts w:ascii="Arial" w:eastAsia="Arial" w:hAnsi="Arial" w:cs="Arial"/>
                <w:b/>
                <w:bCs/>
                <w:color w:val="FFFFFF"/>
                <w:sz w:val="14"/>
                <w:szCs w:val="14"/>
              </w:rPr>
              <w:t>M31–M33</w:t>
            </w:r>
          </w:p>
        </w:tc>
        <w:tc>
          <w:tcPr>
            <w:tcW w:w="660" w:type="dxa"/>
            <w:tcBorders>
              <w:top w:val="single" w:sz="4" w:space="0" w:color="0F3460"/>
              <w:left w:val="single" w:sz="4" w:space="0" w:color="0F3460"/>
              <w:bottom w:val="single" w:sz="4" w:space="0" w:color="0F3460"/>
              <w:right w:val="single" w:sz="4" w:space="0" w:color="0F3460"/>
            </w:tcBorders>
            <w:shd w:val="clear" w:color="auto" w:fill="0F3460"/>
            <w:tcMar>
              <w:top w:w="80" w:type="dxa"/>
              <w:left w:w="120" w:type="dxa"/>
              <w:bottom w:w="80" w:type="dxa"/>
              <w:right w:w="120" w:type="dxa"/>
            </w:tcMar>
          </w:tcPr>
          <w:p w14:paraId="4B25A6C7" w14:textId="77777777" w:rsidR="00653FC8" w:rsidRDefault="00653FC8" w:rsidP="00811385">
            <w:r>
              <w:rPr>
                <w:rFonts w:ascii="Arial" w:eastAsia="Arial" w:hAnsi="Arial" w:cs="Arial"/>
                <w:b/>
                <w:bCs/>
                <w:color w:val="FFFFFF"/>
                <w:sz w:val="14"/>
                <w:szCs w:val="14"/>
              </w:rPr>
              <w:t>M34–M36</w:t>
            </w:r>
          </w:p>
        </w:tc>
      </w:tr>
      <w:tr w:rsidR="00653FC8" w14:paraId="1C2D7575"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120" w:type="dxa"/>
              <w:bottom w:w="60" w:type="dxa"/>
              <w:right w:w="60" w:type="dxa"/>
            </w:tcMar>
          </w:tcPr>
          <w:p w14:paraId="756B79B1" w14:textId="77777777" w:rsidR="00653FC8" w:rsidRDefault="00653FC8" w:rsidP="00811385">
            <w:r>
              <w:rPr>
                <w:rFonts w:ascii="Arial" w:eastAsia="Arial" w:hAnsi="Arial" w:cs="Arial"/>
                <w:sz w:val="16"/>
                <w:szCs w:val="16"/>
              </w:rPr>
              <w:t>Phase 1: Literature Review &amp; Study Design</w:t>
            </w:r>
          </w:p>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37287D9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276751FE"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41C136F8"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2C669CB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7795E88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D07302E"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27D02F2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78ADA7DB"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390D81B5"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5635CE0D"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692EA5A2"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3D951AAF" w14:textId="77777777" w:rsidR="00653FC8" w:rsidRDefault="00653FC8" w:rsidP="00811385"/>
        </w:tc>
      </w:tr>
      <w:tr w:rsidR="00653FC8" w14:paraId="6DC2402F"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120" w:type="dxa"/>
              <w:bottom w:w="60" w:type="dxa"/>
              <w:right w:w="60" w:type="dxa"/>
            </w:tcMar>
          </w:tcPr>
          <w:p w14:paraId="16FFC0BB" w14:textId="77777777" w:rsidR="00653FC8" w:rsidRDefault="00653FC8" w:rsidP="00811385">
            <w:r>
              <w:rPr>
                <w:rFonts w:ascii="Arial" w:eastAsia="Arial" w:hAnsi="Arial" w:cs="Arial"/>
                <w:sz w:val="16"/>
                <w:szCs w:val="16"/>
              </w:rPr>
              <w:t>Material Procurement &amp; Pre-treatment</w:t>
            </w:r>
          </w:p>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6C917463"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232AEB7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4098AEB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3C7384F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36BFB89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741944AE"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086CC086"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4F228B2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7B41330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0F4F87E9"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791DAC9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027215FD" w14:textId="77777777" w:rsidR="00653FC8" w:rsidRDefault="00653FC8" w:rsidP="00811385"/>
        </w:tc>
      </w:tr>
      <w:tr w:rsidR="00653FC8" w14:paraId="4115F864"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120" w:type="dxa"/>
              <w:bottom w:w="60" w:type="dxa"/>
              <w:right w:w="60" w:type="dxa"/>
            </w:tcMar>
          </w:tcPr>
          <w:p w14:paraId="50252A89" w14:textId="77777777" w:rsidR="00653FC8" w:rsidRDefault="00653FC8" w:rsidP="00811385">
            <w:r>
              <w:rPr>
                <w:rFonts w:ascii="Arial" w:eastAsia="Arial" w:hAnsi="Arial" w:cs="Arial"/>
                <w:sz w:val="16"/>
                <w:szCs w:val="16"/>
              </w:rPr>
              <w:t>Phase 1: Material Characterisation (XRF/XRD/SEM)</w:t>
            </w:r>
          </w:p>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3CDDA40F"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1DEBA892"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74AEA9B3"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6BB12ED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075FB16D"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7D264DAE"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17EF70F"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3ED8D53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1F776B01"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350D3A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0ED4F37B"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1A8D7D8B" w14:textId="77777777" w:rsidR="00653FC8" w:rsidRDefault="00653FC8" w:rsidP="00811385"/>
        </w:tc>
      </w:tr>
      <w:tr w:rsidR="00653FC8" w14:paraId="6D12116B"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120" w:type="dxa"/>
              <w:bottom w:w="60" w:type="dxa"/>
              <w:right w:w="60" w:type="dxa"/>
            </w:tcMar>
          </w:tcPr>
          <w:p w14:paraId="02E6E554" w14:textId="77777777" w:rsidR="00653FC8" w:rsidRDefault="00653FC8" w:rsidP="00811385">
            <w:r>
              <w:rPr>
                <w:rFonts w:ascii="Arial" w:eastAsia="Arial" w:hAnsi="Arial" w:cs="Arial"/>
                <w:sz w:val="16"/>
                <w:szCs w:val="16"/>
              </w:rPr>
              <w:t>Control Mix Design &amp; Calibration</w:t>
            </w:r>
          </w:p>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6EF8888D"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4F9B7C8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1B059985"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40DF3F8F"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4F962C49"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4F2DD678"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2C898D4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33FE259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37F556FE"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5A172424"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44D2591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54AF8870" w14:textId="77777777" w:rsidR="00653FC8" w:rsidRDefault="00653FC8" w:rsidP="00811385"/>
        </w:tc>
      </w:tr>
      <w:tr w:rsidR="00653FC8" w14:paraId="17067A5A"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120" w:type="dxa"/>
              <w:bottom w:w="60" w:type="dxa"/>
              <w:right w:w="60" w:type="dxa"/>
            </w:tcMar>
          </w:tcPr>
          <w:p w14:paraId="693322D1" w14:textId="77777777" w:rsidR="00653FC8" w:rsidRDefault="00653FC8" w:rsidP="00811385">
            <w:r>
              <w:rPr>
                <w:rFonts w:ascii="Arial" w:eastAsia="Arial" w:hAnsi="Arial" w:cs="Arial"/>
                <w:sz w:val="16"/>
                <w:szCs w:val="16"/>
              </w:rPr>
              <w:t>Phase 2: Individual Replacement Testing</w:t>
            </w:r>
          </w:p>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69CB89F5"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0787AA2"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690571A4"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10E583C9"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4FFD7C6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4A995E38"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78C06108"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0757762E"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15D895E"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3C6BC001"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0CB1AC93"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17363E73" w14:textId="77777777" w:rsidR="00653FC8" w:rsidRDefault="00653FC8" w:rsidP="00811385"/>
        </w:tc>
      </w:tr>
      <w:tr w:rsidR="00653FC8" w14:paraId="4ECC4AD9"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120" w:type="dxa"/>
              <w:bottom w:w="60" w:type="dxa"/>
              <w:right w:w="60" w:type="dxa"/>
            </w:tcMar>
          </w:tcPr>
          <w:p w14:paraId="6E90877D" w14:textId="77777777" w:rsidR="00653FC8" w:rsidRDefault="00653FC8" w:rsidP="00811385">
            <w:r>
              <w:rPr>
                <w:rFonts w:ascii="Arial" w:eastAsia="Arial" w:hAnsi="Arial" w:cs="Arial"/>
                <w:sz w:val="16"/>
                <w:szCs w:val="16"/>
              </w:rPr>
              <w:t>Phase 2: Hybrid CSP–RBP Mix Testing</w:t>
            </w:r>
          </w:p>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39AABA7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65C09BBB"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292344B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49106DB5"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164DA64D"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3BF1A0E1"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3FB5A776"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36E63DE6"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39E166D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1733081F"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1BCB41B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5FA4C2A6" w14:textId="77777777" w:rsidR="00653FC8" w:rsidRDefault="00653FC8" w:rsidP="00811385"/>
        </w:tc>
      </w:tr>
      <w:tr w:rsidR="00653FC8" w14:paraId="6A47D1A1"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120" w:type="dxa"/>
              <w:bottom w:w="60" w:type="dxa"/>
              <w:right w:w="60" w:type="dxa"/>
            </w:tcMar>
          </w:tcPr>
          <w:p w14:paraId="0E6039EE" w14:textId="77777777" w:rsidR="00653FC8" w:rsidRDefault="00653FC8" w:rsidP="00811385">
            <w:r>
              <w:rPr>
                <w:rFonts w:ascii="Arial" w:eastAsia="Arial" w:hAnsi="Arial" w:cs="Arial"/>
                <w:sz w:val="16"/>
                <w:szCs w:val="16"/>
              </w:rPr>
              <w:t>Phase 2: Optimisation &amp; Repeat Trials</w:t>
            </w:r>
          </w:p>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1C9B23C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06B915C4"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0584ACB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DE297E9"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08EA9EA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2BD58B25"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3A47C47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6E47C6C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52A225DF"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3193CAD5"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0DD919A9"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5CBA186C" w14:textId="77777777" w:rsidR="00653FC8" w:rsidRDefault="00653FC8" w:rsidP="00811385"/>
        </w:tc>
      </w:tr>
      <w:tr w:rsidR="00653FC8" w14:paraId="6E737660"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120" w:type="dxa"/>
              <w:bottom w:w="60" w:type="dxa"/>
              <w:right w:w="60" w:type="dxa"/>
            </w:tcMar>
          </w:tcPr>
          <w:p w14:paraId="60420AFE" w14:textId="77777777" w:rsidR="00653FC8" w:rsidRDefault="00653FC8" w:rsidP="00811385">
            <w:r>
              <w:rPr>
                <w:rFonts w:ascii="Arial" w:eastAsia="Arial" w:hAnsi="Arial" w:cs="Arial"/>
                <w:sz w:val="16"/>
                <w:szCs w:val="16"/>
              </w:rPr>
              <w:t>Phase 3: Durability Testing (Water/Cl/CO₂)</w:t>
            </w:r>
          </w:p>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60AC95A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57F515C8"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705180C1"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01C569E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0D7D355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177308D9"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33271B9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7E5A3084"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65042EC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6C83D884"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191637B1"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04633EF9" w14:textId="77777777" w:rsidR="00653FC8" w:rsidRDefault="00653FC8" w:rsidP="00811385"/>
        </w:tc>
      </w:tr>
      <w:tr w:rsidR="00653FC8" w14:paraId="4E47C37B"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120" w:type="dxa"/>
              <w:bottom w:w="60" w:type="dxa"/>
              <w:right w:w="60" w:type="dxa"/>
            </w:tcMar>
          </w:tcPr>
          <w:p w14:paraId="5E912940" w14:textId="77777777" w:rsidR="00653FC8" w:rsidRDefault="00653FC8" w:rsidP="00811385">
            <w:r>
              <w:rPr>
                <w:rFonts w:ascii="Arial" w:eastAsia="Arial" w:hAnsi="Arial" w:cs="Arial"/>
                <w:sz w:val="16"/>
                <w:szCs w:val="16"/>
              </w:rPr>
              <w:t>Phase 3: Life-Cycle CO₂ &amp; Cost Analysis</w:t>
            </w:r>
          </w:p>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01E85724"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963C03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12D1EA68"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1A1A5BE5"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004417F1"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F57316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5F0FD0E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7CCE1FE1"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0AAA0582"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37A20EFD"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5F25D3AE"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93696E6" w14:textId="77777777" w:rsidR="00653FC8" w:rsidRDefault="00653FC8" w:rsidP="00811385"/>
        </w:tc>
      </w:tr>
      <w:tr w:rsidR="00653FC8" w14:paraId="2FF3F20D"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120" w:type="dxa"/>
              <w:bottom w:w="60" w:type="dxa"/>
              <w:right w:w="60" w:type="dxa"/>
            </w:tcMar>
          </w:tcPr>
          <w:p w14:paraId="32231BED" w14:textId="77777777" w:rsidR="00653FC8" w:rsidRDefault="00653FC8" w:rsidP="00811385">
            <w:r>
              <w:rPr>
                <w:rFonts w:ascii="Arial" w:eastAsia="Arial" w:hAnsi="Arial" w:cs="Arial"/>
                <w:sz w:val="16"/>
                <w:szCs w:val="16"/>
              </w:rPr>
              <w:t>Data Analysis &amp; Statistical Processing</w:t>
            </w:r>
          </w:p>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07F32F9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17746056"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66A07F7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36479363"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72EE008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2F97F4EB"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739BB129"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36E87146"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0E4E5C2E"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6F330AB4"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142E8BD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58B8431F" w14:textId="77777777" w:rsidR="00653FC8" w:rsidRDefault="00653FC8" w:rsidP="00811385"/>
        </w:tc>
      </w:tr>
      <w:tr w:rsidR="00653FC8" w14:paraId="7F4C53DE"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120" w:type="dxa"/>
              <w:bottom w:w="60" w:type="dxa"/>
              <w:right w:w="60" w:type="dxa"/>
            </w:tcMar>
          </w:tcPr>
          <w:p w14:paraId="3C99A4E1" w14:textId="77777777" w:rsidR="00653FC8" w:rsidRDefault="00653FC8" w:rsidP="00811385">
            <w:r>
              <w:rPr>
                <w:rFonts w:ascii="Arial" w:eastAsia="Arial" w:hAnsi="Arial" w:cs="Arial"/>
                <w:sz w:val="16"/>
                <w:szCs w:val="16"/>
              </w:rPr>
              <w:t>Paper Writing &amp; Conference Submission</w:t>
            </w:r>
          </w:p>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6D572281"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2D395BD"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A245CA2"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70029F0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2F9C744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20260823"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6E12E49A"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65D8E97F"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3F4F6"/>
            <w:tcMar>
              <w:top w:w="60" w:type="dxa"/>
              <w:left w:w="0" w:type="dxa"/>
              <w:bottom w:w="60" w:type="dxa"/>
              <w:right w:w="0" w:type="dxa"/>
            </w:tcMar>
          </w:tcPr>
          <w:p w14:paraId="4D828939"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23D7329D"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11BD81E3"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2E2C9491" w14:textId="77777777" w:rsidR="00653FC8" w:rsidRDefault="00653FC8" w:rsidP="00811385"/>
        </w:tc>
      </w:tr>
      <w:tr w:rsidR="00653FC8" w14:paraId="11D981BA" w14:textId="77777777" w:rsidTr="00811385">
        <w:tc>
          <w:tcPr>
            <w:tcW w:w="10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120" w:type="dxa"/>
              <w:bottom w:w="60" w:type="dxa"/>
              <w:right w:w="60" w:type="dxa"/>
            </w:tcMar>
          </w:tcPr>
          <w:p w14:paraId="2E3A59A5" w14:textId="77777777" w:rsidR="00653FC8" w:rsidRDefault="00653FC8" w:rsidP="00811385">
            <w:r>
              <w:rPr>
                <w:rFonts w:ascii="Arial" w:eastAsia="Arial" w:hAnsi="Arial" w:cs="Arial"/>
                <w:sz w:val="16"/>
                <w:szCs w:val="16"/>
              </w:rPr>
              <w:t>Thesis Write-Up &amp; Submission</w:t>
            </w:r>
          </w:p>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0F8DDB4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5022A99B"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5CD18596"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6CFEA302"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7FC0638E"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12B84B14"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432507EC"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7EADB169"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687C10B0"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FFFFFF"/>
            <w:tcMar>
              <w:top w:w="60" w:type="dxa"/>
              <w:left w:w="0" w:type="dxa"/>
              <w:bottom w:w="60" w:type="dxa"/>
              <w:right w:w="0" w:type="dxa"/>
            </w:tcMar>
          </w:tcPr>
          <w:p w14:paraId="7A992067"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5F7D01E8" w14:textId="77777777" w:rsidR="00653FC8" w:rsidRDefault="00653FC8" w:rsidP="00811385"/>
        </w:tc>
        <w:tc>
          <w:tcPr>
            <w:tcW w:w="660" w:type="dxa"/>
            <w:tcBorders>
              <w:top w:val="single" w:sz="4" w:space="0" w:color="E5E7EB"/>
              <w:left w:val="single" w:sz="4" w:space="0" w:color="E5E7EB"/>
              <w:bottom w:val="single" w:sz="4" w:space="0" w:color="E5E7EB"/>
              <w:right w:val="single" w:sz="4" w:space="0" w:color="E5E7EB"/>
            </w:tcBorders>
            <w:shd w:val="clear" w:color="auto" w:fill="0D7377"/>
            <w:tcMar>
              <w:top w:w="60" w:type="dxa"/>
              <w:left w:w="0" w:type="dxa"/>
              <w:bottom w:w="60" w:type="dxa"/>
              <w:right w:w="0" w:type="dxa"/>
            </w:tcMar>
          </w:tcPr>
          <w:p w14:paraId="59BF1019" w14:textId="77777777" w:rsidR="00653FC8" w:rsidRDefault="00653FC8" w:rsidP="00811385"/>
        </w:tc>
      </w:tr>
    </w:tbl>
    <w:p w14:paraId="60526C99" w14:textId="77777777" w:rsidR="00653FC8" w:rsidRDefault="00653FC8" w:rsidP="00653FC8">
      <w:pPr>
        <w:spacing w:before="100" w:after="60" w:line="360" w:lineRule="auto"/>
        <w:jc w:val="both"/>
      </w:pPr>
      <w:r>
        <w:lastRenderedPageBreak/>
        <w:t>Table 1: Proposed Research Gantt Chart (36 months). Teal cells indicate active project phases. Each row represents a primary research activity; overlapping phases reflect the parallel nature of ongoing testing and analysis.</w:t>
      </w:r>
    </w:p>
    <w:p w14:paraId="551D13FB" w14:textId="77777777" w:rsidR="00653FC8" w:rsidRDefault="00653FC8" w:rsidP="00653FC8">
      <w:pPr>
        <w:spacing w:before="100"/>
      </w:pPr>
    </w:p>
    <w:p w14:paraId="57945B53" w14:textId="77777777" w:rsidR="00653FC8" w:rsidRDefault="00653FC8" w:rsidP="00653FC8">
      <w:r>
        <w:br w:type="page"/>
      </w:r>
    </w:p>
    <w:p w14:paraId="71806281" w14:textId="77777777" w:rsidR="00653FC8" w:rsidRDefault="00653FC8" w:rsidP="00653FC8">
      <w:pPr>
        <w:pBdr>
          <w:bottom w:val="single" w:sz="4" w:space="0" w:color="0D7377"/>
        </w:pBdr>
        <w:spacing w:after="240"/>
      </w:pPr>
      <w:r>
        <w:rPr>
          <w:rFonts w:ascii="Arial" w:eastAsia="Arial" w:hAnsi="Arial" w:cs="Arial"/>
          <w:b/>
          <w:bCs/>
          <w:color w:val="0F3460"/>
          <w:sz w:val="30"/>
          <w:szCs w:val="30"/>
        </w:rPr>
        <w:lastRenderedPageBreak/>
        <w:t>References</w:t>
      </w:r>
    </w:p>
    <w:p w14:paraId="654FE985" w14:textId="77777777" w:rsidR="00653FC8" w:rsidRDefault="00653FC8" w:rsidP="00653FC8">
      <w:pPr>
        <w:spacing w:before="60" w:after="60" w:line="320" w:lineRule="auto"/>
        <w:ind w:left="720" w:hanging="720"/>
        <w:jc w:val="both"/>
      </w:pPr>
      <w:r>
        <w:rPr>
          <w:sz w:val="20"/>
          <w:szCs w:val="20"/>
        </w:rPr>
        <w:t>Afroughsabet, V., Geng, G., Lin, A., Biolzi, L., Ostertag, C.P. and Monteiro, P.J.M. (2019) 'The influence of expansive cement on the mechanical, physical, and microstructural properties of hybrid-fiber-reinforced concrete', Cement and Concrete Composites, 96, pp. 21–32. doi: 10.1016/j.cemconcomp.2018.11.012</w:t>
      </w:r>
    </w:p>
    <w:p w14:paraId="45BE7A7E" w14:textId="77777777" w:rsidR="00653FC8" w:rsidRDefault="00653FC8" w:rsidP="00653FC8">
      <w:pPr>
        <w:spacing w:before="60" w:after="60" w:line="320" w:lineRule="auto"/>
        <w:ind w:left="720" w:hanging="720"/>
        <w:jc w:val="both"/>
      </w:pPr>
      <w:r>
        <w:rPr>
          <w:sz w:val="20"/>
          <w:szCs w:val="20"/>
        </w:rPr>
        <w:t>Aliabdo, A.A., Abd Elmoaty, A.E.M. and Fawzy, A.M. (2014) 'Experimental investigation on the properties of recycled concrete using brick waste', Construction and Building Materials, 50, pp. 90–100. doi: 10.1016/j.conbuildmat.2013.09.017</w:t>
      </w:r>
    </w:p>
    <w:p w14:paraId="376E122F" w14:textId="77777777" w:rsidR="00653FC8" w:rsidRDefault="00653FC8" w:rsidP="00653FC8">
      <w:pPr>
        <w:spacing w:before="60" w:after="60" w:line="320" w:lineRule="auto"/>
        <w:ind w:left="720" w:hanging="720"/>
        <w:jc w:val="both"/>
      </w:pPr>
      <w:r>
        <w:rPr>
          <w:sz w:val="20"/>
          <w:szCs w:val="20"/>
        </w:rPr>
        <w:t>Al-Zubaidi, A.B., Abass, R.U. and Al-tabbakh, A.A. (2015) 'Mechanical and thermal properties of cockles shell cementing material', Iraqi Journal of Physics, 13(26), pp. 107–111.</w:t>
      </w:r>
    </w:p>
    <w:p w14:paraId="14BC69D2" w14:textId="77777777" w:rsidR="00653FC8" w:rsidRDefault="00653FC8" w:rsidP="00653FC8">
      <w:pPr>
        <w:spacing w:before="60" w:after="60" w:line="320" w:lineRule="auto"/>
        <w:ind w:left="720" w:hanging="720"/>
        <w:jc w:val="both"/>
      </w:pPr>
      <w:r>
        <w:rPr>
          <w:sz w:val="20"/>
          <w:szCs w:val="20"/>
        </w:rPr>
        <w:t>Awang Junaidi, A., Abu Bakar Zakaria, Md Zuki, Mohamed Mustapha, N., Abu Jalila and Yusof, N. (2007) 'Mineral composition of the cockle (Anadara granosa) shells of West Coast of Peninsular Malaysia and its potential as biomaterial for use in bone repair', UPM Institutional Repository, 6(5), pp. 591–594.</w:t>
      </w:r>
    </w:p>
    <w:p w14:paraId="1B34617A" w14:textId="77777777" w:rsidR="00653FC8" w:rsidRDefault="00653FC8" w:rsidP="00653FC8">
      <w:pPr>
        <w:spacing w:before="60" w:after="60" w:line="320" w:lineRule="auto"/>
        <w:ind w:left="720" w:hanging="720"/>
        <w:jc w:val="both"/>
      </w:pPr>
      <w:r>
        <w:rPr>
          <w:sz w:val="20"/>
          <w:szCs w:val="20"/>
        </w:rPr>
        <w:t>Carss, D.N., Brito, A.C., Chainho, P., Ciutat, A., de Montaudouin, X. and Jones, L. (2020) 'Ecosystem services provided by a non-cultured shellfish species: The common cockle Cerastoderma edule', Marine Environmental Research, 158, 104931. doi: 10.1016/j.marenvres.2020.104931</w:t>
      </w:r>
    </w:p>
    <w:p w14:paraId="438C4409" w14:textId="77777777" w:rsidR="00653FC8" w:rsidRDefault="00653FC8" w:rsidP="00653FC8">
      <w:pPr>
        <w:spacing w:before="60" w:after="60" w:line="320" w:lineRule="auto"/>
        <w:ind w:left="720" w:hanging="720"/>
        <w:jc w:val="both"/>
      </w:pPr>
      <w:r>
        <w:rPr>
          <w:sz w:val="20"/>
          <w:szCs w:val="20"/>
        </w:rPr>
        <w:t>De Brito, L.P.V., de Figueiredo, A.D., Moriggi, T. and John, V.M. (2019) 'Waste generation from the production of ready-mixed concrete', Waste Management, 94, pp. 146–152. doi: 10.1016/j.wasman.2019.05.043</w:t>
      </w:r>
    </w:p>
    <w:p w14:paraId="771AE861" w14:textId="77777777" w:rsidR="00653FC8" w:rsidRDefault="00653FC8" w:rsidP="00653FC8">
      <w:pPr>
        <w:spacing w:before="60" w:after="60" w:line="320" w:lineRule="auto"/>
        <w:ind w:left="720" w:hanging="720"/>
        <w:jc w:val="both"/>
      </w:pPr>
      <w:r>
        <w:rPr>
          <w:sz w:val="20"/>
          <w:szCs w:val="20"/>
        </w:rPr>
        <w:t>Defra (2022) UK Statistics on Waste. London: Department for Environment, Food &amp; Rural Affairs. Available at: https://www.gov.uk/government/statistics/uk-waste-data (Accessed: 1 March 2025).</w:t>
      </w:r>
    </w:p>
    <w:p w14:paraId="5E51CCA5" w14:textId="77777777" w:rsidR="00653FC8" w:rsidRDefault="00653FC8" w:rsidP="00653FC8">
      <w:pPr>
        <w:spacing w:before="60" w:after="60" w:line="320" w:lineRule="auto"/>
        <w:ind w:left="720" w:hanging="720"/>
        <w:jc w:val="both"/>
      </w:pPr>
      <w:r>
        <w:rPr>
          <w:sz w:val="20"/>
          <w:szCs w:val="20"/>
        </w:rPr>
        <w:t>FAO (2019) Fishery and Aquaculture Statistics. Rome: Food and Agriculture Organization of the United Nations. Available at: http://www.fao.org/fishery/statistics/en (Accessed: 1 March 2025).</w:t>
      </w:r>
    </w:p>
    <w:p w14:paraId="0324B614" w14:textId="77777777" w:rsidR="00653FC8" w:rsidRDefault="00653FC8" w:rsidP="00653FC8">
      <w:pPr>
        <w:spacing w:before="60" w:after="60" w:line="320" w:lineRule="auto"/>
        <w:ind w:left="720" w:hanging="720"/>
        <w:jc w:val="both"/>
      </w:pPr>
      <w:r>
        <w:rPr>
          <w:sz w:val="20"/>
          <w:szCs w:val="20"/>
        </w:rPr>
        <w:t>Hazurina, N.O.R., Bakar, A.B.U., Johari, M. and Don, M.A.T. (2013) 'Potential Use of Cockle (Anadara granosa) Shell Ash as Partial Cement Replacement in Concrete', AWAM International Conference on Civil Engineering and Geohazard Information Zonation, pp. 369–376.</w:t>
      </w:r>
    </w:p>
    <w:p w14:paraId="3269D277" w14:textId="77777777" w:rsidR="00653FC8" w:rsidRDefault="00653FC8" w:rsidP="00653FC8">
      <w:pPr>
        <w:spacing w:before="60" w:after="60" w:line="320" w:lineRule="auto"/>
        <w:ind w:left="720" w:hanging="720"/>
        <w:jc w:val="both"/>
      </w:pPr>
      <w:r>
        <w:rPr>
          <w:sz w:val="20"/>
          <w:szCs w:val="20"/>
        </w:rPr>
        <w:t>HSE (2020) COSHH Essentials: Workplace Exposure Limits. Sudbury: Health and Safety Executive. Available at: https://www.hse.gov.uk/coshh (Accessed: 1 March 2025).</w:t>
      </w:r>
    </w:p>
    <w:p w14:paraId="20BBF7BA" w14:textId="77777777" w:rsidR="00653FC8" w:rsidRDefault="00653FC8" w:rsidP="00653FC8">
      <w:pPr>
        <w:spacing w:before="60" w:after="60" w:line="320" w:lineRule="auto"/>
        <w:ind w:left="720" w:hanging="720"/>
        <w:jc w:val="both"/>
      </w:pPr>
      <w:r>
        <w:rPr>
          <w:sz w:val="20"/>
          <w:szCs w:val="20"/>
        </w:rPr>
        <w:t>IEA (2019) Direct CO₂ Intensity of Cement in the Sustainable Development Scenario, 2014–2030. Paris: International Energy Agency. Available at: https://www.iea.org/reports/cement (Accessed: 1 March 2025).</w:t>
      </w:r>
    </w:p>
    <w:p w14:paraId="661B528A" w14:textId="77777777" w:rsidR="00653FC8" w:rsidRDefault="00653FC8" w:rsidP="00653FC8">
      <w:pPr>
        <w:spacing w:before="60" w:after="60" w:line="320" w:lineRule="auto"/>
        <w:ind w:left="720" w:hanging="720"/>
        <w:jc w:val="both"/>
      </w:pPr>
      <w:r>
        <w:rPr>
          <w:sz w:val="20"/>
          <w:szCs w:val="20"/>
        </w:rPr>
        <w:t>Kumar, P.S., Kumar, C.S., Yuvaraj, P., Kumar, B.M. and Mohan, E.K.J. (2016) 'A Partial Replacement for Coarse Aggregate by Sea Shell and Cement by Lime in Concrete', Imperial Journal of Interdisciplinary Research, 2(5), pp. 1131–1136.</w:t>
      </w:r>
    </w:p>
    <w:p w14:paraId="413A6C46" w14:textId="77777777" w:rsidR="00653FC8" w:rsidRDefault="00653FC8" w:rsidP="00653FC8">
      <w:pPr>
        <w:spacing w:before="60" w:after="60" w:line="320" w:lineRule="auto"/>
        <w:ind w:left="720" w:hanging="720"/>
        <w:jc w:val="both"/>
      </w:pPr>
      <w:r>
        <w:rPr>
          <w:sz w:val="20"/>
          <w:szCs w:val="20"/>
        </w:rPr>
        <w:t>Lavat, A.E., Trezza, M.A. and Poggi, M. (2009) 'Characterization of ceramic roof tile wastes as a pozzolanic admixture', Waste Management, 29(5), pp. 1666–1674. doi: 10.1016/j.wasman.2009.01.016</w:t>
      </w:r>
    </w:p>
    <w:p w14:paraId="795881BB" w14:textId="77777777" w:rsidR="00653FC8" w:rsidRDefault="00653FC8" w:rsidP="00653FC8">
      <w:pPr>
        <w:spacing w:before="60" w:after="60" w:line="320" w:lineRule="auto"/>
        <w:ind w:left="720" w:hanging="720"/>
        <w:jc w:val="both"/>
      </w:pPr>
      <w:r>
        <w:rPr>
          <w:sz w:val="20"/>
          <w:szCs w:val="20"/>
        </w:rPr>
        <w:t>Lertwattanaruk, P., Makul, N. and Siripattarapravat, C. (2012) 'Utilization of ground waste seashells in cement mortars for masonry and plastering', Journal of Environmental Management, 111, pp. 133–141. doi: 10.1016/j.jenvman.2012.06.032</w:t>
      </w:r>
    </w:p>
    <w:p w14:paraId="5375EE00" w14:textId="77777777" w:rsidR="00653FC8" w:rsidRDefault="00653FC8" w:rsidP="00653FC8">
      <w:pPr>
        <w:spacing w:before="60" w:after="60" w:line="320" w:lineRule="auto"/>
        <w:ind w:left="720" w:hanging="720"/>
        <w:jc w:val="both"/>
      </w:pPr>
      <w:r>
        <w:rPr>
          <w:sz w:val="20"/>
          <w:szCs w:val="20"/>
        </w:rPr>
        <w:t>Lothenbach, B., Scrivener, K. and Hooton, R.D. (2011) 'Supplementary cementitious materials', Cement and Concrete Research, 41(7), pp. 714–733. doi: 10.1016/j.cemconres.2010.12.001</w:t>
      </w:r>
    </w:p>
    <w:p w14:paraId="6E3854A2" w14:textId="77777777" w:rsidR="00653FC8" w:rsidRDefault="00653FC8" w:rsidP="00653FC8">
      <w:pPr>
        <w:spacing w:before="60" w:after="60" w:line="320" w:lineRule="auto"/>
        <w:ind w:left="720" w:hanging="720"/>
        <w:jc w:val="both"/>
      </w:pPr>
      <w:r>
        <w:rPr>
          <w:sz w:val="20"/>
          <w:szCs w:val="20"/>
        </w:rPr>
        <w:t>MHCLG (2019) English Housing Survey: Stock Profile. London: Ministry of Housing, Communities and Local Government.</w:t>
      </w:r>
    </w:p>
    <w:p w14:paraId="0213B481" w14:textId="77777777" w:rsidR="00653FC8" w:rsidRDefault="00653FC8" w:rsidP="00653FC8">
      <w:pPr>
        <w:spacing w:before="60" w:after="60" w:line="320" w:lineRule="auto"/>
        <w:ind w:left="720" w:hanging="720"/>
        <w:jc w:val="both"/>
      </w:pPr>
      <w:r>
        <w:rPr>
          <w:sz w:val="20"/>
          <w:szCs w:val="20"/>
        </w:rPr>
        <w:lastRenderedPageBreak/>
        <w:t>Mo, K.H., Alengaram, U.J., Jumaat, M.Z., Yap, S.P. and Lee, S.C. (2016) 'Green concrete partially comprised of farming waste residues: a review', Journal of Cleaner Production, 117, pp. 122–138. doi: 10.1016/j.jclepro.2016.01.022</w:t>
      </w:r>
    </w:p>
    <w:p w14:paraId="490070D6" w14:textId="77777777" w:rsidR="00653FC8" w:rsidRDefault="00653FC8" w:rsidP="00653FC8">
      <w:pPr>
        <w:spacing w:before="60" w:after="60" w:line="320" w:lineRule="auto"/>
        <w:ind w:left="720" w:hanging="720"/>
        <w:jc w:val="both"/>
      </w:pPr>
      <w:r>
        <w:rPr>
          <w:sz w:val="20"/>
          <w:szCs w:val="20"/>
        </w:rPr>
        <w:t>Mohamed, M., Yousuf, S. and Maitra, S. (2012) 'Decomposition study of calcium carbonate in cockle shell', Journal of Engineering Science and Technology, 7(1), pp. 1–10.</w:t>
      </w:r>
    </w:p>
    <w:p w14:paraId="30F58F85" w14:textId="77777777" w:rsidR="00653FC8" w:rsidRDefault="00653FC8" w:rsidP="00653FC8">
      <w:pPr>
        <w:spacing w:before="60" w:after="60" w:line="320" w:lineRule="auto"/>
        <w:ind w:left="720" w:hanging="720"/>
        <w:jc w:val="both"/>
      </w:pPr>
      <w:r>
        <w:rPr>
          <w:sz w:val="20"/>
          <w:szCs w:val="20"/>
        </w:rPr>
        <w:t>Mohamad, N., Muthusamy, K. and Ismail, M.A. (2021) 'Cockle Shell as Mixing Ingredient in Concrete: A Review', Construction, 1(2), pp. 9–20. doi: 10.15282/cons.v1i2.6503</w:t>
      </w:r>
    </w:p>
    <w:p w14:paraId="578FC0A0" w14:textId="77777777" w:rsidR="00653FC8" w:rsidRDefault="00653FC8" w:rsidP="00653FC8">
      <w:pPr>
        <w:spacing w:before="60" w:after="60" w:line="320" w:lineRule="auto"/>
        <w:ind w:left="720" w:hanging="720"/>
        <w:jc w:val="both"/>
      </w:pPr>
      <w:r>
        <w:rPr>
          <w:sz w:val="20"/>
          <w:szCs w:val="20"/>
        </w:rPr>
        <w:t>MPA (2020) Concrete Sector Sustainability Performance Report 2020. London: Mineral Products Association. Available at: https://www.mineralproducts.org (Accessed: 1 March 2025).</w:t>
      </w:r>
    </w:p>
    <w:p w14:paraId="40DD95C3" w14:textId="77777777" w:rsidR="00653FC8" w:rsidRDefault="00653FC8" w:rsidP="00653FC8">
      <w:pPr>
        <w:spacing w:before="60" w:after="60" w:line="320" w:lineRule="auto"/>
        <w:ind w:left="720" w:hanging="720"/>
        <w:jc w:val="both"/>
      </w:pPr>
      <w:r>
        <w:rPr>
          <w:sz w:val="20"/>
          <w:szCs w:val="20"/>
        </w:rPr>
        <w:t>MMO (2021) UK Sea Fisheries Statistics 2020. Newcastle: Marine Management Organisation.</w:t>
      </w:r>
    </w:p>
    <w:p w14:paraId="0FC7394D" w14:textId="77777777" w:rsidR="00653FC8" w:rsidRDefault="00653FC8" w:rsidP="00653FC8">
      <w:pPr>
        <w:spacing w:before="60" w:after="60" w:line="320" w:lineRule="auto"/>
        <w:ind w:left="720" w:hanging="720"/>
        <w:jc w:val="both"/>
      </w:pPr>
      <w:r>
        <w:rPr>
          <w:sz w:val="20"/>
          <w:szCs w:val="20"/>
        </w:rPr>
        <w:t>Muthusamy, K., Sabri, N.A. and Razak, L.T. (2012) 'Cockle Shell: A Potential Partial Coarse Aggregate Replacement in Concrete', International Journal of Science, Environment and Technology, 1(4), pp. 260–267.</w:t>
      </w:r>
    </w:p>
    <w:p w14:paraId="68EE022E" w14:textId="77777777" w:rsidR="00653FC8" w:rsidRDefault="00653FC8" w:rsidP="00653FC8">
      <w:pPr>
        <w:spacing w:before="60" w:after="60" w:line="320" w:lineRule="auto"/>
        <w:ind w:left="720" w:hanging="720"/>
        <w:jc w:val="both"/>
      </w:pPr>
      <w:r>
        <w:rPr>
          <w:sz w:val="20"/>
          <w:szCs w:val="20"/>
        </w:rPr>
        <w:t>Neville, A.M. (2011) Properties of Concrete. 5th edn. Harlow: Pearson Education.</w:t>
      </w:r>
    </w:p>
    <w:p w14:paraId="0DD69C4B" w14:textId="77777777" w:rsidR="00653FC8" w:rsidRDefault="00653FC8" w:rsidP="00653FC8">
      <w:pPr>
        <w:spacing w:before="60" w:after="60" w:line="320" w:lineRule="auto"/>
        <w:ind w:left="720" w:hanging="720"/>
        <w:jc w:val="both"/>
      </w:pPr>
      <w:r>
        <w:rPr>
          <w:sz w:val="20"/>
          <w:szCs w:val="20"/>
        </w:rPr>
        <w:t>Olivia, M., Mifshella, A.A. and Darmayanti, L. (2015) 'Mechanical properties of seashell concrete', Procedia Engineering, 125, pp. 760–764. doi: 10.1016/j.proeng.2015.11.127</w:t>
      </w:r>
    </w:p>
    <w:p w14:paraId="7D36AD34" w14:textId="77777777" w:rsidR="00653FC8" w:rsidRDefault="00653FC8" w:rsidP="00653FC8">
      <w:pPr>
        <w:spacing w:before="60" w:after="60" w:line="320" w:lineRule="auto"/>
        <w:ind w:left="720" w:hanging="720"/>
        <w:jc w:val="both"/>
      </w:pPr>
      <w:r>
        <w:rPr>
          <w:sz w:val="20"/>
          <w:szCs w:val="20"/>
        </w:rPr>
        <w:t>Raju, P.M. and Siva, S. (2016) 'Compressive Strength of Concrete with Partial Replacement of Aggregates with Granite Powder and Cockle Shell', Malaysian Journal of Civil Engineering, 28(2). doi: 10.11113/mjce.v28n2.420</w:t>
      </w:r>
    </w:p>
    <w:p w14:paraId="359F9A6E" w14:textId="77777777" w:rsidR="00653FC8" w:rsidRDefault="00653FC8" w:rsidP="00653FC8">
      <w:pPr>
        <w:spacing w:before="60" w:after="60" w:line="320" w:lineRule="auto"/>
        <w:ind w:left="720" w:hanging="720"/>
        <w:jc w:val="both"/>
      </w:pPr>
      <w:r>
        <w:rPr>
          <w:sz w:val="20"/>
          <w:szCs w:val="20"/>
        </w:rPr>
        <w:t>Ramakrishna, B. and Sateesh, A. (2016) 'Exploratory study on the use of cockle shell as partial coarse and fine aggregate replacement in concrete', International Research Journal of Engineering and Technology, 3(6), pp. 2347–2349.</w:t>
      </w:r>
    </w:p>
    <w:p w14:paraId="46F42F39" w14:textId="77777777" w:rsidR="00653FC8" w:rsidRDefault="00653FC8" w:rsidP="00653FC8">
      <w:pPr>
        <w:spacing w:before="60" w:after="60" w:line="320" w:lineRule="auto"/>
        <w:ind w:left="720" w:hanging="720"/>
        <w:jc w:val="both"/>
      </w:pPr>
      <w:r>
        <w:rPr>
          <w:sz w:val="20"/>
          <w:szCs w:val="20"/>
        </w:rPr>
        <w:t>Rashad, A.M. (2016) 'Ceramic waste powder — an alternative cement material', Proceedings of the Institution of Civil Engineers - Construction Materials, 169(4). doi: 10.1680/jcoma.15.00030</w:t>
      </w:r>
    </w:p>
    <w:p w14:paraId="20C47F91" w14:textId="77777777" w:rsidR="00653FC8" w:rsidRDefault="00653FC8" w:rsidP="00653FC8">
      <w:pPr>
        <w:spacing w:before="60" w:after="60" w:line="320" w:lineRule="auto"/>
        <w:ind w:left="720" w:hanging="720"/>
        <w:jc w:val="both"/>
      </w:pPr>
      <w:r>
        <w:rPr>
          <w:sz w:val="20"/>
          <w:szCs w:val="20"/>
        </w:rPr>
        <w:t>Safi, B., Saidi, M., Daoui, A., Bellal, A., Mechekak, A. and Toumi, K. (2015) 'The use of seashells as a fine aggregate (by sand substitution) in self-compacting mortar (SCM)', Construction and Building Materials, 78, pp. 430–438. doi: 10.1016/j.conbuildmat.2015.01.009</w:t>
      </w:r>
    </w:p>
    <w:p w14:paraId="2D5E99B2" w14:textId="77777777" w:rsidR="00653FC8" w:rsidRDefault="00653FC8" w:rsidP="00653FC8">
      <w:pPr>
        <w:spacing w:before="60" w:after="60" w:line="320" w:lineRule="auto"/>
        <w:ind w:left="720" w:hanging="720"/>
        <w:jc w:val="both"/>
      </w:pPr>
      <w:r>
        <w:rPr>
          <w:sz w:val="20"/>
          <w:szCs w:val="20"/>
        </w:rPr>
        <w:t>Saunders, M., Lewis, P. and Thornhill, A. (2019) Research Methods for Business Students. 8th edn. Harlow: Pearson Education.</w:t>
      </w:r>
    </w:p>
    <w:p w14:paraId="213B0819" w14:textId="77777777" w:rsidR="00653FC8" w:rsidRDefault="00653FC8" w:rsidP="00653FC8">
      <w:pPr>
        <w:spacing w:before="60" w:after="60" w:line="320" w:lineRule="auto"/>
        <w:ind w:left="720" w:hanging="720"/>
        <w:jc w:val="both"/>
      </w:pPr>
      <w:r>
        <w:rPr>
          <w:sz w:val="20"/>
          <w:szCs w:val="20"/>
        </w:rPr>
        <w:t>Soltanzadeh, F., Emam-Jomeh, M., Edalat-Behbahani, A. and Soltan-Zadeh, Z. (2018) 'Development and characterization of blended cements containing seashell powder', Construction and Building Materials, 161, pp. 292–304. doi: 10.1016/j.conbuildmat.2017.11.111</w:t>
      </w:r>
    </w:p>
    <w:p w14:paraId="70B27707" w14:textId="77777777" w:rsidR="00653FC8" w:rsidRDefault="00653FC8" w:rsidP="00653FC8">
      <w:pPr>
        <w:spacing w:before="60" w:after="60" w:line="320" w:lineRule="auto"/>
        <w:ind w:left="720" w:hanging="720"/>
        <w:jc w:val="both"/>
      </w:pPr>
      <w:r>
        <w:rPr>
          <w:sz w:val="20"/>
          <w:szCs w:val="20"/>
        </w:rPr>
        <w:t>UKGBC (2021) Whole Life Carbon Roadmap: A Pathway to Net Zero for the UK Built Environment. London: UK Green Building Council. Available at: https://www.ukgbc.org (Accessed: 1 March 2025).</w:t>
      </w:r>
    </w:p>
    <w:p w14:paraId="098D407B" w14:textId="77777777" w:rsidR="00653FC8" w:rsidRDefault="00653FC8" w:rsidP="00653FC8">
      <w:pPr>
        <w:spacing w:before="60" w:after="60" w:line="320" w:lineRule="auto"/>
        <w:ind w:left="720" w:hanging="720"/>
        <w:jc w:val="both"/>
      </w:pPr>
      <w:r>
        <w:rPr>
          <w:sz w:val="20"/>
          <w:szCs w:val="20"/>
        </w:rPr>
        <w:t>UK Government (2021) Net Zero Strategy: Build Back Greener. London: HM Government.</w:t>
      </w:r>
    </w:p>
    <w:p w14:paraId="0AEF68C2" w14:textId="77777777" w:rsidR="00653FC8" w:rsidRDefault="00653FC8" w:rsidP="00653FC8">
      <w:pPr>
        <w:spacing w:before="60" w:after="60" w:line="320" w:lineRule="auto"/>
        <w:ind w:left="720" w:hanging="720"/>
        <w:jc w:val="both"/>
      </w:pPr>
      <w:r>
        <w:rPr>
          <w:sz w:val="20"/>
          <w:szCs w:val="20"/>
        </w:rPr>
        <w:t>WRAP (2019) Quantification of the Composition of Waste Arising from the Refurbishment, Demolition and Construction of Buildings in England. Banbury: Waste and Resources Action Programme.</w:t>
      </w:r>
    </w:p>
    <w:p w14:paraId="3287C964" w14:textId="77777777" w:rsidR="00FC291F" w:rsidRPr="00653FC8" w:rsidRDefault="00FC291F" w:rsidP="00653FC8"/>
    <w:sectPr w:rsidR="00FC291F" w:rsidRPr="00653FC8" w:rsidSect="00653FC8">
      <w:headerReference w:type="default" r:id="rId5"/>
      <w:footerReference w:type="default" r:id="rId6"/>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90C040" w14:textId="77777777" w:rsidR="00653FC8" w:rsidRDefault="00653FC8" w:rsidP="000408EC">
    <w:pPr>
      <w:pBdr>
        <w:top w:val="single" w:sz="4" w:space="0" w:color="E5E7EB"/>
      </w:pBdr>
      <w:spacing w:before="80"/>
      <w:jc w:val="center"/>
    </w:pPr>
    <w:r>
      <w:rPr>
        <w:rFonts w:ascii="Arial" w:eastAsia="Arial" w:hAnsi="Arial" w:cs="Arial"/>
        <w:color w:val="6B7280"/>
        <w:sz w:val="18"/>
        <w:szCs w:val="18"/>
      </w:rPr>
      <w:fldChar w:fldCharType="begin"/>
    </w:r>
    <w:r>
      <w:rPr>
        <w:rFonts w:ascii="Arial" w:eastAsia="Arial" w:hAnsi="Arial" w:cs="Arial"/>
        <w:color w:val="6B7280"/>
        <w:sz w:val="18"/>
        <w:szCs w:val="18"/>
      </w:rPr>
      <w:instrText>PAGE</w:instrText>
    </w:r>
    <w:r>
      <w:rPr>
        <w:rFonts w:ascii="Arial" w:eastAsia="Arial" w:hAnsi="Arial" w:cs="Arial"/>
        <w:color w:val="6B7280"/>
        <w:sz w:val="18"/>
        <w:szCs w:val="18"/>
      </w:rPr>
      <w:fldChar w:fldCharType="separate"/>
    </w:r>
    <w:r>
      <w:rPr>
        <w:rFonts w:ascii="Arial" w:eastAsia="Arial" w:hAnsi="Arial" w:cs="Arial"/>
        <w:noProof/>
        <w:color w:val="6B7280"/>
        <w:sz w:val="18"/>
        <w:szCs w:val="18"/>
      </w:rPr>
      <w:t>1</w:t>
    </w:r>
    <w:r>
      <w:rPr>
        <w:rFonts w:ascii="Arial" w:eastAsia="Arial" w:hAnsi="Arial" w:cs="Arial"/>
        <w:color w:val="6B7280"/>
        <w:sz w:val="18"/>
        <w:szCs w:val="18"/>
      </w:rPr>
      <w:fldChar w:fldCharType="end"/>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928530" w14:textId="77777777" w:rsidR="00653FC8" w:rsidRDefault="00653FC8">
    <w:pPr>
      <w:pBdr>
        <w:bottom w:val="single" w:sz="4" w:space="0" w:color="E5E7EB"/>
      </w:pBdr>
      <w:jc w:val="right"/>
    </w:pPr>
    <w:r>
      <w:rPr>
        <w:rFonts w:ascii="Arial" w:eastAsia="Arial" w:hAnsi="Arial" w:cs="Arial"/>
        <w:color w:val="6B7280"/>
        <w:sz w:val="18"/>
        <w:szCs w:val="18"/>
      </w:rPr>
      <w:t>Nikhil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75177E"/>
    <w:multiLevelType w:val="hybridMultilevel"/>
    <w:tmpl w:val="EAF2EC0A"/>
    <w:lvl w:ilvl="0" w:tplc="04849982">
      <w:start w:val="1"/>
      <w:numFmt w:val="decimal"/>
      <w:lvlText w:val="%1."/>
      <w:lvlJc w:val="left"/>
      <w:pPr>
        <w:ind w:left="720" w:hanging="360"/>
      </w:pPr>
    </w:lvl>
    <w:lvl w:ilvl="1" w:tplc="B7861592">
      <w:numFmt w:val="decimal"/>
      <w:lvlText w:val=""/>
      <w:lvlJc w:val="left"/>
    </w:lvl>
    <w:lvl w:ilvl="2" w:tplc="F852F43E">
      <w:numFmt w:val="decimal"/>
      <w:lvlText w:val=""/>
      <w:lvlJc w:val="left"/>
    </w:lvl>
    <w:lvl w:ilvl="3" w:tplc="83468D1E">
      <w:numFmt w:val="decimal"/>
      <w:lvlText w:val=""/>
      <w:lvlJc w:val="left"/>
    </w:lvl>
    <w:lvl w:ilvl="4" w:tplc="48AC6AC8">
      <w:numFmt w:val="decimal"/>
      <w:lvlText w:val=""/>
      <w:lvlJc w:val="left"/>
    </w:lvl>
    <w:lvl w:ilvl="5" w:tplc="EAD695AA">
      <w:numFmt w:val="decimal"/>
      <w:lvlText w:val=""/>
      <w:lvlJc w:val="left"/>
    </w:lvl>
    <w:lvl w:ilvl="6" w:tplc="2F74BAA2">
      <w:numFmt w:val="decimal"/>
      <w:lvlText w:val=""/>
      <w:lvlJc w:val="left"/>
    </w:lvl>
    <w:lvl w:ilvl="7" w:tplc="552CD168">
      <w:numFmt w:val="decimal"/>
      <w:lvlText w:val=""/>
      <w:lvlJc w:val="left"/>
    </w:lvl>
    <w:lvl w:ilvl="8" w:tplc="200E0B88">
      <w:numFmt w:val="decimal"/>
      <w:lvlText w:val=""/>
      <w:lvlJc w:val="left"/>
    </w:lvl>
  </w:abstractNum>
  <w:abstractNum w:abstractNumId="1" w15:restartNumberingAfterBreak="0">
    <w:nsid w:val="3F0A1262"/>
    <w:multiLevelType w:val="hybridMultilevel"/>
    <w:tmpl w:val="E4181ECE"/>
    <w:lvl w:ilvl="0" w:tplc="0AF841FC">
      <w:start w:val="1"/>
      <w:numFmt w:val="bullet"/>
      <w:lvlText w:val="•"/>
      <w:lvlJc w:val="left"/>
      <w:pPr>
        <w:ind w:left="720" w:hanging="360"/>
      </w:pPr>
    </w:lvl>
    <w:lvl w:ilvl="1" w:tplc="CB3A1D54">
      <w:numFmt w:val="decimal"/>
      <w:lvlText w:val=""/>
      <w:lvlJc w:val="left"/>
    </w:lvl>
    <w:lvl w:ilvl="2" w:tplc="A1187E66">
      <w:numFmt w:val="decimal"/>
      <w:lvlText w:val=""/>
      <w:lvlJc w:val="left"/>
    </w:lvl>
    <w:lvl w:ilvl="3" w:tplc="AF586C8E">
      <w:numFmt w:val="decimal"/>
      <w:lvlText w:val=""/>
      <w:lvlJc w:val="left"/>
    </w:lvl>
    <w:lvl w:ilvl="4" w:tplc="F606FE0E">
      <w:numFmt w:val="decimal"/>
      <w:lvlText w:val=""/>
      <w:lvlJc w:val="left"/>
    </w:lvl>
    <w:lvl w:ilvl="5" w:tplc="E4B6B6B2">
      <w:numFmt w:val="decimal"/>
      <w:lvlText w:val=""/>
      <w:lvlJc w:val="left"/>
    </w:lvl>
    <w:lvl w:ilvl="6" w:tplc="6C487AB2">
      <w:numFmt w:val="decimal"/>
      <w:lvlText w:val=""/>
      <w:lvlJc w:val="left"/>
    </w:lvl>
    <w:lvl w:ilvl="7" w:tplc="86225C90">
      <w:numFmt w:val="decimal"/>
      <w:lvlText w:val=""/>
      <w:lvlJc w:val="left"/>
    </w:lvl>
    <w:lvl w:ilvl="8" w:tplc="8006F38A">
      <w:numFmt w:val="decimal"/>
      <w:lvlText w:val=""/>
      <w:lvlJc w:val="left"/>
    </w:lvl>
  </w:abstractNum>
  <w:num w:numId="1" w16cid:durableId="1116749866">
    <w:abstractNumId w:val="0"/>
    <w:lvlOverride w:ilvl="0">
      <w:startOverride w:val="1"/>
    </w:lvlOverride>
  </w:num>
  <w:num w:numId="2" w16cid:durableId="590620641">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91F"/>
    <w:rsid w:val="00653FC8"/>
    <w:rsid w:val="00AC2DD4"/>
    <w:rsid w:val="00FC29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E44A6"/>
  <w15:chartTrackingRefBased/>
  <w15:docId w15:val="{5DA59860-F73B-412A-8535-3F1E91BC6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FC8"/>
    <w:pPr>
      <w:spacing w:after="0" w:line="240" w:lineRule="auto"/>
    </w:pPr>
    <w:rPr>
      <w:rFonts w:ascii="Times New Roman" w:eastAsia="Times New Roman" w:hAnsi="Times New Roman" w:cs="Times New Roman"/>
      <w:color w:val="111827"/>
      <w:kern w:val="0"/>
      <w:lang w:val="en-GB" w:eastAsia="en-GB"/>
      <w14:ligatures w14:val="none"/>
    </w:rPr>
  </w:style>
  <w:style w:type="paragraph" w:styleId="Heading1">
    <w:name w:val="heading 1"/>
    <w:basedOn w:val="Normal"/>
    <w:next w:val="Normal"/>
    <w:link w:val="Heading1Char"/>
    <w:uiPriority w:val="9"/>
    <w:qFormat/>
    <w:rsid w:val="00FC29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29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29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9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9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9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9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9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9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9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29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29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9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9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9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9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9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91F"/>
    <w:rPr>
      <w:rFonts w:eastAsiaTheme="majorEastAsia" w:cstheme="majorBidi"/>
      <w:color w:val="272727" w:themeColor="text1" w:themeTint="D8"/>
    </w:rPr>
  </w:style>
  <w:style w:type="paragraph" w:styleId="Title">
    <w:name w:val="Title"/>
    <w:basedOn w:val="Normal"/>
    <w:next w:val="Normal"/>
    <w:link w:val="TitleChar"/>
    <w:uiPriority w:val="10"/>
    <w:qFormat/>
    <w:rsid w:val="00FC29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9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9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9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91F"/>
    <w:pPr>
      <w:spacing w:before="160"/>
      <w:jc w:val="center"/>
    </w:pPr>
    <w:rPr>
      <w:i/>
      <w:iCs/>
      <w:color w:val="404040" w:themeColor="text1" w:themeTint="BF"/>
    </w:rPr>
  </w:style>
  <w:style w:type="character" w:customStyle="1" w:styleId="QuoteChar">
    <w:name w:val="Quote Char"/>
    <w:basedOn w:val="DefaultParagraphFont"/>
    <w:link w:val="Quote"/>
    <w:uiPriority w:val="29"/>
    <w:rsid w:val="00FC291F"/>
    <w:rPr>
      <w:i/>
      <w:iCs/>
      <w:color w:val="404040" w:themeColor="text1" w:themeTint="BF"/>
    </w:rPr>
  </w:style>
  <w:style w:type="paragraph" w:styleId="ListParagraph">
    <w:name w:val="List Paragraph"/>
    <w:basedOn w:val="Normal"/>
    <w:qFormat/>
    <w:rsid w:val="00FC291F"/>
    <w:pPr>
      <w:ind w:left="720"/>
      <w:contextualSpacing/>
    </w:pPr>
  </w:style>
  <w:style w:type="character" w:styleId="IntenseEmphasis">
    <w:name w:val="Intense Emphasis"/>
    <w:basedOn w:val="DefaultParagraphFont"/>
    <w:uiPriority w:val="21"/>
    <w:qFormat/>
    <w:rsid w:val="00FC291F"/>
    <w:rPr>
      <w:i/>
      <w:iCs/>
      <w:color w:val="0F4761" w:themeColor="accent1" w:themeShade="BF"/>
    </w:rPr>
  </w:style>
  <w:style w:type="paragraph" w:styleId="IntenseQuote">
    <w:name w:val="Intense Quote"/>
    <w:basedOn w:val="Normal"/>
    <w:next w:val="Normal"/>
    <w:link w:val="IntenseQuoteChar"/>
    <w:uiPriority w:val="30"/>
    <w:qFormat/>
    <w:rsid w:val="00FC29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91F"/>
    <w:rPr>
      <w:i/>
      <w:iCs/>
      <w:color w:val="0F4761" w:themeColor="accent1" w:themeShade="BF"/>
    </w:rPr>
  </w:style>
  <w:style w:type="character" w:styleId="IntenseReference">
    <w:name w:val="Intense Reference"/>
    <w:basedOn w:val="DefaultParagraphFont"/>
    <w:uiPriority w:val="32"/>
    <w:qFormat/>
    <w:rsid w:val="00FC291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577</TotalTime>
  <Pages>21</Pages>
  <Words>6174</Words>
  <Characters>35197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Nikhil Rai (2511003)</dc:creator>
  <cp:keywords/>
  <dc:description/>
  <cp:lastModifiedBy>Nikhil Rai</cp:lastModifiedBy>
  <cp:revision>1</cp:revision>
  <dcterms:created xsi:type="dcterms:W3CDTF">2026-04-22T14:31:00Z</dcterms:created>
  <dcterms:modified xsi:type="dcterms:W3CDTF">2026-04-29T12:56:00Z</dcterms:modified>
</cp:coreProperties>
</file>