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3BC" w:rsidRPr="000144B0" w:rsidRDefault="008513BC" w:rsidP="00774AB1">
      <w:pPr>
        <w:spacing w:line="360" w:lineRule="auto"/>
        <w:jc w:val="both"/>
        <w:rPr>
          <w:rFonts w:ascii="Arial" w:hAnsi="Arial" w:cs="Arial"/>
        </w:rPr>
      </w:pPr>
    </w:p>
    <w:p w:rsidR="008513BC" w:rsidRPr="000144B0" w:rsidRDefault="008513BC" w:rsidP="00774AB1">
      <w:pPr>
        <w:pStyle w:val="BodyText"/>
        <w:spacing w:line="360" w:lineRule="auto"/>
        <w:ind w:left="2798"/>
        <w:jc w:val="both"/>
        <w:rPr>
          <w:rFonts w:cs="Arial"/>
          <w:noProof/>
          <w:sz w:val="20"/>
          <w:lang w:bidi="ar-SA"/>
        </w:rPr>
      </w:pPr>
    </w:p>
    <w:p w:rsidR="008513BC" w:rsidRPr="000144B0" w:rsidRDefault="004871DF" w:rsidP="00774AB1">
      <w:pPr>
        <w:pStyle w:val="BodyText"/>
        <w:spacing w:line="360" w:lineRule="auto"/>
        <w:ind w:left="2798"/>
        <w:jc w:val="both"/>
        <w:rPr>
          <w:rFonts w:cs="Arial"/>
          <w:noProof/>
          <w:sz w:val="20"/>
          <w:lang w:bidi="ar-SA"/>
        </w:rPr>
      </w:pPr>
      <w:r w:rsidRPr="000144B0">
        <w:rPr>
          <w:rFonts w:cs="Arial"/>
          <w:noProof/>
          <w:lang w:val="en-US" w:eastAsia="en-US" w:bidi="ar-SA"/>
        </w:rPr>
        <w:drawing>
          <wp:anchor distT="0" distB="0" distL="114300" distR="114300" simplePos="0" relativeHeight="251658240" behindDoc="1" locked="0" layoutInCell="1" allowOverlap="1">
            <wp:simplePos x="0" y="0"/>
            <wp:positionH relativeFrom="column">
              <wp:posOffset>1183640</wp:posOffset>
            </wp:positionH>
            <wp:positionV relativeFrom="paragraph">
              <wp:posOffset>69215</wp:posOffset>
            </wp:positionV>
            <wp:extent cx="5438775" cy="1328420"/>
            <wp:effectExtent l="0" t="0" r="0" b="0"/>
            <wp:wrapTight wrapText="bothSides">
              <wp:wrapPolygon edited="0">
                <wp:start x="681" y="3407"/>
                <wp:lineTo x="681" y="8983"/>
                <wp:lineTo x="984" y="13939"/>
                <wp:lineTo x="1816" y="17346"/>
                <wp:lineTo x="1891" y="17966"/>
                <wp:lineTo x="5599" y="17966"/>
                <wp:lineTo x="9911" y="17346"/>
                <wp:lineTo x="9987" y="13939"/>
                <wp:lineTo x="13089" y="13629"/>
                <wp:lineTo x="13240" y="9602"/>
                <wp:lineTo x="16266" y="8983"/>
                <wp:lineTo x="16493" y="5266"/>
                <wp:lineTo x="14829" y="3407"/>
                <wp:lineTo x="681" y="3407"/>
              </wp:wrapPolygon>
            </wp:wrapTight>
            <wp:docPr id="3" name="Picture 3"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VO | Sandwell Council of Voluntary Organisations."/>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438775" cy="1328420"/>
                    </a:xfrm>
                    <a:prstGeom prst="rect">
                      <a:avLst/>
                    </a:prstGeom>
                    <a:noFill/>
                    <a:ln>
                      <a:noFill/>
                    </a:ln>
                  </pic:spPr>
                </pic:pic>
              </a:graphicData>
            </a:graphic>
          </wp:anchor>
        </w:drawing>
      </w:r>
    </w:p>
    <w:p w:rsidR="008513BC" w:rsidRPr="000144B0" w:rsidRDefault="008513BC" w:rsidP="00774AB1">
      <w:pPr>
        <w:pStyle w:val="BodyText"/>
        <w:spacing w:line="360" w:lineRule="auto"/>
        <w:ind w:left="2798"/>
        <w:jc w:val="both"/>
        <w:rPr>
          <w:rFonts w:cs="Arial"/>
          <w:noProof/>
          <w:sz w:val="20"/>
          <w:lang w:bidi="ar-SA"/>
        </w:rPr>
      </w:pPr>
    </w:p>
    <w:p w:rsidR="008513BC" w:rsidRPr="000144B0" w:rsidRDefault="008513BC" w:rsidP="00774AB1">
      <w:pPr>
        <w:pStyle w:val="BodyText"/>
        <w:spacing w:line="360" w:lineRule="auto"/>
        <w:ind w:left="2798"/>
        <w:jc w:val="both"/>
        <w:rPr>
          <w:rFonts w:cs="Arial"/>
          <w:noProof/>
          <w:sz w:val="20"/>
          <w:lang w:bidi="ar-SA"/>
        </w:rPr>
      </w:pPr>
    </w:p>
    <w:p w:rsidR="008513BC" w:rsidRPr="000144B0" w:rsidRDefault="008513BC" w:rsidP="00774AB1">
      <w:pPr>
        <w:pStyle w:val="BodyText"/>
        <w:spacing w:line="360" w:lineRule="auto"/>
        <w:ind w:left="2798"/>
        <w:jc w:val="both"/>
        <w:rPr>
          <w:rFonts w:cs="Arial"/>
          <w:noProof/>
          <w:sz w:val="20"/>
          <w:lang w:bidi="ar-SA"/>
        </w:rPr>
      </w:pPr>
    </w:p>
    <w:p w:rsidR="008513BC" w:rsidRPr="000144B0" w:rsidRDefault="008513BC" w:rsidP="00774AB1">
      <w:pPr>
        <w:pStyle w:val="BodyText"/>
        <w:spacing w:line="360" w:lineRule="auto"/>
        <w:ind w:left="2798"/>
        <w:jc w:val="both"/>
        <w:rPr>
          <w:rFonts w:cs="Arial"/>
          <w:noProof/>
          <w:sz w:val="20"/>
          <w:lang w:bidi="ar-SA"/>
        </w:rPr>
      </w:pPr>
    </w:p>
    <w:p w:rsidR="0077366F" w:rsidRPr="000144B0" w:rsidRDefault="0077366F" w:rsidP="00774AB1">
      <w:pPr>
        <w:pStyle w:val="BodyText"/>
        <w:spacing w:line="360" w:lineRule="auto"/>
        <w:jc w:val="both"/>
        <w:rPr>
          <w:rFonts w:cs="Arial"/>
          <w:sz w:val="20"/>
        </w:rPr>
      </w:pPr>
    </w:p>
    <w:p w:rsidR="004871DF" w:rsidRPr="000144B0" w:rsidRDefault="004871DF" w:rsidP="00774AB1">
      <w:pPr>
        <w:spacing w:line="360" w:lineRule="auto"/>
        <w:ind w:left="1835"/>
        <w:jc w:val="both"/>
        <w:rPr>
          <w:rFonts w:ascii="Arial" w:hAnsi="Arial" w:cs="Arial"/>
          <w:b/>
          <w:bCs/>
          <w:sz w:val="32"/>
          <w:szCs w:val="32"/>
        </w:rPr>
      </w:pPr>
    </w:p>
    <w:p w:rsidR="004871DF" w:rsidRPr="000144B0" w:rsidRDefault="00861D25" w:rsidP="00861D25">
      <w:pPr>
        <w:spacing w:line="360" w:lineRule="auto"/>
        <w:ind w:left="1835"/>
        <w:rPr>
          <w:rFonts w:ascii="Arial" w:hAnsi="Arial" w:cs="Arial"/>
          <w:b/>
          <w:bCs/>
          <w:sz w:val="32"/>
          <w:szCs w:val="32"/>
        </w:rPr>
      </w:pPr>
      <w:r>
        <w:rPr>
          <w:rFonts w:ascii="Arial" w:hAnsi="Arial" w:cs="Arial"/>
          <w:b/>
          <w:bCs/>
          <w:sz w:val="32"/>
          <w:szCs w:val="32"/>
        </w:rPr>
        <w:t xml:space="preserve">                   </w:t>
      </w:r>
      <w:r w:rsidR="003F7AC6" w:rsidRPr="000144B0">
        <w:rPr>
          <w:rFonts w:ascii="Arial" w:hAnsi="Arial" w:cs="Arial"/>
          <w:b/>
          <w:bCs/>
          <w:sz w:val="32"/>
          <w:szCs w:val="32"/>
        </w:rPr>
        <w:t>SefydliadDysguCanolDinas</w:t>
      </w:r>
    </w:p>
    <w:p w:rsidR="00092170" w:rsidRPr="000144B0" w:rsidRDefault="00861D25" w:rsidP="00861D25">
      <w:pPr>
        <w:spacing w:line="360" w:lineRule="auto"/>
        <w:ind w:left="1835"/>
        <w:rPr>
          <w:rFonts w:ascii="Arial" w:hAnsi="Arial" w:cs="Arial"/>
          <w:b/>
          <w:bCs/>
          <w:sz w:val="32"/>
          <w:szCs w:val="32"/>
        </w:rPr>
      </w:pPr>
      <w:r>
        <w:rPr>
          <w:rFonts w:ascii="Arial" w:hAnsi="Arial" w:cs="Arial"/>
          <w:b/>
          <w:bCs/>
          <w:sz w:val="32"/>
          <w:szCs w:val="32"/>
        </w:rPr>
        <w:t xml:space="preserve">                   </w:t>
      </w:r>
      <w:r w:rsidR="00D65A4A" w:rsidRPr="000144B0">
        <w:rPr>
          <w:rFonts w:ascii="Arial" w:hAnsi="Arial" w:cs="Arial"/>
          <w:b/>
          <w:bCs/>
          <w:sz w:val="32"/>
          <w:szCs w:val="32"/>
        </w:rPr>
        <w:t xml:space="preserve">Institute of </w:t>
      </w:r>
      <w:r w:rsidR="004871DF" w:rsidRPr="000144B0">
        <w:rPr>
          <w:rFonts w:ascii="Arial" w:hAnsi="Arial" w:cs="Arial"/>
          <w:b/>
          <w:bCs/>
          <w:sz w:val="32"/>
          <w:szCs w:val="32"/>
        </w:rPr>
        <w:t>Inner-City</w:t>
      </w:r>
      <w:r w:rsidR="00DE0F98" w:rsidRPr="000144B0">
        <w:rPr>
          <w:rFonts w:ascii="Arial" w:hAnsi="Arial" w:cs="Arial"/>
          <w:b/>
          <w:bCs/>
          <w:sz w:val="32"/>
          <w:szCs w:val="32"/>
        </w:rPr>
        <w:t xml:space="preserve"> Learning</w:t>
      </w:r>
    </w:p>
    <w:p w:rsidR="00AA1F5A" w:rsidRPr="000144B0" w:rsidRDefault="00DA7AF0" w:rsidP="000A4662">
      <w:pPr>
        <w:spacing w:line="360" w:lineRule="auto"/>
        <w:jc w:val="center"/>
        <w:rPr>
          <w:rFonts w:ascii="Arial" w:hAnsi="Arial" w:cs="Arial"/>
          <w:sz w:val="32"/>
          <w:szCs w:val="32"/>
        </w:rPr>
      </w:pPr>
      <w:r w:rsidRPr="000144B0">
        <w:rPr>
          <w:rFonts w:ascii="Arial" w:hAnsi="Arial" w:cs="Arial"/>
          <w:b/>
          <w:bCs/>
          <w:sz w:val="32"/>
          <w:szCs w:val="32"/>
        </w:rPr>
        <w:t>M</w:t>
      </w:r>
      <w:r w:rsidR="00D65A4A" w:rsidRPr="000144B0">
        <w:rPr>
          <w:rFonts w:ascii="Arial" w:hAnsi="Arial" w:cs="Arial"/>
          <w:b/>
          <w:bCs/>
          <w:sz w:val="32"/>
          <w:szCs w:val="32"/>
        </w:rPr>
        <w:t xml:space="preserve">Sc </w:t>
      </w:r>
      <w:r w:rsidRPr="000144B0">
        <w:rPr>
          <w:rFonts w:ascii="Arial" w:hAnsi="Arial" w:cs="Arial"/>
          <w:b/>
          <w:bCs/>
          <w:sz w:val="32"/>
          <w:szCs w:val="32"/>
        </w:rPr>
        <w:t xml:space="preserve">Public </w:t>
      </w:r>
      <w:r w:rsidR="00D65A4A" w:rsidRPr="000144B0">
        <w:rPr>
          <w:rFonts w:ascii="Arial" w:hAnsi="Arial" w:cs="Arial"/>
          <w:b/>
          <w:bCs/>
          <w:sz w:val="32"/>
          <w:szCs w:val="32"/>
        </w:rPr>
        <w:t xml:space="preserve">Health </w:t>
      </w:r>
      <w:r w:rsidR="00A07A8B" w:rsidRPr="000144B0">
        <w:rPr>
          <w:rFonts w:ascii="Arial" w:hAnsi="Arial" w:cs="Arial"/>
          <w:b/>
          <w:bCs/>
          <w:sz w:val="32"/>
          <w:szCs w:val="32"/>
        </w:rPr>
        <w:t xml:space="preserve">and </w:t>
      </w:r>
      <w:r w:rsidR="00AA1F5A" w:rsidRPr="000144B0">
        <w:rPr>
          <w:rFonts w:ascii="Arial" w:hAnsi="Arial" w:cs="Arial"/>
          <w:b/>
          <w:bCs/>
          <w:sz w:val="32"/>
          <w:szCs w:val="32"/>
        </w:rPr>
        <w:br/>
      </w:r>
      <w:r w:rsidR="00A07A8B" w:rsidRPr="000144B0">
        <w:rPr>
          <w:rFonts w:ascii="Arial" w:hAnsi="Arial" w:cs="Arial"/>
          <w:b/>
          <w:bCs/>
          <w:sz w:val="32"/>
          <w:szCs w:val="32"/>
        </w:rPr>
        <w:t>Social Care</w:t>
      </w:r>
      <w:r w:rsidR="00861D25">
        <w:rPr>
          <w:rFonts w:ascii="Arial" w:hAnsi="Arial" w:cs="Arial"/>
          <w:b/>
          <w:bCs/>
          <w:sz w:val="32"/>
          <w:szCs w:val="32"/>
        </w:rPr>
        <w:t xml:space="preserve"> </w:t>
      </w:r>
      <w:r w:rsidR="00195132" w:rsidRPr="000144B0">
        <w:rPr>
          <w:rFonts w:ascii="Arial" w:hAnsi="Arial" w:cs="Arial"/>
          <w:b/>
          <w:bCs/>
          <w:sz w:val="32"/>
          <w:szCs w:val="32"/>
        </w:rPr>
        <w:t xml:space="preserve">in </w:t>
      </w:r>
      <w:r w:rsidRPr="000144B0">
        <w:rPr>
          <w:rFonts w:ascii="Arial" w:hAnsi="Arial" w:cs="Arial"/>
          <w:b/>
          <w:bCs/>
          <w:sz w:val="32"/>
          <w:szCs w:val="32"/>
        </w:rPr>
        <w:t>Practic</w:t>
      </w:r>
      <w:r w:rsidR="004871DF" w:rsidRPr="000144B0">
        <w:rPr>
          <w:rFonts w:ascii="Arial" w:hAnsi="Arial" w:cs="Arial"/>
          <w:b/>
          <w:bCs/>
          <w:sz w:val="32"/>
          <w:szCs w:val="32"/>
        </w:rPr>
        <w:t>e</w:t>
      </w:r>
      <w:r w:rsidR="00AA1F5A" w:rsidRPr="000144B0">
        <w:rPr>
          <w:rFonts w:ascii="Arial" w:hAnsi="Arial" w:cs="Arial"/>
          <w:sz w:val="32"/>
          <w:szCs w:val="32"/>
        </w:rPr>
        <w:br/>
      </w:r>
    </w:p>
    <w:p w:rsidR="002671E6" w:rsidRPr="000144B0" w:rsidRDefault="002671E6" w:rsidP="00774AB1">
      <w:pPr>
        <w:spacing w:line="360" w:lineRule="auto"/>
        <w:jc w:val="both"/>
        <w:rPr>
          <w:rFonts w:ascii="Arial" w:hAnsi="Arial" w:cs="Arial"/>
          <w:b/>
          <w:bCs/>
          <w:sz w:val="32"/>
          <w:szCs w:val="32"/>
        </w:rPr>
      </w:pPr>
      <w:bookmarkStart w:id="0" w:name="_Hlk131690384"/>
    </w:p>
    <w:p w:rsidR="008513BC" w:rsidRPr="000144B0" w:rsidRDefault="008513BC" w:rsidP="00774AB1">
      <w:pPr>
        <w:spacing w:line="360" w:lineRule="auto"/>
        <w:jc w:val="both"/>
        <w:rPr>
          <w:rFonts w:ascii="Arial" w:hAnsi="Arial" w:cs="Arial"/>
          <w:b/>
          <w:bCs/>
          <w:sz w:val="32"/>
          <w:szCs w:val="32"/>
        </w:rPr>
      </w:pPr>
    </w:p>
    <w:p w:rsidR="008513BC" w:rsidRPr="000144B0" w:rsidRDefault="008513BC" w:rsidP="00774AB1">
      <w:pPr>
        <w:spacing w:line="360" w:lineRule="auto"/>
        <w:jc w:val="both"/>
        <w:rPr>
          <w:rFonts w:ascii="Arial" w:hAnsi="Arial" w:cs="Arial"/>
          <w:b/>
          <w:bCs/>
          <w:sz w:val="56"/>
          <w:szCs w:val="56"/>
        </w:rPr>
      </w:pPr>
    </w:p>
    <w:p w:rsidR="008513BC" w:rsidRPr="000144B0" w:rsidRDefault="008513BC" w:rsidP="00774AB1">
      <w:pPr>
        <w:spacing w:line="360" w:lineRule="auto"/>
        <w:jc w:val="both"/>
        <w:rPr>
          <w:rFonts w:ascii="Arial" w:hAnsi="Arial" w:cs="Arial"/>
        </w:rPr>
      </w:pPr>
    </w:p>
    <w:bookmarkEnd w:id="0"/>
    <w:p w:rsidR="00C93C3A" w:rsidRPr="000144B0" w:rsidRDefault="00C93C3A" w:rsidP="00774AB1">
      <w:pPr>
        <w:spacing w:line="360" w:lineRule="auto"/>
        <w:jc w:val="both"/>
        <w:rPr>
          <w:rFonts w:ascii="Arial" w:hAnsi="Arial" w:cs="Arial"/>
          <w:sz w:val="20"/>
        </w:rPr>
      </w:pPr>
    </w:p>
    <w:p w:rsidR="0065314E" w:rsidRPr="000144B0" w:rsidRDefault="0065314E" w:rsidP="00774AB1">
      <w:pPr>
        <w:spacing w:line="360" w:lineRule="auto"/>
        <w:jc w:val="both"/>
        <w:rPr>
          <w:rFonts w:ascii="Arial" w:hAnsi="Arial" w:cs="Arial"/>
          <w:sz w:val="20"/>
        </w:rPr>
        <w:sectPr w:rsidR="0065314E" w:rsidRPr="000144B0" w:rsidSect="004871DF">
          <w:footerReference w:type="default" r:id="rId9"/>
          <w:type w:val="continuous"/>
          <w:pgSz w:w="12240" w:h="15840"/>
          <w:pgMar w:top="520" w:right="840" w:bottom="1240" w:left="500" w:header="720" w:footer="1053" w:gutter="0"/>
          <w:pgBorders w:offsetFrom="page">
            <w:top w:val="single" w:sz="4" w:space="24" w:color="auto"/>
            <w:left w:val="single" w:sz="4" w:space="24" w:color="auto"/>
            <w:bottom w:val="single" w:sz="4" w:space="24" w:color="auto"/>
            <w:right w:val="single" w:sz="4" w:space="24" w:color="auto"/>
          </w:pgBorders>
          <w:pgNumType w:start="1"/>
          <w:cols w:space="720"/>
        </w:sectPr>
      </w:pPr>
    </w:p>
    <w:p w:rsidR="00860CB2" w:rsidRPr="000144B0" w:rsidRDefault="00860CB2" w:rsidP="00774AB1">
      <w:pPr>
        <w:keepNext/>
        <w:spacing w:before="240" w:after="60" w:line="360" w:lineRule="auto"/>
        <w:jc w:val="both"/>
        <w:outlineLvl w:val="0"/>
        <w:rPr>
          <w:rFonts w:ascii="Arial" w:eastAsia="Arial Unicode MS" w:hAnsi="Arial" w:cs="Arial"/>
          <w:b/>
          <w:bCs/>
          <w:kern w:val="32"/>
          <w:sz w:val="32"/>
          <w:szCs w:val="32"/>
        </w:rPr>
      </w:pPr>
      <w:bookmarkStart w:id="1" w:name="_Hlk131937255"/>
    </w:p>
    <w:p w:rsidR="004871DF" w:rsidRPr="000144B0" w:rsidRDefault="004871DF" w:rsidP="00774AB1">
      <w:pPr>
        <w:spacing w:line="360" w:lineRule="auto"/>
        <w:jc w:val="both"/>
        <w:rPr>
          <w:rFonts w:ascii="Arial" w:eastAsia="Arial" w:hAnsi="Arial" w:cs="Arial"/>
          <w:b/>
          <w:bCs/>
          <w:sz w:val="32"/>
          <w:szCs w:val="32"/>
        </w:rPr>
      </w:pPr>
    </w:p>
    <w:p w:rsidR="004871DF" w:rsidRPr="000144B0" w:rsidRDefault="004871DF" w:rsidP="000A4662">
      <w:pPr>
        <w:spacing w:line="360" w:lineRule="auto"/>
        <w:jc w:val="center"/>
        <w:rPr>
          <w:rFonts w:ascii="Arial" w:eastAsia="Arial" w:hAnsi="Arial" w:cs="Arial"/>
          <w:b/>
          <w:bCs/>
          <w:sz w:val="32"/>
          <w:szCs w:val="32"/>
        </w:rPr>
      </w:pPr>
      <w:r w:rsidRPr="000144B0">
        <w:rPr>
          <w:rFonts w:ascii="Arial" w:eastAsia="Arial" w:hAnsi="Arial" w:cs="Arial"/>
          <w:b/>
          <w:bCs/>
          <w:sz w:val="32"/>
          <w:szCs w:val="32"/>
        </w:rPr>
        <w:t>Title of dissertation: The Role of Community Physiotherapists in Preventing Falls Among Older Adults in the United Kingdom - A Public Health and Social Care Perspective</w:t>
      </w:r>
    </w:p>
    <w:p w:rsidR="00732B5A" w:rsidRPr="000144B0" w:rsidRDefault="00860CB2" w:rsidP="000A46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sz w:val="32"/>
          <w:szCs w:val="32"/>
        </w:rPr>
      </w:pPr>
      <w:r w:rsidRPr="000144B0">
        <w:rPr>
          <w:rFonts w:ascii="Arial" w:eastAsia="Arial Unicode MS" w:hAnsi="Arial" w:cs="Arial"/>
          <w:b/>
          <w:sz w:val="32"/>
          <w:szCs w:val="32"/>
        </w:rPr>
        <w:t xml:space="preserve"> Full Name</w:t>
      </w:r>
      <w:r w:rsidR="004871DF" w:rsidRPr="000144B0">
        <w:rPr>
          <w:rFonts w:ascii="Arial" w:eastAsia="Arial Unicode MS" w:hAnsi="Arial" w:cs="Arial"/>
          <w:b/>
          <w:sz w:val="32"/>
          <w:szCs w:val="32"/>
        </w:rPr>
        <w:t>:</w:t>
      </w:r>
      <w:r w:rsidR="004304A4" w:rsidRPr="00CB7AE4">
        <w:rPr>
          <w:rFonts w:ascii="Arial" w:eastAsia="Arial" w:hAnsi="Arial" w:cs="Arial"/>
          <w:b/>
          <w:bCs/>
          <w:sz w:val="32"/>
          <w:szCs w:val="32"/>
        </w:rPr>
        <w:t>Mahendra Jesingbhai Vadhel</w:t>
      </w:r>
    </w:p>
    <w:p w:rsidR="00860CB2" w:rsidRPr="000144B0" w:rsidRDefault="00860CB2" w:rsidP="000A46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sz w:val="32"/>
          <w:szCs w:val="32"/>
        </w:rPr>
      </w:pPr>
      <w:r w:rsidRPr="000144B0">
        <w:rPr>
          <w:rFonts w:ascii="Arial" w:eastAsia="Arial Unicode MS" w:hAnsi="Arial" w:cs="Arial"/>
          <w:b/>
          <w:sz w:val="32"/>
          <w:szCs w:val="32"/>
        </w:rPr>
        <w:t>Student Number</w:t>
      </w:r>
      <w:r w:rsidR="004871DF" w:rsidRPr="000144B0">
        <w:rPr>
          <w:rFonts w:ascii="Arial" w:eastAsia="Arial Unicode MS" w:hAnsi="Arial" w:cs="Arial"/>
          <w:b/>
          <w:sz w:val="32"/>
          <w:szCs w:val="32"/>
        </w:rPr>
        <w:t>:</w:t>
      </w:r>
      <w:r w:rsidR="00CB7AE4" w:rsidRPr="00CB7AE4">
        <w:rPr>
          <w:rFonts w:ascii="Arial" w:eastAsia="Arial Unicode MS" w:hAnsi="Arial" w:cs="Arial"/>
          <w:b/>
          <w:sz w:val="32"/>
          <w:szCs w:val="32"/>
        </w:rPr>
        <w:t>2430466</w:t>
      </w:r>
    </w:p>
    <w:p w:rsidR="00E01DB3" w:rsidRPr="000144B0" w:rsidRDefault="00A670C5" w:rsidP="000A46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bCs/>
          <w:sz w:val="32"/>
          <w:szCs w:val="32"/>
        </w:rPr>
      </w:pPr>
      <w:r w:rsidRPr="000144B0">
        <w:rPr>
          <w:rFonts w:ascii="Arial" w:eastAsia="Arial Unicode MS" w:hAnsi="Arial" w:cs="Arial"/>
          <w:b/>
          <w:bCs/>
          <w:sz w:val="32"/>
          <w:szCs w:val="32"/>
        </w:rPr>
        <w:t>Supervisor Name</w:t>
      </w:r>
      <w:r w:rsidR="004871DF" w:rsidRPr="000144B0">
        <w:rPr>
          <w:rFonts w:ascii="Arial" w:eastAsia="Arial Unicode MS" w:hAnsi="Arial" w:cs="Arial"/>
          <w:b/>
          <w:bCs/>
          <w:sz w:val="32"/>
          <w:szCs w:val="32"/>
        </w:rPr>
        <w:t>:</w:t>
      </w:r>
      <w:r w:rsidR="00635FF4" w:rsidRPr="00635FF4">
        <w:rPr>
          <w:rFonts w:ascii="Arial" w:eastAsia="Arial Unicode MS" w:hAnsi="Arial" w:cs="Arial"/>
          <w:b/>
          <w:bCs/>
          <w:sz w:val="32"/>
          <w:szCs w:val="32"/>
        </w:rPr>
        <w:t xml:space="preserve">Dr Junaid </w:t>
      </w:r>
      <w:r w:rsidR="00635FF4">
        <w:rPr>
          <w:rFonts w:ascii="Arial" w:eastAsia="Arial Unicode MS" w:hAnsi="Arial" w:cs="Arial"/>
          <w:b/>
          <w:bCs/>
          <w:sz w:val="32"/>
          <w:szCs w:val="32"/>
        </w:rPr>
        <w:t>S</w:t>
      </w:r>
      <w:r w:rsidR="00635FF4" w:rsidRPr="00635FF4">
        <w:rPr>
          <w:rFonts w:ascii="Arial" w:eastAsia="Arial Unicode MS" w:hAnsi="Arial" w:cs="Arial"/>
          <w:b/>
          <w:bCs/>
          <w:sz w:val="32"/>
          <w:szCs w:val="32"/>
        </w:rPr>
        <w:t>haikh</w:t>
      </w:r>
    </w:p>
    <w:p w:rsidR="00E01DB3" w:rsidRPr="000144B0" w:rsidRDefault="00E01DB3" w:rsidP="000A46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sz w:val="32"/>
          <w:szCs w:val="32"/>
        </w:rPr>
      </w:pPr>
    </w:p>
    <w:p w:rsidR="00860CB2" w:rsidRPr="000144B0" w:rsidRDefault="00860CB2" w:rsidP="000A46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sz w:val="24"/>
          <w:szCs w:val="24"/>
        </w:rPr>
      </w:pPr>
      <w:r w:rsidRPr="000144B0">
        <w:rPr>
          <w:rFonts w:ascii="Arial" w:eastAsia="Arial Unicode MS" w:hAnsi="Arial" w:cs="Arial"/>
          <w:sz w:val="24"/>
          <w:szCs w:val="24"/>
        </w:rPr>
        <w:t xml:space="preserve">Dissertation submitted as part of the requirements for the award </w:t>
      </w:r>
      <w:r w:rsidR="00010C5D" w:rsidRPr="000144B0">
        <w:rPr>
          <w:rFonts w:ascii="Arial" w:eastAsia="Arial Unicode MS" w:hAnsi="Arial" w:cs="Arial"/>
          <w:sz w:val="24"/>
          <w:szCs w:val="24"/>
        </w:rPr>
        <w:t xml:space="preserve">of </w:t>
      </w:r>
      <w:r w:rsidRPr="000144B0">
        <w:rPr>
          <w:rFonts w:ascii="Arial" w:eastAsia="Arial Unicode MS" w:hAnsi="Arial" w:cs="Arial"/>
          <w:sz w:val="24"/>
          <w:szCs w:val="24"/>
        </w:rPr>
        <w:t>MSc Public Health and Social Care in Practice</w:t>
      </w:r>
    </w:p>
    <w:p w:rsidR="00860CB2" w:rsidRPr="000144B0" w:rsidRDefault="00860CB2" w:rsidP="000A46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sz w:val="24"/>
          <w:szCs w:val="24"/>
        </w:rPr>
      </w:pPr>
    </w:p>
    <w:p w:rsidR="00E04B07" w:rsidRPr="00861D25" w:rsidRDefault="00E04B07" w:rsidP="00E04B07">
      <w:pPr>
        <w:jc w:val="center"/>
        <w:rPr>
          <w:b/>
          <w:bCs/>
          <w:sz w:val="32"/>
          <w:szCs w:val="32"/>
          <w:u w:val="single"/>
          <w:lang w:eastAsia="en-US" w:bidi="ar-SA"/>
        </w:rPr>
      </w:pPr>
      <w:r w:rsidRPr="00861D25">
        <w:rPr>
          <w:b/>
          <w:sz w:val="32"/>
          <w:szCs w:val="32"/>
          <w:lang w:eastAsia="en-US" w:bidi="ar-SA"/>
        </w:rPr>
        <w:t>May/2026</w:t>
      </w:r>
    </w:p>
    <w:p w:rsidR="00860CB2" w:rsidRPr="000144B0" w:rsidRDefault="00860CB2" w:rsidP="00774AB1">
      <w:pPr>
        <w:spacing w:line="360" w:lineRule="auto"/>
        <w:jc w:val="both"/>
        <w:rPr>
          <w:rFonts w:ascii="Arial" w:hAnsi="Arial" w:cs="Arial"/>
        </w:rPr>
      </w:pPr>
    </w:p>
    <w:p w:rsidR="00A670C5" w:rsidRPr="000144B0" w:rsidRDefault="004871DF" w:rsidP="00774AB1">
      <w:pPr>
        <w:jc w:val="both"/>
        <w:rPr>
          <w:rFonts w:ascii="Arial" w:hAnsi="Arial" w:cs="Arial"/>
        </w:rPr>
      </w:pPr>
      <w:r w:rsidRPr="000144B0">
        <w:rPr>
          <w:rFonts w:ascii="Arial" w:hAnsi="Arial" w:cs="Arial"/>
        </w:rPr>
        <w:br w:type="page"/>
      </w:r>
    </w:p>
    <w:bookmarkEnd w:id="1"/>
    <w:p w:rsidR="005B452B" w:rsidRPr="000144B0" w:rsidRDefault="005B452B" w:rsidP="00774AB1">
      <w:pPr>
        <w:spacing w:line="360" w:lineRule="auto"/>
        <w:jc w:val="both"/>
        <w:rPr>
          <w:rFonts w:ascii="Arial" w:eastAsia="Times New Roman" w:hAnsi="Arial" w:cs="Arial"/>
          <w:b/>
        </w:rPr>
      </w:pPr>
    </w:p>
    <w:p w:rsidR="005C2C7A" w:rsidRPr="000144B0" w:rsidRDefault="005C2C7A" w:rsidP="00774AB1">
      <w:pPr>
        <w:spacing w:line="360" w:lineRule="auto"/>
        <w:jc w:val="both"/>
        <w:rPr>
          <w:rFonts w:ascii="Arial" w:eastAsia="Times New Roman" w:hAnsi="Arial" w:cs="Arial"/>
          <w:b/>
          <w:sz w:val="28"/>
          <w:szCs w:val="28"/>
        </w:rPr>
      </w:pPr>
      <w:r w:rsidRPr="000144B0">
        <w:rPr>
          <w:rFonts w:ascii="Arial" w:eastAsia="Times New Roman" w:hAnsi="Arial" w:cs="Arial"/>
          <w:b/>
          <w:sz w:val="28"/>
          <w:szCs w:val="28"/>
        </w:rPr>
        <w:t>DECLARATION</w:t>
      </w:r>
    </w:p>
    <w:p w:rsidR="00757B37" w:rsidRPr="000144B0" w:rsidRDefault="00757B37"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sz w:val="24"/>
          <w:szCs w:val="24"/>
        </w:rPr>
      </w:pPr>
      <w:r w:rsidRPr="000144B0">
        <w:rPr>
          <w:rFonts w:ascii="Arial" w:eastAsia="Arial Unicode MS" w:hAnsi="Arial" w:cs="Arial"/>
          <w:bCs/>
          <w:sz w:val="24"/>
          <w:szCs w:val="24"/>
        </w:rPr>
        <w:t xml:space="preserve">I, </w:t>
      </w:r>
      <w:r w:rsidR="00CF155D" w:rsidRPr="00CF155D">
        <w:rPr>
          <w:rFonts w:ascii="Arial" w:eastAsia="Arial Unicode MS" w:hAnsi="Arial" w:cs="Arial"/>
          <w:bCs/>
          <w:i/>
          <w:iCs/>
          <w:sz w:val="24"/>
          <w:szCs w:val="24"/>
        </w:rPr>
        <w:t>Mahendra</w:t>
      </w:r>
      <w:r w:rsidR="00861D25">
        <w:rPr>
          <w:rFonts w:ascii="Arial" w:eastAsia="Arial Unicode MS" w:hAnsi="Arial" w:cs="Arial"/>
          <w:bCs/>
          <w:i/>
          <w:iCs/>
          <w:sz w:val="24"/>
          <w:szCs w:val="24"/>
        </w:rPr>
        <w:t xml:space="preserve"> </w:t>
      </w:r>
      <w:r w:rsidR="00CF155D" w:rsidRPr="00CF155D">
        <w:rPr>
          <w:rFonts w:ascii="Arial" w:eastAsia="Arial Unicode MS" w:hAnsi="Arial" w:cs="Arial"/>
          <w:bCs/>
          <w:i/>
          <w:iCs/>
          <w:sz w:val="24"/>
          <w:szCs w:val="24"/>
        </w:rPr>
        <w:t xml:space="preserve"> jesingbhai vadhel</w:t>
      </w:r>
      <w:r w:rsidR="00861D25">
        <w:rPr>
          <w:rFonts w:ascii="Arial" w:eastAsia="Arial Unicode MS" w:hAnsi="Arial" w:cs="Arial"/>
          <w:bCs/>
          <w:i/>
          <w:iCs/>
          <w:sz w:val="24"/>
          <w:szCs w:val="24"/>
        </w:rPr>
        <w:t xml:space="preserve"> </w:t>
      </w:r>
      <w:r w:rsidRPr="000144B0">
        <w:rPr>
          <w:rFonts w:ascii="Arial" w:eastAsia="Arial Unicode MS" w:hAnsi="Arial" w:cs="Arial"/>
          <w:bCs/>
          <w:sz w:val="24"/>
          <w:szCs w:val="24"/>
        </w:rPr>
        <w:t>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rsidR="00757B37" w:rsidRPr="000144B0" w:rsidRDefault="00757B37"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sz w:val="24"/>
          <w:szCs w:val="24"/>
        </w:rPr>
      </w:pPr>
      <w:r w:rsidRPr="000144B0">
        <w:rPr>
          <w:rFonts w:ascii="Arial" w:eastAsia="Arial Unicode MS" w:hAnsi="Arial" w:cs="Arial"/>
          <w:bCs/>
          <w:sz w:val="24"/>
          <w:szCs w:val="24"/>
        </w:rPr>
        <w:t>Signature:</w:t>
      </w:r>
      <w:r w:rsidR="00CF155D" w:rsidRPr="00CF155D">
        <w:rPr>
          <w:rFonts w:ascii="Arial" w:eastAsia="Arial Unicode MS" w:hAnsi="Arial" w:cs="Arial"/>
          <w:bCs/>
          <w:sz w:val="24"/>
          <w:szCs w:val="24"/>
        </w:rPr>
        <w:t xml:space="preserve">Mahendra </w:t>
      </w:r>
      <w:r w:rsidR="00CF155D">
        <w:rPr>
          <w:rFonts w:ascii="Arial" w:eastAsia="Arial Unicode MS" w:hAnsi="Arial" w:cs="Arial"/>
          <w:bCs/>
          <w:sz w:val="24"/>
          <w:szCs w:val="24"/>
        </w:rPr>
        <w:t>J</w:t>
      </w:r>
      <w:r w:rsidR="00CF155D" w:rsidRPr="00CF155D">
        <w:rPr>
          <w:rFonts w:ascii="Arial" w:eastAsia="Arial Unicode MS" w:hAnsi="Arial" w:cs="Arial"/>
          <w:bCs/>
          <w:sz w:val="24"/>
          <w:szCs w:val="24"/>
        </w:rPr>
        <w:t xml:space="preserve">esingbhai </w:t>
      </w:r>
      <w:r w:rsidR="00CF155D">
        <w:rPr>
          <w:rFonts w:ascii="Arial" w:eastAsia="Arial Unicode MS" w:hAnsi="Arial" w:cs="Arial"/>
          <w:bCs/>
          <w:sz w:val="24"/>
          <w:szCs w:val="24"/>
        </w:rPr>
        <w:t>V</w:t>
      </w:r>
      <w:r w:rsidR="00CF155D" w:rsidRPr="00CF155D">
        <w:rPr>
          <w:rFonts w:ascii="Arial" w:eastAsia="Arial Unicode MS" w:hAnsi="Arial" w:cs="Arial"/>
          <w:bCs/>
          <w:sz w:val="24"/>
          <w:szCs w:val="24"/>
        </w:rPr>
        <w:t>adhel</w:t>
      </w:r>
    </w:p>
    <w:p w:rsidR="005F4CBF" w:rsidRPr="000144B0" w:rsidRDefault="00757B37"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sz w:val="24"/>
          <w:szCs w:val="24"/>
        </w:rPr>
      </w:pPr>
      <w:r w:rsidRPr="000144B0">
        <w:rPr>
          <w:rFonts w:ascii="Arial" w:eastAsia="Arial Unicode MS" w:hAnsi="Arial" w:cs="Arial"/>
          <w:bCs/>
          <w:sz w:val="24"/>
          <w:szCs w:val="24"/>
        </w:rPr>
        <w:t xml:space="preserve">Date: </w:t>
      </w:r>
      <w:r w:rsidR="00CF155D">
        <w:rPr>
          <w:rFonts w:ascii="Arial" w:eastAsia="Arial Unicode MS" w:hAnsi="Arial" w:cs="Arial"/>
          <w:bCs/>
          <w:sz w:val="24"/>
          <w:szCs w:val="24"/>
        </w:rPr>
        <w:t>12</w:t>
      </w:r>
      <w:r w:rsidR="00CF155D" w:rsidRPr="00CF155D">
        <w:rPr>
          <w:rFonts w:ascii="Arial" w:eastAsia="Arial Unicode MS" w:hAnsi="Arial" w:cs="Arial"/>
          <w:bCs/>
          <w:sz w:val="24"/>
          <w:szCs w:val="24"/>
          <w:vertAlign w:val="superscript"/>
        </w:rPr>
        <w:t>th</w:t>
      </w:r>
      <w:r w:rsidR="00CF155D">
        <w:rPr>
          <w:rFonts w:ascii="Arial" w:eastAsia="Arial Unicode MS" w:hAnsi="Arial" w:cs="Arial"/>
          <w:bCs/>
          <w:sz w:val="24"/>
          <w:szCs w:val="24"/>
        </w:rPr>
        <w:t xml:space="preserve"> may 2026</w:t>
      </w:r>
    </w:p>
    <w:p w:rsidR="005F4CBF" w:rsidRPr="000144B0" w:rsidRDefault="005F4CBF"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sz w:val="24"/>
          <w:szCs w:val="24"/>
        </w:rPr>
      </w:pPr>
    </w:p>
    <w:p w:rsidR="005F4CBF" w:rsidRPr="000144B0" w:rsidRDefault="005F4CBF"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rsidR="005F4CBF" w:rsidRPr="000144B0" w:rsidRDefault="005F4CBF"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rsidR="005F4CBF" w:rsidRPr="000144B0" w:rsidRDefault="005F4CBF"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rsidR="00757B37" w:rsidRPr="000144B0" w:rsidRDefault="00757B37"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rsidR="00757B37" w:rsidRPr="000144B0" w:rsidRDefault="00757B37"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rsidR="00757B37" w:rsidRPr="000144B0" w:rsidRDefault="00757B37"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rsidR="00757B37" w:rsidRPr="000144B0" w:rsidRDefault="00757B37"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rsidR="00757B37" w:rsidRPr="000144B0" w:rsidRDefault="00757B37"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rsidR="00757B37" w:rsidRPr="000144B0" w:rsidRDefault="00757B37"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rsidR="00757B37" w:rsidRPr="000144B0" w:rsidRDefault="00757B37"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rsidR="00757B37" w:rsidRPr="000144B0" w:rsidRDefault="00757B37"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rsidR="00757B37" w:rsidRPr="000144B0" w:rsidRDefault="00757B37"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rsidR="00757B37" w:rsidRPr="000144B0" w:rsidRDefault="00757B37"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rsidR="00EA4708" w:rsidRPr="000144B0" w:rsidRDefault="00EA4708"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rsidR="00EA4708" w:rsidRPr="000144B0" w:rsidRDefault="00EA4708"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rsidR="00EA4708" w:rsidRPr="000144B0" w:rsidRDefault="00EA4708"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rsidR="00EA4708" w:rsidRPr="000144B0" w:rsidRDefault="00EA4708"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rsidR="00EA4708" w:rsidRPr="000144B0" w:rsidRDefault="00EA4708"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rsidR="00EA4708" w:rsidRPr="000144B0" w:rsidRDefault="00EA4708"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rsidR="00EA4708" w:rsidRPr="000144B0" w:rsidRDefault="00EA4708"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rsidR="00EA4708" w:rsidRPr="000144B0" w:rsidRDefault="00EA4708"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rsidR="005C2C7A" w:rsidRPr="000144B0" w:rsidRDefault="005C2C7A" w:rsidP="00467F6B">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sz w:val="28"/>
          <w:szCs w:val="28"/>
        </w:rPr>
      </w:pPr>
      <w:r w:rsidRPr="000144B0">
        <w:rPr>
          <w:rFonts w:ascii="Arial" w:eastAsia="Arial Unicode MS" w:hAnsi="Arial" w:cs="Arial"/>
          <w:b/>
          <w:sz w:val="28"/>
          <w:szCs w:val="28"/>
        </w:rPr>
        <w:lastRenderedPageBreak/>
        <w:t>ACKNOWLEDGEMENTS</w:t>
      </w:r>
    </w:p>
    <w:p w:rsidR="00467F6B" w:rsidRPr="000144B0" w:rsidRDefault="00467F6B" w:rsidP="00467F6B">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sz w:val="24"/>
          <w:szCs w:val="24"/>
        </w:rPr>
      </w:pPr>
      <w:r w:rsidRPr="000144B0">
        <w:rPr>
          <w:rFonts w:ascii="Arial" w:eastAsia="Arial Unicode MS" w:hAnsi="Arial" w:cs="Arial"/>
          <w:bCs/>
          <w:sz w:val="24"/>
          <w:szCs w:val="24"/>
        </w:rPr>
        <w:t>I would like to express my sincere gratitude to my supervisor for their valuable guidance, support, and encouragement throughout this dissertation. I also thank my family and friends for their continuous motivation and support. Finally, I appreciate the authors and researchers whose studies contributed significantly to this research.</w:t>
      </w:r>
    </w:p>
    <w:p w:rsidR="005C2C7A" w:rsidRPr="000144B0" w:rsidRDefault="005C2C7A"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rPr>
      </w:pPr>
    </w:p>
    <w:p w:rsidR="005C2C7A" w:rsidRPr="000144B0" w:rsidRDefault="005C2C7A"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5C2C7A" w:rsidRPr="000144B0" w:rsidRDefault="005C2C7A"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5C2C7A" w:rsidRPr="000144B0" w:rsidRDefault="005C2C7A"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5C2C7A" w:rsidRPr="000144B0" w:rsidRDefault="005C2C7A"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5C2C7A" w:rsidRPr="000144B0" w:rsidRDefault="005C2C7A"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5C2C7A" w:rsidRPr="000144B0" w:rsidRDefault="005C2C7A"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5C2C7A" w:rsidRPr="000144B0" w:rsidRDefault="005C2C7A"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5C2C7A" w:rsidRPr="000144B0" w:rsidRDefault="005C2C7A"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5C2C7A" w:rsidRPr="000144B0" w:rsidRDefault="005C2C7A"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5C2C7A" w:rsidRPr="000144B0" w:rsidRDefault="005C2C7A"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5C2C7A" w:rsidRPr="000144B0" w:rsidRDefault="005C2C7A"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5C2C7A" w:rsidRPr="000144B0" w:rsidRDefault="005C2C7A"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5C2C7A" w:rsidRPr="000144B0" w:rsidRDefault="005C2C7A"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5C2C7A" w:rsidRPr="000144B0" w:rsidRDefault="005C2C7A"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5C2C7A" w:rsidRPr="000144B0" w:rsidRDefault="005C2C7A"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5C2C7A" w:rsidRPr="000144B0" w:rsidRDefault="005C2C7A"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5C2C7A" w:rsidRPr="000144B0" w:rsidRDefault="005C2C7A"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5C2C7A" w:rsidRPr="000144B0" w:rsidRDefault="005C2C7A"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5C2C7A" w:rsidRPr="000144B0" w:rsidRDefault="005C2C7A"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5C2C7A" w:rsidRPr="000144B0" w:rsidRDefault="005C2C7A"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5C2C7A" w:rsidRPr="000144B0" w:rsidRDefault="005C2C7A"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5C2C7A" w:rsidRPr="000144B0" w:rsidRDefault="005C2C7A"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4A26FE" w:rsidRPr="000144B0" w:rsidRDefault="004A26FE"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4A26FE" w:rsidRPr="000144B0" w:rsidRDefault="004A26FE"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4A26FE" w:rsidRPr="000144B0" w:rsidRDefault="004A26FE"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4A26FE" w:rsidRPr="000144B0" w:rsidRDefault="004A26FE"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4A26FE" w:rsidRPr="000144B0" w:rsidRDefault="004A26FE" w:rsidP="00774AB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p>
    <w:p w:rsidR="00DA5D26" w:rsidRPr="000144B0" w:rsidRDefault="00DA5D26"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4"/>
          <w:szCs w:val="24"/>
        </w:rPr>
      </w:pPr>
    </w:p>
    <w:p w:rsidR="00A01A3E" w:rsidRDefault="00A01A3E">
      <w:pPr>
        <w:rPr>
          <w:rFonts w:ascii="Arial" w:eastAsia="Arial Unicode MS" w:hAnsi="Arial" w:cs="Arial"/>
          <w:b/>
          <w:sz w:val="28"/>
          <w:szCs w:val="28"/>
        </w:rPr>
      </w:pPr>
      <w:r>
        <w:rPr>
          <w:rFonts w:ascii="Arial" w:eastAsia="Arial Unicode MS" w:hAnsi="Arial" w:cs="Arial"/>
          <w:b/>
          <w:sz w:val="28"/>
          <w:szCs w:val="28"/>
        </w:rPr>
        <w:br w:type="page"/>
      </w:r>
    </w:p>
    <w:p w:rsidR="00F978CE" w:rsidRPr="000144B0" w:rsidRDefault="005C2C7A" w:rsidP="00A01A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sz w:val="28"/>
          <w:szCs w:val="28"/>
        </w:rPr>
      </w:pPr>
      <w:r w:rsidRPr="000144B0">
        <w:rPr>
          <w:rFonts w:ascii="Arial" w:eastAsia="Arial Unicode MS" w:hAnsi="Arial" w:cs="Arial"/>
          <w:b/>
          <w:sz w:val="28"/>
          <w:szCs w:val="28"/>
        </w:rPr>
        <w:lastRenderedPageBreak/>
        <w:t>ABSTRACT</w:t>
      </w:r>
    </w:p>
    <w:p w:rsidR="00774AB1" w:rsidRPr="000144B0" w:rsidRDefault="00774AB1"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4"/>
          <w:szCs w:val="24"/>
        </w:rPr>
      </w:pPr>
      <w:r w:rsidRPr="000144B0">
        <w:rPr>
          <w:rFonts w:ascii="Arial" w:eastAsia="Arial Unicode MS" w:hAnsi="Arial" w:cs="Arial"/>
          <w:b/>
          <w:sz w:val="24"/>
          <w:szCs w:val="24"/>
        </w:rPr>
        <w:t>Background</w:t>
      </w:r>
    </w:p>
    <w:p w:rsidR="00774AB1" w:rsidRPr="000144B0" w:rsidRDefault="00774AB1"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sz w:val="24"/>
          <w:szCs w:val="24"/>
        </w:rPr>
      </w:pPr>
      <w:r w:rsidRPr="000144B0">
        <w:rPr>
          <w:rFonts w:ascii="Arial" w:eastAsia="Arial Unicode MS" w:hAnsi="Arial" w:cs="Arial"/>
          <w:bCs/>
          <w:sz w:val="24"/>
          <w:szCs w:val="24"/>
        </w:rPr>
        <w:t>Falls in older adults pose a significant threat to health and wellbeing in public health and social care in the United Kingdom, with impacts including injury, loss of mobility, hospital visits, loss of independence and high healthcare costs. Community physiotherapists are crucial in the prevention of falls with their work in rehabilitation, training, mobility and health promotion. But constraints on health-care resources, human resource deficits and recruitment issues with patients continue to impact the delivery of community-based fall prevention initiatives. This research sought to explore the contribution of community physiotherapists in the prevention of falls among older adults in the United Kingdom (UK) public health and social care settings.</w:t>
      </w:r>
    </w:p>
    <w:p w:rsidR="00774AB1" w:rsidRPr="000144B0" w:rsidRDefault="00774AB1"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4"/>
          <w:szCs w:val="24"/>
        </w:rPr>
      </w:pPr>
      <w:r w:rsidRPr="000144B0">
        <w:rPr>
          <w:rFonts w:ascii="Arial" w:eastAsia="Arial Unicode MS" w:hAnsi="Arial" w:cs="Arial"/>
          <w:b/>
          <w:sz w:val="24"/>
          <w:szCs w:val="24"/>
        </w:rPr>
        <w:t>Methods</w:t>
      </w:r>
    </w:p>
    <w:p w:rsidR="00774AB1" w:rsidRPr="000144B0" w:rsidRDefault="00774AB1"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sz w:val="24"/>
          <w:szCs w:val="24"/>
        </w:rPr>
      </w:pPr>
      <w:r w:rsidRPr="000144B0">
        <w:rPr>
          <w:rFonts w:ascii="Arial" w:eastAsia="Arial Unicode MS" w:hAnsi="Arial" w:cs="Arial"/>
          <w:bCs/>
          <w:sz w:val="24"/>
          <w:szCs w:val="24"/>
        </w:rPr>
        <w:t>This study used the methodology of qualitative secondary research to conduct a critical literature review on community physiotherapy and preventing falls among older adults. We examined literature from peer-reviewed journals, health-care reports and public health policy documents from 2018 to 2025. This included information about physiotherapy interventions, older adults' and physiotherapists' perceptions and experiences, factors impacting on service provision and a public health approach to falls prevention. The analysis involved a thematic approach to identify similar themes and gaps in knowledge.</w:t>
      </w:r>
    </w:p>
    <w:p w:rsidR="00774AB1" w:rsidRPr="000144B0" w:rsidRDefault="00774AB1"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4"/>
          <w:szCs w:val="24"/>
        </w:rPr>
      </w:pPr>
      <w:r w:rsidRPr="000144B0">
        <w:rPr>
          <w:rFonts w:ascii="Arial" w:eastAsia="Arial Unicode MS" w:hAnsi="Arial" w:cs="Arial"/>
          <w:b/>
          <w:sz w:val="24"/>
          <w:szCs w:val="24"/>
        </w:rPr>
        <w:t>Results</w:t>
      </w:r>
    </w:p>
    <w:p w:rsidR="00774AB1" w:rsidRPr="000144B0" w:rsidRDefault="00774AB1"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sz w:val="24"/>
          <w:szCs w:val="24"/>
        </w:rPr>
      </w:pPr>
      <w:r w:rsidRPr="000144B0">
        <w:rPr>
          <w:rFonts w:ascii="Arial" w:eastAsia="Arial Unicode MS" w:hAnsi="Arial" w:cs="Arial"/>
          <w:bCs/>
          <w:sz w:val="24"/>
          <w:szCs w:val="24"/>
        </w:rPr>
        <w:t>The review showed that physiotherapy services provided in the community such as balance training, strengthening exercises, walking retraining and education have positive impacts on older adults' falls and independence. Older adults generally viewed physiotherapy programmes positively because they boosted confidence, mobility and provided emotional support. But workforce, lack of funding, limited service provision, lack of access and lack of multidisciplinary collaboration all contributed to decreased effectiveness of these programmes. The review also found little UK research that examined patients' and physiotherapists' perspectives.</w:t>
      </w:r>
    </w:p>
    <w:p w:rsidR="00774AB1" w:rsidRPr="000144B0" w:rsidRDefault="00774AB1"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4"/>
          <w:szCs w:val="24"/>
        </w:rPr>
      </w:pPr>
      <w:r w:rsidRPr="000144B0">
        <w:rPr>
          <w:rFonts w:ascii="Arial" w:eastAsia="Arial Unicode MS" w:hAnsi="Arial" w:cs="Arial"/>
          <w:b/>
          <w:sz w:val="24"/>
          <w:szCs w:val="24"/>
        </w:rPr>
        <w:t>Conclusion</w:t>
      </w:r>
    </w:p>
    <w:p w:rsidR="00774AB1" w:rsidRPr="000144B0" w:rsidRDefault="00774AB1"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sz w:val="24"/>
          <w:szCs w:val="24"/>
        </w:rPr>
      </w:pPr>
      <w:r w:rsidRPr="000144B0">
        <w:rPr>
          <w:rFonts w:ascii="Arial" w:eastAsia="Arial Unicode MS" w:hAnsi="Arial" w:cs="Arial"/>
          <w:bCs/>
          <w:sz w:val="24"/>
          <w:szCs w:val="24"/>
        </w:rPr>
        <w:t xml:space="preserve">The research found that community physiotherapists have a significant role in older adult falls prevention and promoting active ageing in the public health and social </w:t>
      </w:r>
      <w:r w:rsidRPr="000144B0">
        <w:rPr>
          <w:rFonts w:ascii="Arial" w:eastAsia="Arial Unicode MS" w:hAnsi="Arial" w:cs="Arial"/>
          <w:bCs/>
          <w:sz w:val="24"/>
          <w:szCs w:val="24"/>
        </w:rPr>
        <w:lastRenderedPageBreak/>
        <w:t>care settings. There is a need to improve community physiotherapy services, policy implementation, existing workforce and multidisciplinary working to reduce falls in the United Kingdom.</w:t>
      </w:r>
    </w:p>
    <w:p w:rsidR="00774AB1" w:rsidRPr="000144B0" w:rsidRDefault="00774AB1"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sz w:val="24"/>
          <w:szCs w:val="24"/>
        </w:rPr>
      </w:pPr>
      <w:r w:rsidRPr="000144B0">
        <w:rPr>
          <w:rFonts w:ascii="Arial" w:eastAsia="Arial Unicode MS" w:hAnsi="Arial" w:cs="Arial"/>
          <w:b/>
          <w:i/>
          <w:iCs/>
          <w:sz w:val="24"/>
          <w:szCs w:val="24"/>
        </w:rPr>
        <w:t>Keywords:</w:t>
      </w:r>
      <w:r w:rsidRPr="000144B0">
        <w:rPr>
          <w:rFonts w:ascii="Arial" w:eastAsia="Arial Unicode MS" w:hAnsi="Arial" w:cs="Arial"/>
          <w:bCs/>
          <w:sz w:val="24"/>
          <w:szCs w:val="24"/>
        </w:rPr>
        <w:t xml:space="preserve"> Community physiotherapy, falls, older adults, public health, social care, rehabilitation, aging population, physiotherapy</w:t>
      </w:r>
    </w:p>
    <w:p w:rsidR="005C2C7A" w:rsidRPr="000144B0" w:rsidRDefault="005C2C7A"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4"/>
          <w:szCs w:val="24"/>
          <w:u w:val="single"/>
        </w:rPr>
      </w:pPr>
    </w:p>
    <w:p w:rsidR="005C2C7A" w:rsidRPr="000144B0" w:rsidRDefault="005C2C7A"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Arial Unicode MS" w:hAnsi="Arial" w:cs="Arial"/>
          <w:b/>
          <w:sz w:val="24"/>
          <w:szCs w:val="24"/>
          <w:u w:val="single"/>
        </w:rPr>
      </w:pPr>
    </w:p>
    <w:p w:rsidR="005C2C7A" w:rsidRPr="000144B0" w:rsidRDefault="005C2C7A"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Arial Unicode MS" w:hAnsi="Arial" w:cs="Arial"/>
          <w:b/>
          <w:sz w:val="24"/>
          <w:szCs w:val="24"/>
          <w:u w:val="single"/>
        </w:rPr>
      </w:pPr>
    </w:p>
    <w:p w:rsidR="005C2C7A" w:rsidRPr="000144B0" w:rsidRDefault="005C2C7A"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Arial Unicode MS" w:hAnsi="Arial" w:cs="Arial"/>
          <w:b/>
          <w:sz w:val="24"/>
          <w:szCs w:val="24"/>
          <w:u w:val="single"/>
        </w:rPr>
      </w:pPr>
    </w:p>
    <w:p w:rsidR="005C2C7A" w:rsidRPr="000144B0" w:rsidRDefault="005C2C7A"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Arial Unicode MS" w:hAnsi="Arial" w:cs="Arial"/>
          <w:b/>
          <w:sz w:val="24"/>
          <w:szCs w:val="24"/>
          <w:u w:val="single"/>
        </w:rPr>
      </w:pPr>
    </w:p>
    <w:p w:rsidR="005C2C7A" w:rsidRPr="000144B0" w:rsidRDefault="005C2C7A"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Arial Unicode MS" w:hAnsi="Arial" w:cs="Arial"/>
          <w:b/>
          <w:sz w:val="24"/>
          <w:szCs w:val="24"/>
          <w:u w:val="single"/>
        </w:rPr>
      </w:pPr>
    </w:p>
    <w:p w:rsidR="005C2C7A" w:rsidRPr="000144B0" w:rsidRDefault="005C2C7A"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Arial Unicode MS" w:hAnsi="Arial" w:cs="Arial"/>
          <w:b/>
          <w:sz w:val="24"/>
          <w:szCs w:val="24"/>
          <w:u w:val="single"/>
        </w:rPr>
      </w:pPr>
    </w:p>
    <w:p w:rsidR="005C2C7A" w:rsidRPr="000144B0" w:rsidRDefault="005C2C7A"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Arial Unicode MS" w:hAnsi="Arial" w:cs="Arial"/>
          <w:b/>
          <w:sz w:val="24"/>
          <w:szCs w:val="24"/>
          <w:u w:val="single"/>
        </w:rPr>
      </w:pPr>
    </w:p>
    <w:p w:rsidR="005C2C7A" w:rsidRPr="000144B0" w:rsidRDefault="005C2C7A"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Arial Unicode MS" w:hAnsi="Arial" w:cs="Arial"/>
          <w:b/>
          <w:sz w:val="24"/>
          <w:szCs w:val="24"/>
          <w:u w:val="single"/>
        </w:rPr>
      </w:pPr>
    </w:p>
    <w:p w:rsidR="005C2C7A" w:rsidRPr="000144B0" w:rsidRDefault="005C2C7A"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Arial Unicode MS" w:hAnsi="Arial" w:cs="Arial"/>
          <w:b/>
          <w:sz w:val="24"/>
          <w:szCs w:val="24"/>
          <w:u w:val="single"/>
        </w:rPr>
      </w:pPr>
    </w:p>
    <w:p w:rsidR="005C2C7A" w:rsidRPr="000144B0" w:rsidRDefault="005C2C7A"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Arial Unicode MS" w:hAnsi="Arial" w:cs="Arial"/>
          <w:b/>
          <w:sz w:val="24"/>
          <w:szCs w:val="24"/>
          <w:u w:val="single"/>
        </w:rPr>
      </w:pPr>
    </w:p>
    <w:p w:rsidR="00342060" w:rsidRDefault="00342060">
      <w:r>
        <w:br w:type="page"/>
      </w:r>
    </w:p>
    <w:sdt>
      <w:sdtPr>
        <w:rPr>
          <w:rFonts w:ascii="Calibri Light" w:eastAsia="Calibri Light" w:hAnsi="Calibri Light" w:cs="Calibri Light"/>
          <w:color w:val="auto"/>
          <w:sz w:val="22"/>
          <w:szCs w:val="22"/>
          <w:lang w:val="en-GB" w:eastAsia="en-GB" w:bidi="en-GB"/>
        </w:rPr>
        <w:id w:val="1090429828"/>
        <w:docPartObj>
          <w:docPartGallery w:val="Table of Contents"/>
          <w:docPartUnique/>
        </w:docPartObj>
      </w:sdtPr>
      <w:sdtEndPr>
        <w:rPr>
          <w:b/>
          <w:bCs/>
          <w:noProof/>
        </w:rPr>
      </w:sdtEndPr>
      <w:sdtContent>
        <w:p w:rsidR="00910001" w:rsidRDefault="00910001" w:rsidP="00910001">
          <w:pPr>
            <w:pStyle w:val="TOCHeading"/>
            <w:jc w:val="center"/>
          </w:pPr>
          <w:r>
            <w:t>Table of Contents</w:t>
          </w:r>
        </w:p>
        <w:p w:rsidR="00910001" w:rsidRPr="00910001" w:rsidRDefault="00006CBA" w:rsidP="00910001">
          <w:pPr>
            <w:pStyle w:val="TOC1"/>
            <w:tabs>
              <w:tab w:val="right" w:leader="dot" w:pos="9016"/>
            </w:tabs>
            <w:spacing w:line="360" w:lineRule="auto"/>
            <w:rPr>
              <w:rFonts w:ascii="Arial" w:eastAsiaTheme="minorEastAsia" w:hAnsi="Arial" w:cs="Arial"/>
              <w:noProof/>
              <w:kern w:val="2"/>
              <w:lang w:val="en-IN" w:eastAsia="en-IN"/>
            </w:rPr>
          </w:pPr>
          <w:r w:rsidRPr="00006CBA">
            <w:fldChar w:fldCharType="begin"/>
          </w:r>
          <w:r w:rsidR="00910001">
            <w:instrText xml:space="preserve"> TOC \o "1-3" \h \z \u </w:instrText>
          </w:r>
          <w:r w:rsidRPr="00006CBA">
            <w:fldChar w:fldCharType="separate"/>
          </w:r>
          <w:hyperlink w:anchor="_Toc228352750" w:history="1">
            <w:r w:rsidR="00910001">
              <w:rPr>
                <w:rStyle w:val="Hyperlink"/>
                <w:rFonts w:ascii="Arial" w:hAnsi="Arial" w:cs="Arial"/>
                <w:noProof/>
                <w:lang w:bidi="en-GB"/>
              </w:rPr>
              <w:t>C</w:t>
            </w:r>
            <w:r w:rsidR="00910001" w:rsidRPr="00910001">
              <w:rPr>
                <w:rStyle w:val="Hyperlink"/>
                <w:rFonts w:ascii="Arial" w:hAnsi="Arial" w:cs="Arial"/>
                <w:noProof/>
                <w:lang w:bidi="en-GB"/>
              </w:rPr>
              <w:t>hapter 1: Introduction And Background</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_Toc228352750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12</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51" w:history="1">
            <w:r w:rsidR="00910001" w:rsidRPr="00910001">
              <w:rPr>
                <w:rStyle w:val="Hyperlink"/>
                <w:rFonts w:ascii="Arial" w:hAnsi="Arial" w:cs="Arial"/>
                <w:noProof/>
                <w:lang w:bidi="en-GB"/>
              </w:rPr>
              <w:t>1.1 Introduction to the topic</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_Toc228352751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12</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52" w:history="1">
            <w:r w:rsidR="00910001" w:rsidRPr="00910001">
              <w:rPr>
                <w:rStyle w:val="Hyperlink"/>
                <w:rFonts w:ascii="Arial" w:hAnsi="Arial" w:cs="Arial"/>
                <w:bCs/>
                <w:noProof/>
                <w:lang w:bidi="en-GB"/>
              </w:rPr>
              <w:t>1.2Background and Current Context</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_Toc228352752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12</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53" w:history="1">
            <w:r w:rsidR="00910001" w:rsidRPr="00910001">
              <w:rPr>
                <w:rStyle w:val="Hyperlink"/>
                <w:rFonts w:ascii="Arial" w:hAnsi="Arial" w:cs="Arial"/>
                <w:bCs/>
                <w:noProof/>
                <w:lang w:bidi="en-GB"/>
              </w:rPr>
              <w:t>1.3Rationale for Research or Problem Statement</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_Toc228352753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14</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54" w:history="1">
            <w:r w:rsidR="00910001" w:rsidRPr="00910001">
              <w:rPr>
                <w:rStyle w:val="Hyperlink"/>
                <w:rFonts w:ascii="Arial" w:eastAsia="Arial" w:hAnsi="Arial" w:cs="Arial"/>
                <w:bCs/>
                <w:noProof/>
                <w:lang w:bidi="en-GB"/>
              </w:rPr>
              <w:t>1.4Research question</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_Toc228352754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14</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55" w:history="1">
            <w:r w:rsidR="00910001" w:rsidRPr="00910001">
              <w:rPr>
                <w:rStyle w:val="Hyperlink"/>
                <w:rFonts w:ascii="Arial" w:hAnsi="Arial" w:cs="Arial"/>
                <w:bCs/>
                <w:noProof/>
                <w:lang w:bidi="en-GB"/>
              </w:rPr>
              <w:t>1.5ResearchAim</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_Toc228352755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14</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56" w:history="1">
            <w:r w:rsidR="00910001" w:rsidRPr="00910001">
              <w:rPr>
                <w:rStyle w:val="Hyperlink"/>
                <w:rFonts w:ascii="Arial" w:hAnsi="Arial" w:cs="Arial"/>
                <w:bCs/>
                <w:noProof/>
                <w:lang w:bidi="en-GB"/>
              </w:rPr>
              <w:t>1.6 ResearchObjectives</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_Toc228352756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14</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57" w:history="1">
            <w:r w:rsidR="00910001" w:rsidRPr="00910001">
              <w:rPr>
                <w:rStyle w:val="Hyperlink"/>
                <w:rFonts w:ascii="Arial" w:hAnsi="Arial" w:cs="Arial"/>
                <w:bCs/>
                <w:noProof/>
                <w:lang w:bidi="en-GB"/>
              </w:rPr>
              <w:t>1.7 Chapter summary</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_Toc228352757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15</w:t>
            </w:r>
            <w:r w:rsidRPr="00910001">
              <w:rPr>
                <w:rFonts w:ascii="Arial" w:hAnsi="Arial" w:cs="Arial"/>
                <w:noProof/>
                <w:webHidden/>
              </w:rPr>
              <w:fldChar w:fldCharType="end"/>
            </w:r>
          </w:hyperlink>
        </w:p>
        <w:p w:rsidR="00910001" w:rsidRPr="00910001" w:rsidRDefault="00006CBA" w:rsidP="00910001">
          <w:pPr>
            <w:pStyle w:val="TOC1"/>
            <w:tabs>
              <w:tab w:val="right" w:leader="dot" w:pos="9016"/>
            </w:tabs>
            <w:spacing w:line="360" w:lineRule="auto"/>
            <w:rPr>
              <w:rFonts w:ascii="Arial" w:eastAsiaTheme="minorEastAsia" w:hAnsi="Arial" w:cs="Arial"/>
              <w:noProof/>
              <w:kern w:val="2"/>
              <w:lang w:val="en-IN" w:eastAsia="en-IN"/>
            </w:rPr>
          </w:pPr>
          <w:hyperlink w:anchor="_Toc228352758" w:history="1">
            <w:r w:rsidR="00910001" w:rsidRPr="00910001">
              <w:rPr>
                <w:rStyle w:val="Hyperlink"/>
                <w:rFonts w:ascii="Arial" w:hAnsi="Arial" w:cs="Arial"/>
                <w:noProof/>
                <w:lang w:bidi="en-GB"/>
              </w:rPr>
              <w:t>CHAPTER 2:  Literature Review</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_Toc228352758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16</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59" w:history="1">
            <w:r w:rsidR="00910001" w:rsidRPr="00910001">
              <w:rPr>
                <w:rStyle w:val="Hyperlink"/>
                <w:rFonts w:ascii="Arial" w:hAnsi="Arial" w:cs="Arial"/>
                <w:bCs/>
                <w:noProof/>
                <w:lang w:bidi="en-GB"/>
              </w:rPr>
              <w:t>2.1</w:t>
            </w:r>
            <w:r w:rsidR="00910001" w:rsidRPr="00910001">
              <w:rPr>
                <w:rStyle w:val="Hyperlink"/>
                <w:rFonts w:ascii="Arial" w:hAnsi="Arial" w:cs="Arial"/>
                <w:noProof/>
                <w:lang w:bidi="en-GB"/>
              </w:rPr>
              <w:t xml:space="preserve"> Introduction</w:t>
            </w:r>
            <w:r w:rsidR="00910001" w:rsidRPr="00910001">
              <w:rPr>
                <w:rStyle w:val="Hyperlink"/>
                <w:rFonts w:ascii="Arial" w:hAnsi="Arial" w:cs="Arial"/>
                <w:bCs/>
                <w:noProof/>
                <w:lang w:bidi="en-GB"/>
              </w:rPr>
              <w:t xml:space="preserve"> to Literature Review Chapter</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_Toc228352759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16</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60" w:history="1">
            <w:r w:rsidR="00910001" w:rsidRPr="00910001">
              <w:rPr>
                <w:rStyle w:val="Hyperlink"/>
                <w:rFonts w:ascii="Arial" w:hAnsi="Arial" w:cs="Arial"/>
                <w:noProof/>
                <w:lang w:bidi="en-GB"/>
              </w:rPr>
              <w:t>2.2 Literature review</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_Toc228352760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16</w:t>
            </w:r>
            <w:r w:rsidRPr="00910001">
              <w:rPr>
                <w:rFonts w:ascii="Arial" w:hAnsi="Arial" w:cs="Arial"/>
                <w:noProof/>
                <w:webHidden/>
              </w:rPr>
              <w:fldChar w:fldCharType="end"/>
            </w:r>
          </w:hyperlink>
        </w:p>
        <w:p w:rsidR="00910001" w:rsidRPr="00910001" w:rsidRDefault="00006CBA" w:rsidP="00910001">
          <w:pPr>
            <w:pStyle w:val="TOC3"/>
            <w:tabs>
              <w:tab w:val="right" w:leader="dot" w:pos="9016"/>
            </w:tabs>
            <w:spacing w:line="360" w:lineRule="auto"/>
            <w:rPr>
              <w:rFonts w:ascii="Arial" w:hAnsi="Arial" w:cs="Arial"/>
              <w:noProof/>
            </w:rPr>
          </w:pPr>
          <w:hyperlink w:anchor="_Toc228352761" w:history="1">
            <w:r w:rsidR="00910001" w:rsidRPr="00910001">
              <w:rPr>
                <w:rStyle w:val="Hyperlink"/>
                <w:rFonts w:ascii="Arial" w:hAnsi="Arial" w:cs="Arial"/>
                <w:noProof/>
              </w:rPr>
              <w:t>2.2.1 Impact of Community Physiotherapy-Based Fall Prevention Programs in Older Adults</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_Toc228352761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16</w:t>
            </w:r>
            <w:r w:rsidRPr="00910001">
              <w:rPr>
                <w:rFonts w:ascii="Arial" w:hAnsi="Arial" w:cs="Arial"/>
                <w:noProof/>
                <w:webHidden/>
              </w:rPr>
              <w:fldChar w:fldCharType="end"/>
            </w:r>
          </w:hyperlink>
        </w:p>
        <w:p w:rsidR="00910001" w:rsidRPr="00910001" w:rsidRDefault="00006CBA" w:rsidP="00910001">
          <w:pPr>
            <w:pStyle w:val="TOC3"/>
            <w:tabs>
              <w:tab w:val="right" w:leader="dot" w:pos="9016"/>
            </w:tabs>
            <w:spacing w:line="360" w:lineRule="auto"/>
            <w:rPr>
              <w:rFonts w:ascii="Arial" w:hAnsi="Arial" w:cs="Arial"/>
              <w:noProof/>
            </w:rPr>
          </w:pPr>
          <w:hyperlink w:anchor="_Toc228352762" w:history="1">
            <w:r w:rsidR="00910001" w:rsidRPr="00910001">
              <w:rPr>
                <w:rStyle w:val="Hyperlink"/>
                <w:rFonts w:ascii="Arial" w:hAnsi="Arial" w:cs="Arial"/>
                <w:noProof/>
              </w:rPr>
              <w:t>2.2.2 Older Adults' Perceptions of Community Fall Prevention Programmes</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_Toc228352762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17</w:t>
            </w:r>
            <w:r w:rsidRPr="00910001">
              <w:rPr>
                <w:rFonts w:ascii="Arial" w:hAnsi="Arial" w:cs="Arial"/>
                <w:noProof/>
                <w:webHidden/>
              </w:rPr>
              <w:fldChar w:fldCharType="end"/>
            </w:r>
          </w:hyperlink>
        </w:p>
        <w:p w:rsidR="00910001" w:rsidRPr="00910001" w:rsidRDefault="00006CBA" w:rsidP="00910001">
          <w:pPr>
            <w:pStyle w:val="TOC3"/>
            <w:tabs>
              <w:tab w:val="right" w:leader="dot" w:pos="9016"/>
            </w:tabs>
            <w:spacing w:line="360" w:lineRule="auto"/>
            <w:rPr>
              <w:rFonts w:ascii="Arial" w:hAnsi="Arial" w:cs="Arial"/>
              <w:noProof/>
            </w:rPr>
          </w:pPr>
          <w:hyperlink w:anchor="_Toc228352763" w:history="1">
            <w:r w:rsidR="00910001" w:rsidRPr="00910001">
              <w:rPr>
                <w:rStyle w:val="Hyperlink"/>
                <w:rFonts w:ascii="Arial" w:hAnsi="Arial" w:cs="Arial"/>
                <w:noProof/>
              </w:rPr>
              <w:t>2.2.3 Physiotherapists’ Opinions, Barriers and Challenges with Fall Prevention</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_Toc228352763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18</w:t>
            </w:r>
            <w:r w:rsidRPr="00910001">
              <w:rPr>
                <w:rFonts w:ascii="Arial" w:hAnsi="Arial" w:cs="Arial"/>
                <w:noProof/>
                <w:webHidden/>
              </w:rPr>
              <w:fldChar w:fldCharType="end"/>
            </w:r>
          </w:hyperlink>
        </w:p>
        <w:p w:rsidR="00910001" w:rsidRPr="00910001" w:rsidRDefault="00006CBA" w:rsidP="00910001">
          <w:pPr>
            <w:pStyle w:val="TOC3"/>
            <w:tabs>
              <w:tab w:val="right" w:leader="dot" w:pos="9016"/>
            </w:tabs>
            <w:spacing w:line="360" w:lineRule="auto"/>
            <w:rPr>
              <w:rFonts w:ascii="Arial" w:hAnsi="Arial" w:cs="Arial"/>
              <w:noProof/>
            </w:rPr>
          </w:pPr>
          <w:hyperlink w:anchor="_Toc228352764" w:history="1">
            <w:r w:rsidR="00910001" w:rsidRPr="00910001">
              <w:rPr>
                <w:rStyle w:val="Hyperlink"/>
                <w:rFonts w:ascii="Arial" w:hAnsi="Arial" w:cs="Arial"/>
                <w:noProof/>
              </w:rPr>
              <w:t>2.2.4 Public Health and Social Care Policies to Prevent Falls</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_Toc228352764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19</w:t>
            </w:r>
            <w:r w:rsidRPr="00910001">
              <w:rPr>
                <w:rFonts w:ascii="Arial" w:hAnsi="Arial" w:cs="Arial"/>
                <w:noProof/>
                <w:webHidden/>
              </w:rPr>
              <w:fldChar w:fldCharType="end"/>
            </w:r>
          </w:hyperlink>
        </w:p>
        <w:p w:rsidR="00910001" w:rsidRPr="00910001" w:rsidRDefault="00006CBA" w:rsidP="00910001">
          <w:pPr>
            <w:pStyle w:val="TOC3"/>
            <w:tabs>
              <w:tab w:val="right" w:leader="dot" w:pos="9016"/>
            </w:tabs>
            <w:spacing w:line="360" w:lineRule="auto"/>
            <w:rPr>
              <w:rFonts w:ascii="Arial" w:hAnsi="Arial" w:cs="Arial"/>
              <w:noProof/>
            </w:rPr>
          </w:pPr>
          <w:hyperlink w:anchor="_Toc228352765" w:history="1">
            <w:r w:rsidR="00910001" w:rsidRPr="00910001">
              <w:rPr>
                <w:rStyle w:val="Hyperlink"/>
                <w:rFonts w:ascii="Arial" w:hAnsi="Arial" w:cs="Arial"/>
                <w:noProof/>
              </w:rPr>
              <w:t>2.2.5 Literature Gap</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_Toc228352765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20</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66" w:history="1">
            <w:r w:rsidR="00910001" w:rsidRPr="00910001">
              <w:rPr>
                <w:rStyle w:val="Hyperlink"/>
                <w:rFonts w:ascii="Arial" w:hAnsi="Arial" w:cs="Arial"/>
                <w:bCs/>
                <w:noProof/>
                <w:lang w:bidi="en-GB"/>
              </w:rPr>
              <w:t>2.3 Chapter summary</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_Toc228352766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20</w:t>
            </w:r>
            <w:r w:rsidRPr="00910001">
              <w:rPr>
                <w:rFonts w:ascii="Arial" w:hAnsi="Arial" w:cs="Arial"/>
                <w:noProof/>
                <w:webHidden/>
              </w:rPr>
              <w:fldChar w:fldCharType="end"/>
            </w:r>
          </w:hyperlink>
        </w:p>
        <w:p w:rsidR="00910001" w:rsidRPr="00910001" w:rsidRDefault="00006CBA" w:rsidP="00910001">
          <w:pPr>
            <w:pStyle w:val="TOC1"/>
            <w:tabs>
              <w:tab w:val="right" w:leader="dot" w:pos="9016"/>
            </w:tabs>
            <w:spacing w:line="360" w:lineRule="auto"/>
            <w:rPr>
              <w:rFonts w:ascii="Arial" w:eastAsiaTheme="minorEastAsia" w:hAnsi="Arial" w:cs="Arial"/>
              <w:noProof/>
              <w:kern w:val="2"/>
              <w:lang w:val="en-IN" w:eastAsia="en-IN"/>
            </w:rPr>
          </w:pPr>
          <w:hyperlink w:anchor="_Toc228352767" w:history="1">
            <w:r w:rsidR="00910001" w:rsidRPr="00910001">
              <w:rPr>
                <w:rStyle w:val="Hyperlink"/>
                <w:rFonts w:ascii="Arial" w:hAnsi="Arial" w:cs="Arial"/>
                <w:noProof/>
                <w:lang w:bidi="en-GB"/>
              </w:rPr>
              <w:t>Chapter 3: Methodology</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_Toc228352767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21</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68" w:history="1">
            <w:r w:rsidR="00910001" w:rsidRPr="00910001">
              <w:rPr>
                <w:rStyle w:val="Hyperlink"/>
                <w:rFonts w:ascii="Arial" w:hAnsi="Arial" w:cs="Arial"/>
                <w:noProof/>
                <w:lang w:bidi="en-GB"/>
              </w:rPr>
              <w:t>3.1 Introduction</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_Toc228352768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21</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69" w:history="1">
            <w:r w:rsidR="00910001" w:rsidRPr="00910001">
              <w:rPr>
                <w:rStyle w:val="Hyperlink"/>
                <w:rFonts w:ascii="Arial" w:hAnsi="Arial" w:cs="Arial"/>
                <w:noProof/>
                <w:lang w:bidi="en-GB"/>
              </w:rPr>
              <w:t>3.2 Systematic Literature Review (SLR)</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_Toc228352769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21</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70" w:history="1">
            <w:r w:rsidR="00910001" w:rsidRPr="00910001">
              <w:rPr>
                <w:rStyle w:val="Hyperlink"/>
                <w:rFonts w:ascii="Arial" w:hAnsi="Arial" w:cs="Arial"/>
                <w:noProof/>
                <w:lang w:bidi="en-GB"/>
              </w:rPr>
              <w:t>3.3 Search Strategy</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_Toc228352770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27</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71" w:history="1">
            <w:r w:rsidR="00910001" w:rsidRPr="00910001">
              <w:rPr>
                <w:rStyle w:val="Hyperlink"/>
                <w:rFonts w:ascii="Arial" w:hAnsi="Arial" w:cs="Arial"/>
                <w:noProof/>
                <w:lang w:bidi="en-GB"/>
              </w:rPr>
              <w:t>3.4 Search terms</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_Toc228352771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27</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72" w:history="1">
            <w:r w:rsidR="00910001" w:rsidRPr="00910001">
              <w:rPr>
                <w:rStyle w:val="Hyperlink"/>
                <w:rFonts w:ascii="Arial" w:hAnsi="Arial" w:cs="Arial"/>
                <w:noProof/>
                <w:lang w:bidi="en-GB"/>
              </w:rPr>
              <w:t>3.5 Key Words</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_Toc228352772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28</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73" w:history="1">
            <w:r w:rsidR="00910001" w:rsidRPr="00910001">
              <w:rPr>
                <w:rStyle w:val="Hyperlink"/>
                <w:rFonts w:ascii="Arial" w:hAnsi="Arial" w:cs="Arial"/>
                <w:noProof/>
                <w:lang w:bidi="en-GB"/>
              </w:rPr>
              <w:t>3.6 Databases</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_Toc228352773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28</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74" w:history="1">
            <w:r w:rsidR="00910001" w:rsidRPr="00910001">
              <w:rPr>
                <w:rStyle w:val="Hyperlink"/>
                <w:rFonts w:ascii="Arial" w:hAnsi="Arial" w:cs="Arial"/>
                <w:noProof/>
                <w:lang w:bidi="en-GB"/>
              </w:rPr>
              <w:t>3.7 Inclusion/Exclusion Criteria</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_Toc228352774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29</w:t>
            </w:r>
            <w:r w:rsidRPr="00910001">
              <w:rPr>
                <w:rFonts w:ascii="Arial" w:hAnsi="Arial" w:cs="Arial"/>
                <w:noProof/>
                <w:webHidden/>
              </w:rPr>
              <w:fldChar w:fldCharType="end"/>
            </w:r>
          </w:hyperlink>
        </w:p>
        <w:p w:rsidR="00910001" w:rsidRPr="00910001" w:rsidRDefault="00006CBA" w:rsidP="00910001">
          <w:pPr>
            <w:pStyle w:val="TOC3"/>
            <w:tabs>
              <w:tab w:val="right" w:leader="dot" w:pos="9016"/>
            </w:tabs>
            <w:spacing w:line="360" w:lineRule="auto"/>
            <w:rPr>
              <w:rFonts w:ascii="Arial" w:hAnsi="Arial" w:cs="Arial"/>
              <w:noProof/>
            </w:rPr>
          </w:pPr>
          <w:hyperlink w:anchor="_Toc228352775" w:history="1">
            <w:r w:rsidR="00910001" w:rsidRPr="00910001">
              <w:rPr>
                <w:rStyle w:val="Hyperlink"/>
                <w:rFonts w:ascii="Arial" w:eastAsia="Arial" w:hAnsi="Arial" w:cs="Arial"/>
                <w:noProof/>
              </w:rPr>
              <w:t>3.7.1 Inclusion Criteria</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_Toc228352775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29</w:t>
            </w:r>
            <w:r w:rsidRPr="00910001">
              <w:rPr>
                <w:rFonts w:ascii="Arial" w:hAnsi="Arial" w:cs="Arial"/>
                <w:noProof/>
                <w:webHidden/>
              </w:rPr>
              <w:fldChar w:fldCharType="end"/>
            </w:r>
          </w:hyperlink>
        </w:p>
        <w:p w:rsidR="00910001" w:rsidRPr="00910001" w:rsidRDefault="00006CBA" w:rsidP="00910001">
          <w:pPr>
            <w:pStyle w:val="TOC3"/>
            <w:tabs>
              <w:tab w:val="right" w:leader="dot" w:pos="9016"/>
            </w:tabs>
            <w:spacing w:line="360" w:lineRule="auto"/>
            <w:rPr>
              <w:rFonts w:ascii="Arial" w:hAnsi="Arial" w:cs="Arial"/>
              <w:noProof/>
            </w:rPr>
          </w:pPr>
          <w:hyperlink w:anchor="_Toc228352776" w:history="1">
            <w:r w:rsidR="00910001" w:rsidRPr="00910001">
              <w:rPr>
                <w:rStyle w:val="Hyperlink"/>
                <w:rFonts w:ascii="Arial" w:eastAsia="Arial" w:hAnsi="Arial" w:cs="Arial"/>
                <w:noProof/>
              </w:rPr>
              <w:t>3.7.2 Exclusion Criteria</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_Toc228352776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29</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77" w:history="1">
            <w:r w:rsidR="00910001" w:rsidRPr="00910001">
              <w:rPr>
                <w:rStyle w:val="Hyperlink"/>
                <w:rFonts w:ascii="Arial" w:hAnsi="Arial" w:cs="Arial"/>
                <w:noProof/>
                <w:lang w:bidi="en-GB"/>
              </w:rPr>
              <w:t>3.8 Search Results</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_Toc228352777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29</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78" w:history="1">
            <w:r w:rsidR="00910001" w:rsidRPr="00910001">
              <w:rPr>
                <w:rStyle w:val="Hyperlink"/>
                <w:rFonts w:ascii="Arial" w:hAnsi="Arial" w:cs="Arial"/>
                <w:noProof/>
                <w:lang w:bidi="en-GB"/>
              </w:rPr>
              <w:t>3.9 Ethical Considerations</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_Toc228352778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30</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79" w:history="1">
            <w:r w:rsidR="00910001" w:rsidRPr="00910001">
              <w:rPr>
                <w:rStyle w:val="Hyperlink"/>
                <w:rFonts w:ascii="Arial" w:hAnsi="Arial" w:cs="Arial"/>
                <w:noProof/>
                <w:lang w:bidi="en-GB"/>
              </w:rPr>
              <w:t>3.10 Chapter Summary</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_Toc228352779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31</w:t>
            </w:r>
            <w:r w:rsidRPr="00910001">
              <w:rPr>
                <w:rFonts w:ascii="Arial" w:hAnsi="Arial" w:cs="Arial"/>
                <w:noProof/>
                <w:webHidden/>
              </w:rPr>
              <w:fldChar w:fldCharType="end"/>
            </w:r>
          </w:hyperlink>
        </w:p>
        <w:p w:rsidR="00910001" w:rsidRPr="00910001" w:rsidRDefault="00006CBA" w:rsidP="00910001">
          <w:pPr>
            <w:pStyle w:val="TOC1"/>
            <w:tabs>
              <w:tab w:val="right" w:leader="dot" w:pos="9016"/>
            </w:tabs>
            <w:spacing w:line="360" w:lineRule="auto"/>
            <w:rPr>
              <w:rFonts w:ascii="Arial" w:eastAsiaTheme="minorEastAsia" w:hAnsi="Arial" w:cs="Arial"/>
              <w:noProof/>
              <w:kern w:val="2"/>
              <w:lang w:val="en-IN" w:eastAsia="en-IN"/>
            </w:rPr>
          </w:pPr>
          <w:hyperlink w:anchor="_Toc228352780" w:history="1">
            <w:r w:rsidR="00910001" w:rsidRPr="00910001">
              <w:rPr>
                <w:rStyle w:val="Hyperlink"/>
                <w:rFonts w:ascii="Arial" w:hAnsi="Arial" w:cs="Arial"/>
                <w:noProof/>
                <w:lang w:bidi="en-GB"/>
              </w:rPr>
              <w:t>Chapter 4: Data Extraction And Evaluation</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_Toc228352780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32</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81" w:history="1">
            <w:r w:rsidR="00910001" w:rsidRPr="00910001">
              <w:rPr>
                <w:rStyle w:val="Hyperlink"/>
                <w:rFonts w:ascii="Arial" w:hAnsi="Arial" w:cs="Arial"/>
                <w:noProof/>
                <w:lang w:bidi="en-GB"/>
              </w:rPr>
              <w:t>4.1 Introduction to Chapter</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_Toc228352781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32</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82" w:history="1">
            <w:r w:rsidR="00910001" w:rsidRPr="00910001">
              <w:rPr>
                <w:rStyle w:val="Hyperlink"/>
                <w:rFonts w:ascii="Arial" w:hAnsi="Arial" w:cs="Arial"/>
                <w:noProof/>
                <w:lang w:bidi="en-GB"/>
              </w:rPr>
              <w:t>4.2 Data Extraction</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_Toc228352782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32</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83" w:history="1">
            <w:r w:rsidR="00910001" w:rsidRPr="00910001">
              <w:rPr>
                <w:rStyle w:val="Hyperlink"/>
                <w:rFonts w:ascii="Arial" w:hAnsi="Arial" w:cs="Arial"/>
                <w:noProof/>
                <w:lang w:bidi="en-GB"/>
              </w:rPr>
              <w:t>4.3 Brief introduction to critical appraisal and paper quality assessment</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_Toc228352783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32</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84" w:history="1">
            <w:r w:rsidR="00910001" w:rsidRPr="00910001">
              <w:rPr>
                <w:rStyle w:val="Hyperlink"/>
                <w:rFonts w:ascii="Arial" w:hAnsi="Arial" w:cs="Arial"/>
                <w:noProof/>
                <w:lang w:bidi="en-GB"/>
              </w:rPr>
              <w:t>4.4 Critical Appraisal Tools</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_Toc228352784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33</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85" w:history="1">
            <w:r w:rsidR="00910001" w:rsidRPr="00910001">
              <w:rPr>
                <w:rStyle w:val="Hyperlink"/>
                <w:rFonts w:ascii="Arial" w:hAnsi="Arial" w:cs="Arial"/>
                <w:noProof/>
                <w:lang w:bidi="en-GB"/>
              </w:rPr>
              <w:t>4.5 Evaluation of Qualitative Studies using any appropriate tool</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_Toc228352785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33</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86" w:history="1">
            <w:r w:rsidR="00910001" w:rsidRPr="00910001">
              <w:rPr>
                <w:rStyle w:val="Hyperlink"/>
                <w:rFonts w:ascii="Arial" w:hAnsi="Arial" w:cs="Arial"/>
                <w:noProof/>
                <w:lang w:bidi="en-GB"/>
              </w:rPr>
              <w:t>4.6 Evaluation of Quantitative Studies using an appropriate tool</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_Toc228352786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35</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87" w:history="1">
            <w:r w:rsidR="00910001" w:rsidRPr="00910001">
              <w:rPr>
                <w:rStyle w:val="Hyperlink"/>
                <w:rFonts w:ascii="Arial" w:hAnsi="Arial" w:cs="Arial"/>
                <w:noProof/>
                <w:lang w:bidi="en-GB"/>
              </w:rPr>
              <w:t>4.7 Evaluation of Mixed Methods Studies using any appropriate</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_Toc228352787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38</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91" w:history="1">
            <w:r w:rsidR="00910001" w:rsidRPr="00910001">
              <w:rPr>
                <w:rStyle w:val="Hyperlink"/>
                <w:rFonts w:ascii="Arial" w:hAnsi="Arial" w:cs="Arial"/>
                <w:noProof/>
                <w:lang w:bidi="en-GB"/>
              </w:rPr>
              <w:t>4.8 Chapter Summary</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_Toc228352791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39</w:t>
            </w:r>
            <w:r w:rsidRPr="00910001">
              <w:rPr>
                <w:rFonts w:ascii="Arial" w:hAnsi="Arial" w:cs="Arial"/>
                <w:noProof/>
                <w:webHidden/>
              </w:rPr>
              <w:fldChar w:fldCharType="end"/>
            </w:r>
          </w:hyperlink>
        </w:p>
        <w:p w:rsidR="00910001" w:rsidRPr="00910001" w:rsidRDefault="00006CBA" w:rsidP="00910001">
          <w:pPr>
            <w:pStyle w:val="TOC1"/>
            <w:tabs>
              <w:tab w:val="right" w:leader="dot" w:pos="9016"/>
            </w:tabs>
            <w:spacing w:line="360" w:lineRule="auto"/>
            <w:rPr>
              <w:rFonts w:ascii="Arial" w:eastAsiaTheme="minorEastAsia" w:hAnsi="Arial" w:cs="Arial"/>
              <w:noProof/>
              <w:kern w:val="2"/>
              <w:lang w:val="en-IN" w:eastAsia="en-IN"/>
            </w:rPr>
          </w:pPr>
          <w:hyperlink w:anchor="_Toc228352792" w:history="1">
            <w:r w:rsidR="00910001" w:rsidRPr="00910001">
              <w:rPr>
                <w:rStyle w:val="Hyperlink"/>
                <w:rFonts w:ascii="Arial" w:hAnsi="Arial" w:cs="Arial"/>
                <w:noProof/>
                <w:lang w:bidi="en-GB"/>
              </w:rPr>
              <w:t>Chapter 5: Data Analysis And Synthesis</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_Toc228352792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40</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93" w:history="1">
            <w:r w:rsidR="00910001" w:rsidRPr="00910001">
              <w:rPr>
                <w:rStyle w:val="Hyperlink"/>
                <w:rFonts w:ascii="Arial" w:hAnsi="Arial" w:cs="Arial"/>
                <w:noProof/>
                <w:lang w:bidi="en-GB"/>
              </w:rPr>
              <w:t>5.1 Introduction to Chapter</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_Toc228352793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40</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94" w:history="1">
            <w:r w:rsidR="00910001" w:rsidRPr="00910001">
              <w:rPr>
                <w:rStyle w:val="Hyperlink"/>
                <w:rFonts w:ascii="Arial" w:hAnsi="Arial" w:cs="Arial"/>
                <w:noProof/>
                <w:lang w:bidi="en-GB"/>
              </w:rPr>
              <w:t>5.2 Thematic Analysis</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_Toc228352794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40</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95" w:history="1">
            <w:r w:rsidR="00910001" w:rsidRPr="00910001">
              <w:rPr>
                <w:rStyle w:val="Hyperlink"/>
                <w:rFonts w:ascii="Arial" w:hAnsi="Arial" w:cs="Arial"/>
                <w:noProof/>
                <w:lang w:bidi="en-GB"/>
              </w:rPr>
              <w:t>5.3 Data analysis tool</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_Toc228352795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40</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96" w:history="1">
            <w:r w:rsidR="00910001" w:rsidRPr="00910001">
              <w:rPr>
                <w:rStyle w:val="Hyperlink"/>
                <w:rFonts w:ascii="Arial" w:hAnsi="Arial" w:cs="Arial"/>
                <w:noProof/>
                <w:lang w:bidi="en-GB"/>
              </w:rPr>
              <w:t>5.4 Characteristics of the identified studies</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_Toc228352796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40</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97" w:history="1">
            <w:r w:rsidR="00910001" w:rsidRPr="00910001">
              <w:rPr>
                <w:rStyle w:val="Hyperlink"/>
                <w:rFonts w:ascii="Arial" w:hAnsi="Arial" w:cs="Arial"/>
                <w:noProof/>
                <w:lang w:bidi="en-GB"/>
              </w:rPr>
              <w:t>5.5 Emerging Themes from included studies</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_Toc228352797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41</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798" w:history="1">
            <w:r w:rsidR="00910001" w:rsidRPr="00910001">
              <w:rPr>
                <w:rStyle w:val="Hyperlink"/>
                <w:rFonts w:ascii="Arial" w:hAnsi="Arial" w:cs="Arial"/>
                <w:noProof/>
                <w:lang w:bidi="en-GB"/>
              </w:rPr>
              <w:t>5.6 Chapter Summary</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_Toc228352798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47</w:t>
            </w:r>
            <w:r w:rsidRPr="00910001">
              <w:rPr>
                <w:rFonts w:ascii="Arial" w:hAnsi="Arial" w:cs="Arial"/>
                <w:noProof/>
                <w:webHidden/>
              </w:rPr>
              <w:fldChar w:fldCharType="end"/>
            </w:r>
          </w:hyperlink>
        </w:p>
        <w:p w:rsidR="00910001" w:rsidRPr="00910001" w:rsidRDefault="00006CBA" w:rsidP="00910001">
          <w:pPr>
            <w:pStyle w:val="TOC1"/>
            <w:tabs>
              <w:tab w:val="right" w:leader="dot" w:pos="9016"/>
            </w:tabs>
            <w:spacing w:line="360" w:lineRule="auto"/>
            <w:rPr>
              <w:rFonts w:ascii="Arial" w:eastAsiaTheme="minorEastAsia" w:hAnsi="Arial" w:cs="Arial"/>
              <w:noProof/>
              <w:kern w:val="2"/>
              <w:lang w:val="en-IN" w:eastAsia="en-IN"/>
            </w:rPr>
          </w:pPr>
          <w:hyperlink w:anchor="_Toc228352799" w:history="1">
            <w:r w:rsidR="00910001" w:rsidRPr="00910001">
              <w:rPr>
                <w:rStyle w:val="Hyperlink"/>
                <w:rFonts w:ascii="Arial" w:hAnsi="Arial" w:cs="Arial"/>
                <w:noProof/>
                <w:lang w:bidi="en-GB"/>
              </w:rPr>
              <w:t>Chapter 6: Discussion</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_Toc228352799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48</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800" w:history="1">
            <w:r w:rsidR="00910001" w:rsidRPr="00910001">
              <w:rPr>
                <w:rStyle w:val="Hyperlink"/>
                <w:rFonts w:ascii="Arial" w:hAnsi="Arial" w:cs="Arial"/>
                <w:noProof/>
                <w:lang w:bidi="en-GB"/>
              </w:rPr>
              <w:t>6.1 Introduction to Chapter</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_Toc228352800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48</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801" w:history="1">
            <w:r w:rsidR="00910001" w:rsidRPr="00910001">
              <w:rPr>
                <w:rStyle w:val="Hyperlink"/>
                <w:rFonts w:ascii="Arial" w:hAnsi="Arial" w:cs="Arial"/>
                <w:noProof/>
                <w:lang w:bidi="en-GB"/>
              </w:rPr>
              <w:t>6.2 Discussion of Key findings</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_Toc228352801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48</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802" w:history="1">
            <w:r w:rsidR="00910001" w:rsidRPr="00910001">
              <w:rPr>
                <w:rStyle w:val="Hyperlink"/>
                <w:rFonts w:ascii="Arial" w:hAnsi="Arial" w:cs="Arial"/>
                <w:noProof/>
                <w:lang w:bidi="en-GB"/>
              </w:rPr>
              <w:t>6.3 Strengths and Limitations</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_Toc228352802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51</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803" w:history="1">
            <w:r w:rsidR="00910001" w:rsidRPr="00910001">
              <w:rPr>
                <w:rStyle w:val="Hyperlink"/>
                <w:rFonts w:ascii="Arial" w:hAnsi="Arial" w:cs="Arial"/>
                <w:noProof/>
                <w:lang w:bidi="en-GB"/>
              </w:rPr>
              <w:t>6.4 Chapter Summary</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_Toc228352803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52</w:t>
            </w:r>
            <w:r w:rsidRPr="00910001">
              <w:rPr>
                <w:rFonts w:ascii="Arial" w:hAnsi="Arial" w:cs="Arial"/>
                <w:noProof/>
                <w:webHidden/>
              </w:rPr>
              <w:fldChar w:fldCharType="end"/>
            </w:r>
          </w:hyperlink>
        </w:p>
        <w:p w:rsidR="00910001" w:rsidRPr="00910001" w:rsidRDefault="00006CBA" w:rsidP="00910001">
          <w:pPr>
            <w:pStyle w:val="TOC1"/>
            <w:tabs>
              <w:tab w:val="right" w:leader="dot" w:pos="9016"/>
            </w:tabs>
            <w:spacing w:line="360" w:lineRule="auto"/>
            <w:rPr>
              <w:rFonts w:ascii="Arial" w:eastAsiaTheme="minorEastAsia" w:hAnsi="Arial" w:cs="Arial"/>
              <w:noProof/>
              <w:kern w:val="2"/>
              <w:lang w:val="en-IN" w:eastAsia="en-IN"/>
            </w:rPr>
          </w:pPr>
          <w:hyperlink w:anchor="_Toc228352804" w:history="1">
            <w:r w:rsidR="00910001" w:rsidRPr="00910001">
              <w:rPr>
                <w:rStyle w:val="Hyperlink"/>
                <w:rFonts w:ascii="Arial" w:hAnsi="Arial" w:cs="Arial"/>
                <w:noProof/>
                <w:lang w:bidi="en-GB"/>
              </w:rPr>
              <w:t>Chapter 7: Recommendations And Conclusion</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_Toc228352804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53</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805" w:history="1">
            <w:r w:rsidR="00910001" w:rsidRPr="00910001">
              <w:rPr>
                <w:rStyle w:val="Hyperlink"/>
                <w:rFonts w:ascii="Arial" w:hAnsi="Arial" w:cs="Arial"/>
                <w:noProof/>
                <w:lang w:bidi="en-GB"/>
              </w:rPr>
              <w:t>7.1 Chapter Introduction</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_Toc228352805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53</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806" w:history="1">
            <w:r w:rsidR="00910001" w:rsidRPr="00910001">
              <w:rPr>
                <w:rStyle w:val="Hyperlink"/>
                <w:rFonts w:ascii="Arial" w:hAnsi="Arial" w:cs="Arial"/>
                <w:noProof/>
                <w:lang w:bidi="en-GB"/>
              </w:rPr>
              <w:t>7.2 Implications of findings</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_Toc228352806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53</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807" w:history="1">
            <w:r w:rsidR="00910001" w:rsidRPr="00910001">
              <w:rPr>
                <w:rStyle w:val="Hyperlink"/>
                <w:rFonts w:ascii="Arial" w:hAnsi="Arial" w:cs="Arial"/>
                <w:noProof/>
                <w:lang w:bidi="en-GB"/>
              </w:rPr>
              <w:t>7.3 Practice Recommendations</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_Toc228352807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53</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808" w:history="1">
            <w:r w:rsidR="00910001" w:rsidRPr="00910001">
              <w:rPr>
                <w:rStyle w:val="Hyperlink"/>
                <w:rFonts w:ascii="Arial" w:hAnsi="Arial" w:cs="Arial"/>
                <w:noProof/>
                <w:lang w:bidi="en-GB"/>
              </w:rPr>
              <w:t>7.4 Future Research</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_Toc228352808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54</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809" w:history="1">
            <w:r w:rsidR="00910001" w:rsidRPr="00910001">
              <w:rPr>
                <w:rStyle w:val="Hyperlink"/>
                <w:rFonts w:ascii="Arial" w:hAnsi="Arial" w:cs="Arial"/>
                <w:noProof/>
                <w:lang w:bidi="en-GB"/>
              </w:rPr>
              <w:t>7.5 Conclusion</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_Toc228352809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54</w:t>
            </w:r>
            <w:r w:rsidRPr="00910001">
              <w:rPr>
                <w:rFonts w:ascii="Arial" w:hAnsi="Arial" w:cs="Arial"/>
                <w:noProof/>
                <w:webHidden/>
              </w:rPr>
              <w:fldChar w:fldCharType="end"/>
            </w:r>
          </w:hyperlink>
        </w:p>
        <w:p w:rsidR="00910001" w:rsidRPr="00910001" w:rsidRDefault="00006CBA" w:rsidP="00910001">
          <w:pPr>
            <w:pStyle w:val="TOC1"/>
            <w:tabs>
              <w:tab w:val="right" w:leader="dot" w:pos="9016"/>
            </w:tabs>
            <w:spacing w:line="360" w:lineRule="auto"/>
            <w:rPr>
              <w:rFonts w:ascii="Arial" w:eastAsiaTheme="minorEastAsia" w:hAnsi="Arial" w:cs="Arial"/>
              <w:noProof/>
              <w:kern w:val="2"/>
              <w:lang w:val="en-IN" w:eastAsia="en-IN"/>
            </w:rPr>
          </w:pPr>
          <w:hyperlink w:anchor="_Toc228352810" w:history="1">
            <w:r w:rsidR="00910001" w:rsidRPr="00910001">
              <w:rPr>
                <w:rStyle w:val="Hyperlink"/>
                <w:rFonts w:ascii="Arial" w:hAnsi="Arial" w:cs="Arial"/>
                <w:noProof/>
                <w:lang w:bidi="en-GB"/>
              </w:rPr>
              <w:t>Appendices</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_Toc228352810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64</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811" w:history="1">
            <w:r w:rsidR="00910001" w:rsidRPr="00910001">
              <w:rPr>
                <w:rStyle w:val="Hyperlink"/>
                <w:rFonts w:ascii="Arial" w:hAnsi="Arial" w:cs="Arial"/>
                <w:noProof/>
                <w:lang w:bidi="en-GB"/>
              </w:rPr>
              <w:t>Appendix 1: CASP Appraisal Tool</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_Toc228352811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64</w:t>
            </w:r>
            <w:r w:rsidRPr="00910001">
              <w:rPr>
                <w:rFonts w:ascii="Arial" w:hAnsi="Arial" w:cs="Arial"/>
                <w:noProof/>
                <w:webHidden/>
              </w:rPr>
              <w:fldChar w:fldCharType="end"/>
            </w:r>
          </w:hyperlink>
        </w:p>
        <w:p w:rsidR="00910001" w:rsidRPr="00910001" w:rsidRDefault="00006CBA" w:rsidP="00910001">
          <w:pPr>
            <w:pStyle w:val="TOC2"/>
            <w:tabs>
              <w:tab w:val="right" w:leader="dot" w:pos="9016"/>
            </w:tabs>
            <w:spacing w:line="360" w:lineRule="auto"/>
            <w:rPr>
              <w:rFonts w:ascii="Arial" w:eastAsiaTheme="minorEastAsia" w:hAnsi="Arial" w:cs="Arial"/>
              <w:noProof/>
              <w:kern w:val="2"/>
              <w:lang w:val="en-IN" w:eastAsia="en-IN"/>
            </w:rPr>
          </w:pPr>
          <w:hyperlink w:anchor="_Toc228352812" w:history="1">
            <w:r w:rsidR="00910001" w:rsidRPr="00910001">
              <w:rPr>
                <w:rStyle w:val="Hyperlink"/>
                <w:rFonts w:ascii="Arial" w:hAnsi="Arial" w:cs="Arial"/>
                <w:noProof/>
                <w:lang w:bidi="en-GB"/>
              </w:rPr>
              <w:t>Appendix 2: SLR table with themes</w:t>
            </w:r>
            <w:r w:rsidR="00910001" w:rsidRPr="00910001">
              <w:rPr>
                <w:rFonts w:ascii="Arial" w:hAnsi="Arial" w:cs="Arial"/>
                <w:noProof/>
                <w:webHidden/>
              </w:rPr>
              <w:tab/>
            </w:r>
            <w:r w:rsidRPr="00910001">
              <w:rPr>
                <w:rFonts w:ascii="Arial" w:hAnsi="Arial" w:cs="Arial"/>
                <w:noProof/>
                <w:webHidden/>
              </w:rPr>
              <w:fldChar w:fldCharType="begin"/>
            </w:r>
            <w:r w:rsidR="00910001" w:rsidRPr="00910001">
              <w:rPr>
                <w:rFonts w:ascii="Arial" w:hAnsi="Arial" w:cs="Arial"/>
                <w:noProof/>
                <w:webHidden/>
              </w:rPr>
              <w:instrText xml:space="preserve"> PAGEREF _Toc228352812 \h </w:instrText>
            </w:r>
            <w:r w:rsidRPr="00910001">
              <w:rPr>
                <w:rFonts w:ascii="Arial" w:hAnsi="Arial" w:cs="Arial"/>
                <w:noProof/>
                <w:webHidden/>
              </w:rPr>
            </w:r>
            <w:r w:rsidRPr="00910001">
              <w:rPr>
                <w:rFonts w:ascii="Arial" w:hAnsi="Arial" w:cs="Arial"/>
                <w:noProof/>
                <w:webHidden/>
              </w:rPr>
              <w:fldChar w:fldCharType="separate"/>
            </w:r>
            <w:r w:rsidR="006824B8">
              <w:rPr>
                <w:rFonts w:ascii="Arial" w:hAnsi="Arial" w:cs="Arial"/>
                <w:noProof/>
                <w:webHidden/>
              </w:rPr>
              <w:t>65</w:t>
            </w:r>
            <w:r w:rsidRPr="00910001">
              <w:rPr>
                <w:rFonts w:ascii="Arial" w:hAnsi="Arial" w:cs="Arial"/>
                <w:noProof/>
                <w:webHidden/>
              </w:rPr>
              <w:fldChar w:fldCharType="end"/>
            </w:r>
          </w:hyperlink>
        </w:p>
        <w:p w:rsidR="00910001" w:rsidRDefault="00006CBA">
          <w:r>
            <w:rPr>
              <w:b/>
              <w:bCs/>
              <w:noProof/>
            </w:rPr>
            <w:fldChar w:fldCharType="end"/>
          </w:r>
        </w:p>
      </w:sdtContent>
    </w:sdt>
    <w:p w:rsidR="005C2C7A" w:rsidRPr="000144B0" w:rsidRDefault="005C2C7A"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Arial Unicode MS" w:hAnsi="Arial" w:cs="Arial"/>
          <w:b/>
          <w:sz w:val="24"/>
          <w:szCs w:val="24"/>
          <w:u w:val="single"/>
        </w:rPr>
      </w:pPr>
    </w:p>
    <w:p w:rsidR="005C2C7A" w:rsidRPr="000144B0" w:rsidRDefault="005C2C7A"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Arial Unicode MS" w:hAnsi="Arial" w:cs="Arial"/>
          <w:b/>
          <w:sz w:val="24"/>
          <w:szCs w:val="24"/>
          <w:u w:val="single"/>
        </w:rPr>
      </w:pPr>
    </w:p>
    <w:p w:rsidR="005C2C7A" w:rsidRPr="000144B0" w:rsidRDefault="005C2C7A"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Arial Unicode MS" w:hAnsi="Arial" w:cs="Arial"/>
          <w:b/>
          <w:sz w:val="24"/>
          <w:szCs w:val="24"/>
          <w:u w:val="single"/>
        </w:rPr>
      </w:pPr>
    </w:p>
    <w:p w:rsidR="005C2C7A" w:rsidRPr="000144B0" w:rsidRDefault="005C2C7A"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Arial Unicode MS" w:hAnsi="Arial" w:cs="Arial"/>
          <w:b/>
          <w:sz w:val="24"/>
          <w:szCs w:val="24"/>
          <w:u w:val="single"/>
        </w:rPr>
      </w:pPr>
    </w:p>
    <w:p w:rsidR="005C2C7A" w:rsidRPr="000144B0" w:rsidRDefault="005C2C7A"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Arial Unicode MS" w:hAnsi="Arial" w:cs="Arial"/>
          <w:b/>
          <w:sz w:val="24"/>
          <w:szCs w:val="24"/>
          <w:u w:val="single"/>
        </w:rPr>
      </w:pPr>
    </w:p>
    <w:p w:rsidR="005C2C7A" w:rsidRPr="000144B0" w:rsidRDefault="005C2C7A"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Arial Unicode MS" w:hAnsi="Arial" w:cs="Arial"/>
          <w:b/>
          <w:sz w:val="24"/>
          <w:szCs w:val="24"/>
          <w:u w:val="single"/>
        </w:rPr>
      </w:pPr>
    </w:p>
    <w:p w:rsidR="005C2C7A" w:rsidRPr="000144B0" w:rsidRDefault="005C2C7A"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Arial Unicode MS" w:hAnsi="Arial" w:cs="Arial"/>
          <w:b/>
          <w:sz w:val="24"/>
          <w:szCs w:val="24"/>
          <w:u w:val="single"/>
        </w:rPr>
      </w:pPr>
    </w:p>
    <w:p w:rsidR="005C2C7A" w:rsidRPr="000144B0" w:rsidRDefault="005C2C7A"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Arial Unicode MS" w:hAnsi="Arial" w:cs="Arial"/>
          <w:b/>
          <w:sz w:val="24"/>
          <w:szCs w:val="24"/>
          <w:u w:val="single"/>
        </w:rPr>
      </w:pPr>
    </w:p>
    <w:p w:rsidR="00DA5D26" w:rsidRPr="000144B0" w:rsidRDefault="00DA5D26"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Times New Roman" w:hAnsi="Arial" w:cs="Arial"/>
          <w:kern w:val="22"/>
          <w:sz w:val="24"/>
          <w:szCs w:val="24"/>
        </w:rPr>
      </w:pPr>
    </w:p>
    <w:p w:rsidR="004871DF" w:rsidRPr="000144B0" w:rsidRDefault="004871DF" w:rsidP="00774AB1">
      <w:pPr>
        <w:jc w:val="both"/>
        <w:rPr>
          <w:rFonts w:ascii="Arial" w:eastAsiaTheme="minorHAnsi" w:hAnsi="Arial" w:cs="Arial"/>
          <w:b/>
          <w:bCs/>
          <w:sz w:val="28"/>
          <w:szCs w:val="28"/>
          <w:lang w:eastAsia="en-US" w:bidi="ar-SA"/>
        </w:rPr>
      </w:pPr>
      <w:bookmarkStart w:id="2" w:name="_Hlk132185196"/>
    </w:p>
    <w:p w:rsidR="00910001" w:rsidRDefault="00910001">
      <w:pPr>
        <w:rPr>
          <w:rFonts w:ascii="Arial" w:eastAsiaTheme="minorHAnsi" w:hAnsi="Arial" w:cs="Arial"/>
          <w:b/>
          <w:bCs/>
          <w:sz w:val="28"/>
          <w:szCs w:val="28"/>
          <w:lang w:eastAsia="en-US" w:bidi="ar-SA"/>
        </w:rPr>
      </w:pPr>
      <w:r>
        <w:rPr>
          <w:rFonts w:ascii="Arial" w:hAnsi="Arial" w:cs="Arial"/>
          <w:b/>
          <w:bCs/>
          <w:sz w:val="28"/>
          <w:szCs w:val="28"/>
        </w:rPr>
        <w:br w:type="page"/>
      </w:r>
    </w:p>
    <w:p w:rsidR="005F4CBF" w:rsidRPr="000144B0" w:rsidRDefault="00CE29E9" w:rsidP="00564CA4">
      <w:pPr>
        <w:pStyle w:val="TableofFigures"/>
        <w:tabs>
          <w:tab w:val="right" w:leader="dot" w:pos="9016"/>
        </w:tabs>
        <w:spacing w:line="360" w:lineRule="auto"/>
        <w:jc w:val="center"/>
        <w:rPr>
          <w:rFonts w:ascii="Arial" w:hAnsi="Arial" w:cs="Arial"/>
          <w:b/>
          <w:bCs/>
          <w:sz w:val="28"/>
          <w:szCs w:val="28"/>
        </w:rPr>
      </w:pPr>
      <w:r w:rsidRPr="000144B0">
        <w:rPr>
          <w:rFonts w:ascii="Arial" w:hAnsi="Arial" w:cs="Arial"/>
          <w:b/>
          <w:bCs/>
          <w:sz w:val="28"/>
          <w:szCs w:val="28"/>
        </w:rPr>
        <w:lastRenderedPageBreak/>
        <w:t>LIST OF TABLES</w:t>
      </w:r>
    </w:p>
    <w:p w:rsidR="00564CA4" w:rsidRPr="000144B0" w:rsidRDefault="00006CBA" w:rsidP="000144B0">
      <w:pPr>
        <w:pStyle w:val="TableofFigures"/>
        <w:tabs>
          <w:tab w:val="right" w:leader="dot" w:pos="9016"/>
        </w:tabs>
        <w:spacing w:line="360" w:lineRule="auto"/>
        <w:jc w:val="both"/>
        <w:rPr>
          <w:rFonts w:ascii="Arial" w:eastAsiaTheme="minorEastAsia" w:hAnsi="Arial" w:cs="Arial"/>
          <w:noProof/>
          <w:kern w:val="2"/>
          <w:sz w:val="24"/>
          <w:szCs w:val="24"/>
          <w:lang w:val="en-IN" w:eastAsia="en-IN"/>
        </w:rPr>
      </w:pPr>
      <w:r w:rsidRPr="00006CBA">
        <w:rPr>
          <w:rFonts w:ascii="Arial" w:hAnsi="Arial" w:cs="Arial"/>
        </w:rPr>
        <w:fldChar w:fldCharType="begin"/>
      </w:r>
      <w:r w:rsidR="00564CA4" w:rsidRPr="000144B0">
        <w:rPr>
          <w:rFonts w:ascii="Arial" w:hAnsi="Arial" w:cs="Arial"/>
        </w:rPr>
        <w:instrText xml:space="preserve"> TOC \h \z \t "Heading 4" \c </w:instrText>
      </w:r>
      <w:r w:rsidRPr="00006CBA">
        <w:rPr>
          <w:rFonts w:ascii="Arial" w:hAnsi="Arial" w:cs="Arial"/>
        </w:rPr>
        <w:fldChar w:fldCharType="separate"/>
      </w:r>
      <w:hyperlink w:anchor="_Toc228308085" w:history="1">
        <w:r w:rsidR="00564CA4" w:rsidRPr="000144B0">
          <w:rPr>
            <w:rStyle w:val="Hyperlink"/>
            <w:rFonts w:ascii="Arial" w:hAnsi="Arial" w:cs="Arial"/>
            <w:noProof/>
            <w:lang w:bidi="en-GB"/>
          </w:rPr>
          <w:t>Table 3.1: SLR</w:t>
        </w:r>
        <w:r w:rsidR="00564CA4" w:rsidRPr="000144B0">
          <w:rPr>
            <w:rFonts w:ascii="Arial" w:hAnsi="Arial" w:cs="Arial"/>
            <w:noProof/>
            <w:webHidden/>
          </w:rPr>
          <w:tab/>
        </w:r>
        <w:r w:rsidRPr="000144B0">
          <w:rPr>
            <w:rFonts w:ascii="Arial" w:hAnsi="Arial" w:cs="Arial"/>
            <w:noProof/>
            <w:webHidden/>
          </w:rPr>
          <w:fldChar w:fldCharType="begin"/>
        </w:r>
        <w:r w:rsidR="00564CA4" w:rsidRPr="000144B0">
          <w:rPr>
            <w:rFonts w:ascii="Arial" w:hAnsi="Arial" w:cs="Arial"/>
            <w:noProof/>
            <w:webHidden/>
          </w:rPr>
          <w:instrText xml:space="preserve"> PAGEREF _Toc228308085 \h </w:instrText>
        </w:r>
        <w:r w:rsidRPr="000144B0">
          <w:rPr>
            <w:rFonts w:ascii="Arial" w:hAnsi="Arial" w:cs="Arial"/>
            <w:noProof/>
            <w:webHidden/>
          </w:rPr>
        </w:r>
        <w:r w:rsidRPr="000144B0">
          <w:rPr>
            <w:rFonts w:ascii="Arial" w:hAnsi="Arial" w:cs="Arial"/>
            <w:noProof/>
            <w:webHidden/>
          </w:rPr>
          <w:fldChar w:fldCharType="separate"/>
        </w:r>
        <w:r w:rsidR="006824B8">
          <w:rPr>
            <w:rFonts w:ascii="Arial" w:hAnsi="Arial" w:cs="Arial"/>
            <w:noProof/>
            <w:webHidden/>
          </w:rPr>
          <w:t>27</w:t>
        </w:r>
        <w:r w:rsidRPr="000144B0">
          <w:rPr>
            <w:rFonts w:ascii="Arial" w:hAnsi="Arial" w:cs="Arial"/>
            <w:noProof/>
            <w:webHidden/>
          </w:rPr>
          <w:fldChar w:fldCharType="end"/>
        </w:r>
      </w:hyperlink>
    </w:p>
    <w:p w:rsidR="00564CA4" w:rsidRPr="000144B0" w:rsidRDefault="00006CBA" w:rsidP="000144B0">
      <w:pPr>
        <w:pStyle w:val="TableofFigures"/>
        <w:tabs>
          <w:tab w:val="right" w:leader="dot" w:pos="9016"/>
        </w:tabs>
        <w:spacing w:line="360" w:lineRule="auto"/>
        <w:jc w:val="both"/>
        <w:rPr>
          <w:rFonts w:ascii="Arial" w:eastAsiaTheme="minorEastAsia" w:hAnsi="Arial" w:cs="Arial"/>
          <w:noProof/>
          <w:kern w:val="2"/>
          <w:sz w:val="24"/>
          <w:szCs w:val="24"/>
          <w:lang w:val="en-IN" w:eastAsia="en-IN"/>
        </w:rPr>
      </w:pPr>
      <w:hyperlink w:anchor="_Toc228308086" w:history="1">
        <w:r w:rsidR="00564CA4" w:rsidRPr="000144B0">
          <w:rPr>
            <w:rStyle w:val="Hyperlink"/>
            <w:rFonts w:ascii="Arial" w:hAnsi="Arial" w:cs="Arial"/>
            <w:noProof/>
            <w:lang w:bidi="en-GB"/>
          </w:rPr>
          <w:t>Table 3.2: PICO</w:t>
        </w:r>
        <w:r w:rsidR="00564CA4" w:rsidRPr="000144B0">
          <w:rPr>
            <w:rFonts w:ascii="Arial" w:hAnsi="Arial" w:cs="Arial"/>
            <w:noProof/>
            <w:webHidden/>
          </w:rPr>
          <w:tab/>
        </w:r>
        <w:r w:rsidRPr="000144B0">
          <w:rPr>
            <w:rFonts w:ascii="Arial" w:hAnsi="Arial" w:cs="Arial"/>
            <w:noProof/>
            <w:webHidden/>
          </w:rPr>
          <w:fldChar w:fldCharType="begin"/>
        </w:r>
        <w:r w:rsidR="00564CA4" w:rsidRPr="000144B0">
          <w:rPr>
            <w:rFonts w:ascii="Arial" w:hAnsi="Arial" w:cs="Arial"/>
            <w:noProof/>
            <w:webHidden/>
          </w:rPr>
          <w:instrText xml:space="preserve"> PAGEREF _Toc228308086 \h </w:instrText>
        </w:r>
        <w:r w:rsidRPr="000144B0">
          <w:rPr>
            <w:rFonts w:ascii="Arial" w:hAnsi="Arial" w:cs="Arial"/>
            <w:noProof/>
            <w:webHidden/>
          </w:rPr>
        </w:r>
        <w:r w:rsidRPr="000144B0">
          <w:rPr>
            <w:rFonts w:ascii="Arial" w:hAnsi="Arial" w:cs="Arial"/>
            <w:noProof/>
            <w:webHidden/>
          </w:rPr>
          <w:fldChar w:fldCharType="separate"/>
        </w:r>
        <w:r w:rsidR="006824B8">
          <w:rPr>
            <w:rFonts w:ascii="Arial" w:hAnsi="Arial" w:cs="Arial"/>
            <w:noProof/>
            <w:webHidden/>
          </w:rPr>
          <w:t>28</w:t>
        </w:r>
        <w:r w:rsidRPr="000144B0">
          <w:rPr>
            <w:rFonts w:ascii="Arial" w:hAnsi="Arial" w:cs="Arial"/>
            <w:noProof/>
            <w:webHidden/>
          </w:rPr>
          <w:fldChar w:fldCharType="end"/>
        </w:r>
      </w:hyperlink>
    </w:p>
    <w:p w:rsidR="00564CA4" w:rsidRPr="000144B0" w:rsidRDefault="00006CBA" w:rsidP="000144B0">
      <w:pPr>
        <w:spacing w:line="360" w:lineRule="auto"/>
        <w:jc w:val="both"/>
        <w:rPr>
          <w:rFonts w:ascii="Arial" w:hAnsi="Arial" w:cs="Arial"/>
          <w:lang w:eastAsia="en-US" w:bidi="ar-SA"/>
        </w:rPr>
      </w:pPr>
      <w:r w:rsidRPr="000144B0">
        <w:rPr>
          <w:rFonts w:ascii="Arial" w:hAnsi="Arial" w:cs="Arial"/>
          <w:lang w:eastAsia="en-US" w:bidi="ar-SA"/>
        </w:rPr>
        <w:fldChar w:fldCharType="end"/>
      </w:r>
    </w:p>
    <w:bookmarkEnd w:id="2"/>
    <w:p w:rsidR="005F4CBF" w:rsidRPr="000144B0" w:rsidRDefault="005F4CBF" w:rsidP="00774AB1">
      <w:pPr>
        <w:pStyle w:val="TableofFigures"/>
        <w:tabs>
          <w:tab w:val="right" w:leader="dot" w:pos="9016"/>
        </w:tabs>
        <w:spacing w:line="360" w:lineRule="auto"/>
        <w:jc w:val="both"/>
        <w:rPr>
          <w:rFonts w:ascii="Arial" w:hAnsi="Arial" w:cs="Arial"/>
          <w:b/>
          <w:bCs/>
          <w:sz w:val="24"/>
          <w:szCs w:val="24"/>
          <w:u w:val="single"/>
        </w:rPr>
      </w:pPr>
    </w:p>
    <w:p w:rsidR="000C51B7" w:rsidRPr="000144B0" w:rsidRDefault="000C51B7"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sz w:val="24"/>
          <w:szCs w:val="24"/>
        </w:rPr>
      </w:pPr>
      <w:bookmarkStart w:id="3" w:name="_Hlk132185764"/>
      <w:r w:rsidRPr="000144B0">
        <w:rPr>
          <w:rFonts w:ascii="Arial" w:eastAsia="Times New Roman" w:hAnsi="Arial" w:cs="Arial"/>
          <w:kern w:val="22"/>
          <w:sz w:val="24"/>
          <w:szCs w:val="24"/>
        </w:rPr>
        <w:cr/>
      </w:r>
    </w:p>
    <w:p w:rsidR="005F4CBF" w:rsidRPr="000144B0" w:rsidRDefault="005F4CBF"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sz w:val="24"/>
          <w:szCs w:val="24"/>
        </w:rPr>
      </w:pPr>
    </w:p>
    <w:bookmarkEnd w:id="3"/>
    <w:p w:rsidR="00117BFE" w:rsidRPr="000144B0" w:rsidRDefault="00117BFE" w:rsidP="00774AB1">
      <w:pPr>
        <w:widowControl/>
        <w:autoSpaceDE/>
        <w:autoSpaceDN/>
        <w:spacing w:after="160" w:line="360" w:lineRule="auto"/>
        <w:jc w:val="both"/>
        <w:rPr>
          <w:rFonts w:ascii="Arial" w:eastAsia="Calibri" w:hAnsi="Arial" w:cs="Arial"/>
          <w:b/>
          <w:bCs/>
          <w:sz w:val="28"/>
          <w:szCs w:val="28"/>
          <w:lang w:eastAsia="en-US" w:bidi="ar-SA"/>
        </w:rPr>
      </w:pPr>
    </w:p>
    <w:p w:rsidR="00117BFE" w:rsidRPr="000144B0" w:rsidRDefault="00117BFE" w:rsidP="00774AB1">
      <w:pPr>
        <w:widowControl/>
        <w:autoSpaceDE/>
        <w:autoSpaceDN/>
        <w:spacing w:after="160" w:line="360" w:lineRule="auto"/>
        <w:jc w:val="both"/>
        <w:rPr>
          <w:rFonts w:ascii="Arial" w:eastAsia="Calibri" w:hAnsi="Arial" w:cs="Arial"/>
          <w:b/>
          <w:bCs/>
          <w:sz w:val="28"/>
          <w:szCs w:val="28"/>
          <w:lang w:eastAsia="en-US" w:bidi="ar-SA"/>
        </w:rPr>
      </w:pPr>
    </w:p>
    <w:p w:rsidR="00713568" w:rsidRPr="000144B0" w:rsidRDefault="00713568" w:rsidP="00774AB1">
      <w:pPr>
        <w:pStyle w:val="TableofFigures"/>
        <w:tabs>
          <w:tab w:val="right" w:leader="dot" w:pos="9016"/>
        </w:tabs>
        <w:spacing w:line="360" w:lineRule="auto"/>
        <w:jc w:val="both"/>
        <w:rPr>
          <w:rFonts w:ascii="Arial" w:hAnsi="Arial" w:cs="Arial"/>
          <w:b/>
          <w:bCs/>
          <w:sz w:val="28"/>
          <w:szCs w:val="28"/>
        </w:rPr>
      </w:pPr>
    </w:p>
    <w:p w:rsidR="00713568" w:rsidRPr="000144B0" w:rsidRDefault="00713568" w:rsidP="00774AB1">
      <w:pPr>
        <w:pStyle w:val="TableofFigures"/>
        <w:tabs>
          <w:tab w:val="right" w:leader="dot" w:pos="9016"/>
        </w:tabs>
        <w:spacing w:line="360" w:lineRule="auto"/>
        <w:jc w:val="both"/>
        <w:rPr>
          <w:rFonts w:ascii="Arial" w:hAnsi="Arial" w:cs="Arial"/>
          <w:b/>
          <w:bCs/>
          <w:sz w:val="28"/>
          <w:szCs w:val="28"/>
        </w:rPr>
      </w:pPr>
    </w:p>
    <w:p w:rsidR="004871DF" w:rsidRPr="000144B0" w:rsidRDefault="004871DF" w:rsidP="00774AB1">
      <w:pPr>
        <w:jc w:val="both"/>
        <w:rPr>
          <w:rFonts w:ascii="Arial" w:eastAsiaTheme="minorHAnsi" w:hAnsi="Arial" w:cs="Arial"/>
          <w:b/>
          <w:bCs/>
          <w:sz w:val="28"/>
          <w:szCs w:val="28"/>
          <w:lang w:eastAsia="en-US" w:bidi="ar-SA"/>
        </w:rPr>
      </w:pPr>
      <w:r w:rsidRPr="000144B0">
        <w:rPr>
          <w:rFonts w:ascii="Arial" w:hAnsi="Arial" w:cs="Arial"/>
          <w:b/>
          <w:bCs/>
          <w:sz w:val="28"/>
          <w:szCs w:val="28"/>
        </w:rPr>
        <w:br w:type="page"/>
      </w:r>
    </w:p>
    <w:p w:rsidR="00A8616F" w:rsidRDefault="00CE29E9" w:rsidP="00161CEC">
      <w:pPr>
        <w:pStyle w:val="TableofFigures"/>
        <w:tabs>
          <w:tab w:val="right" w:leader="dot" w:pos="9016"/>
        </w:tabs>
        <w:spacing w:line="360" w:lineRule="auto"/>
        <w:jc w:val="center"/>
        <w:rPr>
          <w:rFonts w:ascii="Arial" w:hAnsi="Arial" w:cs="Arial"/>
          <w:b/>
          <w:bCs/>
          <w:sz w:val="28"/>
          <w:szCs w:val="28"/>
        </w:rPr>
      </w:pPr>
      <w:r w:rsidRPr="000144B0">
        <w:rPr>
          <w:rFonts w:ascii="Arial" w:hAnsi="Arial" w:cs="Arial"/>
          <w:b/>
          <w:bCs/>
          <w:sz w:val="28"/>
          <w:szCs w:val="28"/>
        </w:rPr>
        <w:lastRenderedPageBreak/>
        <w:t>LIST OF FIGURES</w:t>
      </w:r>
    </w:p>
    <w:p w:rsidR="00161CEC" w:rsidRPr="00161CEC" w:rsidRDefault="00006CBA" w:rsidP="00161CEC">
      <w:pPr>
        <w:pStyle w:val="TableofFigures"/>
        <w:tabs>
          <w:tab w:val="right" w:leader="dot" w:pos="9016"/>
        </w:tabs>
        <w:spacing w:line="360" w:lineRule="auto"/>
        <w:jc w:val="both"/>
        <w:rPr>
          <w:rFonts w:ascii="Arial" w:eastAsiaTheme="minorEastAsia" w:hAnsi="Arial" w:cs="Arial"/>
          <w:noProof/>
          <w:kern w:val="2"/>
          <w:lang w:val="en-IN" w:eastAsia="en-IN"/>
        </w:rPr>
      </w:pPr>
      <w:r w:rsidRPr="00006CBA">
        <w:rPr>
          <w:rFonts w:ascii="Arial" w:hAnsi="Arial" w:cs="Arial"/>
        </w:rPr>
        <w:fldChar w:fldCharType="begin"/>
      </w:r>
      <w:r w:rsidR="00161CEC" w:rsidRPr="00161CEC">
        <w:rPr>
          <w:rFonts w:ascii="Arial" w:hAnsi="Arial" w:cs="Arial"/>
        </w:rPr>
        <w:instrText xml:space="preserve"> TOC \h \z \t "Heading 5" \c </w:instrText>
      </w:r>
      <w:r w:rsidRPr="00006CBA">
        <w:rPr>
          <w:rFonts w:ascii="Arial" w:hAnsi="Arial" w:cs="Arial"/>
        </w:rPr>
        <w:fldChar w:fldCharType="separate"/>
      </w:r>
      <w:hyperlink w:anchor="_Toc228308120" w:history="1">
        <w:r w:rsidR="00161CEC" w:rsidRPr="00161CEC">
          <w:rPr>
            <w:rStyle w:val="Hyperlink"/>
            <w:rFonts w:ascii="Arial" w:hAnsi="Arial" w:cs="Arial"/>
            <w:noProof/>
            <w:lang w:bidi="en-GB"/>
          </w:rPr>
          <w:t>Figure 3.1: PRISMA</w:t>
        </w:r>
        <w:r w:rsidR="00161CEC" w:rsidRPr="00161CEC">
          <w:rPr>
            <w:rFonts w:ascii="Arial" w:hAnsi="Arial" w:cs="Arial"/>
            <w:noProof/>
            <w:webHidden/>
          </w:rPr>
          <w:tab/>
        </w:r>
        <w:r w:rsidRPr="00161CEC">
          <w:rPr>
            <w:rFonts w:ascii="Arial" w:hAnsi="Arial" w:cs="Arial"/>
            <w:noProof/>
            <w:webHidden/>
          </w:rPr>
          <w:fldChar w:fldCharType="begin"/>
        </w:r>
        <w:r w:rsidR="00161CEC" w:rsidRPr="00161CEC">
          <w:rPr>
            <w:rFonts w:ascii="Arial" w:hAnsi="Arial" w:cs="Arial"/>
            <w:noProof/>
            <w:webHidden/>
          </w:rPr>
          <w:instrText xml:space="preserve"> PAGEREF _Toc228308120 \h </w:instrText>
        </w:r>
        <w:r w:rsidRPr="00161CEC">
          <w:rPr>
            <w:rFonts w:ascii="Arial" w:hAnsi="Arial" w:cs="Arial"/>
            <w:noProof/>
            <w:webHidden/>
          </w:rPr>
        </w:r>
        <w:r w:rsidRPr="00161CEC">
          <w:rPr>
            <w:rFonts w:ascii="Arial" w:hAnsi="Arial" w:cs="Arial"/>
            <w:noProof/>
            <w:webHidden/>
          </w:rPr>
          <w:fldChar w:fldCharType="separate"/>
        </w:r>
        <w:r w:rsidR="006824B8">
          <w:rPr>
            <w:rFonts w:ascii="Arial" w:hAnsi="Arial" w:cs="Arial"/>
            <w:noProof/>
            <w:webHidden/>
          </w:rPr>
          <w:t>30</w:t>
        </w:r>
        <w:r w:rsidRPr="00161CEC">
          <w:rPr>
            <w:rFonts w:ascii="Arial" w:hAnsi="Arial" w:cs="Arial"/>
            <w:noProof/>
            <w:webHidden/>
          </w:rPr>
          <w:fldChar w:fldCharType="end"/>
        </w:r>
      </w:hyperlink>
    </w:p>
    <w:p w:rsidR="00161CEC" w:rsidRPr="00161CEC" w:rsidRDefault="00006CBA" w:rsidP="00161CEC">
      <w:pPr>
        <w:pStyle w:val="TableofFigures"/>
        <w:tabs>
          <w:tab w:val="right" w:leader="dot" w:pos="9016"/>
        </w:tabs>
        <w:spacing w:line="360" w:lineRule="auto"/>
        <w:jc w:val="both"/>
        <w:rPr>
          <w:rFonts w:ascii="Arial" w:eastAsiaTheme="minorEastAsia" w:hAnsi="Arial" w:cs="Arial"/>
          <w:noProof/>
          <w:kern w:val="2"/>
          <w:lang w:val="en-IN" w:eastAsia="en-IN"/>
        </w:rPr>
      </w:pPr>
      <w:hyperlink w:anchor="_Toc228308122" w:history="1">
        <w:r w:rsidR="00161CEC" w:rsidRPr="00161CEC">
          <w:rPr>
            <w:rStyle w:val="Hyperlink"/>
            <w:rFonts w:ascii="Arial" w:hAnsi="Arial" w:cs="Arial"/>
            <w:noProof/>
            <w:lang w:bidi="en-GB"/>
          </w:rPr>
          <w:t>Figure 4.1: CASP Tool</w:t>
        </w:r>
        <w:r w:rsidR="00161CEC" w:rsidRPr="00161CEC">
          <w:rPr>
            <w:rFonts w:ascii="Arial" w:hAnsi="Arial" w:cs="Arial"/>
            <w:noProof/>
            <w:webHidden/>
          </w:rPr>
          <w:tab/>
        </w:r>
        <w:r w:rsidRPr="00161CEC">
          <w:rPr>
            <w:rFonts w:ascii="Arial" w:hAnsi="Arial" w:cs="Arial"/>
            <w:noProof/>
            <w:webHidden/>
          </w:rPr>
          <w:fldChar w:fldCharType="begin"/>
        </w:r>
        <w:r w:rsidR="00161CEC" w:rsidRPr="00161CEC">
          <w:rPr>
            <w:rFonts w:ascii="Arial" w:hAnsi="Arial" w:cs="Arial"/>
            <w:noProof/>
            <w:webHidden/>
          </w:rPr>
          <w:instrText xml:space="preserve"> PAGEREF _Toc228308122 \h </w:instrText>
        </w:r>
        <w:r w:rsidRPr="00161CEC">
          <w:rPr>
            <w:rFonts w:ascii="Arial" w:hAnsi="Arial" w:cs="Arial"/>
            <w:noProof/>
            <w:webHidden/>
          </w:rPr>
        </w:r>
        <w:r w:rsidRPr="00161CEC">
          <w:rPr>
            <w:rFonts w:ascii="Arial" w:hAnsi="Arial" w:cs="Arial"/>
            <w:noProof/>
            <w:webHidden/>
          </w:rPr>
          <w:fldChar w:fldCharType="separate"/>
        </w:r>
        <w:r w:rsidR="006824B8">
          <w:rPr>
            <w:rFonts w:ascii="Arial" w:hAnsi="Arial" w:cs="Arial"/>
            <w:noProof/>
            <w:webHidden/>
          </w:rPr>
          <w:t>34</w:t>
        </w:r>
        <w:r w:rsidRPr="00161CEC">
          <w:rPr>
            <w:rFonts w:ascii="Arial" w:hAnsi="Arial" w:cs="Arial"/>
            <w:noProof/>
            <w:webHidden/>
          </w:rPr>
          <w:fldChar w:fldCharType="end"/>
        </w:r>
      </w:hyperlink>
    </w:p>
    <w:p w:rsidR="00161CEC" w:rsidRPr="00161CEC" w:rsidRDefault="00006CBA" w:rsidP="00161CEC">
      <w:pPr>
        <w:spacing w:line="360" w:lineRule="auto"/>
        <w:jc w:val="both"/>
        <w:rPr>
          <w:lang w:eastAsia="en-US" w:bidi="ar-SA"/>
        </w:rPr>
      </w:pPr>
      <w:r w:rsidRPr="00161CEC">
        <w:rPr>
          <w:rFonts w:ascii="Arial" w:hAnsi="Arial" w:cs="Arial"/>
          <w:lang w:eastAsia="en-US" w:bidi="ar-SA"/>
        </w:rPr>
        <w:fldChar w:fldCharType="end"/>
      </w:r>
    </w:p>
    <w:p w:rsidR="000C51B7" w:rsidRPr="000144B0" w:rsidRDefault="000C51B7" w:rsidP="00774AB1">
      <w:pPr>
        <w:spacing w:line="360" w:lineRule="auto"/>
        <w:jc w:val="both"/>
        <w:rPr>
          <w:rFonts w:ascii="Arial" w:hAnsi="Arial" w:cs="Arial"/>
          <w:lang w:eastAsia="en-US" w:bidi="ar-SA"/>
        </w:rPr>
      </w:pPr>
    </w:p>
    <w:p w:rsidR="000C51B7" w:rsidRPr="000144B0" w:rsidRDefault="000C51B7"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sz w:val="24"/>
          <w:szCs w:val="24"/>
        </w:rPr>
      </w:pPr>
      <w:r w:rsidRPr="000144B0">
        <w:rPr>
          <w:rFonts w:ascii="Arial" w:eastAsia="Times New Roman" w:hAnsi="Arial" w:cs="Arial"/>
          <w:kern w:val="22"/>
          <w:sz w:val="24"/>
          <w:szCs w:val="24"/>
        </w:rPr>
        <w:cr/>
      </w:r>
    </w:p>
    <w:p w:rsidR="000C51B7" w:rsidRPr="000144B0" w:rsidRDefault="000C51B7"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sz w:val="24"/>
          <w:szCs w:val="24"/>
        </w:rPr>
      </w:pPr>
    </w:p>
    <w:p w:rsidR="000C51B7" w:rsidRPr="000144B0" w:rsidRDefault="000C51B7"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sz w:val="24"/>
          <w:szCs w:val="24"/>
        </w:rPr>
      </w:pPr>
    </w:p>
    <w:p w:rsidR="00713568" w:rsidRPr="000144B0" w:rsidRDefault="00713568"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sz w:val="24"/>
          <w:szCs w:val="24"/>
        </w:rPr>
      </w:pPr>
    </w:p>
    <w:p w:rsidR="00713568" w:rsidRPr="000144B0" w:rsidRDefault="00713568"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sz w:val="24"/>
          <w:szCs w:val="24"/>
        </w:rPr>
      </w:pPr>
    </w:p>
    <w:p w:rsidR="00713568" w:rsidRPr="000144B0" w:rsidRDefault="00713568"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sz w:val="24"/>
          <w:szCs w:val="24"/>
        </w:rPr>
      </w:pPr>
    </w:p>
    <w:p w:rsidR="00117BFE" w:rsidRPr="000144B0" w:rsidRDefault="00117BFE" w:rsidP="00774AB1">
      <w:pPr>
        <w:widowControl/>
        <w:autoSpaceDE/>
        <w:autoSpaceDN/>
        <w:spacing w:after="160" w:line="360" w:lineRule="auto"/>
        <w:jc w:val="both"/>
        <w:rPr>
          <w:rFonts w:ascii="Arial" w:eastAsia="Calibri" w:hAnsi="Arial" w:cs="Arial"/>
          <w:b/>
          <w:bCs/>
          <w:sz w:val="28"/>
          <w:szCs w:val="28"/>
          <w:lang w:eastAsia="en-US" w:bidi="ar-SA"/>
        </w:rPr>
      </w:pPr>
    </w:p>
    <w:p w:rsidR="00117BFE" w:rsidRPr="000144B0" w:rsidRDefault="00117BFE" w:rsidP="00774AB1">
      <w:pPr>
        <w:widowControl/>
        <w:autoSpaceDE/>
        <w:autoSpaceDN/>
        <w:spacing w:after="160" w:line="360" w:lineRule="auto"/>
        <w:jc w:val="both"/>
        <w:rPr>
          <w:rFonts w:ascii="Arial" w:eastAsia="Calibri" w:hAnsi="Arial" w:cs="Arial"/>
          <w:b/>
          <w:bCs/>
          <w:sz w:val="28"/>
          <w:szCs w:val="28"/>
          <w:lang w:eastAsia="en-US" w:bidi="ar-SA"/>
        </w:rPr>
      </w:pPr>
    </w:p>
    <w:p w:rsidR="00117BFE" w:rsidRPr="000144B0" w:rsidRDefault="00117BFE" w:rsidP="00774AB1">
      <w:pPr>
        <w:widowControl/>
        <w:autoSpaceDE/>
        <w:autoSpaceDN/>
        <w:spacing w:after="160" w:line="360" w:lineRule="auto"/>
        <w:jc w:val="both"/>
        <w:rPr>
          <w:rFonts w:ascii="Arial" w:eastAsia="Calibri" w:hAnsi="Arial" w:cs="Arial"/>
          <w:b/>
          <w:bCs/>
          <w:sz w:val="28"/>
          <w:szCs w:val="28"/>
          <w:lang w:eastAsia="en-US" w:bidi="ar-SA"/>
        </w:rPr>
      </w:pPr>
    </w:p>
    <w:p w:rsidR="00117BFE" w:rsidRPr="000144B0" w:rsidRDefault="00117BFE" w:rsidP="00774AB1">
      <w:pPr>
        <w:widowControl/>
        <w:autoSpaceDE/>
        <w:autoSpaceDN/>
        <w:spacing w:after="160" w:line="360" w:lineRule="auto"/>
        <w:jc w:val="both"/>
        <w:rPr>
          <w:rFonts w:ascii="Arial" w:eastAsia="Calibri" w:hAnsi="Arial" w:cs="Arial"/>
          <w:b/>
          <w:bCs/>
          <w:sz w:val="28"/>
          <w:szCs w:val="28"/>
          <w:lang w:eastAsia="en-US" w:bidi="ar-SA"/>
        </w:rPr>
      </w:pPr>
    </w:p>
    <w:p w:rsidR="00117BFE" w:rsidRPr="000144B0" w:rsidRDefault="00117BFE" w:rsidP="00774AB1">
      <w:pPr>
        <w:widowControl/>
        <w:autoSpaceDE/>
        <w:autoSpaceDN/>
        <w:spacing w:after="160" w:line="360" w:lineRule="auto"/>
        <w:jc w:val="both"/>
        <w:rPr>
          <w:rFonts w:ascii="Arial" w:eastAsia="Calibri" w:hAnsi="Arial" w:cs="Arial"/>
          <w:b/>
          <w:bCs/>
          <w:sz w:val="28"/>
          <w:szCs w:val="28"/>
          <w:lang w:eastAsia="en-US" w:bidi="ar-SA"/>
        </w:rPr>
      </w:pPr>
    </w:p>
    <w:p w:rsidR="00D40127" w:rsidRPr="000144B0" w:rsidRDefault="00D40127" w:rsidP="00774AB1">
      <w:pPr>
        <w:jc w:val="both"/>
        <w:rPr>
          <w:rFonts w:ascii="Arial" w:eastAsia="Calibri" w:hAnsi="Arial" w:cs="Arial"/>
          <w:b/>
          <w:bCs/>
          <w:sz w:val="28"/>
          <w:szCs w:val="28"/>
          <w:lang w:eastAsia="en-US" w:bidi="ar-SA"/>
        </w:rPr>
      </w:pPr>
    </w:p>
    <w:p w:rsidR="00D40127" w:rsidRPr="000144B0" w:rsidRDefault="00D40127"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sz w:val="24"/>
          <w:szCs w:val="24"/>
        </w:rPr>
      </w:pPr>
    </w:p>
    <w:p w:rsidR="00D40127" w:rsidRPr="000144B0" w:rsidRDefault="00D40127"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sz w:val="24"/>
          <w:szCs w:val="24"/>
        </w:rPr>
      </w:pPr>
    </w:p>
    <w:p w:rsidR="00D40127" w:rsidRPr="000144B0" w:rsidRDefault="00D40127"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sz w:val="24"/>
          <w:szCs w:val="24"/>
        </w:rPr>
      </w:pPr>
    </w:p>
    <w:p w:rsidR="00D40127" w:rsidRPr="000144B0" w:rsidRDefault="00D40127"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sz w:val="24"/>
          <w:szCs w:val="24"/>
        </w:rPr>
      </w:pPr>
    </w:p>
    <w:p w:rsidR="00D40127" w:rsidRPr="000144B0" w:rsidRDefault="00D40127"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sz w:val="24"/>
          <w:szCs w:val="24"/>
        </w:rPr>
      </w:pPr>
    </w:p>
    <w:p w:rsidR="00D40127" w:rsidRPr="000144B0" w:rsidRDefault="00D40127"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sz w:val="24"/>
          <w:szCs w:val="24"/>
        </w:rPr>
      </w:pPr>
    </w:p>
    <w:p w:rsidR="00D40127" w:rsidRPr="000144B0" w:rsidRDefault="00D40127"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sz w:val="24"/>
          <w:szCs w:val="24"/>
        </w:rPr>
      </w:pPr>
    </w:p>
    <w:p w:rsidR="00D40127" w:rsidRPr="000144B0" w:rsidRDefault="00D40127"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sz w:val="24"/>
          <w:szCs w:val="24"/>
        </w:rPr>
      </w:pPr>
    </w:p>
    <w:p w:rsidR="00D40127" w:rsidRPr="000144B0" w:rsidRDefault="00D40127"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sz w:val="24"/>
          <w:szCs w:val="24"/>
        </w:rPr>
      </w:pPr>
    </w:p>
    <w:p w:rsidR="00D40127" w:rsidRPr="000144B0" w:rsidRDefault="00D40127"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Times New Roman" w:hAnsi="Arial" w:cs="Arial"/>
          <w:kern w:val="22"/>
          <w:sz w:val="24"/>
          <w:szCs w:val="24"/>
        </w:rPr>
      </w:pPr>
    </w:p>
    <w:p w:rsidR="00D40127" w:rsidRPr="000144B0" w:rsidRDefault="00D40127"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sz w:val="24"/>
          <w:szCs w:val="24"/>
        </w:rPr>
      </w:pPr>
    </w:p>
    <w:p w:rsidR="00D40127" w:rsidRPr="000144B0" w:rsidRDefault="00D40127"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sz w:val="24"/>
          <w:szCs w:val="24"/>
        </w:rPr>
      </w:pPr>
    </w:p>
    <w:p w:rsidR="00D40127" w:rsidRPr="000144B0" w:rsidRDefault="00D40127" w:rsidP="00CC55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Times New Roman" w:hAnsi="Arial" w:cs="Arial"/>
          <w:kern w:val="22"/>
          <w:sz w:val="24"/>
          <w:szCs w:val="24"/>
        </w:rPr>
      </w:pPr>
    </w:p>
    <w:p w:rsidR="00D40127" w:rsidRPr="000144B0" w:rsidRDefault="00D40127" w:rsidP="00774A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Times New Roman" w:hAnsi="Arial" w:cs="Arial"/>
          <w:kern w:val="22"/>
          <w:sz w:val="24"/>
          <w:szCs w:val="24"/>
        </w:rPr>
      </w:pPr>
    </w:p>
    <w:p w:rsidR="00774AB1" w:rsidRPr="000144B0" w:rsidRDefault="00774AB1" w:rsidP="00774AB1">
      <w:pPr>
        <w:pStyle w:val="Heading1"/>
        <w:rPr>
          <w:rFonts w:cs="Arial"/>
        </w:rPr>
      </w:pPr>
      <w:bookmarkStart w:id="4" w:name="_Toc228352750"/>
      <w:r w:rsidRPr="000144B0">
        <w:rPr>
          <w:rFonts w:cs="Arial"/>
        </w:rPr>
        <w:t>CHAPTER 1: INTRODUCTION AND BACKGROUND</w:t>
      </w:r>
      <w:bookmarkEnd w:id="4"/>
    </w:p>
    <w:p w:rsidR="00774AB1" w:rsidRPr="000144B0" w:rsidRDefault="00774AB1" w:rsidP="00774AB1">
      <w:pPr>
        <w:pStyle w:val="Heading2"/>
        <w:rPr>
          <w:rFonts w:cs="Arial"/>
        </w:rPr>
      </w:pPr>
      <w:bookmarkStart w:id="5" w:name="_heading=h.4fkkqg5c0c5j" w:colFirst="0" w:colLast="0"/>
      <w:bookmarkStart w:id="6" w:name="_Toc228352751"/>
      <w:bookmarkEnd w:id="5"/>
      <w:r w:rsidRPr="000144B0">
        <w:rPr>
          <w:rFonts w:cs="Arial"/>
        </w:rPr>
        <w:t>1.1 Introduction to the topic</w:t>
      </w:r>
      <w:bookmarkEnd w:id="6"/>
    </w:p>
    <w:p w:rsidR="00774AB1" w:rsidRPr="000144B0" w:rsidRDefault="00774AB1" w:rsidP="00774AB1">
      <w:pPr>
        <w:spacing w:line="360" w:lineRule="auto"/>
        <w:jc w:val="both"/>
        <w:rPr>
          <w:rFonts w:ascii="Arial" w:eastAsia="Arial" w:hAnsi="Arial" w:cs="Arial"/>
        </w:rPr>
      </w:pPr>
      <w:r w:rsidRPr="000144B0">
        <w:rPr>
          <w:rFonts w:ascii="Arial" w:eastAsia="Arial" w:hAnsi="Arial" w:cs="Arial"/>
        </w:rPr>
        <w:t>Older adult falls are a major health issue in the United Kingdom. With an ageing population, the number of falls and associated injuries has risen dramatically and has implications for health and social care budgets, and the health-related quality of life of older people</w:t>
      </w:r>
      <w:r w:rsidR="00D2548F" w:rsidRPr="00D2548F">
        <w:rPr>
          <w:rFonts w:ascii="Arial" w:eastAsia="Arial" w:hAnsi="Arial" w:cs="Arial"/>
        </w:rPr>
        <w:t>(Vaishya and Vaish, 2020)</w:t>
      </w:r>
      <w:r w:rsidRPr="000144B0">
        <w:rPr>
          <w:rFonts w:ascii="Arial" w:eastAsia="Arial" w:hAnsi="Arial" w:cs="Arial"/>
        </w:rPr>
        <w:t>. Falls commonly result in severe physical consequences like fractures, loss of mobility, disability and the loss of independence. And in many instances, multiple falls can lead to psychological effects such as fear of falling, anxiety and loneliness</w:t>
      </w:r>
      <w:r w:rsidR="00D2548F" w:rsidRPr="00D2548F">
        <w:rPr>
          <w:rFonts w:ascii="Arial" w:eastAsia="Arial" w:hAnsi="Arial" w:cs="Arial"/>
        </w:rPr>
        <w:t>(Schoene et al., 2019)</w:t>
      </w:r>
      <w:r w:rsidRPr="000144B0">
        <w:rPr>
          <w:rFonts w:ascii="Arial" w:eastAsia="Arial" w:hAnsi="Arial" w:cs="Arial"/>
        </w:rPr>
        <w:t>. These consequences put a strain on the National Health Service (NHS) and community health caregivers.</w:t>
      </w:r>
    </w:p>
    <w:p w:rsidR="00774AB1" w:rsidRPr="000144B0" w:rsidRDefault="00774AB1" w:rsidP="00774AB1">
      <w:pPr>
        <w:spacing w:line="360" w:lineRule="auto"/>
        <w:jc w:val="both"/>
        <w:rPr>
          <w:rFonts w:ascii="Arial" w:eastAsia="Arial" w:hAnsi="Arial" w:cs="Arial"/>
        </w:rPr>
      </w:pPr>
      <w:r w:rsidRPr="000144B0">
        <w:rPr>
          <w:rFonts w:ascii="Arial" w:eastAsia="Arial" w:hAnsi="Arial" w:cs="Arial"/>
        </w:rPr>
        <w:t xml:space="preserve">Physiotherapists working in the community play a vital role in fall prevention for older adults through mobility, strength, balance and </w:t>
      </w:r>
      <w:r w:rsidR="00D2548F">
        <w:rPr>
          <w:rFonts w:ascii="Arial" w:eastAsia="Arial" w:hAnsi="Arial" w:cs="Arial"/>
        </w:rPr>
        <w:t xml:space="preserve">independence </w:t>
      </w:r>
      <w:r w:rsidR="00D2548F" w:rsidRPr="00D2548F">
        <w:rPr>
          <w:rFonts w:ascii="Arial" w:eastAsia="Arial" w:hAnsi="Arial" w:cs="Arial"/>
        </w:rPr>
        <w:t>(Studer, Irwin and Wingood, 2025)</w:t>
      </w:r>
      <w:r w:rsidRPr="000144B0">
        <w:rPr>
          <w:rFonts w:ascii="Arial" w:eastAsia="Arial" w:hAnsi="Arial" w:cs="Arial"/>
        </w:rPr>
        <w:t>. Based in community and primary health care, physiotherapists identify and reduce fall-related risks, prescribe individualised exercise programs, deliver rehabilitation services and educate older adults about safe mobility and preventing falls</w:t>
      </w:r>
      <w:r w:rsidR="00D2548F" w:rsidRPr="00D2548F">
        <w:rPr>
          <w:rFonts w:ascii="Arial" w:eastAsia="Arial" w:hAnsi="Arial" w:cs="Arial"/>
        </w:rPr>
        <w:t>(Research gate, 2023)</w:t>
      </w:r>
      <w:r w:rsidRPr="000144B0">
        <w:rPr>
          <w:rFonts w:ascii="Arial" w:eastAsia="Arial" w:hAnsi="Arial" w:cs="Arial"/>
        </w:rPr>
        <w:t>. They provide a wide range of support to promote healthy ageing and enhance well-being. In terms of public health and social care outcomes, community physiotherapy services can prevent hospital falls, reduce the financial burden on health-care resources and enable older people to stay safe in their homes</w:t>
      </w:r>
      <w:r w:rsidR="00D2548F" w:rsidRPr="00D2548F">
        <w:rPr>
          <w:rFonts w:ascii="Arial" w:eastAsia="Arial" w:hAnsi="Arial" w:cs="Arial"/>
        </w:rPr>
        <w:t>(Appeadu and Bordoni, 2023)</w:t>
      </w:r>
      <w:r w:rsidRPr="000144B0">
        <w:rPr>
          <w:rFonts w:ascii="Arial" w:eastAsia="Arial" w:hAnsi="Arial" w:cs="Arial"/>
        </w:rPr>
        <w:t>. Consequently, it is crucial to explore the role of community physiotherapists in the prevention of falls in order to promote the health and quality of life of the United Kingdom's ageing population</w:t>
      </w:r>
      <w:r w:rsidR="00D2548F" w:rsidRPr="00D2548F">
        <w:rPr>
          <w:rFonts w:ascii="Arial" w:eastAsia="Arial" w:hAnsi="Arial" w:cs="Arial"/>
        </w:rPr>
        <w:t>(van der Velde et al., 2025)</w:t>
      </w:r>
      <w:r w:rsidRPr="000144B0">
        <w:rPr>
          <w:rFonts w:ascii="Arial" w:eastAsia="Arial" w:hAnsi="Arial" w:cs="Arial"/>
        </w:rPr>
        <w:t>.</w:t>
      </w:r>
    </w:p>
    <w:p w:rsidR="00774AB1" w:rsidRPr="000144B0" w:rsidRDefault="00774AB1" w:rsidP="00774AB1">
      <w:pPr>
        <w:pStyle w:val="Heading2"/>
        <w:rPr>
          <w:rFonts w:cs="Arial"/>
        </w:rPr>
      </w:pPr>
      <w:bookmarkStart w:id="7" w:name="_heading=h.qakprf4ozs9w" w:colFirst="0" w:colLast="0"/>
      <w:bookmarkStart w:id="8" w:name="_Toc228352752"/>
      <w:bookmarkEnd w:id="7"/>
      <w:r w:rsidRPr="000144B0">
        <w:rPr>
          <w:rFonts w:cs="Arial"/>
          <w:bCs/>
        </w:rPr>
        <w:t>1.2Background and Current Context</w:t>
      </w:r>
      <w:bookmarkEnd w:id="8"/>
    </w:p>
    <w:p w:rsidR="00774AB1" w:rsidRPr="000144B0" w:rsidRDefault="00774AB1" w:rsidP="00774AB1">
      <w:pPr>
        <w:spacing w:line="360" w:lineRule="auto"/>
        <w:jc w:val="both"/>
        <w:rPr>
          <w:rFonts w:ascii="Arial" w:eastAsia="Arial" w:hAnsi="Arial" w:cs="Arial"/>
        </w:rPr>
      </w:pPr>
      <w:r w:rsidRPr="000144B0">
        <w:rPr>
          <w:rFonts w:ascii="Arial" w:eastAsia="Arial" w:hAnsi="Arial" w:cs="Arial"/>
        </w:rPr>
        <w:t xml:space="preserve">The issue of older adult falls is a key concern in the health and social care sector in the United Kingdom in response to the rapidly ageing population. Older adults are at higher risk of falls because as people age, they often experience reduced muscle strength, impaired balance, decreased mobility, impaired vision and other illnesses. All this raises the risk of falling, particularly among people aged 65 and more (Appeadu and Bordoni, 2023). The National Health Service (NHS) notes that falls are more frequent among the elderly and are associated with arthritis, stroke, Parkinson's disease, low blood pressure and adverse effects of medication (NHS, 2021). The injuries sustained from falls can be serious, such as hip fractures, head trauma, and disability, which can limit quality of life and independence. </w:t>
      </w:r>
    </w:p>
    <w:p w:rsidR="00774AB1" w:rsidRPr="000144B0" w:rsidRDefault="00774AB1" w:rsidP="00774AB1">
      <w:pPr>
        <w:spacing w:line="360" w:lineRule="auto"/>
        <w:jc w:val="both"/>
        <w:rPr>
          <w:rFonts w:ascii="Arial" w:eastAsia="Arial" w:hAnsi="Arial" w:cs="Arial"/>
        </w:rPr>
      </w:pPr>
      <w:r w:rsidRPr="000144B0">
        <w:rPr>
          <w:rFonts w:ascii="Arial" w:eastAsia="Arial" w:hAnsi="Arial" w:cs="Arial"/>
        </w:rPr>
        <w:t xml:space="preserve">Data show the severity of the problem in the UK health system. It is estimated that one-third of adults aged over 65 years, and close to half of those aged over 80 years fall at least once a year (Vaishya and Vaish, 2020). Falls are also known to be one of the largest causes of </w:t>
      </w:r>
      <w:r w:rsidRPr="000144B0">
        <w:rPr>
          <w:rFonts w:ascii="Arial" w:eastAsia="Arial" w:hAnsi="Arial" w:cs="Arial"/>
        </w:rPr>
        <w:lastRenderedPageBreak/>
        <w:t xml:space="preserve">injury death in the elderly. Statistics show that 280,000 falls occur in older adults leading to visits to Accident and Emergency departments each year (CDC, 2024). In addition, falls incurred by older adults lead to an estimated annual cost of around £1.5 billion to the NHS, attributed to hospitalisation, emergency treatment, rehabilitation and the longer-term care needs (therapies on the thames, 2024). </w:t>
      </w:r>
    </w:p>
    <w:p w:rsidR="00774AB1" w:rsidRPr="000144B0" w:rsidRDefault="00774AB1" w:rsidP="00774AB1">
      <w:pPr>
        <w:spacing w:line="360" w:lineRule="auto"/>
        <w:jc w:val="both"/>
        <w:rPr>
          <w:rFonts w:ascii="Arial" w:eastAsia="Arial" w:hAnsi="Arial" w:cs="Arial"/>
        </w:rPr>
      </w:pPr>
      <w:r w:rsidRPr="000144B0">
        <w:rPr>
          <w:rFonts w:ascii="Arial" w:eastAsia="Arial" w:hAnsi="Arial" w:cs="Arial"/>
        </w:rPr>
        <w:t>A rise in falls is closely associated with population changes in the UK. The number of older adults has increased over the last few decades, placing greater demands on the health-care system</w:t>
      </w:r>
      <w:r w:rsidR="00D2548F" w:rsidRPr="00D2548F">
        <w:rPr>
          <w:rFonts w:ascii="Arial" w:eastAsia="Arial" w:hAnsi="Arial" w:cs="Arial"/>
        </w:rPr>
        <w:t>(GOV.UK, 2022)</w:t>
      </w:r>
      <w:r w:rsidRPr="000144B0">
        <w:rPr>
          <w:rFonts w:ascii="Arial" w:eastAsia="Arial" w:hAnsi="Arial" w:cs="Arial"/>
        </w:rPr>
        <w:t xml:space="preserve">. Research has shown nearly nine million people in England are aged 65 years and over and this is likely to grow. Alongside an increase in life expectancy comes higher rates of frailty, chronic disease and mobility impairment that increase the risk of falling (Acharya, 2022). The journey of growing older has created a need for falls prevention to be a priority for health and social care providers, health policymakers and service providers. </w:t>
      </w:r>
    </w:p>
    <w:p w:rsidR="00774AB1" w:rsidRPr="00D2548F" w:rsidRDefault="00774AB1" w:rsidP="00774AB1">
      <w:pPr>
        <w:spacing w:line="360" w:lineRule="auto"/>
        <w:jc w:val="both"/>
        <w:rPr>
          <w:rFonts w:ascii="Arial" w:eastAsia="Arial" w:hAnsi="Arial" w:cs="Arial"/>
          <w:lang w:val="en-IN"/>
        </w:rPr>
      </w:pPr>
      <w:r w:rsidRPr="000144B0">
        <w:rPr>
          <w:rFonts w:ascii="Arial" w:eastAsia="Arial" w:hAnsi="Arial" w:cs="Arial"/>
        </w:rPr>
        <w:t>Falling not only has repercussions for older people's physical health but also for their psychological and social well-being</w:t>
      </w:r>
      <w:r w:rsidR="00D2548F" w:rsidRPr="00D2548F">
        <w:rPr>
          <w:rFonts w:ascii="Arial" w:eastAsia="Arial" w:hAnsi="Arial" w:cs="Arial"/>
        </w:rPr>
        <w:t>(Li and Surineni, 2024)</w:t>
      </w:r>
      <w:r w:rsidRPr="000144B0">
        <w:rPr>
          <w:rFonts w:ascii="Arial" w:eastAsia="Arial" w:hAnsi="Arial" w:cs="Arial"/>
        </w:rPr>
        <w:t>. Following a fall, people can become frightened of falling again and have lower faith in their ability to complete everyday activities. This may lead to people becoming less active, socially withdrawing and becoming more reliant on their families or caregivers</w:t>
      </w:r>
      <w:r w:rsidR="00D2548F" w:rsidRPr="00D2548F">
        <w:rPr>
          <w:rFonts w:ascii="Arial" w:eastAsia="Arial" w:hAnsi="Arial" w:cs="Arial"/>
          <w:lang w:val="en-IN"/>
        </w:rPr>
        <w:t>(Uberoi, 2025)</w:t>
      </w:r>
      <w:r w:rsidRPr="000144B0">
        <w:rPr>
          <w:rFonts w:ascii="Arial" w:eastAsia="Arial" w:hAnsi="Arial" w:cs="Arial"/>
        </w:rPr>
        <w:t>. Decreased physical activity and social isolation may have an impact on mental health and quality of life</w:t>
      </w:r>
      <w:r w:rsidR="00D2548F" w:rsidRPr="00D2548F">
        <w:rPr>
          <w:rFonts w:ascii="Arial" w:eastAsia="Arial" w:hAnsi="Arial" w:cs="Arial"/>
          <w:lang w:val="en-IN"/>
        </w:rPr>
        <w:t>(Salari et al., 2022)</w:t>
      </w:r>
      <w:r w:rsidRPr="000144B0">
        <w:rPr>
          <w:rFonts w:ascii="Arial" w:eastAsia="Arial" w:hAnsi="Arial" w:cs="Arial"/>
        </w:rPr>
        <w:t>. At worst, falls can result in placement in residential or nursing care facilities due to impaired ability to function (Holt</w:t>
      </w:r>
      <w:r w:rsidRPr="000144B0">
        <w:rPr>
          <w:rFonts w:ascii="Cambria Math" w:eastAsia="Arial" w:hAnsi="Cambria Math" w:cs="Cambria Math"/>
        </w:rPr>
        <w:t>‐</w:t>
      </w:r>
      <w:r w:rsidRPr="000144B0">
        <w:rPr>
          <w:rFonts w:ascii="Arial" w:eastAsia="Arial" w:hAnsi="Arial" w:cs="Arial"/>
        </w:rPr>
        <w:t>Lunstad, 2024). As a result, falls pose a serious burden on healthcare and social care service providers.</w:t>
      </w:r>
    </w:p>
    <w:p w:rsidR="00774AB1" w:rsidRPr="00D2548F" w:rsidRDefault="00774AB1" w:rsidP="00774AB1">
      <w:pPr>
        <w:spacing w:line="360" w:lineRule="auto"/>
        <w:jc w:val="both"/>
        <w:rPr>
          <w:rFonts w:ascii="Arial" w:eastAsia="Arial" w:hAnsi="Arial" w:cs="Arial"/>
          <w:lang w:val="en-IN"/>
        </w:rPr>
      </w:pPr>
      <w:r w:rsidRPr="000144B0">
        <w:rPr>
          <w:rFonts w:ascii="Arial" w:eastAsia="Arial" w:hAnsi="Arial" w:cs="Arial"/>
        </w:rPr>
        <w:t>At a public health level, fall prevention is recognised as being critical to healthy ageing and the prevention of preventable healthcare costs</w:t>
      </w:r>
      <w:r w:rsidR="00D2548F" w:rsidRPr="00D2548F">
        <w:rPr>
          <w:rFonts w:ascii="Arial" w:eastAsia="Arial" w:hAnsi="Arial" w:cs="Arial"/>
        </w:rPr>
        <w:t>(Davis et al., 2024)</w:t>
      </w:r>
      <w:r w:rsidRPr="000144B0">
        <w:rPr>
          <w:rFonts w:ascii="Arial" w:eastAsia="Arial" w:hAnsi="Arial" w:cs="Arial"/>
        </w:rPr>
        <w:t>. Public health approaches aim to reduce fall risk factors in order to prevent falls pre-emptively from occurring, including: poor muscle strength, balance, home hazards and physical inactivity. The National Health Service promotes interventions such as balance and strength training, medication reviews, and home safety checks to minimise older adults' risk of falls(An et al., 2025). Community-based approaches to health care have become increasingly significant as they enable older adults to have a more holistic approach, focusing on care within the community rather than in hospitals</w:t>
      </w:r>
      <w:r w:rsidR="00D2548F" w:rsidRPr="00D2548F">
        <w:rPr>
          <w:rFonts w:ascii="Arial" w:eastAsia="Arial" w:hAnsi="Arial" w:cs="Arial"/>
          <w:lang w:val="en-IN"/>
        </w:rPr>
        <w:t>(Dev et al., 2020)</w:t>
      </w:r>
      <w:r w:rsidRPr="000144B0">
        <w:rPr>
          <w:rFonts w:ascii="Arial" w:eastAsia="Arial" w:hAnsi="Arial" w:cs="Arial"/>
        </w:rPr>
        <w:t xml:space="preserve">. </w:t>
      </w:r>
    </w:p>
    <w:p w:rsidR="00774AB1" w:rsidRPr="00D2548F" w:rsidRDefault="00774AB1" w:rsidP="00774AB1">
      <w:pPr>
        <w:spacing w:line="360" w:lineRule="auto"/>
        <w:jc w:val="both"/>
        <w:rPr>
          <w:rFonts w:ascii="Arial" w:eastAsia="Arial" w:hAnsi="Arial" w:cs="Arial"/>
          <w:lang w:val="en-IN"/>
        </w:rPr>
      </w:pPr>
      <w:r w:rsidRPr="000144B0">
        <w:rPr>
          <w:rFonts w:ascii="Arial" w:eastAsia="Arial" w:hAnsi="Arial" w:cs="Arial"/>
        </w:rPr>
        <w:t>In this regard, community physiotherapists play an important role in falls interventions. Community physiotherapists collaborate with older adults attending community clinics, day rehabilitation, residential care and in the home</w:t>
      </w:r>
      <w:r w:rsidR="00D2548F" w:rsidRPr="00D2548F">
        <w:rPr>
          <w:rFonts w:ascii="Arial" w:eastAsia="Arial" w:hAnsi="Arial" w:cs="Arial"/>
        </w:rPr>
        <w:t>(Ganesh, 2025)</w:t>
      </w:r>
      <w:r w:rsidRPr="000144B0">
        <w:rPr>
          <w:rFonts w:ascii="Arial" w:eastAsia="Arial" w:hAnsi="Arial" w:cs="Arial"/>
        </w:rPr>
        <w:t xml:space="preserve">. They are responsible for examining balance and mobility impairment, fall risk factors, and then designing interventions that address these issues, enhancing mobility and decreasing the risk of falls (Vincenzo et al., 2021a). They typically offer exercise-based programs focused on strength </w:t>
      </w:r>
      <w:r w:rsidRPr="000144B0">
        <w:rPr>
          <w:rFonts w:ascii="Arial" w:eastAsia="Arial" w:hAnsi="Arial" w:cs="Arial"/>
        </w:rPr>
        <w:lastRenderedPageBreak/>
        <w:t>and balance training, walking re-education and mobility exercises, along with rehabilitation for injuries and prior falls</w:t>
      </w:r>
      <w:r w:rsidR="00D2548F" w:rsidRPr="00D2548F">
        <w:rPr>
          <w:rFonts w:ascii="Arial" w:eastAsia="Arial" w:hAnsi="Arial" w:cs="Arial"/>
          <w:lang w:val="en-IN"/>
        </w:rPr>
        <w:t>(OECD, 2025)</w:t>
      </w:r>
      <w:r w:rsidRPr="000144B0">
        <w:rPr>
          <w:rFonts w:ascii="Arial" w:eastAsia="Arial" w:hAnsi="Arial" w:cs="Arial"/>
        </w:rPr>
        <w:t>.</w:t>
      </w:r>
    </w:p>
    <w:p w:rsidR="00774AB1" w:rsidRPr="000144B0" w:rsidRDefault="00774AB1" w:rsidP="00774AB1">
      <w:pPr>
        <w:spacing w:line="360" w:lineRule="auto"/>
        <w:jc w:val="both"/>
        <w:rPr>
          <w:rFonts w:ascii="Arial" w:eastAsia="Arial" w:hAnsi="Arial" w:cs="Arial"/>
        </w:rPr>
      </w:pPr>
      <w:r w:rsidRPr="000144B0">
        <w:rPr>
          <w:rFonts w:ascii="Arial" w:eastAsia="Arial" w:hAnsi="Arial" w:cs="Arial"/>
        </w:rPr>
        <w:t>Exercises delivered by physiotherapists are very effective in preventing falls in older people. Community-based exercise programs have found that targeted exercise programmes can have a big impact on fall rates, through the improvement of balance, strength, co-ordination and walking confidence. Research has shown that exercise interventions for people aged over 65 can lead to a 50% reduction in rate of falls (Sherrington et al., 2020).  These programmes are important because they help older adults to stay active and independent in the community.</w:t>
      </w:r>
    </w:p>
    <w:p w:rsidR="00774AB1" w:rsidRPr="00D2548F" w:rsidRDefault="00774AB1" w:rsidP="00774AB1">
      <w:pPr>
        <w:spacing w:line="360" w:lineRule="auto"/>
        <w:jc w:val="both"/>
        <w:rPr>
          <w:rFonts w:ascii="Arial" w:eastAsia="Arial" w:hAnsi="Arial" w:cs="Arial"/>
          <w:lang w:val="en-IN"/>
        </w:rPr>
      </w:pPr>
      <w:r w:rsidRPr="000144B0">
        <w:rPr>
          <w:rFonts w:ascii="Arial" w:eastAsia="Arial" w:hAnsi="Arial" w:cs="Arial"/>
        </w:rPr>
        <w:t>Community physiotherapists also collaborate on falls prevention strategies</w:t>
      </w:r>
      <w:r w:rsidR="00D2548F" w:rsidRPr="00D2548F">
        <w:rPr>
          <w:rFonts w:ascii="Arial" w:eastAsia="Arial" w:hAnsi="Arial" w:cs="Arial"/>
          <w:lang w:val="en-IN"/>
        </w:rPr>
        <w:t>(Li, Luo and Dong, 2024)</w:t>
      </w:r>
      <w:r w:rsidRPr="000144B0">
        <w:rPr>
          <w:rFonts w:ascii="Arial" w:eastAsia="Arial" w:hAnsi="Arial" w:cs="Arial"/>
        </w:rPr>
        <w:t>. Falls prevention can be a complex process, and physiotherapists may collaborate with other health professionals, including occupational therapists, nurses, general practitioners, social workers and carers (Meekes et al., 2022). For instance, physiotherapists may collaborate with occupational therapists to perform home safety assessments and make modifications, such as installing grab rails and using walking sticks to reduce falls</w:t>
      </w:r>
      <w:r w:rsidR="00D2548F" w:rsidRPr="00D2548F">
        <w:rPr>
          <w:rFonts w:ascii="Arial" w:eastAsia="Arial" w:hAnsi="Arial" w:cs="Arial"/>
          <w:lang w:val="en-IN"/>
        </w:rPr>
        <w:t>(British Geriatrics Society, 2024)</w:t>
      </w:r>
      <w:r w:rsidRPr="000144B0">
        <w:rPr>
          <w:rFonts w:ascii="Arial" w:eastAsia="Arial" w:hAnsi="Arial" w:cs="Arial"/>
        </w:rPr>
        <w:t>. They may also collaborate with other healthcare professionals to ensure older adults are receiving adequate medical care and treatment of conditions that impact on balance and mobility.</w:t>
      </w:r>
    </w:p>
    <w:p w:rsidR="00774AB1" w:rsidRPr="000144B0" w:rsidRDefault="00774AB1" w:rsidP="00774AB1">
      <w:pPr>
        <w:pStyle w:val="Heading2"/>
        <w:rPr>
          <w:rFonts w:cs="Arial"/>
        </w:rPr>
      </w:pPr>
      <w:bookmarkStart w:id="9" w:name="_heading=h.jo7hn2dexhj8" w:colFirst="0" w:colLast="0"/>
      <w:bookmarkStart w:id="10" w:name="_Toc228352753"/>
      <w:bookmarkEnd w:id="9"/>
      <w:r w:rsidRPr="000144B0">
        <w:rPr>
          <w:rFonts w:cs="Arial"/>
          <w:bCs/>
        </w:rPr>
        <w:t>1.3Rationale for Research or Problem Statement</w:t>
      </w:r>
      <w:bookmarkEnd w:id="10"/>
    </w:p>
    <w:p w:rsidR="00774AB1" w:rsidRPr="00D2548F" w:rsidRDefault="00774AB1" w:rsidP="00774AB1">
      <w:pPr>
        <w:spacing w:line="360" w:lineRule="auto"/>
        <w:jc w:val="both"/>
        <w:rPr>
          <w:rFonts w:ascii="Arial" w:eastAsia="Arial" w:hAnsi="Arial" w:cs="Arial"/>
          <w:lang w:val="en-IN"/>
        </w:rPr>
      </w:pPr>
      <w:r w:rsidRPr="000144B0">
        <w:rPr>
          <w:rFonts w:ascii="Arial" w:eastAsia="Arial" w:hAnsi="Arial" w:cs="Arial"/>
        </w:rPr>
        <w:t>Falls continue to pose a substantial health and social care burden in the United Kingdom for older adults, resulting in physical, psychological and economic impacts</w:t>
      </w:r>
      <w:r w:rsidR="00D2548F" w:rsidRPr="00D2548F">
        <w:rPr>
          <w:rFonts w:ascii="Arial" w:eastAsia="Arial" w:hAnsi="Arial" w:cs="Arial"/>
          <w:lang w:val="en-IN"/>
        </w:rPr>
        <w:t>(Rony et al., 2024)</w:t>
      </w:r>
      <w:r w:rsidRPr="000144B0">
        <w:rPr>
          <w:rFonts w:ascii="Arial" w:eastAsia="Arial" w:hAnsi="Arial" w:cs="Arial"/>
        </w:rPr>
        <w:t>. The rising incidence of fall injuries among older adults has placed additional demands on the National Health Service (NHS) and community health care services in terms of hospital admissions, causality of injuries, and reduced mobility in older adults</w:t>
      </w:r>
      <w:r w:rsidR="00D2548F" w:rsidRPr="00D2548F">
        <w:rPr>
          <w:rFonts w:ascii="Arial" w:eastAsia="Arial" w:hAnsi="Arial" w:cs="Arial"/>
          <w:lang w:val="en-IN"/>
        </w:rPr>
        <w:t>(Robinson et al., 2021)</w:t>
      </w:r>
      <w:r w:rsidRPr="000144B0">
        <w:rPr>
          <w:rFonts w:ascii="Arial" w:eastAsia="Arial" w:hAnsi="Arial" w:cs="Arial"/>
        </w:rPr>
        <w:t>. While community physiotherapists play a vital role in fall prevention services through balance training, rehabilitation and mobility support, the impact of inadequate funding, lack of workforce capacity and continuity in these services, and poor adherence of older persons receiving these services, continue to hinder successful fall prevention outcomes</w:t>
      </w:r>
      <w:r w:rsidR="00D2548F" w:rsidRPr="00D2548F">
        <w:rPr>
          <w:rFonts w:ascii="Arial" w:eastAsia="Arial" w:hAnsi="Arial" w:cs="Arial"/>
        </w:rPr>
        <w:t>(Reddy et al., 2024)</w:t>
      </w:r>
      <w:r w:rsidRPr="000144B0">
        <w:rPr>
          <w:rFonts w:ascii="Arial" w:eastAsia="Arial" w:hAnsi="Arial" w:cs="Arial"/>
        </w:rPr>
        <w:t>. Until now, research has emphasised clinical effectiveness of fall prevention interventions, with little or no research exploring the experiences of physiotherapists and older adults in the community healthcare system in the UK</w:t>
      </w:r>
      <w:r w:rsidR="00D2548F" w:rsidRPr="00D2548F">
        <w:rPr>
          <w:rFonts w:ascii="Arial" w:eastAsia="Arial" w:hAnsi="Arial" w:cs="Arial"/>
        </w:rPr>
        <w:t>(Solli et al., 2026)</w:t>
      </w:r>
      <w:r w:rsidRPr="000144B0">
        <w:rPr>
          <w:rFonts w:ascii="Arial" w:eastAsia="Arial" w:hAnsi="Arial" w:cs="Arial"/>
        </w:rPr>
        <w:t>. So this research must address the need for critically examining the role of community physiotherapists in fall prevention and assess the factors that affect effective fall prevention strategies in public health and social care.</w:t>
      </w:r>
    </w:p>
    <w:p w:rsidR="00774AB1" w:rsidRPr="000144B0" w:rsidRDefault="00774AB1" w:rsidP="00774AB1">
      <w:pPr>
        <w:pStyle w:val="Heading2"/>
        <w:rPr>
          <w:rFonts w:cs="Arial"/>
        </w:rPr>
      </w:pPr>
      <w:bookmarkStart w:id="11" w:name="_heading=h.mv3ux07byy05" w:colFirst="0" w:colLast="0"/>
      <w:bookmarkStart w:id="12" w:name="_Toc228352754"/>
      <w:bookmarkEnd w:id="11"/>
      <w:r w:rsidRPr="000144B0">
        <w:rPr>
          <w:rFonts w:eastAsia="Arial" w:cs="Arial"/>
          <w:bCs/>
        </w:rPr>
        <w:t>1.4Research question</w:t>
      </w:r>
      <w:bookmarkEnd w:id="12"/>
    </w:p>
    <w:p w:rsidR="00774AB1" w:rsidRPr="000144B0" w:rsidRDefault="00774AB1" w:rsidP="00774AB1">
      <w:pPr>
        <w:numPr>
          <w:ilvl w:val="0"/>
          <w:numId w:val="31"/>
        </w:numPr>
        <w:autoSpaceDE/>
        <w:autoSpaceDN/>
        <w:spacing w:line="360" w:lineRule="auto"/>
        <w:jc w:val="both"/>
        <w:rPr>
          <w:rFonts w:ascii="Arial" w:eastAsia="Arial" w:hAnsi="Arial" w:cs="Arial"/>
        </w:rPr>
      </w:pPr>
      <w:r w:rsidRPr="000144B0">
        <w:rPr>
          <w:rFonts w:ascii="Arial" w:eastAsia="Arial" w:hAnsi="Arial" w:cs="Arial"/>
        </w:rPr>
        <w:t xml:space="preserve">What are the review current evidence and policies on community physiotherapy-led </w:t>
      </w:r>
      <w:r w:rsidRPr="000144B0">
        <w:rPr>
          <w:rFonts w:ascii="Arial" w:eastAsia="Arial" w:hAnsi="Arial" w:cs="Arial"/>
        </w:rPr>
        <w:lastRenderedPageBreak/>
        <w:t>fall prevention?</w:t>
      </w:r>
    </w:p>
    <w:p w:rsidR="00774AB1" w:rsidRPr="000144B0" w:rsidRDefault="00774AB1" w:rsidP="00774AB1">
      <w:pPr>
        <w:numPr>
          <w:ilvl w:val="0"/>
          <w:numId w:val="31"/>
        </w:numPr>
        <w:autoSpaceDE/>
        <w:autoSpaceDN/>
        <w:spacing w:line="360" w:lineRule="auto"/>
        <w:jc w:val="both"/>
        <w:rPr>
          <w:rFonts w:ascii="Arial" w:eastAsia="Arial" w:hAnsi="Arial" w:cs="Arial"/>
        </w:rPr>
      </w:pPr>
      <w:r w:rsidRPr="000144B0">
        <w:rPr>
          <w:rFonts w:ascii="Arial" w:eastAsia="Arial" w:hAnsi="Arial" w:cs="Arial"/>
        </w:rPr>
        <w:t>How does lder adults’ and physiotherapists’ experiences and perceptions of community-based fall prevention programmes?</w:t>
      </w:r>
    </w:p>
    <w:p w:rsidR="00774AB1" w:rsidRPr="000144B0" w:rsidRDefault="00774AB1" w:rsidP="00774AB1">
      <w:pPr>
        <w:numPr>
          <w:ilvl w:val="0"/>
          <w:numId w:val="31"/>
        </w:numPr>
        <w:autoSpaceDE/>
        <w:autoSpaceDN/>
        <w:spacing w:line="360" w:lineRule="auto"/>
        <w:jc w:val="both"/>
        <w:rPr>
          <w:rFonts w:ascii="Arial" w:eastAsia="Arial" w:hAnsi="Arial" w:cs="Arial"/>
        </w:rPr>
      </w:pPr>
      <w:r w:rsidRPr="000144B0">
        <w:rPr>
          <w:rFonts w:ascii="Arial" w:eastAsia="Arial" w:hAnsi="Arial" w:cs="Arial"/>
        </w:rPr>
        <w:t>What are the barriers and facilitators to effective community physiotherapy interventions in UK public health and social care settings?</w:t>
      </w:r>
    </w:p>
    <w:p w:rsidR="00774AB1" w:rsidRPr="000144B0" w:rsidRDefault="00774AB1" w:rsidP="00774AB1">
      <w:pPr>
        <w:pStyle w:val="Heading2"/>
        <w:rPr>
          <w:rFonts w:cs="Arial"/>
        </w:rPr>
      </w:pPr>
      <w:bookmarkStart w:id="13" w:name="_heading=h.xzzh3vjhx7e5" w:colFirst="0" w:colLast="0"/>
      <w:bookmarkStart w:id="14" w:name="_Toc228352755"/>
      <w:bookmarkEnd w:id="13"/>
      <w:r w:rsidRPr="000144B0">
        <w:rPr>
          <w:rFonts w:cs="Arial"/>
          <w:bCs/>
        </w:rPr>
        <w:t>1.5ResearchAim</w:t>
      </w:r>
      <w:bookmarkEnd w:id="14"/>
    </w:p>
    <w:p w:rsidR="00774AB1" w:rsidRPr="000144B0" w:rsidRDefault="00774AB1" w:rsidP="00774AB1">
      <w:pPr>
        <w:spacing w:line="360" w:lineRule="auto"/>
        <w:jc w:val="both"/>
        <w:rPr>
          <w:rFonts w:ascii="Arial" w:eastAsia="Arial" w:hAnsi="Arial" w:cs="Arial"/>
        </w:rPr>
      </w:pPr>
      <w:r w:rsidRPr="000144B0">
        <w:rPr>
          <w:rFonts w:ascii="Arial" w:eastAsia="Arial" w:hAnsi="Arial" w:cs="Arial"/>
        </w:rPr>
        <w:t>To critically explore the role and impact of community physiotherapists in fall prevention among older adults from a public health and social care perspective.</w:t>
      </w:r>
    </w:p>
    <w:p w:rsidR="00774AB1" w:rsidRPr="000144B0" w:rsidRDefault="00774AB1" w:rsidP="00774AB1">
      <w:pPr>
        <w:pStyle w:val="Heading2"/>
        <w:rPr>
          <w:rFonts w:cs="Arial"/>
        </w:rPr>
      </w:pPr>
      <w:bookmarkStart w:id="15" w:name="_heading=h.eep1u8wtnyqz" w:colFirst="0" w:colLast="0"/>
      <w:bookmarkStart w:id="16" w:name="_Toc228352756"/>
      <w:bookmarkEnd w:id="15"/>
      <w:r w:rsidRPr="000144B0">
        <w:rPr>
          <w:rFonts w:cs="Arial"/>
          <w:bCs/>
        </w:rPr>
        <w:t>1.6 ResearchObjectives</w:t>
      </w:r>
      <w:bookmarkEnd w:id="16"/>
    </w:p>
    <w:p w:rsidR="00774AB1" w:rsidRPr="000144B0" w:rsidRDefault="00774AB1" w:rsidP="00774AB1">
      <w:pPr>
        <w:numPr>
          <w:ilvl w:val="0"/>
          <w:numId w:val="30"/>
        </w:numPr>
        <w:autoSpaceDE/>
        <w:autoSpaceDN/>
        <w:spacing w:line="360" w:lineRule="auto"/>
        <w:jc w:val="both"/>
        <w:rPr>
          <w:rFonts w:ascii="Arial" w:eastAsia="Arial" w:hAnsi="Arial" w:cs="Arial"/>
        </w:rPr>
      </w:pPr>
      <w:r w:rsidRPr="000144B0">
        <w:rPr>
          <w:rFonts w:ascii="Arial" w:eastAsia="Arial" w:hAnsi="Arial" w:cs="Arial"/>
        </w:rPr>
        <w:t>To critically review current evidence and policies on community physiotherapy-led fall prevention.</w:t>
      </w:r>
    </w:p>
    <w:p w:rsidR="00774AB1" w:rsidRPr="000144B0" w:rsidRDefault="00774AB1" w:rsidP="00774AB1">
      <w:pPr>
        <w:numPr>
          <w:ilvl w:val="0"/>
          <w:numId w:val="30"/>
        </w:numPr>
        <w:autoSpaceDE/>
        <w:autoSpaceDN/>
        <w:spacing w:line="360" w:lineRule="auto"/>
        <w:jc w:val="both"/>
        <w:rPr>
          <w:rFonts w:ascii="Arial" w:eastAsia="Arial" w:hAnsi="Arial" w:cs="Arial"/>
        </w:rPr>
      </w:pPr>
      <w:bookmarkStart w:id="17" w:name="_heading=h.xr5dvsi67l2d" w:colFirst="0" w:colLast="0"/>
      <w:bookmarkEnd w:id="17"/>
      <w:r w:rsidRPr="000144B0">
        <w:rPr>
          <w:rFonts w:ascii="Arial" w:eastAsia="Arial" w:hAnsi="Arial" w:cs="Arial"/>
        </w:rPr>
        <w:t>To examine older adults’ and physiotherapists’ experiences and perceptions of community-based fall prevention programmes.</w:t>
      </w:r>
    </w:p>
    <w:p w:rsidR="00774AB1" w:rsidRPr="000144B0" w:rsidRDefault="00774AB1" w:rsidP="00774AB1">
      <w:pPr>
        <w:numPr>
          <w:ilvl w:val="0"/>
          <w:numId w:val="30"/>
        </w:numPr>
        <w:autoSpaceDE/>
        <w:autoSpaceDN/>
        <w:spacing w:line="360" w:lineRule="auto"/>
        <w:jc w:val="both"/>
        <w:rPr>
          <w:rFonts w:ascii="Arial" w:eastAsia="Arial" w:hAnsi="Arial" w:cs="Arial"/>
        </w:rPr>
      </w:pPr>
      <w:bookmarkStart w:id="18" w:name="_heading=h.xirhmkw2is89" w:colFirst="0" w:colLast="0"/>
      <w:bookmarkEnd w:id="18"/>
      <w:r w:rsidRPr="000144B0">
        <w:rPr>
          <w:rFonts w:ascii="Arial" w:eastAsia="Arial" w:hAnsi="Arial" w:cs="Arial"/>
        </w:rPr>
        <w:t>To identify barriers and facilitators to effective community physiotherapy interventions in UK public health and social care settings.</w:t>
      </w:r>
    </w:p>
    <w:p w:rsidR="00774AB1" w:rsidRPr="000144B0" w:rsidRDefault="00774AB1" w:rsidP="00774AB1">
      <w:pPr>
        <w:pStyle w:val="Heading2"/>
        <w:rPr>
          <w:rFonts w:cs="Arial"/>
        </w:rPr>
      </w:pPr>
      <w:bookmarkStart w:id="19" w:name="_heading=h.riusmuhhlji7" w:colFirst="0" w:colLast="0"/>
      <w:bookmarkStart w:id="20" w:name="_Toc228352757"/>
      <w:bookmarkEnd w:id="19"/>
      <w:r w:rsidRPr="000144B0">
        <w:rPr>
          <w:rFonts w:cs="Arial"/>
          <w:bCs/>
        </w:rPr>
        <w:t>1.7 Chapter summary</w:t>
      </w:r>
      <w:bookmarkEnd w:id="20"/>
    </w:p>
    <w:p w:rsidR="00774AB1" w:rsidRPr="000144B0" w:rsidRDefault="00774AB1" w:rsidP="00774AB1">
      <w:pPr>
        <w:spacing w:line="360" w:lineRule="auto"/>
        <w:jc w:val="both"/>
        <w:rPr>
          <w:rFonts w:ascii="Arial" w:eastAsia="Arial" w:hAnsi="Arial" w:cs="Arial"/>
        </w:rPr>
      </w:pPr>
      <w:r w:rsidRPr="000144B0">
        <w:rPr>
          <w:rFonts w:ascii="Arial" w:eastAsia="Arial" w:hAnsi="Arial" w:cs="Arial"/>
        </w:rPr>
        <w:t>This chapter has addressed falls in older adults in the United Kingdom, and the importance of falls in public health and social care. The chapter focused on the rising incidence of falls, health and economic impact, and the challenges being placed on the health services system as the population ages. We also discussed the critical contribution of community physiotherapists to fall prevention including assessment, intervention, education and collaboration with other providers. In summary, community physiotherapy was found to be crucial for healthy ageing and independent living of older adults.</w:t>
      </w:r>
    </w:p>
    <w:p w:rsidR="00774AB1" w:rsidRPr="000144B0" w:rsidRDefault="00774AB1" w:rsidP="00774AB1">
      <w:pPr>
        <w:pStyle w:val="Heading1"/>
        <w:rPr>
          <w:rFonts w:cs="Arial"/>
          <w:szCs w:val="28"/>
        </w:rPr>
      </w:pPr>
      <w:r w:rsidRPr="000144B0">
        <w:rPr>
          <w:rFonts w:cs="Arial"/>
        </w:rPr>
        <w:br w:type="page"/>
      </w:r>
    </w:p>
    <w:p w:rsidR="00774AB1" w:rsidRPr="000144B0" w:rsidRDefault="00774AB1" w:rsidP="00774AB1">
      <w:pPr>
        <w:pStyle w:val="Heading1"/>
        <w:rPr>
          <w:rFonts w:cs="Arial"/>
        </w:rPr>
      </w:pPr>
      <w:bookmarkStart w:id="21" w:name="_Toc228352758"/>
      <w:r w:rsidRPr="000144B0">
        <w:rPr>
          <w:rFonts w:cs="Arial"/>
          <w:szCs w:val="28"/>
        </w:rPr>
        <w:lastRenderedPageBreak/>
        <w:t>CHAPTER 2:  Literature Review</w:t>
      </w:r>
      <w:bookmarkEnd w:id="21"/>
    </w:p>
    <w:p w:rsidR="00774AB1" w:rsidRPr="000144B0" w:rsidRDefault="002D6BDE" w:rsidP="00774AB1">
      <w:pPr>
        <w:pStyle w:val="Heading2"/>
        <w:rPr>
          <w:rFonts w:cs="Arial"/>
        </w:rPr>
      </w:pPr>
      <w:bookmarkStart w:id="22" w:name="_heading=h.bbc952bblog0" w:colFirst="0" w:colLast="0"/>
      <w:bookmarkStart w:id="23" w:name="_Toc228352759"/>
      <w:bookmarkEnd w:id="22"/>
      <w:r w:rsidRPr="000144B0">
        <w:rPr>
          <w:rFonts w:cs="Arial"/>
          <w:bCs/>
        </w:rPr>
        <w:t>2.1</w:t>
      </w:r>
      <w:r w:rsidRPr="000144B0">
        <w:rPr>
          <w:rFonts w:cs="Arial"/>
        </w:rPr>
        <w:t xml:space="preserve"> Introduction</w:t>
      </w:r>
      <w:r w:rsidR="00774AB1" w:rsidRPr="000144B0">
        <w:rPr>
          <w:rFonts w:cs="Arial"/>
          <w:bCs/>
        </w:rPr>
        <w:t xml:space="preserve"> to Literature Review Chapter</w:t>
      </w:r>
      <w:bookmarkEnd w:id="23"/>
    </w:p>
    <w:p w:rsidR="00774AB1" w:rsidRPr="000144B0" w:rsidRDefault="00774AB1" w:rsidP="00774AB1">
      <w:pPr>
        <w:spacing w:line="360" w:lineRule="auto"/>
        <w:jc w:val="both"/>
        <w:rPr>
          <w:rFonts w:ascii="Arial" w:hAnsi="Arial" w:cs="Arial"/>
          <w:u w:val="single"/>
        </w:rPr>
      </w:pPr>
      <w:bookmarkStart w:id="24" w:name="_heading=h.d711ocdotivm" w:colFirst="0" w:colLast="0"/>
      <w:bookmarkEnd w:id="24"/>
      <w:r w:rsidRPr="000144B0">
        <w:rPr>
          <w:rFonts w:ascii="Arial" w:eastAsia="Arial" w:hAnsi="Arial" w:cs="Arial"/>
        </w:rPr>
        <w:t>This chapter provides a critical review of the literature about the role of community physiotherapists in preventing falls among older adults in public health and social care services. The review considers the evidence of physiotherapy-led fall prevention strategies, perceptions and experiences of the older adult and physiotherapist, and barriers of implementing community-based interventions. The chapter also considers public health and multi-disciplinary approaches to fall prevention strategies for older adults. Through the review of relevant scholarly research, health and social care reports, and policy documents, this literature review seeks to highlight themes, gaps and future directions in in the area of fall prevention for older adults in United Kingdom.</w:t>
      </w:r>
    </w:p>
    <w:p w:rsidR="00774AB1" w:rsidRPr="000144B0" w:rsidRDefault="00774AB1" w:rsidP="00774AB1">
      <w:pPr>
        <w:pStyle w:val="Heading2"/>
        <w:rPr>
          <w:rFonts w:cs="Arial"/>
        </w:rPr>
      </w:pPr>
      <w:bookmarkStart w:id="25" w:name="_heading=h.3ninsobz176l" w:colFirst="0" w:colLast="0"/>
      <w:bookmarkStart w:id="26" w:name="_Toc228352760"/>
      <w:bookmarkEnd w:id="25"/>
      <w:r w:rsidRPr="000144B0">
        <w:rPr>
          <w:rFonts w:cs="Arial"/>
        </w:rPr>
        <w:t>2.2 Literature review</w:t>
      </w:r>
      <w:bookmarkEnd w:id="26"/>
    </w:p>
    <w:p w:rsidR="00774AB1" w:rsidRPr="000144B0" w:rsidRDefault="00774AB1" w:rsidP="00774AB1">
      <w:pPr>
        <w:pStyle w:val="Heading3"/>
        <w:spacing w:line="360" w:lineRule="auto"/>
        <w:jc w:val="both"/>
        <w:rPr>
          <w:rFonts w:cs="Arial"/>
        </w:rPr>
      </w:pPr>
      <w:bookmarkStart w:id="27" w:name="_heading=h.dz2aamo3npry" w:colFirst="0" w:colLast="0"/>
      <w:bookmarkStart w:id="28" w:name="_Toc228352761"/>
      <w:bookmarkEnd w:id="27"/>
      <w:r w:rsidRPr="000144B0">
        <w:rPr>
          <w:rFonts w:cs="Arial"/>
        </w:rPr>
        <w:t>2.2.1 Impact of Community Physiotherapy-Based Fall Prevention Programs in Older Adults</w:t>
      </w:r>
      <w:bookmarkEnd w:id="28"/>
    </w:p>
    <w:p w:rsidR="00774AB1" w:rsidRPr="000144B0" w:rsidRDefault="00774AB1" w:rsidP="00774AB1">
      <w:pPr>
        <w:spacing w:line="360" w:lineRule="auto"/>
        <w:jc w:val="both"/>
        <w:rPr>
          <w:rFonts w:ascii="Arial" w:eastAsia="Arial" w:hAnsi="Arial" w:cs="Arial"/>
        </w:rPr>
      </w:pPr>
      <w:bookmarkStart w:id="29" w:name="_heading=h.tpzkjm9n4scw" w:colFirst="0" w:colLast="0"/>
      <w:bookmarkEnd w:id="29"/>
      <w:r w:rsidRPr="000144B0">
        <w:rPr>
          <w:rFonts w:ascii="Arial" w:eastAsia="Arial" w:hAnsi="Arial" w:cs="Arial"/>
        </w:rPr>
        <w:t>Older adults' falls continue to be a major public health concern owing to their link with injury, frailty, hospitalisation and death. Physiotherapy within the community has emerged as a valuable approach for fall prevention in older adults</w:t>
      </w:r>
      <w:r w:rsidR="00D2548F" w:rsidRPr="00D2548F">
        <w:rPr>
          <w:rFonts w:ascii="Arial" w:eastAsia="Arial" w:hAnsi="Arial" w:cs="Arial"/>
        </w:rPr>
        <w:t>(Kirk-Sanchez et al., 2025)</w:t>
      </w:r>
      <w:r w:rsidRPr="000144B0">
        <w:rPr>
          <w:rFonts w:ascii="Arial" w:eastAsia="Arial" w:hAnsi="Arial" w:cs="Arial"/>
        </w:rPr>
        <w:t>. The literature shows that physiotherapists are key in fall risk assessment, balance and mobility training, and helping older people to remain independent in the community.</w:t>
      </w:r>
    </w:p>
    <w:p w:rsidR="00774AB1" w:rsidRPr="000144B0" w:rsidRDefault="00774AB1" w:rsidP="00774AB1">
      <w:pPr>
        <w:spacing w:line="360" w:lineRule="auto"/>
        <w:jc w:val="both"/>
        <w:rPr>
          <w:rFonts w:ascii="Arial" w:eastAsia="Arial" w:hAnsi="Arial" w:cs="Arial"/>
        </w:rPr>
      </w:pPr>
      <w:bookmarkStart w:id="30" w:name="_heading=h.yr09vv4uz2by" w:colFirst="0" w:colLast="0"/>
      <w:bookmarkEnd w:id="30"/>
      <w:r w:rsidRPr="000144B0">
        <w:rPr>
          <w:rFonts w:ascii="Arial" w:eastAsia="Arial" w:hAnsi="Arial" w:cs="Arial"/>
        </w:rPr>
        <w:t>A study by Giovannini et al. (2022), highlighted that physiotherapy approaches, especially for balance exercises, gait rehabilitation, muscle strengthening and mobility enhancement, help reduce falls among the elderly. They observed that rehabilitation interventions are more effective when undertaken in the older adults' natural environment, where they are more likely to engage. Likewise, Algudairi and Alrashed (2024) identified physiotherapists' role and contribution in fall prevention through exercise programs, mobility and education. The authors demonstrated that physical therapy interventions enhance physical strength, balance and self-efficacy in older adults to prevent falls.</w:t>
      </w:r>
    </w:p>
    <w:p w:rsidR="00774AB1" w:rsidRPr="000144B0" w:rsidRDefault="00774AB1" w:rsidP="00774AB1">
      <w:pPr>
        <w:spacing w:line="360" w:lineRule="auto"/>
        <w:jc w:val="both"/>
        <w:rPr>
          <w:rFonts w:ascii="Arial" w:eastAsia="Arial" w:hAnsi="Arial" w:cs="Arial"/>
        </w:rPr>
      </w:pPr>
      <w:bookmarkStart w:id="31" w:name="_heading=h.6bfphr57wkzw" w:colFirst="0" w:colLast="0"/>
      <w:bookmarkEnd w:id="31"/>
      <w:r w:rsidRPr="000144B0">
        <w:rPr>
          <w:rFonts w:ascii="Arial" w:eastAsia="Arial" w:hAnsi="Arial" w:cs="Arial"/>
        </w:rPr>
        <w:t>The research from Barbosa dos Santos et al. (2025), also showed that physiotherapists often use strength and balance training as interventions for fall prevention. But the researchers identified inconsistent interventions across systems, resulting from varying levels of training, resources and health policies to support physiotherapy interventions</w:t>
      </w:r>
      <w:r w:rsidR="00D71615" w:rsidRPr="00D71615">
        <w:rPr>
          <w:rFonts w:ascii="Arial" w:eastAsia="Arial" w:hAnsi="Arial" w:cs="Arial"/>
        </w:rPr>
        <w:t>(Ley and Putz, 2024)</w:t>
      </w:r>
      <w:r w:rsidRPr="000144B0">
        <w:rPr>
          <w:rFonts w:ascii="Arial" w:eastAsia="Arial" w:hAnsi="Arial" w:cs="Arial"/>
        </w:rPr>
        <w:t>. This indicates while physiotherapy interventions are valued, there is no standardisation of practice for fall prevention.</w:t>
      </w:r>
    </w:p>
    <w:p w:rsidR="00774AB1" w:rsidRPr="000144B0" w:rsidRDefault="00774AB1" w:rsidP="00774AB1">
      <w:pPr>
        <w:spacing w:line="360" w:lineRule="auto"/>
        <w:jc w:val="both"/>
        <w:rPr>
          <w:rFonts w:ascii="Arial" w:eastAsia="Arial" w:hAnsi="Arial" w:cs="Arial"/>
        </w:rPr>
      </w:pPr>
      <w:bookmarkStart w:id="32" w:name="_heading=h.gtw8p2fr6t3m" w:colFirst="0" w:colLast="0"/>
      <w:bookmarkEnd w:id="32"/>
      <w:r w:rsidRPr="000144B0">
        <w:rPr>
          <w:rFonts w:ascii="Arial" w:eastAsia="Arial" w:hAnsi="Arial" w:cs="Arial"/>
        </w:rPr>
        <w:t xml:space="preserve">Physiotherapists' contributions go beyond therapy to primary care and prevention. Studer et al. (2025) referred to physiotherapists as "phy-sicians of physical activity" because of their promotion of self-care in older adults with age-related conditions through physical activity. </w:t>
      </w:r>
      <w:r w:rsidRPr="000144B0">
        <w:rPr>
          <w:rFonts w:ascii="Arial" w:eastAsia="Arial" w:hAnsi="Arial" w:cs="Arial"/>
        </w:rPr>
        <w:lastRenderedPageBreak/>
        <w:t>They found physiotherapists promote lifestyle changes which enhance long-term mobility and discourage sedentary behaviours associated with falls.</w:t>
      </w:r>
    </w:p>
    <w:p w:rsidR="00774AB1" w:rsidRPr="00D2548F" w:rsidRDefault="00774AB1" w:rsidP="00774AB1">
      <w:pPr>
        <w:spacing w:line="360" w:lineRule="auto"/>
        <w:jc w:val="both"/>
        <w:rPr>
          <w:rFonts w:ascii="Arial" w:eastAsia="Arial" w:hAnsi="Arial" w:cs="Arial"/>
          <w:lang w:val="en-IN"/>
        </w:rPr>
      </w:pPr>
      <w:bookmarkStart w:id="33" w:name="_heading=h.2nml8kdf40ij" w:colFirst="0" w:colLast="0"/>
      <w:bookmarkEnd w:id="33"/>
      <w:r w:rsidRPr="000144B0">
        <w:rPr>
          <w:rFonts w:ascii="Arial" w:eastAsia="Arial" w:hAnsi="Arial" w:cs="Arial"/>
        </w:rPr>
        <w:t>Physiotherapy in the community also acts in line with public health goals. Howland and Peterson (2024) recognised healthcare professionals, such as physiotherapists, play a crucial role referring older adults to community-based fall prevention initiatives. This research highlighted the importance of early identification and interdisciplinary care to enhance health and minimise hospital costs. Similarly, van der Velde et al. (2025) emphasized the need for adoption and integration of evidence-based strategies of falls prevention guidelines within the European community health care systems. They found physiotherapy-based falls interventions play a crucial role in healthy ageing and sustainable health challenges</w:t>
      </w:r>
      <w:r w:rsidR="00D2548F" w:rsidRPr="00D2548F">
        <w:rPr>
          <w:rFonts w:ascii="Arial" w:eastAsia="Arial" w:hAnsi="Arial" w:cs="Arial"/>
          <w:lang w:val="en-IN"/>
        </w:rPr>
        <w:t>(Choudhary et al., 2026)</w:t>
      </w:r>
      <w:r w:rsidRPr="000144B0">
        <w:rPr>
          <w:rFonts w:ascii="Arial" w:eastAsia="Arial" w:hAnsi="Arial" w:cs="Arial"/>
        </w:rPr>
        <w:t>.</w:t>
      </w:r>
    </w:p>
    <w:p w:rsidR="00774AB1" w:rsidRPr="000144B0" w:rsidRDefault="00774AB1" w:rsidP="00774AB1">
      <w:pPr>
        <w:spacing w:line="360" w:lineRule="auto"/>
        <w:jc w:val="both"/>
        <w:rPr>
          <w:rFonts w:ascii="Arial" w:eastAsia="Arial" w:hAnsi="Arial" w:cs="Arial"/>
        </w:rPr>
      </w:pPr>
      <w:bookmarkStart w:id="34" w:name="_heading=h.kokjyboyscv9" w:colFirst="0" w:colLast="0"/>
      <w:bookmarkEnd w:id="34"/>
      <w:r w:rsidRPr="000144B0">
        <w:rPr>
          <w:rFonts w:ascii="Arial" w:eastAsia="Arial" w:hAnsi="Arial" w:cs="Arial"/>
        </w:rPr>
        <w:t>However, there are issues related to accessibility and implementation. A lack of timely physiotherapy services is reported due to increasing demand relative to supply</w:t>
      </w:r>
      <w:r w:rsidR="00D71615" w:rsidRPr="00D71615">
        <w:rPr>
          <w:rFonts w:ascii="Arial" w:eastAsia="Arial" w:hAnsi="Arial" w:cs="Arial"/>
        </w:rPr>
        <w:t>(Cameron et al., 2018)</w:t>
      </w:r>
      <w:r w:rsidRPr="000144B0">
        <w:rPr>
          <w:rFonts w:ascii="Arial" w:eastAsia="Arial" w:hAnsi="Arial" w:cs="Arial"/>
        </w:rPr>
        <w:t>. As such, though interventions led by physiotherapists are effective in preventing falls, there need to be improvements in accessibility and service delivery in the community setting.</w:t>
      </w:r>
    </w:p>
    <w:p w:rsidR="00774AB1" w:rsidRPr="000144B0" w:rsidRDefault="00774AB1" w:rsidP="00774AB1">
      <w:pPr>
        <w:pStyle w:val="Heading3"/>
        <w:spacing w:line="360" w:lineRule="auto"/>
        <w:jc w:val="both"/>
        <w:rPr>
          <w:rFonts w:cs="Arial"/>
        </w:rPr>
      </w:pPr>
      <w:bookmarkStart w:id="35" w:name="_heading=h.t2ooq4jzv7d0" w:colFirst="0" w:colLast="0"/>
      <w:bookmarkStart w:id="36" w:name="_Toc228352762"/>
      <w:bookmarkEnd w:id="35"/>
      <w:r w:rsidRPr="000144B0">
        <w:rPr>
          <w:rFonts w:cs="Arial"/>
        </w:rPr>
        <w:t>2.2.2 Older Adults' Perceptions of Community Fall Prevention Programmes</w:t>
      </w:r>
      <w:bookmarkEnd w:id="36"/>
    </w:p>
    <w:p w:rsidR="00774AB1" w:rsidRPr="00D2548F" w:rsidRDefault="00774AB1" w:rsidP="00774AB1">
      <w:pPr>
        <w:spacing w:line="360" w:lineRule="auto"/>
        <w:jc w:val="both"/>
        <w:rPr>
          <w:rFonts w:ascii="Arial" w:eastAsia="Arial" w:hAnsi="Arial" w:cs="Arial"/>
          <w:lang w:val="en-IN"/>
        </w:rPr>
      </w:pPr>
      <w:bookmarkStart w:id="37" w:name="_heading=h.ndrmcv8f3dl5" w:colFirst="0" w:colLast="0"/>
      <w:bookmarkEnd w:id="37"/>
      <w:r w:rsidRPr="000144B0">
        <w:rPr>
          <w:rFonts w:ascii="Arial" w:eastAsia="Arial" w:hAnsi="Arial" w:cs="Arial"/>
        </w:rPr>
        <w:t>It's important to understand how older adults view community physiotherapy because participation and engagement are important predictors of intervention success. A number of studies have investigated older adults' perceptions of fall prevention interventions and motives to participate</w:t>
      </w:r>
      <w:r w:rsidR="00D2548F" w:rsidRPr="00D2548F">
        <w:rPr>
          <w:rFonts w:ascii="Arial" w:eastAsia="Arial" w:hAnsi="Arial" w:cs="Arial"/>
          <w:lang w:val="en-IN"/>
        </w:rPr>
        <w:t>(Elhag et al., 2025)</w:t>
      </w:r>
      <w:r w:rsidRPr="000144B0">
        <w:rPr>
          <w:rFonts w:ascii="Arial" w:eastAsia="Arial" w:hAnsi="Arial" w:cs="Arial"/>
        </w:rPr>
        <w:t>.</w:t>
      </w:r>
    </w:p>
    <w:p w:rsidR="00774AB1" w:rsidRPr="000144B0" w:rsidRDefault="00774AB1" w:rsidP="00774AB1">
      <w:pPr>
        <w:spacing w:line="360" w:lineRule="auto"/>
        <w:jc w:val="both"/>
        <w:rPr>
          <w:rFonts w:ascii="Arial" w:eastAsia="Arial" w:hAnsi="Arial" w:cs="Arial"/>
        </w:rPr>
      </w:pPr>
      <w:bookmarkStart w:id="38" w:name="_heading=h.hte4mkbpz4vc" w:colFirst="0" w:colLast="0"/>
      <w:bookmarkEnd w:id="38"/>
      <w:r w:rsidRPr="000144B0">
        <w:rPr>
          <w:rFonts w:ascii="Arial" w:eastAsia="Arial" w:hAnsi="Arial" w:cs="Arial"/>
        </w:rPr>
        <w:t>Motley et al. (2024) explored the experience of older adults engaged in blended fall prevention programmes, and highlighted that participants appreciated emotional support, motivation and individualised care from physiotherapists. Participants who mentioned feeling stronger and having increased mobility attributed it to physiotherapy interventions, which they reported helped with both their attitude and independence. One participant expressed that it was "a great feeling to know that there's somebody interested in improving your life", highlighting the emotional value of supportive physiotherapy relationships</w:t>
      </w:r>
      <w:r w:rsidR="00D71615" w:rsidRPr="00D71615">
        <w:rPr>
          <w:rFonts w:ascii="Arial" w:eastAsia="Arial" w:hAnsi="Arial" w:cs="Arial"/>
        </w:rPr>
        <w:t>(Mackenzie and Clifford, 2018)</w:t>
      </w:r>
      <w:r w:rsidRPr="000144B0">
        <w:rPr>
          <w:rFonts w:ascii="Arial" w:eastAsia="Arial" w:hAnsi="Arial" w:cs="Arial"/>
        </w:rPr>
        <w:t>.</w:t>
      </w:r>
    </w:p>
    <w:p w:rsidR="00774AB1" w:rsidRPr="000144B0" w:rsidRDefault="00774AB1" w:rsidP="00774AB1">
      <w:pPr>
        <w:spacing w:line="360" w:lineRule="auto"/>
        <w:jc w:val="both"/>
        <w:rPr>
          <w:rFonts w:ascii="Arial" w:eastAsia="Arial" w:hAnsi="Arial" w:cs="Arial"/>
        </w:rPr>
      </w:pPr>
      <w:bookmarkStart w:id="39" w:name="_heading=h.iwgaxgk9tu1b" w:colFirst="0" w:colLast="0"/>
      <w:bookmarkEnd w:id="39"/>
      <w:r w:rsidRPr="000144B0">
        <w:rPr>
          <w:rFonts w:ascii="Arial" w:eastAsia="Arial" w:hAnsi="Arial" w:cs="Arial"/>
        </w:rPr>
        <w:t>Similarly, in the study in the Journal of Geriatric Physical Therapy (2022) older adults' views on the contribution of physical therapists to falls prevention. Results showed older adults perceived physiotherapists provided reassurance, support and guidance for fall prevention. Older adults valued personalised exercise strategies and educational strategies that improved their knowledge of safe mobility and fall prevention.</w:t>
      </w:r>
    </w:p>
    <w:p w:rsidR="00774AB1" w:rsidRPr="000144B0" w:rsidRDefault="00774AB1" w:rsidP="00774AB1">
      <w:pPr>
        <w:spacing w:line="360" w:lineRule="auto"/>
        <w:jc w:val="both"/>
        <w:rPr>
          <w:rFonts w:ascii="Arial" w:eastAsia="Arial" w:hAnsi="Arial" w:cs="Arial"/>
        </w:rPr>
      </w:pPr>
      <w:bookmarkStart w:id="40" w:name="_heading=h.e4glcgz53ak1" w:colFirst="0" w:colLast="0"/>
      <w:bookmarkEnd w:id="40"/>
      <w:r w:rsidRPr="000144B0">
        <w:rPr>
          <w:rFonts w:ascii="Arial" w:eastAsia="Arial" w:hAnsi="Arial" w:cs="Arial"/>
        </w:rPr>
        <w:t xml:space="preserve">Another study, Matos et al. (2025), also explored attitudes towards fall prevention in community-dwelling Older Portuguese adults. Socio-social interactions and community </w:t>
      </w:r>
      <w:r w:rsidRPr="000144B0">
        <w:rPr>
          <w:rFonts w:ascii="Arial" w:eastAsia="Arial" w:hAnsi="Arial" w:cs="Arial"/>
        </w:rPr>
        <w:lastRenderedPageBreak/>
        <w:t>involvement improved older adults' motivation to engage in fall prevention programs. Physical activity and social participation were promoted through social prescribing activities, indirectly contributing to fall prevention</w:t>
      </w:r>
      <w:r w:rsidR="00D2548F" w:rsidRPr="00D2548F">
        <w:rPr>
          <w:rFonts w:ascii="Arial" w:eastAsia="Arial" w:hAnsi="Arial" w:cs="Arial"/>
        </w:rPr>
        <w:t>(Matos et al., 2025)</w:t>
      </w:r>
      <w:r w:rsidRPr="000144B0">
        <w:rPr>
          <w:rFonts w:ascii="Arial" w:eastAsia="Arial" w:hAnsi="Arial" w:cs="Arial"/>
        </w:rPr>
        <w:t>. These results indicate that social-emotional factors play an important role in engaging in physiotherapy-led interventions.</w:t>
      </w:r>
    </w:p>
    <w:p w:rsidR="00774AB1" w:rsidRPr="000144B0" w:rsidRDefault="00774AB1" w:rsidP="00774AB1">
      <w:pPr>
        <w:spacing w:line="360" w:lineRule="auto"/>
        <w:jc w:val="both"/>
        <w:rPr>
          <w:rFonts w:ascii="Arial" w:eastAsia="Arial" w:hAnsi="Arial" w:cs="Arial"/>
        </w:rPr>
      </w:pPr>
      <w:bookmarkStart w:id="41" w:name="_heading=h.c9d5arm47b9i" w:colFirst="0" w:colLast="0"/>
      <w:bookmarkEnd w:id="41"/>
      <w:r w:rsidRPr="000144B0">
        <w:rPr>
          <w:rFonts w:ascii="Arial" w:eastAsia="Arial" w:hAnsi="Arial" w:cs="Arial"/>
        </w:rPr>
        <w:t>But other research found barriers to older adults participating in community-based programmes. Reis et al. (2025) reported variations in access to healthcare for older adults in urban and rural areas. Older adults in rural communities faced barriers to accessing physiotherapy services, transportation challenges and a lack of community services. This decreased fall prevention program participation.</w:t>
      </w:r>
    </w:p>
    <w:p w:rsidR="00774AB1" w:rsidRPr="000144B0" w:rsidRDefault="00774AB1" w:rsidP="00774AB1">
      <w:pPr>
        <w:spacing w:line="360" w:lineRule="auto"/>
        <w:jc w:val="both"/>
        <w:rPr>
          <w:rFonts w:ascii="Arial" w:eastAsia="Arial" w:hAnsi="Arial" w:cs="Arial"/>
        </w:rPr>
      </w:pPr>
      <w:bookmarkStart w:id="42" w:name="_heading=h.dkghvuyjts2n" w:colFirst="0" w:colLast="0"/>
      <w:bookmarkEnd w:id="42"/>
      <w:r w:rsidRPr="000144B0">
        <w:rPr>
          <w:rFonts w:ascii="Arial" w:eastAsia="Arial" w:hAnsi="Arial" w:cs="Arial"/>
        </w:rPr>
        <w:t>In addition, fear and stigma were identified. A few older adults perceived falls as being associated with frailty and old age, leading to an unwillingness to seek assistance or engage in programs. Furthermore, ignorance to services available through physiotherapy limited participation in preventive services</w:t>
      </w:r>
      <w:r w:rsidR="00D71615" w:rsidRPr="00D71615">
        <w:rPr>
          <w:rFonts w:ascii="Arial" w:eastAsia="Arial" w:hAnsi="Arial" w:cs="Arial"/>
        </w:rPr>
        <w:t>(Nazir et al., 2025)</w:t>
      </w:r>
      <w:r w:rsidRPr="000144B0">
        <w:rPr>
          <w:rFonts w:ascii="Arial" w:eastAsia="Arial" w:hAnsi="Arial" w:cs="Arial"/>
        </w:rPr>
        <w:t>.</w:t>
      </w:r>
    </w:p>
    <w:p w:rsidR="00774AB1" w:rsidRPr="000144B0" w:rsidRDefault="00774AB1" w:rsidP="00774AB1">
      <w:pPr>
        <w:spacing w:line="360" w:lineRule="auto"/>
        <w:jc w:val="both"/>
        <w:rPr>
          <w:rFonts w:ascii="Arial" w:eastAsia="Arial" w:hAnsi="Arial" w:cs="Arial"/>
        </w:rPr>
      </w:pPr>
      <w:bookmarkStart w:id="43" w:name="_heading=h.3cyjnpcd4nf4" w:colFirst="0" w:colLast="0"/>
      <w:bookmarkEnd w:id="43"/>
      <w:r w:rsidRPr="000144B0">
        <w:rPr>
          <w:rFonts w:ascii="Arial" w:eastAsia="Arial" w:hAnsi="Arial" w:cs="Arial"/>
        </w:rPr>
        <w:t>In summary, current literature shows older adults hold positive valuations of community physiotherapists for the benefits to mobility, independence and confidence. However, social, health care and awareness continues to impact on engagement and access.</w:t>
      </w:r>
    </w:p>
    <w:p w:rsidR="00774AB1" w:rsidRPr="000144B0" w:rsidRDefault="00774AB1" w:rsidP="00774AB1">
      <w:pPr>
        <w:pStyle w:val="Heading3"/>
        <w:spacing w:line="360" w:lineRule="auto"/>
        <w:jc w:val="both"/>
        <w:rPr>
          <w:rFonts w:cs="Arial"/>
        </w:rPr>
      </w:pPr>
      <w:bookmarkStart w:id="44" w:name="_heading=h.4ib9qv7u02qx" w:colFirst="0" w:colLast="0"/>
      <w:bookmarkStart w:id="45" w:name="_Toc228352763"/>
      <w:bookmarkEnd w:id="44"/>
      <w:r w:rsidRPr="000144B0">
        <w:rPr>
          <w:rFonts w:cs="Arial"/>
        </w:rPr>
        <w:t>2.2.3 Physiotherapists’ Opinions, Barriers and Challenges with Fall Prevention</w:t>
      </w:r>
      <w:bookmarkEnd w:id="45"/>
    </w:p>
    <w:p w:rsidR="00774AB1" w:rsidRPr="000144B0" w:rsidRDefault="00774AB1" w:rsidP="00774AB1">
      <w:pPr>
        <w:spacing w:line="360" w:lineRule="auto"/>
        <w:jc w:val="both"/>
        <w:rPr>
          <w:rFonts w:ascii="Arial" w:eastAsia="Arial" w:hAnsi="Arial" w:cs="Arial"/>
        </w:rPr>
      </w:pPr>
      <w:bookmarkStart w:id="46" w:name="_heading=h.t9eb57s81792" w:colFirst="0" w:colLast="0"/>
      <w:bookmarkEnd w:id="46"/>
      <w:r w:rsidRPr="000144B0">
        <w:rPr>
          <w:rFonts w:ascii="Arial" w:eastAsia="Arial" w:hAnsi="Arial" w:cs="Arial"/>
        </w:rPr>
        <w:t>Understanding physiotherapists' views is also crucial in determining the effectiveness of fall prevention. A range of studies have investigated physiotherapists’ perceptions, experiences and challenges with providing fall prevention services in the community</w:t>
      </w:r>
      <w:r w:rsidR="00D71615" w:rsidRPr="00D71615">
        <w:rPr>
          <w:rFonts w:ascii="Arial" w:eastAsia="Arial" w:hAnsi="Arial" w:cs="Arial"/>
        </w:rPr>
        <w:t>(Worum et al., 2020)</w:t>
      </w:r>
      <w:r w:rsidRPr="000144B0">
        <w:rPr>
          <w:rFonts w:ascii="Arial" w:eastAsia="Arial" w:hAnsi="Arial" w:cs="Arial"/>
        </w:rPr>
        <w:t>.</w:t>
      </w:r>
    </w:p>
    <w:p w:rsidR="00774AB1" w:rsidRPr="000144B0" w:rsidRDefault="00774AB1" w:rsidP="00774AB1">
      <w:pPr>
        <w:spacing w:line="360" w:lineRule="auto"/>
        <w:jc w:val="both"/>
        <w:rPr>
          <w:rFonts w:ascii="Arial" w:eastAsia="Arial" w:hAnsi="Arial" w:cs="Arial"/>
        </w:rPr>
      </w:pPr>
      <w:bookmarkStart w:id="47" w:name="_heading=h.fc9t54pmcfuq" w:colFirst="0" w:colLast="0"/>
      <w:bookmarkEnd w:id="47"/>
      <w:r w:rsidRPr="000144B0">
        <w:rPr>
          <w:rFonts w:ascii="Arial" w:eastAsia="Arial" w:hAnsi="Arial" w:cs="Arial"/>
        </w:rPr>
        <w:t>Mashael Alsobhi et al. (2024) explored physiotherapists' attitudes and barriers towards fall screening and prevention for patients with knee osteoarthritis. NoohAlsafri et al. (2024) reported physiotherapists understood the importance of fall prevention. But major gaps included a lack of time, training, organisational support and burnout. These barriers decreased the standardisation of fall risk assessments and interventions.</w:t>
      </w:r>
    </w:p>
    <w:p w:rsidR="00774AB1" w:rsidRPr="000144B0" w:rsidRDefault="00774AB1" w:rsidP="00774AB1">
      <w:pPr>
        <w:spacing w:line="360" w:lineRule="auto"/>
        <w:jc w:val="both"/>
        <w:rPr>
          <w:rFonts w:ascii="Arial" w:eastAsia="Arial" w:hAnsi="Arial" w:cs="Arial"/>
        </w:rPr>
      </w:pPr>
      <w:bookmarkStart w:id="48" w:name="_heading=h.kv7l4ddyqne6" w:colFirst="0" w:colLast="0"/>
      <w:bookmarkEnd w:id="48"/>
      <w:r w:rsidRPr="000144B0">
        <w:rPr>
          <w:rFonts w:ascii="Arial" w:eastAsia="Arial" w:hAnsi="Arial" w:cs="Arial"/>
        </w:rPr>
        <w:t>Likewise, Barbosa dos Santos et al. (2025) found while physiotherapists recognised the significance of fall prevention, many did not have standardised guidelines and had insufficient training. Differences in knowledge and practice contributed to inconsistencies in the quality of falls interventions across health care. The study concluded that ongoing education and training based on scientific evidence are needed to enhance physiotherapy approaches for falls prevention</w:t>
      </w:r>
      <w:r w:rsidR="00D71615" w:rsidRPr="00D71615">
        <w:rPr>
          <w:rFonts w:ascii="Arial" w:eastAsia="Arial" w:hAnsi="Arial" w:cs="Arial"/>
        </w:rPr>
        <w:t>(Shaw, Kiegaldie and Farlie, 2020)</w:t>
      </w:r>
      <w:r w:rsidRPr="000144B0">
        <w:rPr>
          <w:rFonts w:ascii="Arial" w:eastAsia="Arial" w:hAnsi="Arial" w:cs="Arial"/>
        </w:rPr>
        <w:t>.</w:t>
      </w:r>
    </w:p>
    <w:p w:rsidR="00774AB1" w:rsidRPr="00D2548F" w:rsidRDefault="00774AB1" w:rsidP="00774AB1">
      <w:pPr>
        <w:spacing w:line="360" w:lineRule="auto"/>
        <w:jc w:val="both"/>
        <w:rPr>
          <w:rFonts w:ascii="Arial" w:eastAsia="Arial" w:hAnsi="Arial" w:cs="Arial"/>
          <w:lang w:val="en-IN"/>
        </w:rPr>
      </w:pPr>
      <w:bookmarkStart w:id="49" w:name="_heading=h.vxsq3i309apc" w:colFirst="0" w:colLast="0"/>
      <w:bookmarkEnd w:id="49"/>
      <w:r w:rsidRPr="000144B0">
        <w:rPr>
          <w:rFonts w:ascii="Arial" w:eastAsia="Arial" w:hAnsi="Arial" w:cs="Arial"/>
        </w:rPr>
        <w:t>"Role of the Physiotherapist in Falls Prevention" also noted that physiotherapists may be hampered in their ability to incorporate fall prevention into health systems because of lack of funding and staffing. The growing needs of age populations also increase the demand on community physiotherapy services, restricting the capacity of health care professionals to deliver extended care</w:t>
      </w:r>
      <w:r w:rsidR="00D2548F" w:rsidRPr="00D2548F">
        <w:rPr>
          <w:rFonts w:ascii="Arial" w:eastAsia="Arial" w:hAnsi="Arial" w:cs="Arial"/>
          <w:lang w:val="en-IN"/>
        </w:rPr>
        <w:t>(Missingham, 2024)</w:t>
      </w:r>
      <w:r w:rsidRPr="000144B0">
        <w:rPr>
          <w:rFonts w:ascii="Arial" w:eastAsia="Arial" w:hAnsi="Arial" w:cs="Arial"/>
        </w:rPr>
        <w:t>.</w:t>
      </w:r>
    </w:p>
    <w:p w:rsidR="00774AB1" w:rsidRPr="000144B0" w:rsidRDefault="00774AB1" w:rsidP="00774AB1">
      <w:pPr>
        <w:spacing w:line="360" w:lineRule="auto"/>
        <w:jc w:val="both"/>
        <w:rPr>
          <w:rFonts w:ascii="Arial" w:eastAsia="Arial" w:hAnsi="Arial" w:cs="Arial"/>
        </w:rPr>
      </w:pPr>
      <w:bookmarkStart w:id="50" w:name="_heading=h.ozs9sw3u7rbw" w:colFirst="0" w:colLast="0"/>
      <w:bookmarkEnd w:id="50"/>
      <w:r w:rsidRPr="000144B0">
        <w:rPr>
          <w:rFonts w:ascii="Arial" w:eastAsia="Arial" w:hAnsi="Arial" w:cs="Arial"/>
        </w:rPr>
        <w:lastRenderedPageBreak/>
        <w:t>Multidisciplinary approaches are required to successfully reduce falls (Howland and Peterson, 2024). Yet poor communication between health-care professionals can impact coordination. Physiotherapists may have difficulty obtaining information about patients or sharing details with general practitioners, nurses and social workers.</w:t>
      </w:r>
    </w:p>
    <w:p w:rsidR="00774AB1" w:rsidRPr="00D71615" w:rsidRDefault="00774AB1" w:rsidP="00774AB1">
      <w:pPr>
        <w:spacing w:line="360" w:lineRule="auto"/>
        <w:jc w:val="both"/>
        <w:rPr>
          <w:rFonts w:ascii="Arial" w:eastAsia="Arial" w:hAnsi="Arial" w:cs="Arial"/>
          <w:lang w:val="en-IN"/>
        </w:rPr>
      </w:pPr>
      <w:bookmarkStart w:id="51" w:name="_heading=h.xri3xkfxvs8x" w:colFirst="0" w:colLast="0"/>
      <w:bookmarkEnd w:id="51"/>
      <w:r w:rsidRPr="000144B0">
        <w:rPr>
          <w:rFonts w:ascii="Arial" w:eastAsia="Arial" w:hAnsi="Arial" w:cs="Arial"/>
        </w:rPr>
        <w:t>The literature also highlighted issues with policies. Van der Velde et al. (2025) suggested there are gaps in the implementation of evidence-based guidelines in health care. While international best practice guidelines advocate for exercise interventions and interdisciplinary approaches supporting older people at risk of falls, variable policy implementation in health care systems reduces impact</w:t>
      </w:r>
      <w:r w:rsidR="00D71615" w:rsidRPr="00D71615">
        <w:rPr>
          <w:rFonts w:ascii="Arial" w:eastAsia="Arial" w:hAnsi="Arial" w:cs="Arial"/>
          <w:lang w:val="en-IN"/>
        </w:rPr>
        <w:t>(Montero-Odasso et al., 2022)</w:t>
      </w:r>
      <w:r w:rsidRPr="000144B0">
        <w:rPr>
          <w:rFonts w:ascii="Arial" w:eastAsia="Arial" w:hAnsi="Arial" w:cs="Arial"/>
        </w:rPr>
        <w:t>.</w:t>
      </w:r>
    </w:p>
    <w:p w:rsidR="00774AB1" w:rsidRPr="000144B0" w:rsidRDefault="00774AB1" w:rsidP="00774AB1">
      <w:pPr>
        <w:spacing w:line="360" w:lineRule="auto"/>
        <w:jc w:val="both"/>
        <w:rPr>
          <w:rFonts w:ascii="Arial" w:eastAsia="Arial" w:hAnsi="Arial" w:cs="Arial"/>
        </w:rPr>
      </w:pPr>
      <w:bookmarkStart w:id="52" w:name="_heading=h.p2ljiqc6jwj5" w:colFirst="0" w:colLast="0"/>
      <w:bookmarkEnd w:id="52"/>
      <w:r w:rsidRPr="000144B0">
        <w:rPr>
          <w:rFonts w:ascii="Arial" w:eastAsia="Arial" w:hAnsi="Arial" w:cs="Arial"/>
        </w:rPr>
        <w:t>Furthermore, staffing shortages in the NHS and community health care gape musculoskeletal support. Waiting times and a lack of community-based rehabilitation services often delay preventive services, resulting in an increased risk of falls among frail older adults</w:t>
      </w:r>
      <w:r w:rsidR="00D71615" w:rsidRPr="00D71615">
        <w:rPr>
          <w:rFonts w:ascii="Arial" w:eastAsia="Arial" w:hAnsi="Arial" w:cs="Arial"/>
        </w:rPr>
        <w:t>(van der Velde et al., 2025)</w:t>
      </w:r>
      <w:r w:rsidRPr="000144B0">
        <w:rPr>
          <w:rFonts w:ascii="Arial" w:eastAsia="Arial" w:hAnsi="Arial" w:cs="Arial"/>
        </w:rPr>
        <w:t>.Despite these challenges, physiotherapists strive to enable healthy ageing and independence. Research has shown physiotherapists understand the value of preventive care and call for better community rehabilitation services. But organisational support, staffing and skill development is needed to enhance fall prevention policies and strategies led by physiotherapists.</w:t>
      </w:r>
    </w:p>
    <w:p w:rsidR="00774AB1" w:rsidRPr="000144B0" w:rsidRDefault="00774AB1" w:rsidP="00774AB1">
      <w:pPr>
        <w:pStyle w:val="Heading3"/>
        <w:spacing w:line="360" w:lineRule="auto"/>
        <w:jc w:val="both"/>
        <w:rPr>
          <w:rFonts w:cs="Arial"/>
        </w:rPr>
      </w:pPr>
      <w:bookmarkStart w:id="53" w:name="_heading=h.8nmzvalt7rvl" w:colFirst="0" w:colLast="0"/>
      <w:bookmarkStart w:id="54" w:name="_Toc228352764"/>
      <w:bookmarkEnd w:id="53"/>
      <w:r w:rsidRPr="000144B0">
        <w:rPr>
          <w:rFonts w:cs="Arial"/>
        </w:rPr>
        <w:t>2.2.4 Public Health and Social Care Policies to Prevent Falls</w:t>
      </w:r>
      <w:bookmarkEnd w:id="54"/>
    </w:p>
    <w:p w:rsidR="00774AB1" w:rsidRPr="000144B0" w:rsidRDefault="00774AB1" w:rsidP="00774AB1">
      <w:pPr>
        <w:spacing w:line="360" w:lineRule="auto"/>
        <w:jc w:val="both"/>
        <w:rPr>
          <w:rFonts w:ascii="Arial" w:eastAsia="Arial" w:hAnsi="Arial" w:cs="Arial"/>
        </w:rPr>
      </w:pPr>
      <w:bookmarkStart w:id="55" w:name="_heading=h.xqgtuhfzmc3o" w:colFirst="0" w:colLast="0"/>
      <w:bookmarkEnd w:id="55"/>
      <w:r w:rsidRPr="000144B0">
        <w:rPr>
          <w:rFonts w:ascii="Arial" w:eastAsia="Arial" w:hAnsi="Arial" w:cs="Arial"/>
        </w:rPr>
        <w:t>Falls prevention has emerged as a significant focus of public health and social care policies in response to the ageing population and associated health care costs related to falls injuries</w:t>
      </w:r>
      <w:r w:rsidR="00D2548F" w:rsidRPr="00D2548F">
        <w:rPr>
          <w:rFonts w:ascii="Arial" w:eastAsia="Arial" w:hAnsi="Arial" w:cs="Arial"/>
        </w:rPr>
        <w:t>(Montero-Odasso et al., 2022)</w:t>
      </w:r>
      <w:r w:rsidRPr="000144B0">
        <w:rPr>
          <w:rFonts w:ascii="Arial" w:eastAsia="Arial" w:hAnsi="Arial" w:cs="Arial"/>
        </w:rPr>
        <w:t>. Current research supports the role of integrating physiotherapy services into public health approaches promoting healthy ageing and hospital admissions.</w:t>
      </w:r>
    </w:p>
    <w:p w:rsidR="00774AB1" w:rsidRPr="000144B0" w:rsidRDefault="00774AB1" w:rsidP="00774AB1">
      <w:pPr>
        <w:spacing w:line="360" w:lineRule="auto"/>
        <w:jc w:val="both"/>
        <w:rPr>
          <w:rFonts w:ascii="Arial" w:eastAsia="Arial" w:hAnsi="Arial" w:cs="Arial"/>
        </w:rPr>
      </w:pPr>
      <w:bookmarkStart w:id="56" w:name="_heading=h.31rk801jmtsr" w:colFirst="0" w:colLast="0"/>
      <w:bookmarkEnd w:id="56"/>
      <w:r w:rsidRPr="000144B0">
        <w:rPr>
          <w:rFonts w:ascii="Arial" w:eastAsia="Arial" w:hAnsi="Arial" w:cs="Arial"/>
        </w:rPr>
        <w:t>The World Falls Guidelines that van der Velde et al. (2025) discuss stressed the need for falls prevention to rely on evidence-based, integrated interventions and community health-care delivery. Specifically, these guidelines advocate for screening for falls, exercise programs, home hazards, and multi-disciplinary approaches. They recommend many of these interventions are delivered by physiotherapists.</w:t>
      </w:r>
    </w:p>
    <w:p w:rsidR="00774AB1" w:rsidRPr="000144B0" w:rsidRDefault="00774AB1" w:rsidP="00774AB1">
      <w:pPr>
        <w:spacing w:line="360" w:lineRule="auto"/>
        <w:jc w:val="both"/>
        <w:rPr>
          <w:rFonts w:ascii="Arial" w:eastAsia="Arial" w:hAnsi="Arial" w:cs="Arial"/>
        </w:rPr>
      </w:pPr>
      <w:bookmarkStart w:id="57" w:name="_heading=h.mdistbms01f5" w:colFirst="0" w:colLast="0"/>
      <w:bookmarkEnd w:id="57"/>
      <w:r w:rsidRPr="000144B0">
        <w:rPr>
          <w:rFonts w:ascii="Arial" w:eastAsia="Arial" w:hAnsi="Arial" w:cs="Arial"/>
        </w:rPr>
        <w:t>Increasingly, UK public health policies are promoting preventative tools rather than reactive approaches to health. Community physiotherapy services are well aligned with achieving these goals through the reduction of preventable hospital admissions and facilitating more independent living in the elderly population. Giovannini et al. (2022) showed that community-based preventive programs for older adults, including rehabilitation, enhance long-term patient outcomes and are cost- and resource-effective for health care providers for fractures and acute care hospital admissions.</w:t>
      </w:r>
    </w:p>
    <w:p w:rsidR="00774AB1" w:rsidRPr="000144B0" w:rsidRDefault="00774AB1" w:rsidP="00774AB1">
      <w:pPr>
        <w:spacing w:line="360" w:lineRule="auto"/>
        <w:jc w:val="both"/>
        <w:rPr>
          <w:rFonts w:ascii="Arial" w:eastAsia="Arial" w:hAnsi="Arial" w:cs="Arial"/>
        </w:rPr>
      </w:pPr>
      <w:bookmarkStart w:id="58" w:name="_heading=h.sfrkzhot5hun" w:colFirst="0" w:colLast="0"/>
      <w:bookmarkEnd w:id="58"/>
      <w:r w:rsidRPr="000144B0">
        <w:rPr>
          <w:rFonts w:ascii="Arial" w:eastAsia="Arial" w:hAnsi="Arial" w:cs="Arial"/>
        </w:rPr>
        <w:t xml:space="preserve">Howland and Peterson (2024) also suggested that referral pathways in health care increase </w:t>
      </w:r>
      <w:r w:rsidRPr="000144B0">
        <w:rPr>
          <w:rFonts w:ascii="Arial" w:eastAsia="Arial" w:hAnsi="Arial" w:cs="Arial"/>
        </w:rPr>
        <w:lastRenderedPageBreak/>
        <w:t>access to community fall prevention interventions. Good referral systems connecting primary care and physiotherapy professionals can support early falls prevention intervention and enhance care.</w:t>
      </w:r>
    </w:p>
    <w:p w:rsidR="00774AB1" w:rsidRPr="00D2548F" w:rsidRDefault="00774AB1" w:rsidP="00774AB1">
      <w:pPr>
        <w:spacing w:line="360" w:lineRule="auto"/>
        <w:jc w:val="both"/>
        <w:rPr>
          <w:rFonts w:ascii="Arial" w:eastAsia="Arial" w:hAnsi="Arial" w:cs="Arial"/>
          <w:lang w:val="en-IN"/>
        </w:rPr>
      </w:pPr>
      <w:bookmarkStart w:id="59" w:name="_heading=h.b8e702uffe9u" w:colFirst="0" w:colLast="0"/>
      <w:bookmarkEnd w:id="59"/>
      <w:r w:rsidRPr="000144B0">
        <w:rPr>
          <w:rFonts w:ascii="Arial" w:eastAsia="Arial" w:hAnsi="Arial" w:cs="Arial"/>
        </w:rPr>
        <w:t>Social care policies also recognise the importance of independence. Physiotherapy helps achieve this by promoting independence and allows people to live at home longer</w:t>
      </w:r>
      <w:r w:rsidR="00454396" w:rsidRPr="00454396">
        <w:rPr>
          <w:rFonts w:ascii="Arial" w:eastAsia="Arial" w:hAnsi="Arial" w:cs="Arial"/>
        </w:rPr>
        <w:t>(Zarina Naz et al., 2025)</w:t>
      </w:r>
      <w:r w:rsidRPr="000144B0">
        <w:rPr>
          <w:rFonts w:ascii="Arial" w:eastAsia="Arial" w:hAnsi="Arial" w:cs="Arial"/>
        </w:rPr>
        <w:t xml:space="preserve">. This helps minimise reliance on residential care and enhances quality of </w:t>
      </w:r>
      <w:r w:rsidR="00D2548F" w:rsidRPr="000144B0">
        <w:rPr>
          <w:rFonts w:ascii="Arial" w:eastAsia="Arial" w:hAnsi="Arial" w:cs="Arial"/>
        </w:rPr>
        <w:t>life. In</w:t>
      </w:r>
      <w:r w:rsidRPr="000144B0">
        <w:rPr>
          <w:rFonts w:ascii="Arial" w:eastAsia="Arial" w:hAnsi="Arial" w:cs="Arial"/>
        </w:rPr>
        <w:t xml:space="preserve"> contrast, the literature recognises policy gaps. Continued challenges within systems such as inadequate funding and staffing levels remain</w:t>
      </w:r>
      <w:r w:rsidR="00D2548F" w:rsidRPr="00D2548F">
        <w:rPr>
          <w:rFonts w:ascii="Arial" w:eastAsia="Arial" w:hAnsi="Arial" w:cs="Arial"/>
          <w:lang w:val="en-IN"/>
        </w:rPr>
        <w:t>(Ramos et al., 2024)</w:t>
      </w:r>
      <w:r w:rsidRPr="000144B0">
        <w:rPr>
          <w:rFonts w:ascii="Arial" w:eastAsia="Arial" w:hAnsi="Arial" w:cs="Arial"/>
        </w:rPr>
        <w:t>. Studies indicate that inadequate investment in community rehab limits access to prevention program services despite increasing service needs</w:t>
      </w:r>
      <w:r w:rsidR="00D2548F" w:rsidRPr="00D2548F">
        <w:rPr>
          <w:rFonts w:ascii="Arial" w:eastAsia="Arial" w:hAnsi="Arial" w:cs="Arial"/>
          <w:lang w:val="en-IN"/>
        </w:rPr>
        <w:t>(Yazdi-Feyzabadi et al., 2025)</w:t>
      </w:r>
      <w:r w:rsidRPr="000144B0">
        <w:rPr>
          <w:rFonts w:ascii="Arial" w:eastAsia="Arial" w:hAnsi="Arial" w:cs="Arial"/>
        </w:rPr>
        <w:t>. In addition, regional variation in policy-based implementation leads to a variable provision of services.</w:t>
      </w:r>
    </w:p>
    <w:p w:rsidR="00774AB1" w:rsidRPr="000144B0" w:rsidRDefault="00774AB1" w:rsidP="00774AB1">
      <w:pPr>
        <w:spacing w:line="360" w:lineRule="auto"/>
        <w:jc w:val="both"/>
        <w:rPr>
          <w:rFonts w:ascii="Arial" w:eastAsia="Arial" w:hAnsi="Arial" w:cs="Arial"/>
        </w:rPr>
      </w:pPr>
      <w:bookmarkStart w:id="60" w:name="_heading=h.2a3gfqyb9scm" w:colFirst="0" w:colLast="0"/>
      <w:bookmarkEnd w:id="60"/>
      <w:r w:rsidRPr="000144B0">
        <w:rPr>
          <w:rFonts w:ascii="Arial" w:eastAsia="Arial" w:hAnsi="Arial" w:cs="Arial"/>
        </w:rPr>
        <w:t>The literature therefore shows that despite the progression in public health and social care policies that support community physiotherapy services delivering fall prevention intervention services, investment, policy coherence and integration of health care services are needed to enhance service effectiveness in the United Kingdom.</w:t>
      </w:r>
    </w:p>
    <w:p w:rsidR="00774AB1" w:rsidRPr="000144B0" w:rsidRDefault="00774AB1" w:rsidP="00774AB1">
      <w:pPr>
        <w:pStyle w:val="Heading3"/>
        <w:spacing w:line="360" w:lineRule="auto"/>
        <w:jc w:val="both"/>
        <w:rPr>
          <w:rFonts w:cs="Arial"/>
        </w:rPr>
      </w:pPr>
      <w:bookmarkStart w:id="61" w:name="_heading=h.swtl1bjkctfh" w:colFirst="0" w:colLast="0"/>
      <w:bookmarkStart w:id="62" w:name="_Toc228352765"/>
      <w:bookmarkEnd w:id="61"/>
      <w:r w:rsidRPr="000144B0">
        <w:rPr>
          <w:rFonts w:cs="Arial"/>
        </w:rPr>
        <w:t>2.2.5 Literature Gap</w:t>
      </w:r>
      <w:bookmarkEnd w:id="62"/>
    </w:p>
    <w:p w:rsidR="00774AB1" w:rsidRPr="00454396" w:rsidRDefault="00774AB1" w:rsidP="00774AB1">
      <w:pPr>
        <w:spacing w:line="360" w:lineRule="auto"/>
        <w:jc w:val="both"/>
        <w:rPr>
          <w:rFonts w:ascii="Arial" w:eastAsia="Arial" w:hAnsi="Arial" w:cs="Arial"/>
          <w:lang w:val="en-IN"/>
        </w:rPr>
      </w:pPr>
      <w:bookmarkStart w:id="63" w:name="_heading=h.jkteuucotwj0" w:colFirst="0" w:colLast="0"/>
      <w:bookmarkEnd w:id="63"/>
      <w:r w:rsidRPr="000144B0">
        <w:rPr>
          <w:rFonts w:ascii="Arial" w:eastAsia="Arial" w:hAnsi="Arial" w:cs="Arial"/>
        </w:rPr>
        <w:t>The literature contains ample evidence of the effectiveness of physiotherapy-based interventions in preventing falls among older people. Research has examined exercise rehabilitation interventions, patient views, professional views and public health policies regarding the prevention of falls. But there are gaps in this research</w:t>
      </w:r>
      <w:r w:rsidR="00454396" w:rsidRPr="00454396">
        <w:rPr>
          <w:rFonts w:ascii="Arial" w:eastAsia="Arial" w:hAnsi="Arial" w:cs="Arial"/>
          <w:lang w:val="en-IN"/>
        </w:rPr>
        <w:t>(jquale, 2024)</w:t>
      </w:r>
      <w:r w:rsidRPr="000144B0">
        <w:rPr>
          <w:rFonts w:ascii="Arial" w:eastAsia="Arial" w:hAnsi="Arial" w:cs="Arial"/>
        </w:rPr>
        <w:t>.</w:t>
      </w:r>
    </w:p>
    <w:p w:rsidR="00774AB1" w:rsidRPr="000144B0" w:rsidRDefault="00774AB1" w:rsidP="00774AB1">
      <w:pPr>
        <w:spacing w:line="360" w:lineRule="auto"/>
        <w:jc w:val="both"/>
        <w:rPr>
          <w:rFonts w:ascii="Arial" w:eastAsia="Arial" w:hAnsi="Arial" w:cs="Arial"/>
        </w:rPr>
      </w:pPr>
      <w:bookmarkStart w:id="64" w:name="_heading=h.lhvsy1vykk9d" w:colFirst="0" w:colLast="0"/>
      <w:bookmarkEnd w:id="64"/>
      <w:r w:rsidRPr="000144B0">
        <w:rPr>
          <w:rFonts w:ascii="Arial" w:eastAsia="Arial" w:hAnsi="Arial" w:cs="Arial"/>
        </w:rPr>
        <w:t>First, there is a paucity of research exploring the perspective of community physiotherapists in United Kingdom public health and social care</w:t>
      </w:r>
      <w:r w:rsidR="00454396" w:rsidRPr="00454396">
        <w:rPr>
          <w:rFonts w:ascii="Arial" w:eastAsia="Arial" w:hAnsi="Arial" w:cs="Arial"/>
        </w:rPr>
        <w:t>(Reuter-Sandquist, Ernstmeyer and Christman, 2022)</w:t>
      </w:r>
      <w:r w:rsidRPr="000144B0">
        <w:rPr>
          <w:rFonts w:ascii="Arial" w:eastAsia="Arial" w:hAnsi="Arial" w:cs="Arial"/>
        </w:rPr>
        <w:t>. A large number of these studies are conducted overseas (such as in Brazil, Portugal and Saudi Arabia), which may limit our understanding of issues unique to UK healthcare.Secondly, while existing research has explored older adults' experiences and the perspectives of physiotherapists, there is a lack of studies that consider both perspectives. Insight into both could offer valuable information regarding challenges impacting programme implementation and engagement.</w:t>
      </w:r>
    </w:p>
    <w:p w:rsidR="00774AB1" w:rsidRPr="000144B0" w:rsidRDefault="00774AB1" w:rsidP="00774AB1">
      <w:pPr>
        <w:pStyle w:val="Heading2"/>
        <w:rPr>
          <w:rFonts w:cs="Arial"/>
        </w:rPr>
      </w:pPr>
      <w:bookmarkStart w:id="65" w:name="_heading=h.2a9o2gqhg8ju" w:colFirst="0" w:colLast="0"/>
      <w:bookmarkStart w:id="66" w:name="_Toc228352766"/>
      <w:bookmarkEnd w:id="65"/>
      <w:r w:rsidRPr="000144B0">
        <w:rPr>
          <w:rFonts w:cs="Arial"/>
          <w:bCs/>
        </w:rPr>
        <w:t>2.3 Chapter summary</w:t>
      </w:r>
      <w:bookmarkEnd w:id="66"/>
    </w:p>
    <w:p w:rsidR="00774AB1" w:rsidRPr="000144B0" w:rsidRDefault="00774AB1" w:rsidP="00774AB1">
      <w:pPr>
        <w:spacing w:line="360" w:lineRule="auto"/>
        <w:jc w:val="both"/>
        <w:rPr>
          <w:rFonts w:ascii="Arial" w:eastAsia="Arial" w:hAnsi="Arial" w:cs="Arial"/>
        </w:rPr>
      </w:pPr>
      <w:r w:rsidRPr="000144B0">
        <w:rPr>
          <w:rFonts w:ascii="Arial" w:eastAsia="Arial" w:hAnsi="Arial" w:cs="Arial"/>
        </w:rPr>
        <w:t xml:space="preserve">This chapter critically reviewed the literature on fall prevention delivered by communal physiotherapists for older adults. The review identified the efficacy of physiotherapy practices such as balance training, mobility training and rehabilitation programs in preventing falls and managing mobility impairments. It also covered the perspectives and opinions of older adults and physiotherapists, and factors that influence service delivery and engagement. Additionally, this chapter examined the challenges relating to workforce, funding, and policy implementation in public health and social care. Finally, the review </w:t>
      </w:r>
      <w:r w:rsidRPr="000144B0">
        <w:rPr>
          <w:rFonts w:ascii="Arial" w:eastAsia="Arial" w:hAnsi="Arial" w:cs="Arial"/>
        </w:rPr>
        <w:lastRenderedPageBreak/>
        <w:t>pinpointed key gaps around UK community physiotherapy services, integrated viewpoints, and organisational issues for future research.</w:t>
      </w:r>
    </w:p>
    <w:p w:rsidR="00D7071B" w:rsidRPr="00454396" w:rsidRDefault="00D7071B" w:rsidP="00774AB1">
      <w:pPr>
        <w:spacing w:line="360" w:lineRule="auto"/>
        <w:jc w:val="both"/>
        <w:rPr>
          <w:rFonts w:ascii="Arial" w:eastAsia="Arial" w:hAnsi="Arial" w:cs="Arial"/>
        </w:rPr>
      </w:pPr>
    </w:p>
    <w:p w:rsidR="00170945" w:rsidRPr="000144B0" w:rsidRDefault="00170945" w:rsidP="00774AB1">
      <w:pPr>
        <w:pStyle w:val="Heading1"/>
        <w:rPr>
          <w:rFonts w:cs="Arial"/>
        </w:rPr>
      </w:pPr>
      <w:bookmarkStart w:id="67" w:name="_Toc228352767"/>
      <w:r w:rsidRPr="000144B0">
        <w:rPr>
          <w:rFonts w:cs="Arial"/>
        </w:rPr>
        <w:t>Chapter 3: Methodology</w:t>
      </w:r>
      <w:bookmarkEnd w:id="67"/>
    </w:p>
    <w:p w:rsidR="00170945" w:rsidRPr="000144B0" w:rsidRDefault="00170945" w:rsidP="00774AB1">
      <w:pPr>
        <w:pStyle w:val="Heading2"/>
        <w:rPr>
          <w:rFonts w:cs="Arial"/>
        </w:rPr>
      </w:pPr>
      <w:bookmarkStart w:id="68" w:name="_heading=h.qdfnzufrjen6" w:colFirst="0" w:colLast="0"/>
      <w:bookmarkStart w:id="69" w:name="_Toc228352768"/>
      <w:bookmarkEnd w:id="68"/>
      <w:r w:rsidRPr="000144B0">
        <w:rPr>
          <w:rFonts w:cs="Arial"/>
        </w:rPr>
        <w:t>3.1 Introduction</w:t>
      </w:r>
      <w:bookmarkEnd w:id="69"/>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The chapter describes the research methodology to be followed in examination of the role of local physiotherapists in fall prevention among the elderly people in the UK. It provides an organised literature review, search plan, inclusion/exclusion criteria, ethics and data synthesis, which offers a systematic methodology to provide validity and reliability of results.</w:t>
      </w:r>
    </w:p>
    <w:p w:rsidR="00170945" w:rsidRPr="000144B0" w:rsidRDefault="00170945" w:rsidP="00774AB1">
      <w:pPr>
        <w:pStyle w:val="Heading2"/>
        <w:rPr>
          <w:rFonts w:cs="Arial"/>
        </w:rPr>
      </w:pPr>
      <w:bookmarkStart w:id="70" w:name="_heading=h.kwfxplf9yslh" w:colFirst="0" w:colLast="0"/>
      <w:bookmarkStart w:id="71" w:name="_Toc228352769"/>
      <w:bookmarkEnd w:id="70"/>
      <w:r w:rsidRPr="000144B0">
        <w:rPr>
          <w:rFonts w:cs="Arial"/>
        </w:rPr>
        <w:t>3.2 Systematic Literature Review (SLR)</w:t>
      </w:r>
      <w:bookmarkEnd w:id="71"/>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Systematic Literature Review (SLR) refers to a process by which the existing research is identified, reviewed and combined to provide responses to a particular research question (Sauer and Seuring, 2023). Compared to a conventional review, an SLR has a transparent and reproducible procedure, thus minimising bias and making the results reliable. An SLR is intended to give a thorough insight into the existing evidence, gaps in the knowledge, and guide research or practise in the future</w:t>
      </w:r>
      <w:r w:rsidR="00454396" w:rsidRPr="00454396">
        <w:rPr>
          <w:rFonts w:ascii="Arial" w:eastAsia="Arial" w:hAnsi="Arial" w:cs="Arial"/>
        </w:rPr>
        <w:t>(Azarian et al., 2023)</w:t>
      </w:r>
      <w:r w:rsidRPr="000144B0">
        <w:rPr>
          <w:rFonts w:ascii="Arial" w:eastAsia="Arial" w:hAnsi="Arial" w:cs="Arial"/>
        </w:rPr>
        <w:t>.</w:t>
      </w:r>
    </w:p>
    <w:p w:rsidR="00170945" w:rsidRDefault="00170945" w:rsidP="00774AB1">
      <w:pPr>
        <w:spacing w:line="360" w:lineRule="auto"/>
        <w:jc w:val="both"/>
        <w:rPr>
          <w:rFonts w:ascii="Arial" w:eastAsia="Arial" w:hAnsi="Arial" w:cs="Arial"/>
        </w:rPr>
      </w:pPr>
      <w:r w:rsidRPr="000144B0">
        <w:rPr>
          <w:rFonts w:ascii="Arial" w:eastAsia="Arial" w:hAnsi="Arial" w:cs="Arial"/>
        </w:rPr>
        <w:t xml:space="preserve">The most important tasks performed during SLR are: (1) formulating clear research objectives and questions, (2) design of systematic search strategies and correct databases and keys, (3) filtering through the titles and abstracts and full texts to select only the relevant ones, (5) critical assessment of the quality of the studied papers and (6) synthesis of the results to reach any meaningful conclusion (Azarian </w:t>
      </w:r>
      <w:r w:rsidRPr="000144B0">
        <w:rPr>
          <w:rFonts w:ascii="Arial" w:eastAsia="Arial" w:hAnsi="Arial" w:cs="Arial"/>
          <w:i/>
          <w:iCs/>
        </w:rPr>
        <w:t xml:space="preserve">et al. </w:t>
      </w:r>
      <w:r w:rsidRPr="000144B0">
        <w:rPr>
          <w:rFonts w:ascii="Arial" w:eastAsia="Arial" w:hAnsi="Arial" w:cs="Arial"/>
        </w:rPr>
        <w:t>2023). In the given research case, the SLR was utilised to research the importance of community physiotherapists in the prevention of falls in older adults as an evidence-based basis of the health-related interventions in the UK.</w:t>
      </w:r>
    </w:p>
    <w:tbl>
      <w:tblPr>
        <w:tblStyle w:val="TableGrid"/>
        <w:tblW w:w="0" w:type="auto"/>
        <w:tblLook w:val="04A0"/>
      </w:tblPr>
      <w:tblGrid>
        <w:gridCol w:w="1314"/>
        <w:gridCol w:w="1408"/>
        <w:gridCol w:w="1739"/>
        <w:gridCol w:w="1568"/>
        <w:gridCol w:w="1474"/>
        <w:gridCol w:w="1739"/>
      </w:tblGrid>
      <w:tr w:rsidR="00641A5E" w:rsidRPr="00641A5E" w:rsidTr="00641A5E">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b/>
                <w:bCs/>
                <w:lang w:val="en-IN"/>
              </w:rPr>
            </w:pPr>
            <w:r w:rsidRPr="00641A5E">
              <w:rPr>
                <w:rFonts w:ascii="Arial" w:eastAsia="Arial" w:hAnsi="Arial" w:cs="Arial"/>
                <w:b/>
                <w:bCs/>
                <w:lang w:val="en-IN"/>
              </w:rPr>
              <w:t>Author/Year</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b/>
                <w:bCs/>
                <w:lang w:val="en-IN"/>
              </w:rPr>
            </w:pPr>
            <w:r w:rsidRPr="00641A5E">
              <w:rPr>
                <w:rFonts w:ascii="Arial" w:eastAsia="Arial" w:hAnsi="Arial" w:cs="Arial"/>
                <w:b/>
                <w:bCs/>
                <w:lang w:val="en-IN"/>
              </w:rPr>
              <w:t>Methodology</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b/>
                <w:bCs/>
                <w:lang w:val="en-IN"/>
              </w:rPr>
            </w:pPr>
            <w:r w:rsidRPr="00641A5E">
              <w:rPr>
                <w:rFonts w:ascii="Arial" w:eastAsia="Arial" w:hAnsi="Arial" w:cs="Arial"/>
                <w:b/>
                <w:bCs/>
                <w:lang w:val="en-IN"/>
              </w:rPr>
              <w:t>Intervention</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b/>
                <w:bCs/>
                <w:lang w:val="en-IN"/>
              </w:rPr>
            </w:pPr>
            <w:r w:rsidRPr="00641A5E">
              <w:rPr>
                <w:rFonts w:ascii="Arial" w:eastAsia="Arial" w:hAnsi="Arial" w:cs="Arial"/>
                <w:b/>
                <w:bCs/>
                <w:lang w:val="en-IN"/>
              </w:rPr>
              <w:t>Abstract</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b/>
                <w:bCs/>
                <w:lang w:val="en-IN"/>
              </w:rPr>
            </w:pPr>
            <w:r w:rsidRPr="00641A5E">
              <w:rPr>
                <w:rFonts w:ascii="Arial" w:eastAsia="Arial" w:hAnsi="Arial" w:cs="Arial"/>
                <w:b/>
                <w:bCs/>
                <w:lang w:val="en-IN"/>
              </w:rPr>
              <w:t>Results</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b/>
                <w:bCs/>
                <w:lang w:val="en-IN"/>
              </w:rPr>
            </w:pPr>
            <w:r w:rsidRPr="00641A5E">
              <w:rPr>
                <w:rFonts w:ascii="Arial" w:eastAsia="Arial" w:hAnsi="Arial" w:cs="Arial"/>
                <w:b/>
                <w:bCs/>
                <w:lang w:val="en-IN"/>
              </w:rPr>
              <w:t>Conclusion</w:t>
            </w:r>
          </w:p>
        </w:tc>
      </w:tr>
      <w:tr w:rsidR="00641A5E" w:rsidRPr="00641A5E" w:rsidTr="00641A5E">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Iliffe et al., 2014</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Cluster RCT</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Community group exercise programme and home-based exercise</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 xml:space="preserve">The study examined whether community-based group exercise and home-based exercise programmes improved </w:t>
            </w:r>
            <w:r w:rsidRPr="00641A5E">
              <w:rPr>
                <w:rFonts w:ascii="Arial" w:eastAsia="Arial" w:hAnsi="Arial" w:cs="Arial"/>
                <w:lang w:val="en-IN"/>
              </w:rPr>
              <w:lastRenderedPageBreak/>
              <w:t>mobility and reduced fall risk among adults aged 65 years and above in primary care settings. Participants were assigned to intervention or usual care groups across multiple centres.</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lastRenderedPageBreak/>
              <w:t xml:space="preserve">Both intervention groups demonstrated improvements in mobility and physical functioning compared </w:t>
            </w:r>
            <w:r w:rsidRPr="00641A5E">
              <w:rPr>
                <w:rFonts w:ascii="Arial" w:eastAsia="Arial" w:hAnsi="Arial" w:cs="Arial"/>
                <w:lang w:val="en-IN"/>
              </w:rPr>
              <w:lastRenderedPageBreak/>
              <w:t>with usual care. Group exercise showed stronger social engagement benefits, while home-based exercise improved accessibility and adherence for some participants.</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lastRenderedPageBreak/>
              <w:t xml:space="preserve">Exercise-based interventions delivered in primary care can effectively improve mobility and support fall prevention among older </w:t>
            </w:r>
            <w:r w:rsidRPr="00641A5E">
              <w:rPr>
                <w:rFonts w:ascii="Arial" w:eastAsia="Arial" w:hAnsi="Arial" w:cs="Arial"/>
                <w:lang w:val="en-IN"/>
              </w:rPr>
              <w:lastRenderedPageBreak/>
              <w:t>adults.</w:t>
            </w:r>
          </w:p>
        </w:tc>
      </w:tr>
      <w:tr w:rsidR="00641A5E" w:rsidRPr="00641A5E" w:rsidTr="00641A5E">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lastRenderedPageBreak/>
              <w:t>Adams et al., 2018</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Feasibility RCT</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Group exercise intervention for visually impaired older adults</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 xml:space="preserve">This feasibility trial assessed whether a community-based falls prevention exercise programme could be adapted successfully for visually impaired older people. The study focused on recruitment, adherence, </w:t>
            </w:r>
            <w:r w:rsidRPr="00641A5E">
              <w:rPr>
                <w:rFonts w:ascii="Arial" w:eastAsia="Arial" w:hAnsi="Arial" w:cs="Arial"/>
                <w:lang w:val="en-IN"/>
              </w:rPr>
              <w:lastRenderedPageBreak/>
              <w:t>and acceptability of adapted exercises.</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lastRenderedPageBreak/>
              <w:t>The programme was feasible and acceptable when exercises were modified for visual impairment. Participants reported improved confidence and engagement in physical activity.</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Tailored exercise interventions can support falls prevention in visually impaired older adults, although adaptations are necessary to improve accessibility and participation.</w:t>
            </w:r>
          </w:p>
        </w:tc>
      </w:tr>
      <w:tr w:rsidR="00641A5E" w:rsidRPr="00641A5E" w:rsidTr="00641A5E">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lastRenderedPageBreak/>
              <w:t>Chivers Seymour et al., 2019</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Multicentre RCT</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Physiotherapist-delivered fall prevention programme for Parkinson’s disease</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The study evaluated the effectiveness of a physiotherapist-led falls prevention programme designed for individuals with Parkinson’s disease. The intervention included balance training, strength exercises, and movement strategies.</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Participants receiving the intervention experienced reduced fall risk and improvements in balance and mobility compared with control groups.</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Physiotherapist-led interventions provide significant benefits in reducing falls and improving balance among individuals with Parkinson’s disease.</w:t>
            </w:r>
          </w:p>
        </w:tc>
      </w:tr>
      <w:tr w:rsidR="00641A5E" w:rsidRPr="00641A5E" w:rsidTr="00641A5E">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Ashburn et al., 2019</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RCT</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Exercise and strategy-based physiotherapy intervention</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This trial investigated whether combining exercise training with behavioural and strategy-based physiotherap</w:t>
            </w:r>
            <w:r w:rsidRPr="00641A5E">
              <w:rPr>
                <w:rFonts w:ascii="Arial" w:eastAsia="Arial" w:hAnsi="Arial" w:cs="Arial"/>
                <w:lang w:val="en-IN"/>
              </w:rPr>
              <w:lastRenderedPageBreak/>
              <w:t>y could reduce repeat falls in people with Parkinson’s disease.</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lastRenderedPageBreak/>
              <w:t xml:space="preserve">The intervention group reported fewer repeat falls and improved confidence in mobility. Behavioural </w:t>
            </w:r>
            <w:r w:rsidRPr="00641A5E">
              <w:rPr>
                <w:rFonts w:ascii="Arial" w:eastAsia="Arial" w:hAnsi="Arial" w:cs="Arial"/>
                <w:lang w:val="en-IN"/>
              </w:rPr>
              <w:lastRenderedPageBreak/>
              <w:t>strategies enhanced participants’ ability to manage fall risks.</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lastRenderedPageBreak/>
              <w:t>Combining physical exercise with behavioural strategies is effective in reducing repeat falls in Parkinson’s patients.</w:t>
            </w:r>
          </w:p>
        </w:tc>
      </w:tr>
      <w:tr w:rsidR="00641A5E" w:rsidRPr="00641A5E" w:rsidTr="00641A5E">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lastRenderedPageBreak/>
              <w:t>Bajwa et al., 2019</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RCT protocol</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Activity, independence, and stability training for dementia patients</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The PrAISED protocol aimed to examine whether physiotherapy and occupational therapy interventions could improve independence, stability, and physical activity among individuals with mild cognitive impairment and early dementia.</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The protocol anticipated improvements in physical function, independence, and fall prevention outcomes through structured activity interventions.</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The study highlighted the importance of targeted physiotherapy interventions for reducing dementia-related fall risks and supporting independence.</w:t>
            </w:r>
          </w:p>
        </w:tc>
      </w:tr>
      <w:tr w:rsidR="00641A5E" w:rsidRPr="00641A5E" w:rsidTr="00641A5E">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Heng et al., 2022</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Qualitative study</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Falls prevention education for healthcare professionals and patients</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 xml:space="preserve">This qualitative study explored healthcare professionals’ perspectives </w:t>
            </w:r>
            <w:r w:rsidRPr="00641A5E">
              <w:rPr>
                <w:rFonts w:ascii="Arial" w:eastAsia="Arial" w:hAnsi="Arial" w:cs="Arial"/>
                <w:lang w:val="en-IN"/>
              </w:rPr>
              <w:lastRenderedPageBreak/>
              <w:t>regarding barriers and enablers in delivering falls prevention education to older adults.</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lastRenderedPageBreak/>
              <w:t xml:space="preserve">Time constraints, lack of training, and insufficient resources were </w:t>
            </w:r>
            <w:r w:rsidRPr="00641A5E">
              <w:rPr>
                <w:rFonts w:ascii="Arial" w:eastAsia="Arial" w:hAnsi="Arial" w:cs="Arial"/>
                <w:lang w:val="en-IN"/>
              </w:rPr>
              <w:lastRenderedPageBreak/>
              <w:t>identified as major barriers. Effective education improved patient awareness and engagement in fall prevention practices.</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lastRenderedPageBreak/>
              <w:t xml:space="preserve">Improved professional training and organisational support are essential to enhance falls </w:t>
            </w:r>
            <w:r w:rsidRPr="00641A5E">
              <w:rPr>
                <w:rFonts w:ascii="Arial" w:eastAsia="Arial" w:hAnsi="Arial" w:cs="Arial"/>
                <w:lang w:val="en-IN"/>
              </w:rPr>
              <w:lastRenderedPageBreak/>
              <w:t>prevention education and patient participation.</w:t>
            </w:r>
          </w:p>
        </w:tc>
      </w:tr>
      <w:tr w:rsidR="00641A5E" w:rsidRPr="00641A5E" w:rsidTr="00641A5E">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lastRenderedPageBreak/>
              <w:t>Fordham et al., 2025</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Qualitative investigation</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Social prescribing after physiotherapy rehabilitation</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The study explored how social prescribers supported older adults in maintaining participation in strength and balance programmes after discharge from physiotherapy services.</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Social prescribing improved adherence to exercise programmes and encouraged continued participation in community-based physical activities.</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Social prescribing can enhance long-term engagement in falls prevention activities after physiotherapy rehabilitation.</w:t>
            </w:r>
          </w:p>
        </w:tc>
      </w:tr>
      <w:tr w:rsidR="00641A5E" w:rsidRPr="00641A5E" w:rsidTr="00641A5E">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Vilpunaho et al., 2019</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RCT protocol</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Municipal fall prevention exercise programme</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 xml:space="preserve">This protocol outlined a large-scale municipal exercise programme </w:t>
            </w:r>
            <w:r w:rsidRPr="00641A5E">
              <w:rPr>
                <w:rFonts w:ascii="Arial" w:eastAsia="Arial" w:hAnsi="Arial" w:cs="Arial"/>
                <w:lang w:val="en-IN"/>
              </w:rPr>
              <w:lastRenderedPageBreak/>
              <w:t>designed to reduce fall incidence among community-dwelling older women through structured physical activity interventions.</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lastRenderedPageBreak/>
              <w:t xml:space="preserve">The programme aimed to evaluate reductions in falls, </w:t>
            </w:r>
            <w:r w:rsidRPr="00641A5E">
              <w:rPr>
                <w:rFonts w:ascii="Arial" w:eastAsia="Arial" w:hAnsi="Arial" w:cs="Arial"/>
                <w:lang w:val="en-IN"/>
              </w:rPr>
              <w:lastRenderedPageBreak/>
              <w:t>improvements in balance, and increased physical activity participation.</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lastRenderedPageBreak/>
              <w:t xml:space="preserve">Large-scale community exercise programmes may contribute significantly to </w:t>
            </w:r>
            <w:r w:rsidRPr="00641A5E">
              <w:rPr>
                <w:rFonts w:ascii="Arial" w:eastAsia="Arial" w:hAnsi="Arial" w:cs="Arial"/>
                <w:lang w:val="en-IN"/>
              </w:rPr>
              <w:lastRenderedPageBreak/>
              <w:t>public health approaches for falls prevention.</w:t>
            </w:r>
          </w:p>
        </w:tc>
      </w:tr>
      <w:tr w:rsidR="00641A5E" w:rsidRPr="00641A5E" w:rsidTr="00641A5E">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lastRenderedPageBreak/>
              <w:t>Sherrington et al., 2008</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Rapid review</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Physical activity recommendations for falls prevention</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This rapid review synthesised evidence regarding physical activity interventions that effectively prevent falls in older adults.</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Exercise programmes focusing on balance, strength, and functional movement significantly reduced fall risk among older adults.</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Evidence-based exercise recommendations should guide physiotherapy practice in falls prevention programmes.</w:t>
            </w:r>
          </w:p>
        </w:tc>
      </w:tr>
      <w:tr w:rsidR="00641A5E" w:rsidRPr="00641A5E" w:rsidTr="00641A5E">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Bjerk et al., 2017</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RCT study protocol</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Home-based falls prevention programme</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 xml:space="preserve">This study protocol examined the impact of a home-based falls prevention programme on quality of life, physical function, and </w:t>
            </w:r>
            <w:r w:rsidRPr="00641A5E">
              <w:rPr>
                <w:rFonts w:ascii="Arial" w:eastAsia="Arial" w:hAnsi="Arial" w:cs="Arial"/>
                <w:lang w:val="en-IN"/>
              </w:rPr>
              <w:lastRenderedPageBreak/>
              <w:t>falls efficacy among older adults receiving home care services.</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lastRenderedPageBreak/>
              <w:t xml:space="preserve">The intervention was expected to improve physical functioning, confidence, and independence while </w:t>
            </w:r>
            <w:r w:rsidRPr="00641A5E">
              <w:rPr>
                <w:rFonts w:ascii="Arial" w:eastAsia="Arial" w:hAnsi="Arial" w:cs="Arial"/>
                <w:lang w:val="en-IN"/>
              </w:rPr>
              <w:lastRenderedPageBreak/>
              <w:t>reducing fall risk.</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lastRenderedPageBreak/>
              <w:t>Home-based physiotherapy interventions may provide effective support for falls prevention in vulnerable older populations.</w:t>
            </w:r>
          </w:p>
        </w:tc>
      </w:tr>
      <w:tr w:rsidR="00641A5E" w:rsidRPr="00641A5E" w:rsidTr="00641A5E">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lastRenderedPageBreak/>
              <w:t>Baez et al., 2017</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Randomized pilot trial</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Online group exercise programme for older adults</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This pilot trial investigated the effects of online group exercise sessions on the physical, psychological, and social wellbeing of older adults.</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Participants demonstrated improvements in physical wellbeing, social interaction, and psychological health through online exercise participation.</w:t>
            </w:r>
          </w:p>
        </w:tc>
        <w:tc>
          <w:tcPr>
            <w:tcW w:w="0" w:type="auto"/>
            <w:hideMark/>
          </w:tcPr>
          <w:p w:rsidR="00641A5E" w:rsidRPr="00641A5E" w:rsidRDefault="00641A5E" w:rsidP="00641A5E">
            <w:pPr>
              <w:widowControl w:val="0"/>
              <w:autoSpaceDE w:val="0"/>
              <w:autoSpaceDN w:val="0"/>
              <w:spacing w:line="360" w:lineRule="auto"/>
              <w:jc w:val="both"/>
              <w:rPr>
                <w:rFonts w:ascii="Arial" w:eastAsia="Arial" w:hAnsi="Arial" w:cs="Arial"/>
                <w:lang w:val="en-IN"/>
              </w:rPr>
            </w:pPr>
            <w:r w:rsidRPr="00641A5E">
              <w:rPr>
                <w:rFonts w:ascii="Arial" w:eastAsia="Arial" w:hAnsi="Arial" w:cs="Arial"/>
                <w:lang w:val="en-IN"/>
              </w:rPr>
              <w:t>Digital physiotherapy and online exercise interventions can effectively support falls prevention and wellbeing remotely.</w:t>
            </w:r>
          </w:p>
        </w:tc>
      </w:tr>
    </w:tbl>
    <w:p w:rsidR="00641A5E" w:rsidRPr="000144B0" w:rsidRDefault="00641A5E" w:rsidP="00774AB1">
      <w:pPr>
        <w:spacing w:line="360" w:lineRule="auto"/>
        <w:jc w:val="both"/>
        <w:rPr>
          <w:rFonts w:ascii="Arial" w:eastAsia="Arial" w:hAnsi="Arial" w:cs="Arial"/>
        </w:rPr>
      </w:pPr>
    </w:p>
    <w:p w:rsidR="00170945" w:rsidRPr="000144B0" w:rsidRDefault="00170945" w:rsidP="00774AB1">
      <w:pPr>
        <w:pStyle w:val="Heading4"/>
        <w:rPr>
          <w:rFonts w:cs="Arial"/>
          <w:b w:val="0"/>
        </w:rPr>
      </w:pPr>
      <w:bookmarkStart w:id="72" w:name="_heading=h.328825cxtynv" w:colFirst="0" w:colLast="0"/>
      <w:bookmarkStart w:id="73" w:name="_Toc228308085"/>
      <w:bookmarkEnd w:id="72"/>
      <w:r w:rsidRPr="000144B0">
        <w:rPr>
          <w:rFonts w:cs="Arial"/>
        </w:rPr>
        <w:t xml:space="preserve">Table </w:t>
      </w:r>
      <w:r w:rsidR="00774AB1" w:rsidRPr="000144B0">
        <w:rPr>
          <w:rFonts w:cs="Arial"/>
          <w:b w:val="0"/>
        </w:rPr>
        <w:t>3.</w:t>
      </w:r>
      <w:r w:rsidRPr="000144B0">
        <w:rPr>
          <w:rFonts w:cs="Arial"/>
        </w:rPr>
        <w:t>1: SLR</w:t>
      </w:r>
      <w:bookmarkEnd w:id="73"/>
    </w:p>
    <w:p w:rsidR="00170945" w:rsidRPr="000144B0" w:rsidRDefault="00170945" w:rsidP="00774AB1">
      <w:pPr>
        <w:spacing w:line="360" w:lineRule="auto"/>
        <w:jc w:val="center"/>
        <w:rPr>
          <w:rFonts w:ascii="Arial" w:eastAsia="Arial" w:hAnsi="Arial" w:cs="Arial"/>
        </w:rPr>
      </w:pPr>
      <w:r w:rsidRPr="000144B0">
        <w:rPr>
          <w:rFonts w:ascii="Arial" w:eastAsia="Arial" w:hAnsi="Arial" w:cs="Arial"/>
        </w:rPr>
        <w:t>(Source: Self</w:t>
      </w:r>
      <w:r w:rsidR="00774AB1" w:rsidRPr="000144B0">
        <w:rPr>
          <w:rFonts w:ascii="Arial" w:eastAsia="Arial" w:hAnsi="Arial" w:cs="Arial"/>
        </w:rPr>
        <w:t xml:space="preserve"> developed</w:t>
      </w:r>
      <w:r w:rsidRPr="000144B0">
        <w:rPr>
          <w:rFonts w:ascii="Arial" w:eastAsia="Arial" w:hAnsi="Arial" w:cs="Arial"/>
        </w:rPr>
        <w:t>)</w:t>
      </w:r>
    </w:p>
    <w:p w:rsidR="00170945" w:rsidRPr="000144B0" w:rsidRDefault="00170945" w:rsidP="00774AB1">
      <w:pPr>
        <w:pStyle w:val="Heading2"/>
        <w:rPr>
          <w:rFonts w:cs="Arial"/>
        </w:rPr>
      </w:pPr>
      <w:bookmarkStart w:id="74" w:name="_heading=h.yyquip91rwpt" w:colFirst="0" w:colLast="0"/>
      <w:bookmarkStart w:id="75" w:name="_Toc228352770"/>
      <w:bookmarkEnd w:id="74"/>
      <w:r w:rsidRPr="000144B0">
        <w:rPr>
          <w:rFonts w:cs="Arial"/>
        </w:rPr>
        <w:t>3.3 Search Strategy</w:t>
      </w:r>
      <w:bookmarkEnd w:id="75"/>
    </w:p>
    <w:p w:rsidR="00170945" w:rsidRPr="00454396" w:rsidRDefault="00170945" w:rsidP="00774AB1">
      <w:pPr>
        <w:spacing w:line="360" w:lineRule="auto"/>
        <w:jc w:val="both"/>
        <w:rPr>
          <w:rFonts w:ascii="Arial" w:eastAsia="Arial" w:hAnsi="Arial" w:cs="Arial"/>
          <w:lang w:val="en-IN"/>
        </w:rPr>
      </w:pPr>
      <w:r w:rsidRPr="000144B0">
        <w:rPr>
          <w:rFonts w:ascii="Arial" w:eastAsia="Arial" w:hAnsi="Arial" w:cs="Arial"/>
        </w:rPr>
        <w:t>Relevant literature pertaining to the topic was found through a systematic search strategy that focused on the existing literature on the use of the community physiotherapists in leading fall prevention measures to work with elderly</w:t>
      </w:r>
      <w:r w:rsidR="00454396" w:rsidRPr="00454396">
        <w:rPr>
          <w:rFonts w:ascii="Arial" w:eastAsia="Arial" w:hAnsi="Arial" w:cs="Arial"/>
          <w:lang w:val="en-IN"/>
        </w:rPr>
        <w:t>(Bramer et al., 2018)</w:t>
      </w:r>
      <w:r w:rsidRPr="000144B0">
        <w:rPr>
          <w:rFonts w:ascii="Arial" w:eastAsia="Arial" w:hAnsi="Arial" w:cs="Arial"/>
        </w:rPr>
        <w:t xml:space="preserve">. Both peer-reviewed journals and grey literature were used in the strategy to provide comprehensiveness and relevance. The review selected the studies published between 2008 and 2025 as the most current evidence and practise, to discuss recent developments. The search strategy utilised a three-step process, which was identification, screening, and selection. </w:t>
      </w:r>
    </w:p>
    <w:p w:rsidR="00170945" w:rsidRPr="000144B0" w:rsidRDefault="00170945" w:rsidP="00774AB1">
      <w:pPr>
        <w:pStyle w:val="Heading2"/>
        <w:rPr>
          <w:rFonts w:cs="Arial"/>
        </w:rPr>
      </w:pPr>
      <w:bookmarkStart w:id="76" w:name="_heading=h.matuwf7oapj2" w:colFirst="0" w:colLast="0"/>
      <w:bookmarkStart w:id="77" w:name="_Toc228352771"/>
      <w:bookmarkEnd w:id="76"/>
      <w:r w:rsidRPr="000144B0">
        <w:rPr>
          <w:rFonts w:cs="Arial"/>
        </w:rPr>
        <w:t>3.4 Search terms</w:t>
      </w:r>
      <w:bookmarkEnd w:id="77"/>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The combination of controlled vocabulary (MeSH terms) and free-text terms was applied to </w:t>
      </w:r>
      <w:r w:rsidRPr="000144B0">
        <w:rPr>
          <w:rFonts w:ascii="Arial" w:eastAsia="Arial" w:hAnsi="Arial" w:cs="Arial"/>
        </w:rPr>
        <w:lastRenderedPageBreak/>
        <w:t>obtain a very broad relevant literature. The search terms were; falls prevention, older adults, community physiotherapy, exercise intervention, balance training, primary care, social care. Terms were combined with the help of Boolean operators (AND, OR) to take advantage of this, like older adults AND falls prevention AND physiotherapy. The spelling and terminology differences were taken into consideration through truncation and the use of wildcards, such as physiotherapy to capture physiotherapy, physiotherapist and physiotherapists*.</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b/>
          <w:bCs/>
        </w:rPr>
        <w:t>PICO Framework</w:t>
      </w:r>
    </w:p>
    <w:tbl>
      <w:tblPr>
        <w:tblW w:w="8880" w:type="dxa"/>
        <w:tblInd w:w="-100" w:type="dxa"/>
        <w:tblBorders>
          <w:top w:val="nil"/>
          <w:left w:val="nil"/>
          <w:bottom w:val="nil"/>
          <w:right w:val="nil"/>
          <w:insideH w:val="nil"/>
          <w:insideV w:val="nil"/>
        </w:tblBorders>
        <w:tblLayout w:type="fixed"/>
        <w:tblLook w:val="0600"/>
      </w:tblPr>
      <w:tblGrid>
        <w:gridCol w:w="1980"/>
        <w:gridCol w:w="6900"/>
      </w:tblGrid>
      <w:tr w:rsidR="00170945" w:rsidRPr="000144B0" w:rsidTr="00E44A1F">
        <w:trPr>
          <w:trHeight w:val="735"/>
        </w:trPr>
        <w:tc>
          <w:tcPr>
            <w:tcW w:w="198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170945" w:rsidRPr="000144B0" w:rsidRDefault="00170945" w:rsidP="00774AB1">
            <w:pPr>
              <w:spacing w:before="240" w:after="240" w:line="360" w:lineRule="auto"/>
              <w:jc w:val="both"/>
              <w:rPr>
                <w:rFonts w:ascii="Arial" w:eastAsia="Arial" w:hAnsi="Arial" w:cs="Arial"/>
                <w:b/>
                <w:bCs/>
              </w:rPr>
            </w:pPr>
            <w:r w:rsidRPr="000144B0">
              <w:rPr>
                <w:rFonts w:ascii="Arial" w:eastAsia="Arial" w:hAnsi="Arial" w:cs="Arial"/>
                <w:b/>
                <w:bCs/>
              </w:rPr>
              <w:t>PICO Component</w:t>
            </w:r>
          </w:p>
        </w:tc>
        <w:tc>
          <w:tcPr>
            <w:tcW w:w="690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170945" w:rsidRPr="000144B0" w:rsidRDefault="00170945" w:rsidP="00774AB1">
            <w:pPr>
              <w:spacing w:before="240" w:after="240" w:line="360" w:lineRule="auto"/>
              <w:jc w:val="both"/>
              <w:rPr>
                <w:rFonts w:ascii="Arial" w:eastAsia="Arial" w:hAnsi="Arial" w:cs="Arial"/>
                <w:b/>
                <w:bCs/>
              </w:rPr>
            </w:pPr>
            <w:r w:rsidRPr="000144B0">
              <w:rPr>
                <w:rFonts w:ascii="Arial" w:eastAsia="Arial" w:hAnsi="Arial" w:cs="Arial"/>
                <w:b/>
                <w:bCs/>
              </w:rPr>
              <w:t>Description</w:t>
            </w:r>
          </w:p>
        </w:tc>
      </w:tr>
      <w:tr w:rsidR="00170945" w:rsidRPr="000144B0" w:rsidTr="00E44A1F">
        <w:trPr>
          <w:trHeight w:val="735"/>
        </w:trPr>
        <w:tc>
          <w:tcPr>
            <w:tcW w:w="198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70945" w:rsidRPr="000144B0" w:rsidRDefault="00170945" w:rsidP="00774AB1">
            <w:pPr>
              <w:spacing w:before="240" w:after="240" w:line="360" w:lineRule="auto"/>
              <w:jc w:val="both"/>
              <w:rPr>
                <w:rFonts w:ascii="Arial" w:eastAsia="Arial" w:hAnsi="Arial" w:cs="Arial"/>
              </w:rPr>
            </w:pPr>
            <w:r w:rsidRPr="000144B0">
              <w:rPr>
                <w:rFonts w:ascii="Arial" w:eastAsia="Arial" w:hAnsi="Arial" w:cs="Arial"/>
              </w:rPr>
              <w:t>Population / Problem</w:t>
            </w:r>
          </w:p>
        </w:tc>
        <w:tc>
          <w:tcPr>
            <w:tcW w:w="6900" w:type="dxa"/>
            <w:tcBorders>
              <w:top w:val="nil"/>
              <w:left w:val="nil"/>
              <w:bottom w:val="single" w:sz="5" w:space="0" w:color="000000"/>
              <w:right w:val="single" w:sz="5" w:space="0" w:color="000000"/>
            </w:tcBorders>
            <w:tcMar>
              <w:top w:w="0" w:type="dxa"/>
              <w:left w:w="100" w:type="dxa"/>
              <w:bottom w:w="0" w:type="dxa"/>
              <w:right w:w="100" w:type="dxa"/>
            </w:tcMar>
          </w:tcPr>
          <w:p w:rsidR="00170945" w:rsidRPr="000144B0" w:rsidRDefault="00006CBA" w:rsidP="00774AB1">
            <w:pPr>
              <w:spacing w:before="240" w:after="240" w:line="360" w:lineRule="auto"/>
              <w:jc w:val="both"/>
              <w:rPr>
                <w:rFonts w:ascii="Arial" w:eastAsia="Arial" w:hAnsi="Arial" w:cs="Arial"/>
              </w:rPr>
            </w:pPr>
            <w:sdt>
              <w:sdtPr>
                <w:rPr>
                  <w:rFonts w:ascii="Arial" w:hAnsi="Arial" w:cs="Arial"/>
                </w:rPr>
                <w:tag w:val="goog_rdk_0"/>
                <w:id w:val="1440898021"/>
              </w:sdtPr>
              <w:sdtContent>
                <w:r w:rsidR="00170945" w:rsidRPr="000144B0">
                  <w:rPr>
                    <w:rFonts w:ascii="Arial" w:eastAsia="Arial Unicode MS" w:hAnsi="Arial" w:cs="Arial"/>
                  </w:rPr>
                  <w:t>Older adults (≥60 years) at risk of falls within the community settings</w:t>
                </w:r>
              </w:sdtContent>
            </w:sdt>
          </w:p>
        </w:tc>
      </w:tr>
      <w:tr w:rsidR="00170945" w:rsidRPr="000144B0" w:rsidTr="00E44A1F">
        <w:trPr>
          <w:trHeight w:val="735"/>
        </w:trPr>
        <w:tc>
          <w:tcPr>
            <w:tcW w:w="198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70945" w:rsidRPr="000144B0" w:rsidRDefault="00170945" w:rsidP="00774AB1">
            <w:pPr>
              <w:spacing w:before="240" w:after="240" w:line="360" w:lineRule="auto"/>
              <w:jc w:val="both"/>
              <w:rPr>
                <w:rFonts w:ascii="Arial" w:eastAsia="Arial" w:hAnsi="Arial" w:cs="Arial"/>
              </w:rPr>
            </w:pPr>
            <w:r w:rsidRPr="000144B0">
              <w:rPr>
                <w:rFonts w:ascii="Arial" w:eastAsia="Arial" w:hAnsi="Arial" w:cs="Arial"/>
              </w:rPr>
              <w:t>Intervention / Issue</w:t>
            </w:r>
          </w:p>
        </w:tc>
        <w:tc>
          <w:tcPr>
            <w:tcW w:w="6900" w:type="dxa"/>
            <w:tcBorders>
              <w:top w:val="nil"/>
              <w:left w:val="nil"/>
              <w:bottom w:val="single" w:sz="5" w:space="0" w:color="000000"/>
              <w:right w:val="single" w:sz="5" w:space="0" w:color="000000"/>
            </w:tcBorders>
            <w:tcMar>
              <w:top w:w="0" w:type="dxa"/>
              <w:left w:w="100" w:type="dxa"/>
              <w:bottom w:w="0" w:type="dxa"/>
              <w:right w:w="100" w:type="dxa"/>
            </w:tcMar>
          </w:tcPr>
          <w:p w:rsidR="00170945" w:rsidRPr="000144B0" w:rsidRDefault="00170945" w:rsidP="00774AB1">
            <w:pPr>
              <w:spacing w:before="240" w:after="240" w:line="360" w:lineRule="auto"/>
              <w:jc w:val="both"/>
              <w:rPr>
                <w:rFonts w:ascii="Arial" w:eastAsia="Arial" w:hAnsi="Arial" w:cs="Arial"/>
              </w:rPr>
            </w:pPr>
            <w:r w:rsidRPr="000144B0">
              <w:rPr>
                <w:rFonts w:ascii="Arial" w:eastAsia="Arial" w:hAnsi="Arial" w:cs="Arial"/>
              </w:rPr>
              <w:t>Community physiotherapist-led exercise, balance, as well as strength programs</w:t>
            </w:r>
          </w:p>
        </w:tc>
      </w:tr>
      <w:tr w:rsidR="00170945" w:rsidRPr="000144B0" w:rsidTr="00E44A1F">
        <w:trPr>
          <w:trHeight w:val="735"/>
        </w:trPr>
        <w:tc>
          <w:tcPr>
            <w:tcW w:w="198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70945" w:rsidRPr="000144B0" w:rsidRDefault="00170945" w:rsidP="00774AB1">
            <w:pPr>
              <w:spacing w:before="240" w:after="240" w:line="360" w:lineRule="auto"/>
              <w:jc w:val="both"/>
              <w:rPr>
                <w:rFonts w:ascii="Arial" w:eastAsia="Arial" w:hAnsi="Arial" w:cs="Arial"/>
              </w:rPr>
            </w:pPr>
            <w:r w:rsidRPr="000144B0">
              <w:rPr>
                <w:rFonts w:ascii="Arial" w:eastAsia="Arial" w:hAnsi="Arial" w:cs="Arial"/>
              </w:rPr>
              <w:t>Context</w:t>
            </w:r>
          </w:p>
        </w:tc>
        <w:tc>
          <w:tcPr>
            <w:tcW w:w="6900" w:type="dxa"/>
            <w:tcBorders>
              <w:top w:val="nil"/>
              <w:left w:val="nil"/>
              <w:bottom w:val="single" w:sz="5" w:space="0" w:color="000000"/>
              <w:right w:val="single" w:sz="5" w:space="0" w:color="000000"/>
            </w:tcBorders>
            <w:tcMar>
              <w:top w:w="0" w:type="dxa"/>
              <w:left w:w="100" w:type="dxa"/>
              <w:bottom w:w="0" w:type="dxa"/>
              <w:right w:w="100" w:type="dxa"/>
            </w:tcMar>
          </w:tcPr>
          <w:p w:rsidR="00170945" w:rsidRPr="000144B0" w:rsidRDefault="00170945" w:rsidP="00774AB1">
            <w:pPr>
              <w:spacing w:before="240" w:after="240" w:line="360" w:lineRule="auto"/>
              <w:jc w:val="both"/>
              <w:rPr>
                <w:rFonts w:ascii="Arial" w:eastAsia="Arial" w:hAnsi="Arial" w:cs="Arial"/>
              </w:rPr>
            </w:pPr>
            <w:r w:rsidRPr="000144B0">
              <w:rPr>
                <w:rFonts w:ascii="Arial" w:eastAsia="Arial" w:hAnsi="Arial" w:cs="Arial"/>
              </w:rPr>
              <w:t>Primary care, home-based, along with social care settings in the United Kingdom</w:t>
            </w:r>
          </w:p>
        </w:tc>
      </w:tr>
      <w:tr w:rsidR="00170945" w:rsidRPr="000144B0" w:rsidTr="00E44A1F">
        <w:trPr>
          <w:trHeight w:val="735"/>
        </w:trPr>
        <w:tc>
          <w:tcPr>
            <w:tcW w:w="198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70945" w:rsidRPr="000144B0" w:rsidRDefault="00170945" w:rsidP="00774AB1">
            <w:pPr>
              <w:spacing w:before="240" w:after="240" w:line="360" w:lineRule="auto"/>
              <w:jc w:val="both"/>
              <w:rPr>
                <w:rFonts w:ascii="Arial" w:eastAsia="Arial" w:hAnsi="Arial" w:cs="Arial"/>
              </w:rPr>
            </w:pPr>
            <w:r w:rsidRPr="000144B0">
              <w:rPr>
                <w:rFonts w:ascii="Arial" w:eastAsia="Arial" w:hAnsi="Arial" w:cs="Arial"/>
              </w:rPr>
              <w:t>Outcome</w:t>
            </w:r>
          </w:p>
        </w:tc>
        <w:tc>
          <w:tcPr>
            <w:tcW w:w="6900" w:type="dxa"/>
            <w:tcBorders>
              <w:top w:val="nil"/>
              <w:left w:val="nil"/>
              <w:bottom w:val="single" w:sz="5" w:space="0" w:color="000000"/>
              <w:right w:val="single" w:sz="5" w:space="0" w:color="000000"/>
            </w:tcBorders>
            <w:tcMar>
              <w:top w:w="0" w:type="dxa"/>
              <w:left w:w="100" w:type="dxa"/>
              <w:bottom w:w="0" w:type="dxa"/>
              <w:right w:w="100" w:type="dxa"/>
            </w:tcMar>
          </w:tcPr>
          <w:p w:rsidR="00170945" w:rsidRPr="000144B0" w:rsidRDefault="00170945" w:rsidP="00774AB1">
            <w:pPr>
              <w:spacing w:before="240" w:after="240" w:line="360" w:lineRule="auto"/>
              <w:jc w:val="both"/>
              <w:rPr>
                <w:rFonts w:ascii="Arial" w:eastAsia="Arial" w:hAnsi="Arial" w:cs="Arial"/>
              </w:rPr>
            </w:pPr>
            <w:r w:rsidRPr="000144B0">
              <w:rPr>
                <w:rFonts w:ascii="Arial" w:eastAsia="Arial" w:hAnsi="Arial" w:cs="Arial"/>
              </w:rPr>
              <w:t>Reduced fall incidence, improved balance, mobility, functional independence, and quality of life</w:t>
            </w:r>
          </w:p>
        </w:tc>
      </w:tr>
    </w:tbl>
    <w:p w:rsidR="00170945" w:rsidRPr="000144B0" w:rsidRDefault="00170945" w:rsidP="00774AB1">
      <w:pPr>
        <w:pStyle w:val="Heading4"/>
        <w:rPr>
          <w:rFonts w:cs="Arial"/>
        </w:rPr>
      </w:pPr>
      <w:bookmarkStart w:id="78" w:name="_Toc228308086"/>
      <w:r w:rsidRPr="000144B0">
        <w:rPr>
          <w:rFonts w:cs="Arial"/>
        </w:rPr>
        <w:t xml:space="preserve">Table </w:t>
      </w:r>
      <w:r w:rsidR="00774AB1" w:rsidRPr="000144B0">
        <w:rPr>
          <w:rFonts w:cs="Arial"/>
        </w:rPr>
        <w:t>3.</w:t>
      </w:r>
      <w:r w:rsidRPr="000144B0">
        <w:rPr>
          <w:rFonts w:cs="Arial"/>
        </w:rPr>
        <w:t>2: PICO</w:t>
      </w:r>
      <w:bookmarkEnd w:id="78"/>
    </w:p>
    <w:p w:rsidR="00170945" w:rsidRPr="000144B0" w:rsidRDefault="00170945" w:rsidP="00774AB1">
      <w:pPr>
        <w:spacing w:line="360" w:lineRule="auto"/>
        <w:jc w:val="center"/>
        <w:rPr>
          <w:rFonts w:ascii="Arial" w:eastAsia="Arial" w:hAnsi="Arial" w:cs="Arial"/>
        </w:rPr>
      </w:pPr>
      <w:r w:rsidRPr="000144B0">
        <w:rPr>
          <w:rFonts w:ascii="Arial" w:eastAsia="Arial" w:hAnsi="Arial" w:cs="Arial"/>
        </w:rPr>
        <w:t>(Source: Self</w:t>
      </w:r>
      <w:r w:rsidR="00774AB1" w:rsidRPr="000144B0">
        <w:rPr>
          <w:rFonts w:ascii="Arial" w:eastAsia="Arial" w:hAnsi="Arial" w:cs="Arial"/>
        </w:rPr>
        <w:t>-developed</w:t>
      </w:r>
      <w:r w:rsidRPr="000144B0">
        <w:rPr>
          <w:rFonts w:ascii="Arial" w:eastAsia="Arial" w:hAnsi="Arial" w:cs="Arial"/>
        </w:rPr>
        <w:t>)</w:t>
      </w:r>
    </w:p>
    <w:p w:rsidR="00170945" w:rsidRPr="000144B0" w:rsidRDefault="00170945" w:rsidP="00774AB1">
      <w:pPr>
        <w:pStyle w:val="Heading2"/>
        <w:rPr>
          <w:rFonts w:cs="Arial"/>
        </w:rPr>
      </w:pPr>
      <w:bookmarkStart w:id="79" w:name="_heading=h.5y4h79fh7vz0" w:colFirst="0" w:colLast="0"/>
      <w:bookmarkStart w:id="80" w:name="_Toc228352772"/>
      <w:bookmarkEnd w:id="79"/>
      <w:r w:rsidRPr="000144B0">
        <w:rPr>
          <w:rFonts w:cs="Arial"/>
        </w:rPr>
        <w:t>3.5 Key Words</w:t>
      </w:r>
      <w:bookmarkEnd w:id="80"/>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The keywords that were used to search included:</w:t>
      </w:r>
    </w:p>
    <w:p w:rsidR="00170945" w:rsidRPr="000144B0" w:rsidRDefault="00170945" w:rsidP="00774AB1">
      <w:pPr>
        <w:widowControl/>
        <w:numPr>
          <w:ilvl w:val="0"/>
          <w:numId w:val="26"/>
        </w:numPr>
        <w:autoSpaceDE/>
        <w:autoSpaceDN/>
        <w:spacing w:line="360" w:lineRule="auto"/>
        <w:jc w:val="both"/>
        <w:rPr>
          <w:rFonts w:ascii="Arial" w:hAnsi="Arial" w:cs="Arial"/>
        </w:rPr>
      </w:pPr>
      <w:r w:rsidRPr="000144B0">
        <w:rPr>
          <w:rFonts w:ascii="Arial" w:eastAsia="Arial" w:hAnsi="Arial" w:cs="Arial"/>
          <w:b/>
          <w:bCs/>
          <w:i/>
          <w:iCs/>
        </w:rPr>
        <w:t>Population</w:t>
      </w:r>
      <w:r w:rsidRPr="000144B0">
        <w:rPr>
          <w:rFonts w:ascii="Arial" w:eastAsia="Arial" w:hAnsi="Arial" w:cs="Arial"/>
        </w:rPr>
        <w:t>: geriatric patients, older persons and seniors.</w:t>
      </w:r>
    </w:p>
    <w:p w:rsidR="00170945" w:rsidRPr="000144B0" w:rsidRDefault="00170945" w:rsidP="00774AB1">
      <w:pPr>
        <w:widowControl/>
        <w:numPr>
          <w:ilvl w:val="0"/>
          <w:numId w:val="26"/>
        </w:numPr>
        <w:autoSpaceDE/>
        <w:autoSpaceDN/>
        <w:spacing w:line="360" w:lineRule="auto"/>
        <w:jc w:val="both"/>
        <w:rPr>
          <w:rFonts w:ascii="Arial" w:hAnsi="Arial" w:cs="Arial"/>
        </w:rPr>
      </w:pPr>
      <w:r w:rsidRPr="000144B0">
        <w:rPr>
          <w:rFonts w:ascii="Arial" w:eastAsia="Arial" w:hAnsi="Arial" w:cs="Arial"/>
          <w:b/>
          <w:bCs/>
          <w:i/>
          <w:iCs/>
        </w:rPr>
        <w:t xml:space="preserve">Interventions </w:t>
      </w:r>
      <w:r w:rsidRPr="000144B0">
        <w:rPr>
          <w:rFonts w:ascii="Arial" w:eastAsia="Arial" w:hAnsi="Arial" w:cs="Arial"/>
        </w:rPr>
        <w:t>Physiotherapy, exercise programme, balance training, Otago Exercise Programme, strength training.</w:t>
      </w:r>
    </w:p>
    <w:p w:rsidR="00170945" w:rsidRPr="000144B0" w:rsidRDefault="00170945" w:rsidP="00774AB1">
      <w:pPr>
        <w:widowControl/>
        <w:numPr>
          <w:ilvl w:val="0"/>
          <w:numId w:val="26"/>
        </w:numPr>
        <w:autoSpaceDE/>
        <w:autoSpaceDN/>
        <w:spacing w:line="360" w:lineRule="auto"/>
        <w:jc w:val="both"/>
        <w:rPr>
          <w:rFonts w:ascii="Arial" w:hAnsi="Arial" w:cs="Arial"/>
        </w:rPr>
      </w:pPr>
      <w:r w:rsidRPr="000144B0">
        <w:rPr>
          <w:rFonts w:ascii="Arial" w:eastAsia="Arial" w:hAnsi="Arial" w:cs="Arial"/>
          <w:b/>
          <w:bCs/>
          <w:i/>
          <w:iCs/>
        </w:rPr>
        <w:t>Outcome</w:t>
      </w:r>
      <w:r w:rsidRPr="000144B0">
        <w:rPr>
          <w:rFonts w:ascii="Arial" w:eastAsia="Arial" w:hAnsi="Arial" w:cs="Arial"/>
        </w:rPr>
        <w:t>: falls, fall threat, functional mobility, mobility.</w:t>
      </w:r>
    </w:p>
    <w:p w:rsidR="00170945" w:rsidRPr="000144B0" w:rsidRDefault="00170945" w:rsidP="00774AB1">
      <w:pPr>
        <w:widowControl/>
        <w:numPr>
          <w:ilvl w:val="0"/>
          <w:numId w:val="26"/>
        </w:numPr>
        <w:autoSpaceDE/>
        <w:autoSpaceDN/>
        <w:spacing w:line="360" w:lineRule="auto"/>
        <w:jc w:val="both"/>
        <w:rPr>
          <w:rFonts w:ascii="Arial" w:hAnsi="Arial" w:cs="Arial"/>
        </w:rPr>
      </w:pPr>
      <w:r w:rsidRPr="000144B0">
        <w:rPr>
          <w:rFonts w:ascii="Arial" w:eastAsia="Arial" w:hAnsi="Arial" w:cs="Arial"/>
          <w:b/>
          <w:bCs/>
          <w:i/>
          <w:iCs/>
        </w:rPr>
        <w:t>Setting</w:t>
      </w:r>
      <w:r w:rsidRPr="000144B0">
        <w:rPr>
          <w:rFonts w:ascii="Arial" w:eastAsia="Arial" w:hAnsi="Arial" w:cs="Arial"/>
        </w:rPr>
        <w:t>: primary care, social care, community, home based care.</w:t>
      </w:r>
    </w:p>
    <w:p w:rsidR="00170945" w:rsidRPr="000144B0" w:rsidRDefault="00170945" w:rsidP="00774AB1">
      <w:pPr>
        <w:widowControl/>
        <w:numPr>
          <w:ilvl w:val="0"/>
          <w:numId w:val="26"/>
        </w:numPr>
        <w:autoSpaceDE/>
        <w:autoSpaceDN/>
        <w:spacing w:line="360" w:lineRule="auto"/>
        <w:jc w:val="both"/>
        <w:rPr>
          <w:rFonts w:ascii="Arial" w:hAnsi="Arial" w:cs="Arial"/>
        </w:rPr>
      </w:pPr>
      <w:bookmarkStart w:id="81" w:name="_heading=h.z5d34fs0434w" w:colFirst="0" w:colLast="0"/>
      <w:bookmarkEnd w:id="81"/>
      <w:r w:rsidRPr="000144B0">
        <w:rPr>
          <w:rFonts w:ascii="Arial" w:eastAsia="Arial" w:hAnsi="Arial" w:cs="Arial"/>
          <w:b/>
          <w:bCs/>
          <w:i/>
          <w:iCs/>
        </w:rPr>
        <w:t>Study Type</w:t>
      </w:r>
      <w:r w:rsidRPr="000144B0">
        <w:rPr>
          <w:rFonts w:ascii="Arial" w:eastAsia="Arial" w:hAnsi="Arial" w:cs="Arial"/>
        </w:rPr>
        <w:t xml:space="preserve">: randomised controlled trial, </w:t>
      </w:r>
    </w:p>
    <w:p w:rsidR="00170945" w:rsidRPr="000144B0" w:rsidRDefault="00170945" w:rsidP="00774AB1">
      <w:pPr>
        <w:pStyle w:val="Heading2"/>
        <w:rPr>
          <w:rFonts w:cs="Arial"/>
        </w:rPr>
      </w:pPr>
      <w:bookmarkStart w:id="82" w:name="_heading=h.71tke1gy3gq1" w:colFirst="0" w:colLast="0"/>
      <w:bookmarkStart w:id="83" w:name="_Toc228352773"/>
      <w:bookmarkEnd w:id="82"/>
      <w:r w:rsidRPr="000144B0">
        <w:rPr>
          <w:rFonts w:cs="Arial"/>
        </w:rPr>
        <w:t>3.6 Databases</w:t>
      </w:r>
      <w:bookmarkEnd w:id="83"/>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A number of electronic databases were searched, so all of the evidence was reviewed. These included:</w:t>
      </w:r>
    </w:p>
    <w:p w:rsidR="00170945" w:rsidRPr="000144B0" w:rsidRDefault="00170945" w:rsidP="00774AB1">
      <w:pPr>
        <w:widowControl/>
        <w:numPr>
          <w:ilvl w:val="0"/>
          <w:numId w:val="28"/>
        </w:numPr>
        <w:autoSpaceDE/>
        <w:autoSpaceDN/>
        <w:spacing w:line="360" w:lineRule="auto"/>
        <w:jc w:val="both"/>
        <w:rPr>
          <w:rFonts w:ascii="Arial" w:hAnsi="Arial" w:cs="Arial"/>
        </w:rPr>
      </w:pPr>
      <w:r w:rsidRPr="000144B0">
        <w:rPr>
          <w:rFonts w:ascii="Arial" w:eastAsia="Arial" w:hAnsi="Arial" w:cs="Arial"/>
          <w:b/>
          <w:bCs/>
          <w:i/>
          <w:iCs/>
        </w:rPr>
        <w:lastRenderedPageBreak/>
        <w:t>PubMed/MEDLINE</w:t>
      </w:r>
      <w:r w:rsidRPr="000144B0">
        <w:rPr>
          <w:rFonts w:ascii="Arial" w:eastAsia="Arial" w:hAnsi="Arial" w:cs="Arial"/>
        </w:rPr>
        <w:t xml:space="preserve"> - concerning biomedical and physiotherapy related research.</w:t>
      </w:r>
    </w:p>
    <w:p w:rsidR="00170945" w:rsidRPr="000144B0" w:rsidRDefault="00170945" w:rsidP="00774AB1">
      <w:pPr>
        <w:widowControl/>
        <w:numPr>
          <w:ilvl w:val="0"/>
          <w:numId w:val="28"/>
        </w:numPr>
        <w:autoSpaceDE/>
        <w:autoSpaceDN/>
        <w:spacing w:line="360" w:lineRule="auto"/>
        <w:jc w:val="both"/>
        <w:rPr>
          <w:rFonts w:ascii="Arial" w:hAnsi="Arial" w:cs="Arial"/>
        </w:rPr>
      </w:pPr>
      <w:r w:rsidRPr="000144B0">
        <w:rPr>
          <w:rFonts w:ascii="Arial" w:eastAsia="Arial" w:hAnsi="Arial" w:cs="Arial"/>
          <w:b/>
          <w:bCs/>
          <w:i/>
          <w:iCs/>
        </w:rPr>
        <w:t xml:space="preserve">CINAHL </w:t>
      </w:r>
      <w:r w:rsidRPr="000144B0">
        <w:rPr>
          <w:rFonts w:ascii="Arial" w:eastAsia="Arial" w:hAnsi="Arial" w:cs="Arial"/>
        </w:rPr>
        <w:t>- of nursing, allied health, and physiotherapy.</w:t>
      </w:r>
    </w:p>
    <w:p w:rsidR="00170945" w:rsidRPr="000144B0" w:rsidRDefault="00170945" w:rsidP="00774AB1">
      <w:pPr>
        <w:widowControl/>
        <w:numPr>
          <w:ilvl w:val="0"/>
          <w:numId w:val="28"/>
        </w:numPr>
        <w:autoSpaceDE/>
        <w:autoSpaceDN/>
        <w:spacing w:line="360" w:lineRule="auto"/>
        <w:jc w:val="both"/>
        <w:rPr>
          <w:rFonts w:ascii="Arial" w:hAnsi="Arial" w:cs="Arial"/>
        </w:rPr>
      </w:pPr>
      <w:r w:rsidRPr="000144B0">
        <w:rPr>
          <w:rFonts w:ascii="Arial" w:eastAsia="Arial" w:hAnsi="Arial" w:cs="Arial"/>
          <w:b/>
          <w:bCs/>
          <w:i/>
          <w:iCs/>
        </w:rPr>
        <w:t>Cochrane Library</w:t>
      </w:r>
      <w:r w:rsidRPr="000144B0">
        <w:rPr>
          <w:rFonts w:ascii="Arial" w:eastAsia="Arial" w:hAnsi="Arial" w:cs="Arial"/>
        </w:rPr>
        <w:t xml:space="preserve"> - to get systematic reviews and evidence of clinical trials.</w:t>
      </w:r>
    </w:p>
    <w:p w:rsidR="00170945" w:rsidRPr="000144B0" w:rsidRDefault="00170945" w:rsidP="00774AB1">
      <w:pPr>
        <w:widowControl/>
        <w:numPr>
          <w:ilvl w:val="0"/>
          <w:numId w:val="28"/>
        </w:numPr>
        <w:autoSpaceDE/>
        <w:autoSpaceDN/>
        <w:spacing w:line="360" w:lineRule="auto"/>
        <w:jc w:val="both"/>
        <w:rPr>
          <w:rFonts w:ascii="Arial" w:hAnsi="Arial" w:cs="Arial"/>
        </w:rPr>
      </w:pPr>
      <w:r w:rsidRPr="000144B0">
        <w:rPr>
          <w:rFonts w:ascii="Arial" w:eastAsia="Arial" w:hAnsi="Arial" w:cs="Arial"/>
          <w:b/>
          <w:bCs/>
          <w:i/>
          <w:iCs/>
        </w:rPr>
        <w:t>Scopus and Web of science</w:t>
      </w:r>
      <w:r w:rsidRPr="000144B0">
        <w:rPr>
          <w:rFonts w:ascii="Arial" w:eastAsia="Arial" w:hAnsi="Arial" w:cs="Arial"/>
        </w:rPr>
        <w:t xml:space="preserve"> - multidisciplinary and citation tracked studies.</w:t>
      </w:r>
    </w:p>
    <w:p w:rsidR="00170945" w:rsidRPr="000144B0" w:rsidRDefault="00170945" w:rsidP="00774AB1">
      <w:pPr>
        <w:widowControl/>
        <w:numPr>
          <w:ilvl w:val="0"/>
          <w:numId w:val="28"/>
        </w:numPr>
        <w:autoSpaceDE/>
        <w:autoSpaceDN/>
        <w:spacing w:line="360" w:lineRule="auto"/>
        <w:jc w:val="both"/>
        <w:rPr>
          <w:rFonts w:ascii="Arial" w:hAnsi="Arial" w:cs="Arial"/>
        </w:rPr>
      </w:pPr>
      <w:r w:rsidRPr="000144B0">
        <w:rPr>
          <w:rFonts w:ascii="Arial" w:eastAsia="Arial" w:hAnsi="Arial" w:cs="Arial"/>
          <w:b/>
          <w:bCs/>
          <w:i/>
          <w:iCs/>
        </w:rPr>
        <w:t xml:space="preserve">PsycINFO </w:t>
      </w:r>
      <w:r w:rsidRPr="000144B0">
        <w:rPr>
          <w:rFonts w:ascii="Arial" w:eastAsia="Arial" w:hAnsi="Arial" w:cs="Arial"/>
        </w:rPr>
        <w:t>- in the studies that considered all social or psychological side of falls.</w:t>
      </w:r>
    </w:p>
    <w:p w:rsidR="00170945" w:rsidRPr="000144B0" w:rsidRDefault="00170945" w:rsidP="00774AB1">
      <w:pPr>
        <w:widowControl/>
        <w:numPr>
          <w:ilvl w:val="0"/>
          <w:numId w:val="28"/>
        </w:numPr>
        <w:autoSpaceDE/>
        <w:autoSpaceDN/>
        <w:spacing w:line="360" w:lineRule="auto"/>
        <w:jc w:val="both"/>
        <w:rPr>
          <w:rFonts w:ascii="Arial" w:hAnsi="Arial" w:cs="Arial"/>
        </w:rPr>
      </w:pPr>
      <w:r w:rsidRPr="000144B0">
        <w:rPr>
          <w:rFonts w:ascii="Arial" w:eastAsia="Arial" w:hAnsi="Arial" w:cs="Arial"/>
          <w:b/>
          <w:bCs/>
          <w:i/>
          <w:iCs/>
        </w:rPr>
        <w:t>Google scholar</w:t>
      </w:r>
      <w:r w:rsidRPr="000144B0">
        <w:rPr>
          <w:rFonts w:ascii="Arial" w:eastAsia="Arial" w:hAnsi="Arial" w:cs="Arial"/>
        </w:rPr>
        <w:t xml:space="preserve"> - to find grey literature and other relevant reports.</w:t>
      </w:r>
    </w:p>
    <w:p w:rsidR="00170945" w:rsidRPr="000144B0" w:rsidRDefault="00170945" w:rsidP="00774AB1">
      <w:pPr>
        <w:spacing w:line="360" w:lineRule="auto"/>
        <w:jc w:val="both"/>
        <w:rPr>
          <w:rFonts w:ascii="Arial" w:eastAsia="Arial" w:hAnsi="Arial" w:cs="Arial"/>
          <w:b/>
          <w:bCs/>
        </w:rPr>
      </w:pPr>
      <w:r w:rsidRPr="000144B0">
        <w:rPr>
          <w:rFonts w:ascii="Arial" w:eastAsia="Arial" w:hAnsi="Arial" w:cs="Arial"/>
        </w:rPr>
        <w:t>The lists of considered studies served as reference sources that were hand scrutinised to determine additional publications that were not discovered during database search</w:t>
      </w:r>
      <w:r w:rsidR="00454396" w:rsidRPr="00454396">
        <w:rPr>
          <w:rFonts w:ascii="Arial" w:eastAsia="Arial" w:hAnsi="Arial" w:cs="Arial"/>
        </w:rPr>
        <w:t>(Gusenbauer and Gauster, 2024)</w:t>
      </w:r>
      <w:r w:rsidRPr="000144B0">
        <w:rPr>
          <w:rFonts w:ascii="Arial" w:eastAsia="Arial" w:hAnsi="Arial" w:cs="Arial"/>
        </w:rPr>
        <w:t>. Such a search strategy was designed in such a way that only current evidence that was relevant and specific to community-based physiotherapy interventions against fall prevention among older adults in the United Kingdom were included.</w:t>
      </w:r>
    </w:p>
    <w:p w:rsidR="00170945" w:rsidRPr="000144B0" w:rsidRDefault="00170945" w:rsidP="00774AB1">
      <w:pPr>
        <w:pStyle w:val="Heading2"/>
        <w:rPr>
          <w:rFonts w:cs="Arial"/>
        </w:rPr>
      </w:pPr>
      <w:bookmarkStart w:id="84" w:name="_heading=h.glekz6cxutyz" w:colFirst="0" w:colLast="0"/>
      <w:bookmarkStart w:id="85" w:name="_Toc228352774"/>
      <w:bookmarkEnd w:id="84"/>
      <w:r w:rsidRPr="000144B0">
        <w:rPr>
          <w:rFonts w:cs="Arial"/>
        </w:rPr>
        <w:t>3.7 Inclusion/Exclusion Criteria</w:t>
      </w:r>
      <w:bookmarkEnd w:id="85"/>
    </w:p>
    <w:p w:rsidR="00170945" w:rsidRPr="000144B0" w:rsidRDefault="00170945" w:rsidP="00774AB1">
      <w:pPr>
        <w:pStyle w:val="Heading3"/>
        <w:spacing w:line="360" w:lineRule="auto"/>
        <w:jc w:val="both"/>
        <w:rPr>
          <w:rFonts w:eastAsia="Arial" w:cs="Arial"/>
        </w:rPr>
      </w:pPr>
      <w:bookmarkStart w:id="86" w:name="_heading=h.ebhsacz1kc4d" w:colFirst="0" w:colLast="0"/>
      <w:bookmarkStart w:id="87" w:name="_Toc228352775"/>
      <w:bookmarkEnd w:id="86"/>
      <w:r w:rsidRPr="000144B0">
        <w:rPr>
          <w:rFonts w:eastAsia="Arial" w:cs="Arial"/>
        </w:rPr>
        <w:t>3.7.1 Inclusion Criteria</w:t>
      </w:r>
      <w:bookmarkEnd w:id="87"/>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In order to retrieve relevant, and quality of the evidence, the studies were incorporated using the following criteria:</w:t>
      </w:r>
    </w:p>
    <w:p w:rsidR="00170945" w:rsidRPr="000144B0" w:rsidRDefault="00170945" w:rsidP="00774AB1">
      <w:pPr>
        <w:widowControl/>
        <w:numPr>
          <w:ilvl w:val="0"/>
          <w:numId w:val="29"/>
        </w:numPr>
        <w:autoSpaceDE/>
        <w:autoSpaceDN/>
        <w:spacing w:line="360" w:lineRule="auto"/>
        <w:jc w:val="both"/>
        <w:rPr>
          <w:rFonts w:ascii="Arial" w:eastAsia="Arial" w:hAnsi="Arial" w:cs="Arial"/>
        </w:rPr>
      </w:pPr>
      <w:r w:rsidRPr="000144B0">
        <w:rPr>
          <w:rFonts w:ascii="Arial" w:eastAsia="Arial" w:hAnsi="Arial" w:cs="Arial"/>
        </w:rPr>
        <w:t>Population: Preliminary studies involving older people who are 60 years and above and reside in the community.</w:t>
      </w:r>
    </w:p>
    <w:p w:rsidR="00170945" w:rsidRPr="000144B0" w:rsidRDefault="00170945" w:rsidP="00774AB1">
      <w:pPr>
        <w:widowControl/>
        <w:numPr>
          <w:ilvl w:val="0"/>
          <w:numId w:val="29"/>
        </w:numPr>
        <w:autoSpaceDE/>
        <w:autoSpaceDN/>
        <w:spacing w:line="360" w:lineRule="auto"/>
        <w:jc w:val="both"/>
        <w:rPr>
          <w:rFonts w:ascii="Arial" w:eastAsia="Arial" w:hAnsi="Arial" w:cs="Arial"/>
        </w:rPr>
      </w:pPr>
      <w:r w:rsidRPr="000144B0">
        <w:rPr>
          <w:rFonts w:ascii="Arial" w:eastAsia="Arial" w:hAnsi="Arial" w:cs="Arial"/>
        </w:rPr>
        <w:t>Intervention: Studies exploring physiotherapy-based fall prevention interventions, such as exercise interventions, balance training interventions, strength training interventions, and multifactorial risk assessment interventions.</w:t>
      </w:r>
    </w:p>
    <w:p w:rsidR="00170945" w:rsidRPr="000144B0" w:rsidRDefault="00170945" w:rsidP="00774AB1">
      <w:pPr>
        <w:widowControl/>
        <w:numPr>
          <w:ilvl w:val="0"/>
          <w:numId w:val="29"/>
        </w:numPr>
        <w:autoSpaceDE/>
        <w:autoSpaceDN/>
        <w:spacing w:line="360" w:lineRule="auto"/>
        <w:jc w:val="both"/>
        <w:rPr>
          <w:rFonts w:ascii="Arial" w:eastAsia="Arial" w:hAnsi="Arial" w:cs="Arial"/>
        </w:rPr>
      </w:pPr>
      <w:r w:rsidRPr="000144B0">
        <w:rPr>
          <w:rFonts w:ascii="Arial" w:eastAsia="Arial" w:hAnsi="Arial" w:cs="Arial"/>
        </w:rPr>
        <w:t>Setting: Clinical: Community-based settings, primary care settings, home-based settings or social care settings in high-income countries, and the United Kingdom.</w:t>
      </w:r>
    </w:p>
    <w:p w:rsidR="00170945" w:rsidRPr="000144B0" w:rsidRDefault="00170945" w:rsidP="00774AB1">
      <w:pPr>
        <w:widowControl/>
        <w:numPr>
          <w:ilvl w:val="0"/>
          <w:numId w:val="29"/>
        </w:numPr>
        <w:autoSpaceDE/>
        <w:autoSpaceDN/>
        <w:spacing w:line="360" w:lineRule="auto"/>
        <w:jc w:val="both"/>
        <w:rPr>
          <w:rFonts w:ascii="Arial" w:eastAsia="Arial" w:hAnsi="Arial" w:cs="Arial"/>
        </w:rPr>
      </w:pPr>
      <w:r w:rsidRPr="000144B0">
        <w:rPr>
          <w:rFonts w:ascii="Arial" w:eastAsia="Arial" w:hAnsi="Arial" w:cs="Arial"/>
        </w:rPr>
        <w:t>Study Design: cluster RCTs, randomised controlled trials (RCTs), and observational studies with explicit intervention outcomes.</w:t>
      </w:r>
    </w:p>
    <w:p w:rsidR="00170945" w:rsidRPr="000144B0" w:rsidRDefault="00170945" w:rsidP="00774AB1">
      <w:pPr>
        <w:widowControl/>
        <w:numPr>
          <w:ilvl w:val="0"/>
          <w:numId w:val="29"/>
        </w:numPr>
        <w:autoSpaceDE/>
        <w:autoSpaceDN/>
        <w:spacing w:line="360" w:lineRule="auto"/>
        <w:jc w:val="both"/>
        <w:rPr>
          <w:rFonts w:ascii="Arial" w:eastAsia="Arial" w:hAnsi="Arial" w:cs="Arial"/>
        </w:rPr>
      </w:pPr>
      <w:r w:rsidRPr="000144B0">
        <w:rPr>
          <w:rFonts w:ascii="Arial" w:eastAsia="Arial" w:hAnsi="Arial" w:cs="Arial"/>
        </w:rPr>
        <w:t>Outcomes: Literature that documents the occurrence of falls, fall risk, stability, movement, independence of functions, pain, life quality, or commitment to physical activities.</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Publication: Peer-reviewed articles written in English to make sure that they are current.</w:t>
      </w:r>
    </w:p>
    <w:p w:rsidR="00170945" w:rsidRPr="000144B0" w:rsidRDefault="00170945" w:rsidP="00774AB1">
      <w:pPr>
        <w:pStyle w:val="Heading3"/>
        <w:spacing w:line="360" w:lineRule="auto"/>
        <w:jc w:val="both"/>
        <w:rPr>
          <w:rFonts w:eastAsia="Arial" w:cs="Arial"/>
        </w:rPr>
      </w:pPr>
      <w:bookmarkStart w:id="88" w:name="_heading=h.rw39e9r37btc" w:colFirst="0" w:colLast="0"/>
      <w:bookmarkStart w:id="89" w:name="_Toc228352776"/>
      <w:bookmarkEnd w:id="88"/>
      <w:r w:rsidRPr="000144B0">
        <w:rPr>
          <w:rFonts w:eastAsia="Arial" w:cs="Arial"/>
        </w:rPr>
        <w:t>3.7.2 Exclusion Criteria</w:t>
      </w:r>
      <w:bookmarkEnd w:id="89"/>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The studies were not to be included in the studies that satisfied the following criteria:</w:t>
      </w:r>
    </w:p>
    <w:p w:rsidR="00170945" w:rsidRPr="000144B0" w:rsidRDefault="00170945" w:rsidP="00774AB1">
      <w:pPr>
        <w:widowControl/>
        <w:numPr>
          <w:ilvl w:val="0"/>
          <w:numId w:val="27"/>
        </w:numPr>
        <w:autoSpaceDE/>
        <w:autoSpaceDN/>
        <w:spacing w:line="360" w:lineRule="auto"/>
        <w:jc w:val="both"/>
        <w:rPr>
          <w:rFonts w:ascii="Arial" w:eastAsia="Arial" w:hAnsi="Arial" w:cs="Arial"/>
        </w:rPr>
      </w:pPr>
      <w:r w:rsidRPr="000144B0">
        <w:rPr>
          <w:rFonts w:ascii="Arial" w:eastAsia="Arial" w:hAnsi="Arial" w:cs="Arial"/>
        </w:rPr>
        <w:t>Definitely specialised in hospital or acute care interventions.</w:t>
      </w:r>
    </w:p>
    <w:p w:rsidR="00170945" w:rsidRPr="000144B0" w:rsidRDefault="00170945" w:rsidP="00774AB1">
      <w:pPr>
        <w:widowControl/>
        <w:numPr>
          <w:ilvl w:val="0"/>
          <w:numId w:val="27"/>
        </w:numPr>
        <w:autoSpaceDE/>
        <w:autoSpaceDN/>
        <w:spacing w:line="360" w:lineRule="auto"/>
        <w:jc w:val="both"/>
        <w:rPr>
          <w:rFonts w:ascii="Arial" w:eastAsia="Arial" w:hAnsi="Arial" w:cs="Arial"/>
        </w:rPr>
      </w:pPr>
      <w:r w:rsidRPr="000144B0">
        <w:rPr>
          <w:rFonts w:ascii="Arial" w:eastAsia="Arial" w:hAnsi="Arial" w:cs="Arial"/>
        </w:rPr>
        <w:t>Participants who were less than 60 years or non community dwelling.</w:t>
      </w:r>
    </w:p>
    <w:p w:rsidR="00170945" w:rsidRPr="000144B0" w:rsidRDefault="00170945" w:rsidP="00774AB1">
      <w:pPr>
        <w:widowControl/>
        <w:numPr>
          <w:ilvl w:val="0"/>
          <w:numId w:val="27"/>
        </w:numPr>
        <w:autoSpaceDE/>
        <w:autoSpaceDN/>
        <w:spacing w:line="360" w:lineRule="auto"/>
        <w:jc w:val="both"/>
        <w:rPr>
          <w:rFonts w:ascii="Arial" w:eastAsia="Arial" w:hAnsi="Arial" w:cs="Arial"/>
        </w:rPr>
      </w:pPr>
      <w:r w:rsidRPr="000144B0">
        <w:rPr>
          <w:rFonts w:ascii="Arial" w:eastAsia="Arial" w:hAnsi="Arial" w:cs="Arial"/>
        </w:rPr>
        <w:t>The intervention studied was non-physiotherapy (medication alone, surgery or environmental modification unsupervised by a professional).</w:t>
      </w:r>
    </w:p>
    <w:p w:rsidR="00170945" w:rsidRPr="000144B0" w:rsidRDefault="00170945" w:rsidP="00774AB1">
      <w:pPr>
        <w:widowControl/>
        <w:numPr>
          <w:ilvl w:val="0"/>
          <w:numId w:val="27"/>
        </w:numPr>
        <w:autoSpaceDE/>
        <w:autoSpaceDN/>
        <w:spacing w:line="360" w:lineRule="auto"/>
        <w:jc w:val="both"/>
        <w:rPr>
          <w:rFonts w:ascii="Arial" w:eastAsia="Arial" w:hAnsi="Arial" w:cs="Arial"/>
        </w:rPr>
      </w:pPr>
      <w:r w:rsidRPr="000144B0">
        <w:rPr>
          <w:rFonts w:ascii="Arial" w:eastAsia="Arial" w:hAnsi="Arial" w:cs="Arial"/>
        </w:rPr>
        <w:t>Had no quantifiable results involving fall prevention.</w:t>
      </w:r>
    </w:p>
    <w:p w:rsidR="00170945" w:rsidRPr="000144B0" w:rsidRDefault="00170945" w:rsidP="00774AB1">
      <w:pPr>
        <w:widowControl/>
        <w:numPr>
          <w:ilvl w:val="0"/>
          <w:numId w:val="27"/>
        </w:numPr>
        <w:autoSpaceDE/>
        <w:autoSpaceDN/>
        <w:spacing w:line="360" w:lineRule="auto"/>
        <w:jc w:val="both"/>
        <w:rPr>
          <w:rFonts w:ascii="Arial" w:eastAsia="Arial" w:hAnsi="Arial" w:cs="Arial"/>
        </w:rPr>
      </w:pPr>
      <w:r w:rsidRPr="000144B0">
        <w:rPr>
          <w:rFonts w:ascii="Arial" w:eastAsia="Arial" w:hAnsi="Arial" w:cs="Arial"/>
        </w:rPr>
        <w:lastRenderedPageBreak/>
        <w:t>Publications or studies that were not published in the last five years.</w:t>
      </w:r>
    </w:p>
    <w:p w:rsidR="00170945" w:rsidRPr="000144B0" w:rsidRDefault="00170945" w:rsidP="00774AB1">
      <w:pPr>
        <w:widowControl/>
        <w:numPr>
          <w:ilvl w:val="0"/>
          <w:numId w:val="27"/>
        </w:numPr>
        <w:autoSpaceDE/>
        <w:autoSpaceDN/>
        <w:spacing w:line="360" w:lineRule="auto"/>
        <w:jc w:val="both"/>
        <w:rPr>
          <w:rFonts w:ascii="Arial" w:eastAsia="Arial" w:hAnsi="Arial" w:cs="Arial"/>
        </w:rPr>
      </w:pPr>
      <w:r w:rsidRPr="000144B0">
        <w:rPr>
          <w:rFonts w:ascii="Arial" w:eastAsia="Arial" w:hAnsi="Arial" w:cs="Arial"/>
        </w:rPr>
        <w:t>Freudenthal insufficient details on how methods are done, interventions not clearly articulated and low-quality studies.</w:t>
      </w:r>
    </w:p>
    <w:p w:rsidR="00170945" w:rsidRPr="000144B0" w:rsidRDefault="00170945" w:rsidP="00774AB1">
      <w:pPr>
        <w:widowControl/>
        <w:numPr>
          <w:ilvl w:val="0"/>
          <w:numId w:val="27"/>
        </w:numPr>
        <w:autoSpaceDE/>
        <w:autoSpaceDN/>
        <w:spacing w:line="360" w:lineRule="auto"/>
        <w:jc w:val="both"/>
        <w:rPr>
          <w:rFonts w:ascii="Arial" w:eastAsia="Arial" w:hAnsi="Arial" w:cs="Arial"/>
        </w:rPr>
      </w:pPr>
      <w:r w:rsidRPr="000144B0">
        <w:rPr>
          <w:rFonts w:ascii="Arial" w:eastAsia="Arial" w:hAnsi="Arial" w:cs="Arial"/>
        </w:rPr>
        <w:t>Systematic reviews, Meta-Analysis and Scoping reviews were excluded.</w:t>
      </w:r>
    </w:p>
    <w:p w:rsidR="00170945" w:rsidRPr="000144B0" w:rsidRDefault="00170945" w:rsidP="00774AB1">
      <w:pPr>
        <w:pStyle w:val="Heading2"/>
        <w:rPr>
          <w:rFonts w:cs="Arial"/>
        </w:rPr>
      </w:pPr>
      <w:bookmarkStart w:id="90" w:name="_heading=h.s6sy60t1myiq" w:colFirst="0" w:colLast="0"/>
      <w:bookmarkStart w:id="91" w:name="_Toc228352777"/>
      <w:bookmarkEnd w:id="90"/>
      <w:r w:rsidRPr="000144B0">
        <w:rPr>
          <w:rFonts w:cs="Arial"/>
        </w:rPr>
        <w:t>3.8 Search Results</w:t>
      </w:r>
      <w:bookmarkEnd w:id="91"/>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The primary screen of databases yielded about 1,215 articles. Following elimination of duplicates (n=243), the relevance of 972 titles and abstracts was screened. Among them, 145 studies were eligible to go to the full-text review. After the inclusion and exclusion criteria were applied, 14 studies were verified to be analysed finally. Important interventions comprised balance and strength exercise interventions (like Otago Exercise Programme), multifactorial risk evaluation, as well as home-based physiotherapy. All the studies established that interventions based on physiotherapy in the community-setting lowered the number of falls, enhanced balance and mobility, and the quality of life among the older adults.</w:t>
      </w:r>
    </w:p>
    <w:p w:rsidR="00170945" w:rsidRPr="000144B0" w:rsidRDefault="00170945" w:rsidP="00774AB1">
      <w:pPr>
        <w:spacing w:line="360" w:lineRule="auto"/>
        <w:jc w:val="both"/>
        <w:rPr>
          <w:rFonts w:ascii="Arial" w:eastAsia="Arial" w:hAnsi="Arial" w:cs="Arial"/>
          <w:b/>
          <w:bCs/>
          <w:i/>
          <w:iCs/>
        </w:rPr>
      </w:pPr>
      <w:r w:rsidRPr="000144B0">
        <w:rPr>
          <w:rFonts w:ascii="Arial" w:eastAsia="Arial" w:hAnsi="Arial" w:cs="Arial"/>
          <w:b/>
          <w:bCs/>
          <w:i/>
          <w:iCs/>
        </w:rPr>
        <w:t>PRISMA Diagram</w:t>
      </w:r>
    </w:p>
    <w:p w:rsidR="00170945" w:rsidRPr="000144B0" w:rsidRDefault="00BD27CC" w:rsidP="00774AB1">
      <w:pPr>
        <w:spacing w:line="360" w:lineRule="auto"/>
        <w:jc w:val="center"/>
        <w:rPr>
          <w:rFonts w:ascii="Arial" w:eastAsia="Arial" w:hAnsi="Arial" w:cs="Arial"/>
        </w:rPr>
      </w:pPr>
      <w:r>
        <w:rPr>
          <w:rFonts w:ascii="Arial" w:eastAsia="Arial" w:hAnsi="Arial" w:cs="Arial"/>
          <w:noProof/>
          <w:lang w:val="en-US" w:eastAsia="en-US" w:bidi="ar-SA"/>
        </w:rPr>
        <w:lastRenderedPageBreak/>
        <w:drawing>
          <wp:inline distT="0" distB="0" distL="0" distR="0">
            <wp:extent cx="4588741" cy="5021208"/>
            <wp:effectExtent l="76200" t="76200" r="135890" b="141605"/>
            <wp:docPr id="15085637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96938" cy="50301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70945" w:rsidRPr="000144B0" w:rsidRDefault="00170945" w:rsidP="00774AB1">
      <w:pPr>
        <w:pStyle w:val="Heading5"/>
        <w:rPr>
          <w:rFonts w:cs="Arial"/>
        </w:rPr>
      </w:pPr>
      <w:bookmarkStart w:id="92" w:name="_Toc228308120"/>
      <w:r w:rsidRPr="000144B0">
        <w:rPr>
          <w:rFonts w:cs="Arial"/>
        </w:rPr>
        <w:t xml:space="preserve">Figure </w:t>
      </w:r>
      <w:r w:rsidR="00774AB1" w:rsidRPr="000144B0">
        <w:rPr>
          <w:rFonts w:cs="Arial"/>
        </w:rPr>
        <w:t>3.</w:t>
      </w:r>
      <w:r w:rsidRPr="000144B0">
        <w:rPr>
          <w:rFonts w:cs="Arial"/>
        </w:rPr>
        <w:t>1: PRISMA</w:t>
      </w:r>
      <w:bookmarkEnd w:id="92"/>
    </w:p>
    <w:p w:rsidR="00170945" w:rsidRPr="005E6CF5" w:rsidRDefault="00170945" w:rsidP="005E6CF5">
      <w:pPr>
        <w:spacing w:line="360" w:lineRule="auto"/>
        <w:jc w:val="center"/>
        <w:rPr>
          <w:rFonts w:ascii="Arial" w:eastAsia="Arial" w:hAnsi="Arial" w:cs="Arial"/>
          <w:lang w:val="en-IN"/>
        </w:rPr>
      </w:pPr>
      <w:r w:rsidRPr="000144B0">
        <w:rPr>
          <w:rFonts w:ascii="Arial" w:eastAsia="Arial" w:hAnsi="Arial" w:cs="Arial"/>
        </w:rPr>
        <w:t xml:space="preserve">(Source: </w:t>
      </w:r>
      <w:r w:rsidR="005E6CF5" w:rsidRPr="005E6CF5">
        <w:rPr>
          <w:rFonts w:ascii="Arial" w:eastAsia="Arial" w:hAnsi="Arial" w:cs="Arial"/>
          <w:lang w:val="en-IN"/>
        </w:rPr>
        <w:t>(Liberati et al., 2009</w:t>
      </w:r>
      <w:r w:rsidRPr="000144B0">
        <w:rPr>
          <w:rFonts w:ascii="Arial" w:eastAsia="Arial" w:hAnsi="Arial" w:cs="Arial"/>
        </w:rPr>
        <w:t>)</w:t>
      </w:r>
    </w:p>
    <w:p w:rsidR="00170945" w:rsidRPr="000144B0" w:rsidRDefault="00170945" w:rsidP="00774AB1">
      <w:pPr>
        <w:pStyle w:val="Heading2"/>
        <w:rPr>
          <w:rFonts w:cs="Arial"/>
        </w:rPr>
      </w:pPr>
      <w:bookmarkStart w:id="93" w:name="_heading=h.m5es5fvsuvmz" w:colFirst="0" w:colLast="0"/>
      <w:bookmarkStart w:id="94" w:name="_Toc228352778"/>
      <w:bookmarkEnd w:id="93"/>
      <w:r w:rsidRPr="000144B0">
        <w:rPr>
          <w:rFonts w:cs="Arial"/>
        </w:rPr>
        <w:t>3.9 Ethical Considerations</w:t>
      </w:r>
      <w:bookmarkEnd w:id="94"/>
    </w:p>
    <w:p w:rsidR="00170945" w:rsidRPr="00454396" w:rsidRDefault="00170945" w:rsidP="00774AB1">
      <w:pPr>
        <w:spacing w:line="360" w:lineRule="auto"/>
        <w:jc w:val="both"/>
        <w:rPr>
          <w:rFonts w:ascii="Arial" w:eastAsia="Arial" w:hAnsi="Arial" w:cs="Arial"/>
          <w:lang w:val="en-IN"/>
        </w:rPr>
      </w:pPr>
      <w:r w:rsidRPr="000144B0">
        <w:rPr>
          <w:rFonts w:ascii="Arial" w:eastAsia="Arial" w:hAnsi="Arial" w:cs="Arial"/>
        </w:rPr>
        <w:t>The literature review had followed the ethical considerations in research, as all of the publicly available, peer-reviewed studies and grey literature were used without gathering primary data</w:t>
      </w:r>
      <w:r w:rsidR="00454396" w:rsidRPr="00454396">
        <w:rPr>
          <w:rFonts w:ascii="Arial" w:eastAsia="Arial" w:hAnsi="Arial" w:cs="Arial"/>
          <w:lang w:val="en-IN"/>
        </w:rPr>
        <w:t>(Weiss et al., 2023)</w:t>
      </w:r>
      <w:r w:rsidRPr="000144B0">
        <w:rPr>
          <w:rFonts w:ascii="Arial" w:eastAsia="Arial" w:hAnsi="Arial" w:cs="Arial"/>
        </w:rPr>
        <w:t>. We have also referenced and given due credit to the original authors enabling the upholding of academic integrity and preventing plagiarism</w:t>
      </w:r>
      <w:r w:rsidR="00454396" w:rsidRPr="00454396">
        <w:rPr>
          <w:rFonts w:ascii="Arial" w:eastAsia="Arial" w:hAnsi="Arial" w:cs="Arial"/>
        </w:rPr>
        <w:t>(Chiara De Poli and Oyebode, 2023)</w:t>
      </w:r>
      <w:r w:rsidRPr="000144B0">
        <w:rPr>
          <w:rFonts w:ascii="Arial" w:eastAsia="Arial" w:hAnsi="Arial" w:cs="Arial"/>
        </w:rPr>
        <w:t>. Ethical issues included critically evaluating studies on transparency, reporting, and methodological rigour, so that only the ethically accomplished research was used to make the review</w:t>
      </w:r>
      <w:r w:rsidR="00454396" w:rsidRPr="00454396">
        <w:rPr>
          <w:rFonts w:ascii="Arial" w:eastAsia="Arial" w:hAnsi="Arial" w:cs="Arial"/>
          <w:lang w:val="en-IN"/>
        </w:rPr>
        <w:t>(Miteu, 2024)</w:t>
      </w:r>
      <w:r w:rsidRPr="000144B0">
        <w:rPr>
          <w:rFonts w:ascii="Arial" w:eastAsia="Arial" w:hAnsi="Arial" w:cs="Arial"/>
        </w:rPr>
        <w:t>. Also, the recommendations based on this review observe the autonomy of older adults, their safety, and their well-being in the community.</w:t>
      </w:r>
    </w:p>
    <w:p w:rsidR="00170945" w:rsidRPr="000144B0" w:rsidRDefault="00170945" w:rsidP="00774AB1">
      <w:pPr>
        <w:pStyle w:val="Heading2"/>
        <w:rPr>
          <w:rFonts w:cs="Arial"/>
        </w:rPr>
      </w:pPr>
      <w:bookmarkStart w:id="95" w:name="_heading=h.4ar1q3to2xst" w:colFirst="0" w:colLast="0"/>
      <w:bookmarkStart w:id="96" w:name="_Toc228352779"/>
      <w:bookmarkEnd w:id="95"/>
      <w:r w:rsidRPr="000144B0">
        <w:rPr>
          <w:rFonts w:cs="Arial"/>
        </w:rPr>
        <w:t>3.10 Chapter Summary</w:t>
      </w:r>
      <w:bookmarkEnd w:id="96"/>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In this chapter, the systematic method of the identification and selection of the relevant </w:t>
      </w:r>
      <w:r w:rsidRPr="000144B0">
        <w:rPr>
          <w:rFonts w:ascii="Arial" w:eastAsia="Arial" w:hAnsi="Arial" w:cs="Arial"/>
        </w:rPr>
        <w:lastRenderedPageBreak/>
        <w:t>literature on the role of community physiotherapists to prevent falls among older adults was outlined. High-quality and relevant studies were collected with the help of the well-organised search strategy, well-defined inclusion and exclusion criteria and full database selection. The search revealed 14 articles which emphasised the effectiveness of interventions involving physiotherapy as a leader in terms of reducing fall risk and enhancing functional outcomes such as exercise and balance programmes. Ethical aspects were observed during the review through the use of the publicly available information and appropriate citation. This chapter results in a strong background of the data that will be explored and examined to interpret the role of community physiotherapists in the issue of fall prevention in the UK public health and social care surroundings to further discussions and recommendations.</w:t>
      </w:r>
      <w:r w:rsidRPr="000144B0">
        <w:rPr>
          <w:rFonts w:ascii="Arial" w:hAnsi="Arial" w:cs="Arial"/>
        </w:rPr>
        <w:br w:type="page"/>
      </w:r>
    </w:p>
    <w:p w:rsidR="00170945" w:rsidRPr="000144B0" w:rsidRDefault="00170945" w:rsidP="00774AB1">
      <w:pPr>
        <w:pStyle w:val="Heading1"/>
        <w:rPr>
          <w:rFonts w:cs="Arial"/>
          <w:szCs w:val="28"/>
        </w:rPr>
      </w:pPr>
      <w:bookmarkStart w:id="97" w:name="_heading=h.fpyshbz3tckb" w:colFirst="0" w:colLast="0"/>
      <w:bookmarkStart w:id="98" w:name="_Toc228352780"/>
      <w:bookmarkEnd w:id="97"/>
      <w:r w:rsidRPr="000144B0">
        <w:rPr>
          <w:rFonts w:cs="Arial"/>
          <w:szCs w:val="28"/>
        </w:rPr>
        <w:lastRenderedPageBreak/>
        <w:t xml:space="preserve">Chapter 4: </w:t>
      </w:r>
      <w:r w:rsidR="00D91FD8" w:rsidRPr="000144B0">
        <w:rPr>
          <w:rFonts w:cs="Arial"/>
          <w:szCs w:val="28"/>
        </w:rPr>
        <w:t>Data Extraction and Evaluation</w:t>
      </w:r>
      <w:bookmarkEnd w:id="98"/>
    </w:p>
    <w:p w:rsidR="00170945" w:rsidRPr="000144B0" w:rsidRDefault="00170945" w:rsidP="00774AB1">
      <w:pPr>
        <w:pStyle w:val="Heading2"/>
        <w:rPr>
          <w:rFonts w:cs="Arial"/>
        </w:rPr>
      </w:pPr>
      <w:bookmarkStart w:id="99" w:name="_heading=h.9com85sibxfm" w:colFirst="0" w:colLast="0"/>
      <w:bookmarkStart w:id="100" w:name="_Toc228352781"/>
      <w:bookmarkEnd w:id="99"/>
      <w:r w:rsidRPr="000144B0">
        <w:rPr>
          <w:rFonts w:cs="Arial"/>
        </w:rPr>
        <w:t>4.1 Introduction to Chapter</w:t>
      </w:r>
      <w:bookmarkEnd w:id="100"/>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In this chapter, the data extraction and critical review of the selected studies were to be presented in the context of the current systematic review of literature. It describes the manner in which the relevant data were gathered, tabulated, and analysed in fulfilling the purpose of the research relating to the role of community physiotherapists towards the prevention of falls among the elderly in the United Kingdom. The chapter also presents the topic of critical appraisal and the need to evaluate the quality and credibility of the research study methodology. It also gives an introduction of the tools that were applied in assessing the qualitative, quantitative and mixed method studies. This will make sure that only evidence that is high meets the results and findings of this research.</w:t>
      </w:r>
    </w:p>
    <w:p w:rsidR="00170945" w:rsidRPr="000144B0" w:rsidRDefault="00170945" w:rsidP="00774AB1">
      <w:pPr>
        <w:pStyle w:val="Heading2"/>
        <w:rPr>
          <w:rFonts w:cs="Arial"/>
        </w:rPr>
      </w:pPr>
      <w:bookmarkStart w:id="101" w:name="_heading=h.tinqkb7byqhy" w:colFirst="0" w:colLast="0"/>
      <w:bookmarkStart w:id="102" w:name="_Toc228352782"/>
      <w:bookmarkEnd w:id="101"/>
      <w:r w:rsidRPr="000144B0">
        <w:rPr>
          <w:rFonts w:cs="Arial"/>
        </w:rPr>
        <w:t>4.2 Data Extraction</w:t>
      </w:r>
      <w:bookmarkEnd w:id="102"/>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Data extraction is the integrated procedure of gathering pertinent data of the chosen researches to be analyzed in a structured and consistent way (Afifi </w:t>
      </w:r>
      <w:r w:rsidRPr="000144B0">
        <w:rPr>
          <w:rFonts w:ascii="Arial" w:eastAsia="Arial" w:hAnsi="Arial" w:cs="Arial"/>
          <w:i/>
          <w:iCs/>
        </w:rPr>
        <w:t xml:space="preserve">et al. </w:t>
      </w:r>
      <w:r w:rsidRPr="000144B0">
        <w:rPr>
          <w:rFonts w:ascii="Arial" w:eastAsia="Arial" w:hAnsi="Arial" w:cs="Arial"/>
        </w:rPr>
        <w:t>2023). To create equality and accuracy in recording critical study features was done by a pre-designed data extraction form in this review. Authors, years of publication, study design, sample size comprised the extracted data along with population characteristics, type of interventions, outcomes and significant findings that were related to fall prevention. Information including setting (community or primary care), the period of intervention, and the roles of the physiotherapists was also taken note of</w:t>
      </w:r>
      <w:r w:rsidR="00B87B48" w:rsidRPr="00B87B48">
        <w:rPr>
          <w:rFonts w:ascii="Arial" w:eastAsia="Arial" w:hAnsi="Arial" w:cs="Arial"/>
        </w:rPr>
        <w:t>(Frampton et al., 2014)</w:t>
      </w:r>
      <w:r w:rsidRPr="000144B0">
        <w:rPr>
          <w:rFonts w:ascii="Arial" w:eastAsia="Arial" w:hAnsi="Arial" w:cs="Arial"/>
        </w:rPr>
        <w:t>. This systematic methodology allowed cross study comparisons as well as the synthesis of evidence. The application of a standardized form reduced bias and also helped in making sure that all the relevant variables that were meant to be under research objectives were all recorded in a consistent manner.</w:t>
      </w:r>
    </w:p>
    <w:p w:rsidR="00170945" w:rsidRPr="000144B0" w:rsidRDefault="00170945" w:rsidP="00774AB1">
      <w:pPr>
        <w:pStyle w:val="Heading2"/>
        <w:rPr>
          <w:rFonts w:cs="Arial"/>
        </w:rPr>
      </w:pPr>
      <w:bookmarkStart w:id="103" w:name="_heading=h.dlzjwhmdzj4k" w:colFirst="0" w:colLast="0"/>
      <w:bookmarkStart w:id="104" w:name="_Toc228352783"/>
      <w:bookmarkEnd w:id="103"/>
      <w:r w:rsidRPr="000144B0">
        <w:rPr>
          <w:rFonts w:cs="Arial"/>
        </w:rPr>
        <w:t>4.3 Brief introduction to critical appraisal and paper quality assessment</w:t>
      </w:r>
      <w:bookmarkEnd w:id="104"/>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Critical appraisal Coherent examination of research researchers to determine their validity, reliability, and suitability to a particular research query (Shaheen </w:t>
      </w:r>
      <w:r w:rsidRPr="000144B0">
        <w:rPr>
          <w:rFonts w:ascii="Arial" w:eastAsia="Arial" w:hAnsi="Arial" w:cs="Arial"/>
          <w:i/>
          <w:iCs/>
        </w:rPr>
        <w:t xml:space="preserve">et al. </w:t>
      </w:r>
      <w:r w:rsidRPr="000144B0">
        <w:rPr>
          <w:rFonts w:ascii="Arial" w:eastAsia="Arial" w:hAnsi="Arial" w:cs="Arial"/>
        </w:rPr>
        <w:t>2023). It is analysing the methodological rigour, design of the study, methodology of data collection and the sources of bias in each study. The critical appraisal has the aim of establishing the credibility and reliability of research evidence prior to its inclusion in a review.</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The evaluation of research papers is necessary since not every piece of research that is published can be of equal quality</w:t>
      </w:r>
      <w:r w:rsidR="00B87B48" w:rsidRPr="00B87B48">
        <w:rPr>
          <w:rFonts w:ascii="Arial" w:eastAsia="Arial" w:hAnsi="Arial" w:cs="Arial"/>
        </w:rPr>
        <w:t>(Joanna Briggs Institute, 2017)</w:t>
      </w:r>
      <w:r w:rsidRPr="000144B0">
        <w:rPr>
          <w:rFonts w:ascii="Arial" w:eastAsia="Arial" w:hAnsi="Arial" w:cs="Arial"/>
        </w:rPr>
        <w:t xml:space="preserve">. Some of them might have methodological shortcomings and small sample sizes, or biased results which might influence the general conclusions of the review. With a critical appraisal, researchers will be able to embrace high-quality studies with strong and credible evidence without being </w:t>
      </w:r>
      <w:r w:rsidRPr="000144B0">
        <w:rPr>
          <w:rFonts w:ascii="Arial" w:eastAsia="Arial" w:hAnsi="Arial" w:cs="Arial"/>
        </w:rPr>
        <w:lastRenderedPageBreak/>
        <w:t xml:space="preserve">influenced or limiting the effects of weaker studies (Tod </w:t>
      </w:r>
      <w:r w:rsidRPr="000144B0">
        <w:rPr>
          <w:rFonts w:ascii="Arial" w:eastAsia="Arial" w:hAnsi="Arial" w:cs="Arial"/>
          <w:i/>
          <w:iCs/>
        </w:rPr>
        <w:t xml:space="preserve">et al. </w:t>
      </w:r>
      <w:r w:rsidRPr="000144B0">
        <w:rPr>
          <w:rFonts w:ascii="Arial" w:eastAsia="Arial" w:hAnsi="Arial" w:cs="Arial"/>
        </w:rPr>
        <w:t>2022).</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Critical appraisal in this study will mean that the conclusion made on the effectiveness of community physiotherapy interventions in prevention of falls is based on credible and sound evidence, thus augmenting the reliability and validity of the general study.</w:t>
      </w:r>
    </w:p>
    <w:p w:rsidR="00170945" w:rsidRPr="000144B0" w:rsidRDefault="00170945" w:rsidP="00774AB1">
      <w:pPr>
        <w:pStyle w:val="Heading2"/>
        <w:rPr>
          <w:rFonts w:cs="Arial"/>
        </w:rPr>
      </w:pPr>
      <w:bookmarkStart w:id="105" w:name="_heading=h.9vlku4u2f6es" w:colFirst="0" w:colLast="0"/>
      <w:bookmarkStart w:id="106" w:name="_Toc228352784"/>
      <w:bookmarkEnd w:id="105"/>
      <w:r w:rsidRPr="000144B0">
        <w:rPr>
          <w:rFonts w:cs="Arial"/>
        </w:rPr>
        <w:t>4.4 Critical Appraisal Tools</w:t>
      </w:r>
      <w:bookmarkEnd w:id="106"/>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Critical appraisal instruments are systematic guidelines on evaluating the quality, validity and reliability of research studies (Haile, 2022). These are tools to assist researchers in determining methodological rigor, biases, and substantial credibility of findings. To make the right choice of appraisal tool, it is important to also consider that different research designs (qualitative, quantitative, and mixed methods) can be properly evaluated by having particular criteria in place.</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In this research, the right tools of appraisal have been chosen depending on the type of the included studies. In the qualitative studies, the Critical Appraisal Skills Programme (CASP) checklist was applied, and quantitative ones were evaluated with the help of such tools as the Joanna Briggs Institute (JBI) checklist and Cochrane risk of bias criteria (Humayoun</w:t>
      </w:r>
      <w:r w:rsidRPr="000144B0">
        <w:rPr>
          <w:rFonts w:ascii="Arial" w:eastAsia="Arial" w:hAnsi="Arial" w:cs="Arial"/>
          <w:i/>
          <w:iCs/>
        </w:rPr>
        <w:t xml:space="preserve">et al. </w:t>
      </w:r>
      <w:r w:rsidRPr="000144B0">
        <w:rPr>
          <w:rFonts w:ascii="Arial" w:eastAsia="Arial" w:hAnsi="Arial" w:cs="Arial"/>
        </w:rPr>
        <w:t>2024). These tools discuss such important aspects as study design, sampling, data collection, ethical considerations, validity, reliability, and clarity of the results.</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The right appraisal tool is critical because it guarantees reliability and precision in the review of studies</w:t>
      </w:r>
      <w:r w:rsidR="00B87B48" w:rsidRPr="00B87B48">
        <w:rPr>
          <w:rFonts w:ascii="Arial" w:eastAsia="Arial" w:hAnsi="Arial" w:cs="Arial"/>
        </w:rPr>
        <w:t>(CASP, 2024)</w:t>
      </w:r>
      <w:r w:rsidRPr="000144B0">
        <w:rPr>
          <w:rFonts w:ascii="Arial" w:eastAsia="Arial" w:hAnsi="Arial" w:cs="Arial"/>
        </w:rPr>
        <w:t>. The wrong tool can either fail to identify the critical methodological problems or misrepresent results. Thus, the tools chosen in the study allowed a logical and clear assessment of the evidence, which was supremely high-quality of studies that were included in the overall conclusions of the systematic literature review.</w:t>
      </w:r>
    </w:p>
    <w:p w:rsidR="00170945" w:rsidRPr="000144B0" w:rsidRDefault="00170945" w:rsidP="00774AB1">
      <w:pPr>
        <w:pStyle w:val="Heading2"/>
        <w:rPr>
          <w:rFonts w:cs="Arial"/>
        </w:rPr>
      </w:pPr>
      <w:bookmarkStart w:id="107" w:name="_heading=h.hqigwmxvv263" w:colFirst="0" w:colLast="0"/>
      <w:bookmarkStart w:id="108" w:name="_Toc228352785"/>
      <w:bookmarkEnd w:id="107"/>
      <w:r w:rsidRPr="000144B0">
        <w:rPr>
          <w:rFonts w:cs="Arial"/>
        </w:rPr>
        <w:t>4.5 Evaluation of Qualitative Studies using any appropriate tool</w:t>
      </w:r>
      <w:bookmarkEnd w:id="108"/>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The Critical Appraisal Skills Programme (CASP) tool was followed to assess the qualitative studies that were included in this review, namely Heng</w:t>
      </w:r>
      <w:r w:rsidRPr="000144B0">
        <w:rPr>
          <w:rFonts w:ascii="Arial" w:eastAsia="Arial" w:hAnsi="Arial" w:cs="Arial"/>
          <w:i/>
          <w:iCs/>
        </w:rPr>
        <w:t xml:space="preserve"> et al.</w:t>
      </w:r>
      <w:r w:rsidRPr="000144B0">
        <w:rPr>
          <w:rFonts w:ascii="Arial" w:eastAsia="Arial" w:hAnsi="Arial" w:cs="Arial"/>
        </w:rPr>
        <w:t xml:space="preserve"> (2022) and Fordham and Williamson (2025). The CASP checklist is well known in the evaluation of qualitative research in that it gives a procedural guideline involving ten main questions that evaluate research objectives, methodology, design, sampling plan, methods of data collection, reflexivity, ethical issues, data analysis, inferences and the general worth of the research.</w:t>
      </w:r>
    </w:p>
    <w:p w:rsidR="00170945" w:rsidRPr="000144B0" w:rsidRDefault="00170945" w:rsidP="00774AB1">
      <w:pPr>
        <w:pStyle w:val="Heading5"/>
        <w:rPr>
          <w:rFonts w:cs="Arial"/>
        </w:rPr>
      </w:pPr>
      <w:bookmarkStart w:id="109" w:name="_Toc228308121"/>
      <w:r w:rsidRPr="000144B0">
        <w:rPr>
          <w:rFonts w:cs="Arial"/>
          <w:noProof/>
          <w:lang w:val="en-US" w:eastAsia="en-US" w:bidi="ar-SA"/>
        </w:rPr>
        <w:lastRenderedPageBreak/>
        <w:drawing>
          <wp:inline distT="0" distB="0" distL="0" distR="0">
            <wp:extent cx="3774551" cy="3027649"/>
            <wp:effectExtent l="38100" t="38100" r="38100" b="38100"/>
            <wp:docPr id="1223890490" name="image2.jpg" descr="CASP Critical Appraisal Skills Programme for All"/>
            <wp:cNvGraphicFramePr/>
            <a:graphic xmlns:a="http://schemas.openxmlformats.org/drawingml/2006/main">
              <a:graphicData uri="http://schemas.openxmlformats.org/drawingml/2006/picture">
                <pic:pic xmlns:pic="http://schemas.openxmlformats.org/drawingml/2006/picture">
                  <pic:nvPicPr>
                    <pic:cNvPr id="0" name="image2.jpg" descr="CASP Critical Appraisal Skills Programme for All"/>
                    <pic:cNvPicPr preferRelativeResize="0"/>
                  </pic:nvPicPr>
                  <pic:blipFill>
                    <a:blip r:embed="rId11"/>
                    <a:srcRect l="16467" r="20518"/>
                    <a:stretch>
                      <a:fillRect/>
                    </a:stretch>
                  </pic:blipFill>
                  <pic:spPr>
                    <a:xfrm>
                      <a:off x="0" y="0"/>
                      <a:ext cx="3774551" cy="3027649"/>
                    </a:xfrm>
                    <a:prstGeom prst="rect">
                      <a:avLst/>
                    </a:prstGeom>
                    <a:ln w="38100">
                      <a:solidFill>
                        <a:srgbClr val="000000"/>
                      </a:solidFill>
                      <a:prstDash val="solid"/>
                    </a:ln>
                  </pic:spPr>
                </pic:pic>
              </a:graphicData>
            </a:graphic>
          </wp:inline>
        </w:drawing>
      </w:r>
      <w:bookmarkEnd w:id="109"/>
    </w:p>
    <w:p w:rsidR="00170945" w:rsidRPr="000144B0" w:rsidRDefault="00170945" w:rsidP="00774AB1">
      <w:pPr>
        <w:pStyle w:val="Heading5"/>
        <w:rPr>
          <w:rFonts w:cs="Arial"/>
        </w:rPr>
      </w:pPr>
      <w:bookmarkStart w:id="110" w:name="_Toc228308122"/>
      <w:r w:rsidRPr="000144B0">
        <w:rPr>
          <w:rFonts w:cs="Arial"/>
        </w:rPr>
        <w:t>Figure 4.1: CASP Tool</w:t>
      </w:r>
      <w:bookmarkEnd w:id="110"/>
    </w:p>
    <w:p w:rsidR="00170945" w:rsidRPr="000144B0" w:rsidRDefault="00170945" w:rsidP="00774AB1">
      <w:pPr>
        <w:spacing w:line="360" w:lineRule="auto"/>
        <w:jc w:val="center"/>
        <w:rPr>
          <w:rFonts w:ascii="Arial" w:eastAsia="Arial" w:hAnsi="Arial" w:cs="Arial"/>
        </w:rPr>
      </w:pPr>
      <w:r w:rsidRPr="000144B0">
        <w:rPr>
          <w:rFonts w:ascii="Arial" w:eastAsia="Arial" w:hAnsi="Arial" w:cs="Arial"/>
        </w:rPr>
        <w:t>(Source: Price, 2015)</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The CASP tool was chosen because it is easy to use, understand and is applicable in evaluating qualitative research in the setting of healthcare and social care. CASP is simpler than other appraisal systems, e.g., the JBI qualitative checklist, and concentrates on the interpretive richness as opposed to strict scoring scales. A weakness of CASP is however that it lacks a quantitative scoring system potentially giving rise to subjectivity in interpretation. This notwithstanding, its methodological way is such that it provides thorough assessment of the quality of the study.</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Heng </w:t>
      </w:r>
      <w:r w:rsidRPr="000144B0">
        <w:rPr>
          <w:rFonts w:ascii="Arial" w:eastAsia="Arial" w:hAnsi="Arial" w:cs="Arial"/>
          <w:i/>
          <w:iCs/>
        </w:rPr>
        <w:t>et al.</w:t>
      </w:r>
      <w:r w:rsidRPr="000144B0">
        <w:rPr>
          <w:rFonts w:ascii="Arial" w:eastAsia="Arial" w:hAnsi="Arial" w:cs="Arial"/>
        </w:rPr>
        <w:t xml:space="preserve"> (2022) carried a qualitative study to investigate the views of healthcare professionals regarding barriers and enablers to falls prevention education. The research issue was clearly set and the qualitative methodology was suitable with the application of semi-structured interviews. The recruitment policy was also reasonable as it targeted the participation of relevant healthcare experts in the field of fall prevention. Methods of data collection were sound and thematic analysis was systematically offered. Moral issues such as informed consent and confidentiality were dealt with. Nonetheless, little was said on researcher reflexivity that can influence findings interpretations. Generally speaking, the research was of good quality and brought useful information to issues that physiotherapists and other professionals encounter when providing fall prevention education.</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Fordham and Williamson (2025) also investigated the role of social prescribers in facilitating older adults to take part in strength and balance training after physiotherapy rehabilitation. The research showed that the research objective and qualitative design were clearly specified. Information was gathered by the use of interviews, and the experience of the </w:t>
      </w:r>
      <w:r w:rsidRPr="000144B0">
        <w:rPr>
          <w:rFonts w:ascii="Arial" w:eastAsia="Arial" w:hAnsi="Arial" w:cs="Arial"/>
        </w:rPr>
        <w:lastRenderedPageBreak/>
        <w:t>participants was thoroughly comprehended. The results showed that social prescribing was significant in promoting the prolonged compliance to physiotherapy-based interventions. Ethical issues were properly covered and analysis well presented. Nevertheless, the sample size of the study was fairly small, which can be a limitation to generalisability.</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Both qualitative studies presented the contextual information regarding the behavioural, social, and professional issues affecting fall prevention. They supplement quantitative data by providing insight on obstacles, enablers, and significance of integrated care. The CASP appraisal revealed that both the studies were well-methodologically sound but with some few limitations that are not significant to impair their contribution to the entire review. The appraisal tables are elaborated and can be found in the appendix (</w:t>
      </w:r>
      <w:r w:rsidRPr="000144B0">
        <w:rPr>
          <w:rFonts w:ascii="Arial" w:eastAsia="Arial" w:hAnsi="Arial" w:cs="Arial"/>
          <w:b/>
          <w:bCs/>
          <w:i/>
          <w:iCs/>
        </w:rPr>
        <w:t>see Appendix</w:t>
      </w:r>
      <w:r w:rsidRPr="000144B0">
        <w:rPr>
          <w:rFonts w:ascii="Arial" w:eastAsia="Arial" w:hAnsi="Arial" w:cs="Arial"/>
        </w:rPr>
        <w:t>).</w:t>
      </w:r>
    </w:p>
    <w:p w:rsidR="00170945" w:rsidRPr="000144B0" w:rsidRDefault="00170945" w:rsidP="00774AB1">
      <w:pPr>
        <w:pStyle w:val="Heading2"/>
        <w:rPr>
          <w:rFonts w:cs="Arial"/>
        </w:rPr>
      </w:pPr>
      <w:bookmarkStart w:id="111" w:name="_heading=h.6855c4j0anlr" w:colFirst="0" w:colLast="0"/>
      <w:bookmarkStart w:id="112" w:name="_Toc228352786"/>
      <w:bookmarkEnd w:id="111"/>
      <w:r w:rsidRPr="000144B0">
        <w:rPr>
          <w:rFonts w:cs="Arial"/>
        </w:rPr>
        <w:t>4.6 Evaluation of Quantitative Studies using an appropriate tool</w:t>
      </w:r>
      <w:bookmarkEnd w:id="112"/>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Here, quantitative research works were critically evaluated with an adapted variation of Critical Appraisal Skills Programme (CASP) checklist of randomized controlled trials (RCTs), as well as according to Cochrane Risk of Bias principles. These tools were chosen because they are commonly used in healthcare studies and they can quantify methodological rigor, internal validity and reliability of results. It is also crucial to use a proper appraisal tool to make sure that the conclusions made on the basis of the review rely on high-quality and credible evidence.</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Ten critical appraisals comprised both randomized controlled trials and cluster RCTs as well as pilot trials and study protocols. The overall objective of these studies was to determine the efficacy of physiotherapy directed/exercise-based interventions in prevention of falls, promotion of balance and functional independence in older adults. In this regard, quantitative research is especially useful because it offers measurable results, statistical data, and generalisable results that can be based on evidence-based practice in physiotherapy and population health.</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The type of studies that was chosen was randomized controlled trial study designs as most of the research studies utilized randomized controlled trial designs, which are regarded as the gold standard of assessment of intervention effectiveness. In the studies by Iliffe </w:t>
      </w:r>
      <w:r w:rsidRPr="000144B0">
        <w:rPr>
          <w:rFonts w:ascii="Arial" w:eastAsia="Arial" w:hAnsi="Arial" w:cs="Arial"/>
          <w:i/>
          <w:iCs/>
        </w:rPr>
        <w:t xml:space="preserve">et al. </w:t>
      </w:r>
      <w:r w:rsidRPr="000144B0">
        <w:rPr>
          <w:rFonts w:ascii="Arial" w:eastAsia="Arial" w:hAnsi="Arial" w:cs="Arial"/>
        </w:rPr>
        <w:t xml:space="preserve">(2014), Ashburn </w:t>
      </w:r>
      <w:r w:rsidRPr="000144B0">
        <w:rPr>
          <w:rFonts w:ascii="Arial" w:eastAsia="Arial" w:hAnsi="Arial" w:cs="Arial"/>
          <w:i/>
          <w:iCs/>
        </w:rPr>
        <w:t>et al.</w:t>
      </w:r>
      <w:r w:rsidRPr="000144B0">
        <w:rPr>
          <w:rFonts w:ascii="Arial" w:eastAsia="Arial" w:hAnsi="Arial" w:cs="Arial"/>
        </w:rPr>
        <w:t xml:space="preserve"> (2019), or Chivers Seymour </w:t>
      </w:r>
      <w:r w:rsidRPr="000144B0">
        <w:rPr>
          <w:rFonts w:ascii="Arial" w:eastAsia="Arial" w:hAnsi="Arial" w:cs="Arial"/>
          <w:i/>
          <w:iCs/>
        </w:rPr>
        <w:t>et al.</w:t>
      </w:r>
      <w:r w:rsidRPr="000144B0">
        <w:rPr>
          <w:rFonts w:ascii="Arial" w:eastAsia="Arial" w:hAnsi="Arial" w:cs="Arial"/>
        </w:rPr>
        <w:t xml:space="preserve"> (2019), the strong methodological rigour is ensured with the correct randomisation, allocation concealment and control group. These trials compared intervention groups, which were exercised under the leadership of physiotherapy programmes to the control groups, which were exercised under the leadership of normal care, and the effects of the intervention could be easily evaluated. The external validity and generalisability of results were also improved by the use of large sample sizes and multicentre designs.</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Likewise, the study by Baez </w:t>
      </w:r>
      <w:r w:rsidRPr="000144B0">
        <w:rPr>
          <w:rFonts w:ascii="Arial" w:eastAsia="Arial" w:hAnsi="Arial" w:cs="Arial"/>
          <w:i/>
          <w:iCs/>
        </w:rPr>
        <w:t>et al.</w:t>
      </w:r>
      <w:r w:rsidRPr="000144B0">
        <w:rPr>
          <w:rFonts w:ascii="Arial" w:eastAsia="Arial" w:hAnsi="Arial" w:cs="Arial"/>
        </w:rPr>
        <w:t xml:space="preserve"> (2017) is a randomized pilot trial that evaluated the </w:t>
      </w:r>
      <w:r w:rsidRPr="000144B0">
        <w:rPr>
          <w:rFonts w:ascii="Arial" w:eastAsia="Arial" w:hAnsi="Arial" w:cs="Arial"/>
        </w:rPr>
        <w:lastRenderedPageBreak/>
        <w:t>efficacy of online group exercises among the elderly population. Although the sample size was quite low, the study design was suitable to examine feasibility and the results showed that physical, psychological, and social wellbeing were improved. This brings out the importance of digital physiotherapy interventions in enhancing accessibility of fall prevention programmes especially in the community.</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Among the study protocols, Vilpunaho et al. (2019), Bjerk </w:t>
      </w:r>
      <w:r w:rsidRPr="000144B0">
        <w:rPr>
          <w:rFonts w:ascii="Arial" w:eastAsia="Arial" w:hAnsi="Arial" w:cs="Arial"/>
          <w:i/>
          <w:iCs/>
        </w:rPr>
        <w:t>et al.</w:t>
      </w:r>
      <w:r w:rsidRPr="000144B0">
        <w:rPr>
          <w:rFonts w:ascii="Arial" w:eastAsia="Arial" w:hAnsi="Arial" w:cs="Arial"/>
        </w:rPr>
        <w:t xml:space="preserve"> (2017), Adams </w:t>
      </w:r>
      <w:r w:rsidRPr="000144B0">
        <w:rPr>
          <w:rFonts w:ascii="Arial" w:eastAsia="Arial" w:hAnsi="Arial" w:cs="Arial"/>
          <w:i/>
          <w:iCs/>
        </w:rPr>
        <w:t xml:space="preserve">et al. </w:t>
      </w:r>
      <w:r w:rsidRPr="000144B0">
        <w:rPr>
          <w:rFonts w:ascii="Arial" w:eastAsia="Arial" w:hAnsi="Arial" w:cs="Arial"/>
        </w:rPr>
        <w:t xml:space="preserve">(2018), and Bajwa </w:t>
      </w:r>
      <w:r w:rsidRPr="000144B0">
        <w:rPr>
          <w:rFonts w:ascii="Arial" w:eastAsia="Arial" w:hAnsi="Arial" w:cs="Arial"/>
          <w:i/>
          <w:iCs/>
        </w:rPr>
        <w:t>et al.</w:t>
      </w:r>
      <w:r w:rsidRPr="000144B0">
        <w:rPr>
          <w:rFonts w:ascii="Arial" w:eastAsia="Arial" w:hAnsi="Arial" w:cs="Arial"/>
        </w:rPr>
        <w:t xml:space="preserve"> (2019) were also characterized by well-designed methodological planning due to the presence of clear research objectives, outcome measure, and effective trial designs. Despite the fact that only methodologies are described over the studies, and not results, they offer significant information regarding designing and implementing large interventions of fall prevention. The incorporation of protocols into this review enhances transparency and accentuates the attempts to reinforce the evidence base in the given area.</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Most of the studies were rated on the CASP criteria as far as methodological quality is concerned, including the clarity of research objectives, suitability of methodology, and rigor of data analysis. Most RCTs described randomisation procedures in a clear manner minimizing the possibility of selection bias. Also, the outcome measures, including falls, balance, and functional mobility, were quantified with validated instruments, which led to increased reliability in findings.</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Nonetheless, certain shortcomings were discovered among the quantitative research. Indicatively, pilot and feasibility studies were useful as a preliminary evidence, but their sample sizes are too small and cannot be widely generalised. The researcher and participants could not be blinded in certain circumstances because physiotherapy interventions were such that they might cause performance bias. Moreover, intervention to exercise programmes was not adhered to by participants, and this could affect intervention effectiveness.</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The research by Iliffe et al. (2014) also identified the issue of adherence and engagement of participants to exercise programmes, especially those conducted in the home setting. The community-based group exercises had a better adherence rate, however, the individual home-based interventions needed more support and motivation. The result especially applies to the purpose of community physiotherapists as it provides the significance of supervision, mentorship, and interventions in enhancing results.</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The PDSAFE trials (Ashburn </w:t>
      </w:r>
      <w:r w:rsidRPr="000144B0">
        <w:rPr>
          <w:rFonts w:ascii="Arial" w:eastAsia="Arial" w:hAnsi="Arial" w:cs="Arial"/>
          <w:i/>
          <w:iCs/>
        </w:rPr>
        <w:t xml:space="preserve">et al. </w:t>
      </w:r>
      <w:r w:rsidRPr="000144B0">
        <w:rPr>
          <w:rFonts w:ascii="Arial" w:eastAsia="Arial" w:hAnsi="Arial" w:cs="Arial"/>
        </w:rPr>
        <w:t xml:space="preserve">2019; Chivers Seymour </w:t>
      </w:r>
      <w:r w:rsidRPr="000144B0">
        <w:rPr>
          <w:rFonts w:ascii="Arial" w:eastAsia="Arial" w:hAnsi="Arial" w:cs="Arial"/>
          <w:i/>
          <w:iCs/>
        </w:rPr>
        <w:t>et al.</w:t>
      </w:r>
      <w:r w:rsidRPr="000144B0">
        <w:rPr>
          <w:rFonts w:ascii="Arial" w:eastAsia="Arial" w:hAnsi="Arial" w:cs="Arial"/>
        </w:rPr>
        <w:t xml:space="preserve"> 2019) on persons with Parkinson’s disease showed that exercise based on physiotherapy and interventions based on a strategy may be used in high-risk groups to decrease the risk of falls. These researches were well-constructed with well-defined intervention protocols, as well as, well-developed outcome measurement. Nevertheless, their target population of clinical groups can restrict the generalisation to the wider older adult population.</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lastRenderedPageBreak/>
        <w:t xml:space="preserve">The other significant point that was determined during the appraisal was multifactorial interventions which involve exercise and environmental adjustments, as well as risk assessment. The wish to have a comprehensive outlook on fall prevention was highlighted in the studies including Bjerk </w:t>
      </w:r>
      <w:r w:rsidRPr="000144B0">
        <w:rPr>
          <w:rFonts w:ascii="Arial" w:eastAsia="Arial" w:hAnsi="Arial" w:cs="Arial"/>
          <w:i/>
          <w:iCs/>
        </w:rPr>
        <w:t xml:space="preserve">et al. </w:t>
      </w:r>
      <w:r w:rsidRPr="000144B0">
        <w:rPr>
          <w:rFonts w:ascii="Arial" w:eastAsia="Arial" w:hAnsi="Arial" w:cs="Arial"/>
        </w:rPr>
        <w:t xml:space="preserve">(2017) and Bajwa </w:t>
      </w:r>
      <w:r w:rsidRPr="000144B0">
        <w:rPr>
          <w:rFonts w:ascii="Arial" w:eastAsia="Arial" w:hAnsi="Arial" w:cs="Arial"/>
          <w:i/>
          <w:iCs/>
        </w:rPr>
        <w:t>et al.</w:t>
      </w:r>
      <w:r w:rsidRPr="000144B0">
        <w:rPr>
          <w:rFonts w:ascii="Arial" w:eastAsia="Arial" w:hAnsi="Arial" w:cs="Arial"/>
        </w:rPr>
        <w:t xml:space="preserve"> (2019). These interventions are consistent with the current public health approaches in the United Kingdom where multidisciplinary interventions are promoted to counter the complexity of health problems.</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The community-based exercise interventions presented by Adams </w:t>
      </w:r>
      <w:r w:rsidRPr="000144B0">
        <w:rPr>
          <w:rFonts w:ascii="Arial" w:eastAsia="Arial" w:hAnsi="Arial" w:cs="Arial"/>
          <w:i/>
          <w:iCs/>
        </w:rPr>
        <w:t>et al.</w:t>
      </w:r>
      <w:r w:rsidRPr="000144B0">
        <w:rPr>
          <w:rFonts w:ascii="Arial" w:eastAsia="Arial" w:hAnsi="Arial" w:cs="Arial"/>
        </w:rPr>
        <w:t xml:space="preserve"> (2018) were proven suitable by the feasibility study that allowed the interventions to be tailored to particular populations, including the visually impaired elderly. This underlines the adaptability and inclusion of physiotherapy-based programmes to meet the varied needs. On the same note, Baez</w:t>
      </w:r>
      <w:r w:rsidRPr="000144B0">
        <w:rPr>
          <w:rFonts w:ascii="Arial" w:eastAsia="Arial" w:hAnsi="Arial" w:cs="Arial"/>
          <w:i/>
          <w:iCs/>
        </w:rPr>
        <w:t xml:space="preserve"> et al.</w:t>
      </w:r>
      <w:r w:rsidRPr="000144B0">
        <w:rPr>
          <w:rFonts w:ascii="Arial" w:eastAsia="Arial" w:hAnsi="Arial" w:cs="Arial"/>
        </w:rPr>
        <w:t xml:space="preserve"> (2017) have proved the viability of technology-driven interventions, which could gain more significance in contemporary healthcare delivery.</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Another strength that was noticed in the quantitative research was the regular application of evidence-based exercises interventions especially those aimed at enhancing strength, balance and functional mobility. These interventions can be viewed as compliant with current clinical recommendations and prove effective theoretical grounding of the interventions in the field of fall prevention. The hypothesis of high-challenge balance exercises even when done on a regular basis was strengthened by the study by Sherrington et al. (2008) despite being a rapid review. This results in the evidence of the RCTs included therein and emphasizes the uniformity of evidence in various study designs.</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The other major theme that comes about out of the appraisal is the importance of individualised and customised interventions. A large number of studies scaled down exercise programmes to suit the needs of individual participants basing this on factors like physical ability, comorbidities, level of risk among others. This individualized technique is the emphasis of the community physiotherapy practice and improves effectiveness as well as adherence. Individuals with cognitive impairment or neurological conditions were particularly helped by tailored interventions as these are high-risk groups.</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Also, there were several studies that were marked by multidisciplinary and community-based approaches. Physiotherapist, healthcare professionals, and community services thereof enhanced accessive and provision of interventions. It also represents the current UK priorities in its public health concern regarding integrative care models where their adoption is overtly encouraged to deal with complicated health issues, like falls among the elderly population.</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On the whole, these further results support the point that community-based interventions guided by physiotherapy, tailored and community-based interventions are critical elements of a successful fall prevention approach.</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Finally, the critical evaluation of quantitative research proves that the application of </w:t>
      </w:r>
      <w:r w:rsidRPr="000144B0">
        <w:rPr>
          <w:rFonts w:ascii="Arial" w:eastAsia="Arial" w:hAnsi="Arial" w:cs="Arial"/>
        </w:rPr>
        <w:lastRenderedPageBreak/>
        <w:t>physiotherapy interventions and, in particular, exercise- based and balance training programmes are effective in the prevention of falls and functional outcomes in older adults. The overall evidence quality is high, despite certain issues, e.g., small samples of pilot studies and difficulties with adherence of the participants. Such results favor the inclusion of community physiotherapy services within the United Kingdom in the strategies of public health and social care. All quantitative studies are detailed in tables of their appraisal which can be found in the appendix (</w:t>
      </w:r>
      <w:r w:rsidRPr="000144B0">
        <w:rPr>
          <w:rFonts w:ascii="Arial" w:eastAsia="Arial" w:hAnsi="Arial" w:cs="Arial"/>
          <w:b/>
          <w:bCs/>
          <w:i/>
          <w:iCs/>
        </w:rPr>
        <w:t>see Appendix</w:t>
      </w:r>
      <w:r w:rsidRPr="000144B0">
        <w:rPr>
          <w:rFonts w:ascii="Arial" w:eastAsia="Arial" w:hAnsi="Arial" w:cs="Arial"/>
        </w:rPr>
        <w:t>).</w:t>
      </w:r>
    </w:p>
    <w:p w:rsidR="00170945" w:rsidRPr="000144B0" w:rsidRDefault="00170945" w:rsidP="00774AB1">
      <w:pPr>
        <w:pStyle w:val="Heading2"/>
        <w:rPr>
          <w:rFonts w:cs="Arial"/>
        </w:rPr>
      </w:pPr>
      <w:bookmarkStart w:id="113" w:name="_heading=h.47jqqulo3mcs" w:colFirst="0" w:colLast="0"/>
      <w:bookmarkStart w:id="114" w:name="_Toc228352787"/>
      <w:bookmarkEnd w:id="113"/>
      <w:r w:rsidRPr="000144B0">
        <w:rPr>
          <w:rFonts w:cs="Arial"/>
        </w:rPr>
        <w:t>4.7 Evaluation of Mixed Methods Studies using any appropriate</w:t>
      </w:r>
      <w:bookmarkEnd w:id="114"/>
    </w:p>
    <w:p w:rsidR="00170945" w:rsidRPr="009754C3" w:rsidRDefault="00170945" w:rsidP="00714BE6">
      <w:pPr>
        <w:pStyle w:val="Heading2"/>
        <w:ind w:left="0"/>
        <w:rPr>
          <w:rFonts w:cs="Arial"/>
          <w:b w:val="0"/>
          <w:bCs/>
          <w:color w:val="000000" w:themeColor="text1"/>
          <w:sz w:val="22"/>
          <w:szCs w:val="22"/>
        </w:rPr>
      </w:pPr>
      <w:bookmarkStart w:id="115" w:name="_heading=h.c015nn40l0af" w:colFirst="0" w:colLast="0"/>
      <w:bookmarkStart w:id="116" w:name="_Toc228352788"/>
      <w:bookmarkEnd w:id="115"/>
      <w:r w:rsidRPr="009754C3">
        <w:rPr>
          <w:rFonts w:cs="Arial"/>
          <w:b w:val="0"/>
          <w:color w:val="000000" w:themeColor="text1"/>
          <w:sz w:val="22"/>
          <w:szCs w:val="22"/>
        </w:rPr>
        <w:t>Qualitative research is an inquiry based on the experiences, perceptions and meanings of people not by a numerical measure alone. A qualitative secondary systematic literature review (SLR) methodology was chosen in this review in order to conglomerate the existing evidence of fall prevention interventions in older adults. This methodology allowed a combination of the results of several studies to produce a better understanding of how and why interventions are effective especially regarding the experiences of participants, their engagement, and perceived effectiveness.Even though certain of the studies included had both quantitative and qualitative components (e.g., Adams et al., 2018; Bajwa et al., 2019), the focus of this review was on deriving and analysing qualitative data like attitudes to interventions, adherence behaviours, and perceived benefits. Instead of performing a formal assessment of papers by applying instruments that would only adopt the mixed approach, e.g., the Mixed Methods Appraisal Tool (MMAT), a qualitative synthesis method was chosen to find common themes and trends in the literature.</w:t>
      </w:r>
      <w:bookmarkEnd w:id="116"/>
    </w:p>
    <w:p w:rsidR="00170945" w:rsidRPr="009754C3" w:rsidRDefault="00170945" w:rsidP="00714BE6">
      <w:pPr>
        <w:pStyle w:val="Heading2"/>
        <w:ind w:left="0"/>
        <w:rPr>
          <w:rFonts w:cs="Arial"/>
          <w:b w:val="0"/>
          <w:bCs/>
          <w:color w:val="000000" w:themeColor="text1"/>
          <w:sz w:val="22"/>
          <w:szCs w:val="22"/>
        </w:rPr>
      </w:pPr>
      <w:bookmarkStart w:id="117" w:name="_Toc228352789"/>
      <w:r w:rsidRPr="009754C3">
        <w:rPr>
          <w:rFonts w:cs="Arial"/>
          <w:b w:val="0"/>
          <w:color w:val="000000" w:themeColor="text1"/>
          <w:sz w:val="22"/>
          <w:szCs w:val="22"/>
        </w:rPr>
        <w:t>A qualitative SLR was reasonable to use due to the flexibility to examining various study designs with keeping a focus to meaning and context. Such a solution helps to determine most important themes, relationships and gaps in the literature, especially in such a complex area as a physiotherapy-based fall prevention programmes. It is also easier to have a more holistic view of intervention effectiveness by focusing on not only its outcomes but also the experiences and perspective of older adults.As an example, Adams et al. (2018) pooled the outcome indicators with feedback provided by the participants to examine the feasibility and acceptability of interventions in older adults with impaired vision. Qualitatively, this research was informative as it enlightened me on how people perceive and interact with working out programmes. On the same note, Bajwa et al. (2019) included the experience of participants and adherence patterns because motivation and behavioural determinants were the key aspects that determine intervention success. These researches helped give a deeper insight on other than statistical findings.</w:t>
      </w:r>
      <w:bookmarkEnd w:id="117"/>
    </w:p>
    <w:p w:rsidR="00170945" w:rsidRPr="009754C3" w:rsidRDefault="00170945" w:rsidP="00714BE6">
      <w:pPr>
        <w:pStyle w:val="Heading2"/>
        <w:ind w:left="0"/>
        <w:rPr>
          <w:rFonts w:cs="Arial"/>
          <w:b w:val="0"/>
          <w:bCs/>
          <w:color w:val="000000" w:themeColor="text1"/>
          <w:sz w:val="22"/>
          <w:szCs w:val="22"/>
        </w:rPr>
      </w:pPr>
      <w:bookmarkStart w:id="118" w:name="_Toc228352790"/>
      <w:r w:rsidRPr="009754C3">
        <w:rPr>
          <w:rFonts w:cs="Arial"/>
          <w:b w:val="0"/>
          <w:color w:val="000000" w:themeColor="text1"/>
          <w:sz w:val="22"/>
          <w:szCs w:val="22"/>
        </w:rPr>
        <w:t xml:space="preserve">Nevertheless, some constraints were determined in the literature reviewed. There are instances whereby qualitative results were not provided with enough depth to allow a full </w:t>
      </w:r>
      <w:r w:rsidRPr="009754C3">
        <w:rPr>
          <w:rFonts w:cs="Arial"/>
          <w:b w:val="0"/>
          <w:color w:val="000000" w:themeColor="text1"/>
          <w:sz w:val="22"/>
          <w:szCs w:val="22"/>
        </w:rPr>
        <w:lastRenderedPageBreak/>
        <w:t>interpretation of the experiences of the participants. Moreover, the different study designs, data collection procedures, and reporting criterion presented a problem to comparatively compare and synthesize them. Since this review is based on secondary data, the review is limited accordingly by the quality and scope of original studies as well.Through these weaknesses, the qualitative SLR technique was able to bring significant knowledge regarding the use of interventions on fall prevention and their effectiveness as well as practicality. Instead, an emphasis on thematic analysis, and interpretive synthesis enables this review to recognize the role of user experience, engagement, and contextual factors on intervention outcomes. The appendix (see Appendix) has given detailed appraisal and thematic tables to support transparency and rigour.</w:t>
      </w:r>
      <w:bookmarkEnd w:id="118"/>
    </w:p>
    <w:p w:rsidR="00170945" w:rsidRPr="000144B0" w:rsidRDefault="00170945" w:rsidP="00774AB1">
      <w:pPr>
        <w:pStyle w:val="Heading2"/>
        <w:rPr>
          <w:rFonts w:cs="Arial"/>
        </w:rPr>
      </w:pPr>
      <w:bookmarkStart w:id="119" w:name="_Toc228352791"/>
      <w:r w:rsidRPr="000144B0">
        <w:rPr>
          <w:rFonts w:cs="Arial"/>
        </w:rPr>
        <w:t>4.8 Chapter Summary</w:t>
      </w:r>
      <w:bookmarkEnd w:id="119"/>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In this chapter, the extraction of data and critical appraisal of the studies that were considered in this systematic literature review were presented. It also emphasized the significance of applying organized appraisal instruments like CASP, Cochrane risk of bias framework, and MMAT to gauge the quality of qualitative, quantitative as well as mixed methods studies and their credibility. The results showed that the majority of the studies were methodologically sound, especially those that are randomized controlled trials assessing physiotherapy-based interventions to prevent falls. This chapter ensures a good basis of the interpretation of the results of the review. In the following chapter, synthesis and discussion of the findings will be performed regarding the research goals and available literature.</w:t>
      </w:r>
      <w:r w:rsidRPr="000144B0">
        <w:rPr>
          <w:rFonts w:ascii="Arial" w:hAnsi="Arial" w:cs="Arial"/>
        </w:rPr>
        <w:br w:type="page"/>
      </w:r>
    </w:p>
    <w:p w:rsidR="00170945" w:rsidRPr="000144B0" w:rsidRDefault="00D91FD8" w:rsidP="00774AB1">
      <w:pPr>
        <w:pStyle w:val="Heading1"/>
        <w:rPr>
          <w:rFonts w:cs="Arial"/>
        </w:rPr>
      </w:pPr>
      <w:bookmarkStart w:id="120" w:name="_heading=h.rm0wc9s5qyx1" w:colFirst="0" w:colLast="0"/>
      <w:bookmarkStart w:id="121" w:name="_Toc228352792"/>
      <w:bookmarkEnd w:id="120"/>
      <w:r w:rsidRPr="000144B0">
        <w:rPr>
          <w:rFonts w:cs="Arial"/>
        </w:rPr>
        <w:lastRenderedPageBreak/>
        <w:t>Chapter</w:t>
      </w:r>
      <w:r w:rsidR="00170945" w:rsidRPr="000144B0">
        <w:rPr>
          <w:rFonts w:cs="Arial"/>
        </w:rPr>
        <w:t xml:space="preserve"> 5: </w:t>
      </w:r>
      <w:r w:rsidRPr="000144B0">
        <w:rPr>
          <w:rFonts w:cs="Arial"/>
        </w:rPr>
        <w:t>Data Analysis and Synthesis</w:t>
      </w:r>
      <w:bookmarkEnd w:id="121"/>
    </w:p>
    <w:p w:rsidR="00170945" w:rsidRPr="000144B0" w:rsidRDefault="00170945" w:rsidP="00774AB1">
      <w:pPr>
        <w:pStyle w:val="Heading2"/>
        <w:rPr>
          <w:rFonts w:cs="Arial"/>
        </w:rPr>
      </w:pPr>
      <w:bookmarkStart w:id="122" w:name="_heading=h.ybiqmgxsiy4b" w:colFirst="0" w:colLast="0"/>
      <w:bookmarkStart w:id="123" w:name="_Toc228352793"/>
      <w:bookmarkEnd w:id="122"/>
      <w:r w:rsidRPr="000144B0">
        <w:rPr>
          <w:rFonts w:cs="Arial"/>
        </w:rPr>
        <w:t>5.1 Introduction to Chapter</w:t>
      </w:r>
      <w:bookmarkEnd w:id="123"/>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This chapter summarizes the data and synthesis of the studies that this systematic literature review included and discusses the role of community physiotherapists in preventing falls among the elderly in the United Kingdom as a public health and social care approach. The chapter starts by describing the methodological approach that will be used in the analysis, i.e., thematic analysis, and the analysis framework, i.e., six-phase framework as proposed by Braun and Clarke (2006). It then goes on to describe the countries where the studies included were carried out and follows by outlining the emergent themes and sub-themes that emerged out of the systematic synthesis of the evidence. At the end of the chapter, there is a summary of main findings.</w:t>
      </w:r>
    </w:p>
    <w:p w:rsidR="00170945" w:rsidRPr="000144B0" w:rsidRDefault="00170945" w:rsidP="00774AB1">
      <w:pPr>
        <w:pStyle w:val="Heading2"/>
        <w:rPr>
          <w:rFonts w:cs="Arial"/>
        </w:rPr>
      </w:pPr>
      <w:bookmarkStart w:id="124" w:name="_heading=h.xc3bvyz93kzk" w:colFirst="0" w:colLast="0"/>
      <w:bookmarkStart w:id="125" w:name="_Toc228352794"/>
      <w:bookmarkEnd w:id="124"/>
      <w:r w:rsidRPr="000144B0">
        <w:rPr>
          <w:rFonts w:cs="Arial"/>
        </w:rPr>
        <w:t>5.2 Thematic Analysis</w:t>
      </w:r>
      <w:bookmarkEnd w:id="125"/>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Thematic analysis is a qualitative method of research that is applied to find, analyse, and describe repeating patterns or themes of data. It is widely utilized in health and social care academic studies, to make sense of experiences, perceptions and phenomena (Naeem et al., 2023). In its implementation in synthesising secondary data in the context of a Systematic Literature Review (SLR), it is known as qualitative evidence synthesis or meta-ethnography. </w:t>
      </w:r>
    </w:p>
    <w:p w:rsidR="00170945" w:rsidRPr="000144B0" w:rsidRDefault="00170945" w:rsidP="00774AB1">
      <w:pPr>
        <w:pStyle w:val="Heading2"/>
        <w:rPr>
          <w:rFonts w:cs="Arial"/>
        </w:rPr>
      </w:pPr>
      <w:bookmarkStart w:id="126" w:name="_heading=h.cqbnu0x6qurw" w:colFirst="0" w:colLast="0"/>
      <w:bookmarkStart w:id="127" w:name="_Toc228352795"/>
      <w:bookmarkEnd w:id="126"/>
      <w:r w:rsidRPr="000144B0">
        <w:rPr>
          <w:rFonts w:cs="Arial"/>
        </w:rPr>
        <w:t>5.3 Data analysis tool</w:t>
      </w:r>
      <w:bookmarkEnd w:id="127"/>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In this review, the six-step thematic analysis framework by Braun and Clarke (2006) is used and includes familiarisation of data, preliminary codes, theme seeking, review of themes, defining and naming of themes and final report production (Ahmed et al., 2025). Its systematic nature allows it to effectively identify patterns in various literature that enhances the validity of conclusions made (Ahmed et al., 2025).</w:t>
      </w:r>
    </w:p>
    <w:p w:rsidR="00170945" w:rsidRPr="000144B0" w:rsidRDefault="00170945" w:rsidP="00774AB1">
      <w:pPr>
        <w:pStyle w:val="Heading2"/>
        <w:rPr>
          <w:rFonts w:cs="Arial"/>
        </w:rPr>
      </w:pPr>
      <w:bookmarkStart w:id="128" w:name="_heading=h.jrzi7gvmhxi" w:colFirst="0" w:colLast="0"/>
      <w:bookmarkStart w:id="129" w:name="_Toc228352796"/>
      <w:bookmarkEnd w:id="128"/>
      <w:r w:rsidRPr="000144B0">
        <w:rPr>
          <w:rFonts w:cs="Arial"/>
        </w:rPr>
        <w:t>5.4 Characteristics of the identified studies</w:t>
      </w:r>
      <w:bookmarkEnd w:id="129"/>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Among the 15 studies utilized in this review, six countries carried out the studies. Two were carried out in the United Kingdom, that is, in England (Bruce et al., 2021 — PreFIT Trial; Bjerk et al., 2017 — Community Home Exercise Programme). They were two studies in Finland (Rikkonen et al., 2023 - Effectiveness of Exercise on Fall Prevention; Vilpunaho et al., 2019 - Kuopio Fall Prevention Study Protocol), both at the University of Eastern Finland at Kuopio. There were conducted two studies in Australia (Hasan et al., 2025 - Falls Risk Perception Cross-Sectional Study, John Hunter Hospital, Newcastle, New South Wales; Voukelatos et al., 2007 - Central Sydney Tai Chi Trial, Sydney, New South Wales). One of the studies was in Sweden (Halvarsson et al., 2021 — StayBalanced Trial, implemented in the primary health care settings of Stockholm). A single study was done on Iran (Dadgari et al., 2016 — Otago Exercise Program RCT, done in Shahroud, Semnan Province). </w:t>
      </w:r>
    </w:p>
    <w:p w:rsidR="00170945" w:rsidRPr="000144B0" w:rsidRDefault="00170945" w:rsidP="00774AB1">
      <w:pPr>
        <w:pStyle w:val="Heading2"/>
        <w:rPr>
          <w:rFonts w:cs="Arial"/>
        </w:rPr>
      </w:pPr>
      <w:bookmarkStart w:id="130" w:name="_heading=h.urhle3mjtpqc" w:colFirst="0" w:colLast="0"/>
      <w:bookmarkStart w:id="131" w:name="_Toc228352797"/>
      <w:bookmarkEnd w:id="130"/>
      <w:r w:rsidRPr="000144B0">
        <w:rPr>
          <w:rFonts w:cs="Arial"/>
        </w:rPr>
        <w:lastRenderedPageBreak/>
        <w:t>5.5 Emerging Themes from included studies</w:t>
      </w:r>
      <w:bookmarkEnd w:id="131"/>
    </w:p>
    <w:p w:rsidR="00170945" w:rsidRPr="000144B0" w:rsidRDefault="00170945" w:rsidP="00774AB1">
      <w:pPr>
        <w:spacing w:line="360" w:lineRule="auto"/>
        <w:jc w:val="both"/>
        <w:rPr>
          <w:rFonts w:ascii="Arial" w:eastAsia="Arial" w:hAnsi="Arial" w:cs="Arial"/>
          <w:b/>
          <w:bCs/>
        </w:rPr>
      </w:pPr>
      <w:r w:rsidRPr="000144B0">
        <w:rPr>
          <w:rFonts w:ascii="Arial" w:eastAsia="Arial" w:hAnsi="Arial" w:cs="Arial"/>
          <w:b/>
          <w:bCs/>
        </w:rPr>
        <w:t>THEME 1: Interventions based on exercise and falls prevention.</w:t>
      </w:r>
    </w:p>
    <w:p w:rsidR="00170945" w:rsidRPr="000144B0" w:rsidRDefault="00170945" w:rsidP="00774AB1">
      <w:pPr>
        <w:spacing w:line="360" w:lineRule="auto"/>
        <w:jc w:val="both"/>
        <w:rPr>
          <w:rFonts w:ascii="Arial" w:eastAsia="Arial" w:hAnsi="Arial" w:cs="Arial"/>
          <w:b/>
          <w:bCs/>
          <w:i/>
          <w:iCs/>
        </w:rPr>
      </w:pPr>
      <w:r w:rsidRPr="000144B0">
        <w:rPr>
          <w:rFonts w:ascii="Arial" w:eastAsia="Arial" w:hAnsi="Arial" w:cs="Arial"/>
          <w:b/>
          <w:bCs/>
          <w:i/>
          <w:iCs/>
        </w:rPr>
        <w:t>Sub-theme 1.1.1: Balance and Strength Training.</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The single biggest trend observed in the studies included was the utility of structured balance and strength training in decreasing the number of falls in community-dwelling older adults. In various study designs and different geographic locations, exercise interventions which put special attention in the lower limb strength, postural control as well as dynamic balance routines, have always shown on a significant diminution in falls.</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Conducting a cluster randomised controlled trial on the PreFIT cluster randomised controlled trial, Bruce et al. (2016) engage delivery of exercise-based interventions integrated into primary care that found a substantial decrease in falls and fractures among adults aged 70 years and older against control groups using advice alone across 63 general practices in England. The authors emphasized the relevance of screening-and-treat pathways, as well as exercise, in conjunction with multifactorial risk assessment, provided the most clinically meaningful data. On the other hand, Rikkonen et al. (2023) describing the two-year Kuopio Fall Prevention Study in Finland among 914 </w:t>
      </w:r>
      <w:r w:rsidR="00714BE6" w:rsidRPr="000144B0">
        <w:rPr>
          <w:rFonts w:ascii="Arial" w:eastAsia="Arial" w:hAnsi="Arial" w:cs="Arial"/>
        </w:rPr>
        <w:t>community-based</w:t>
      </w:r>
      <w:r w:rsidRPr="000144B0">
        <w:rPr>
          <w:rFonts w:ascii="Arial" w:eastAsia="Arial" w:hAnsi="Arial" w:cs="Arial"/>
        </w:rPr>
        <w:t xml:space="preserve"> women aged 72 to 84 years showed that the numbers of falls and fall-related injuries significantly decreased as per the 24-month follow-up period due to supervised gym training and Tai Chi programs. The research offered practice-level, population-wide information that evidence might be converted into practice community environments via exercise programmes with local authority funding.</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In line with this, Halvarsson et al. (2021) carried out the StayBalanced cluster randomised controlled and hybrid type 3 trial in primary healthcare settings in Stockholm, Sweden, to explore two strategies to implement the StayBalanced balance training programme, and discovered that individualised and progressive balance training in groups, with physiotherapists, yielded sustained effects on balance performance, less fear of falling, and lower fall rates. The principle of specificity of the programme (its aim was to address the most problematic systems of postural control in everyday life) was defined as one of the mechanisms of effectiveness.</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Similarly, in a </w:t>
      </w:r>
      <w:r w:rsidR="00714BE6" w:rsidRPr="000144B0">
        <w:rPr>
          <w:rFonts w:ascii="Arial" w:eastAsia="Arial" w:hAnsi="Arial" w:cs="Arial"/>
        </w:rPr>
        <w:t>community-based</w:t>
      </w:r>
      <w:r w:rsidRPr="000144B0">
        <w:rPr>
          <w:rFonts w:ascii="Arial" w:eastAsia="Arial" w:hAnsi="Arial" w:cs="Arial"/>
        </w:rPr>
        <w:t xml:space="preserve"> study that assessed the effects of balance exercises on fall prevention in elderly individuals, Kumar and Danishta (2025) observed that such balance exercise programmes were effective in enhancing the performance of both static and dynamic balance and lowering the incidence of falls. </w:t>
      </w:r>
    </w:p>
    <w:p w:rsidR="00170945" w:rsidRPr="000144B0" w:rsidRDefault="00170945" w:rsidP="00774AB1">
      <w:pPr>
        <w:spacing w:line="360" w:lineRule="auto"/>
        <w:jc w:val="both"/>
        <w:rPr>
          <w:rFonts w:ascii="Arial" w:eastAsia="Arial" w:hAnsi="Arial" w:cs="Arial"/>
          <w:b/>
          <w:bCs/>
          <w:i/>
          <w:iCs/>
        </w:rPr>
      </w:pPr>
      <w:r w:rsidRPr="000144B0">
        <w:rPr>
          <w:rFonts w:ascii="Arial" w:eastAsia="Arial" w:hAnsi="Arial" w:cs="Arial"/>
          <w:b/>
          <w:bCs/>
          <w:i/>
          <w:iCs/>
        </w:rPr>
        <w:t>Sub-theme 1.2: Home-Based Exercise Programmes</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Multiple studies contained revealed that home-based exercise programmes led by physiotherapists, especially designed exercises are an efficient and scalable intervention to </w:t>
      </w:r>
      <w:r w:rsidRPr="000144B0">
        <w:rPr>
          <w:rFonts w:ascii="Arial" w:eastAsia="Arial" w:hAnsi="Arial" w:cs="Arial"/>
        </w:rPr>
        <w:lastRenderedPageBreak/>
        <w:t xml:space="preserve">falls prevention. Bjerk et al. (2017), describing a randomised controlled trial protocol carried out in Oslo, Norway, with older adults as its target population, who get home help services, gave the description of a </w:t>
      </w:r>
      <w:r w:rsidR="00714BE6" w:rsidRPr="000144B0">
        <w:rPr>
          <w:rFonts w:ascii="Arial" w:eastAsia="Arial" w:hAnsi="Arial" w:cs="Arial"/>
        </w:rPr>
        <w:t>fall’s</w:t>
      </w:r>
      <w:r w:rsidRPr="000144B0">
        <w:rPr>
          <w:rFonts w:ascii="Arial" w:eastAsia="Arial" w:hAnsi="Arial" w:cs="Arial"/>
        </w:rPr>
        <w:t xml:space="preserve"> prevention programme aimed at the improvement of quality of life, physical functioning, and falls efficacy. The rationale was that the programme was based on evidence because home help receivers are an unexplored, and potentially risky group wherein access to facility-based exercise is frequently not available. The research outlined that the exercise, directly provided in the living environment, by home-based physiotherapists, would help close this gap by providing specific types of strength and balance training.</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Parallel to this finding, Dadgari et al. (2016), who reported on the first randomised controlled trial of the Otago Exercise Programme (OEP) in Iran that was carried out among 317 elderly community dwellers located in Shahroud established that the home-based OEP, over six months of which involved physiotherapists and included individually tailored strength and balance exercises, significantly diminished the number of falls among The article was characterized by the fact that it was able to show that the OEP could be transferred to lower-middle income country context, providing support to the evidence base which had previously been limited to higher-income western contexts.</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Relatedly, in a meta-analysis and systematic review of seven RCTs, which were able to pool the data of 1,503 participants, Thomas et al. (2010) found that the Otago Exercise Programme significantly prevents the occurrence of falls, the incidence rate ratio of which was 0.68, as well as significantly decreased the risk of mortality after twelve months. Reviewing with an Australian institution base strengthened home-based exercise with physiotherapist prescriptions as one of the most evidence-based modalities to prevent falls especially in adults aged 80 years and above. Another systematic review and meta-analysis by Yang et al. (2022) to evaluate the effect of the OEP in a series of international RCTs also found that the programme would lead to significant improvements in balance.</w:t>
      </w:r>
    </w:p>
    <w:p w:rsidR="00170945" w:rsidRPr="000144B0" w:rsidRDefault="00170945" w:rsidP="00774AB1">
      <w:pPr>
        <w:spacing w:line="360" w:lineRule="auto"/>
        <w:jc w:val="both"/>
        <w:rPr>
          <w:rFonts w:ascii="Arial" w:eastAsia="Arial" w:hAnsi="Arial" w:cs="Arial"/>
          <w:b/>
          <w:bCs/>
          <w:i/>
          <w:iCs/>
        </w:rPr>
      </w:pPr>
      <w:r w:rsidRPr="000144B0">
        <w:rPr>
          <w:rFonts w:ascii="Arial" w:eastAsia="Arial" w:hAnsi="Arial" w:cs="Arial"/>
          <w:b/>
          <w:bCs/>
          <w:i/>
          <w:iCs/>
        </w:rPr>
        <w:t>Sub-theme 1.3: Tai Chi and Mind-Body Exercise.</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Another sub-theme that was developed is that Tai Chi is a culturally available modality of low-impact exercise with proven effectiveness as a method of fall prevention. Tai Chi was among a few exercise modalities endorsed in best practice recommendations to prevent falls in older adults by Sherrington et al. (2008) based on limited but adequate evidence due to its claim in appropriate population levels, especially in older adults in a community environment. </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Accordingly, in the Kuopio Fall Prevention Study, Rikkonen et al. (2023) included weekly Tai Chi sessions, along with gym training in the study intervention, with the conclusion that the combined method resulted in larger sustained fall rates reduction compared to health education. In a comparable manner, in the protocol of the Kuopio Fall Prevention Study, Vilpunaho et al. (2019) described Tai Chi to be an essential element of the intervention arm </w:t>
      </w:r>
      <w:r w:rsidRPr="000144B0">
        <w:rPr>
          <w:rFonts w:ascii="Arial" w:eastAsia="Arial" w:hAnsi="Arial" w:cs="Arial"/>
        </w:rPr>
        <w:lastRenderedPageBreak/>
        <w:t xml:space="preserve">since it has a strong evidence base in enhancing balance, lower limb strength, and fear of falling in elderly women. </w:t>
      </w:r>
    </w:p>
    <w:p w:rsidR="00170945" w:rsidRPr="000144B0" w:rsidRDefault="00170945" w:rsidP="00774AB1">
      <w:pPr>
        <w:spacing w:line="360" w:lineRule="auto"/>
        <w:jc w:val="both"/>
        <w:rPr>
          <w:rFonts w:ascii="Arial" w:eastAsia="Arial" w:hAnsi="Arial" w:cs="Arial"/>
          <w:b/>
          <w:bCs/>
          <w:i/>
          <w:iCs/>
        </w:rPr>
      </w:pPr>
      <w:r w:rsidRPr="000144B0">
        <w:rPr>
          <w:rFonts w:ascii="Arial" w:eastAsia="Arial" w:hAnsi="Arial" w:cs="Arial"/>
          <w:b/>
          <w:bCs/>
          <w:i/>
          <w:iCs/>
        </w:rPr>
        <w:t>Sub-theme 1.4: Duration, Frequency and Dose-Response.</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One similarity that was evident throughout the studies included was the significance of the duration of the programme, sessions frequency, and regular contribution to the process of defining the effectiveness. Even among the 747 participants who continued pursuing OEP studies at twelve months, only the equivalent of 36.7 percent of them continued to exercise three or more times per week, which implied that adherence was short-lived (Thomas et al., 2010). Similar findings were reported by Rikkonen et al. (2023), who reported that long-term decrease in falls was most tangible when participants sustained supervision sessions even after the six-month intervention phase. Halvarsson et al. (2021) tailored the design of the StayBalanced trial to explore the impact of the various implementation strategies on programme maintenance at 24 months, given that short-term effectiveness is not necessarily a predictor of longer-term population-level payoff.</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Instead, a pilot trial of online group exercise in older adults reported by Baez et al. (2016) indicated that online group exercises of lower intensity and shorter durations might result in significant enhancements in physical, psychological, and social wellbeing, even in the absence of the high frequency and controlled intensity of an analogous face-to-face programme. </w:t>
      </w:r>
    </w:p>
    <w:p w:rsidR="00170945" w:rsidRPr="000144B0" w:rsidRDefault="00170945" w:rsidP="00774AB1">
      <w:pPr>
        <w:spacing w:line="360" w:lineRule="auto"/>
        <w:jc w:val="both"/>
        <w:rPr>
          <w:rFonts w:ascii="Arial" w:eastAsia="Arial" w:hAnsi="Arial" w:cs="Arial"/>
          <w:b/>
          <w:bCs/>
        </w:rPr>
      </w:pPr>
      <w:r w:rsidRPr="000144B0">
        <w:rPr>
          <w:rFonts w:ascii="Arial" w:eastAsia="Arial" w:hAnsi="Arial" w:cs="Arial"/>
          <w:b/>
          <w:bCs/>
        </w:rPr>
        <w:t>THEME 2: THE ICP and TS of EBP Programmes.</w:t>
      </w:r>
    </w:p>
    <w:p w:rsidR="00170945" w:rsidRPr="000144B0" w:rsidRDefault="00170945" w:rsidP="00774AB1">
      <w:pPr>
        <w:spacing w:line="360" w:lineRule="auto"/>
        <w:jc w:val="both"/>
        <w:rPr>
          <w:rFonts w:ascii="Arial" w:eastAsia="Arial" w:hAnsi="Arial" w:cs="Arial"/>
          <w:b/>
          <w:bCs/>
          <w:i/>
          <w:iCs/>
        </w:rPr>
      </w:pPr>
      <w:r w:rsidRPr="000144B0">
        <w:rPr>
          <w:rFonts w:ascii="Arial" w:eastAsia="Arial" w:hAnsi="Arial" w:cs="Arial"/>
          <w:b/>
          <w:bCs/>
          <w:i/>
          <w:iCs/>
        </w:rPr>
        <w:t>Sub-theme 2.1: Research to Clinical Practice Translation.</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One thing that was common in the studies included was the never ending disconnect between the available evidence on exercise-based falls prevention and its implementation in clinical and community practice. This was particularly referred to as the gap in the excavation of the primary motivation for the StayBalanced hybrid type 3 trial, indicating that although there was a convincing evidence on the efficacy and effectiveness of balance training, there was still an underutilization of evidence-based programmes in community-based and clinical healthcare settings (Halvarsson et al., 2021). The StayBalanced trial was not only created to test this but to compare two opposing implementation strategies due to an understanding that knowledge translation is also a research question.</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In the same spirit, the study by Bjerk et al. (2017) which is also a RCT protocol recognised home help services to older adults as a population that is rarely included in falls prevention trials, despite being at a higher risk, stating that the barrier to implementation is also on what populations are chosen to play a central role in the research as well as its practice. The authors believed that this group had to claim a specific resource distribution in home care services as there was a need to provide evidence.</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In their report of the PreFIT trial protocol, Bruce et al. (2016) outlined much preparatory </w:t>
      </w:r>
      <w:r w:rsidRPr="000144B0">
        <w:rPr>
          <w:rFonts w:ascii="Arial" w:eastAsia="Arial" w:hAnsi="Arial" w:cs="Arial"/>
        </w:rPr>
        <w:lastRenderedPageBreak/>
        <w:t xml:space="preserve">work, such as a national scoping survey of Chinese primary care services of falls, and a referral pathway review, performed prior to launching the trial, to ensure that the trial interventions were consistent with reality of NHS primary care setups. </w:t>
      </w:r>
    </w:p>
    <w:p w:rsidR="00170945" w:rsidRPr="000144B0" w:rsidRDefault="00170945" w:rsidP="00774AB1">
      <w:pPr>
        <w:spacing w:line="360" w:lineRule="auto"/>
        <w:jc w:val="both"/>
        <w:rPr>
          <w:rFonts w:ascii="Arial" w:eastAsia="Arial" w:hAnsi="Arial" w:cs="Arial"/>
          <w:b/>
          <w:bCs/>
          <w:i/>
          <w:iCs/>
        </w:rPr>
      </w:pPr>
      <w:r w:rsidRPr="000144B0">
        <w:rPr>
          <w:rFonts w:ascii="Arial" w:eastAsia="Arial" w:hAnsi="Arial" w:cs="Arial"/>
          <w:b/>
          <w:bCs/>
          <w:i/>
          <w:iCs/>
        </w:rPr>
        <w:t>Sub-theme 2.2: Blocks and Enablers to Programme Delivery.</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In the studies covered in the analysis, a number of elements proved to be facilitating or hindering the successful implementation of programmes. The input of physiotherapists was always given as a major facilitator. Dadgari et al. (2016) emphasized that the prescription and early supervision of the OEP by physiotherapists were the key to the safety and compliance of the participants (especially older adults) with complex health histories. In their meta-analysis on seven studies on the topic, a similar result was reported by Thomas et al. (2010) who achieved the outcome that compliance was the highest in studies that involved home-visiting physiotherapists who did not, but provided regular motivational support.</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In their pilot study of post-discharge online group exercise Baez et al. (2016) suggested online delivery as a possible solution to access barriers, and found that those participants who used the online platform reported physical, psychological, and social wellbeing improvements, but the pilot study design did not enable conclusive results, including the reducing of falls.</w:t>
      </w:r>
    </w:p>
    <w:p w:rsidR="00170945" w:rsidRPr="000144B0" w:rsidRDefault="00170945" w:rsidP="00774AB1">
      <w:pPr>
        <w:spacing w:line="360" w:lineRule="auto"/>
        <w:jc w:val="both"/>
        <w:rPr>
          <w:rFonts w:ascii="Arial" w:eastAsia="Arial" w:hAnsi="Arial" w:cs="Arial"/>
          <w:b/>
          <w:bCs/>
          <w:i/>
          <w:iCs/>
        </w:rPr>
      </w:pPr>
      <w:r w:rsidRPr="000144B0">
        <w:rPr>
          <w:rFonts w:ascii="Arial" w:eastAsia="Arial" w:hAnsi="Arial" w:cs="Arial"/>
          <w:b/>
          <w:bCs/>
          <w:i/>
          <w:iCs/>
        </w:rPr>
        <w:t>Sub-theme 2.3: Online and Digital Modalities of Delivery.</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Two studies included demonstrated the emergence of the digital delivery as a complementary modality to prevent falls. In a pilot experiment, Baez et al. (2016), tested the application of online group exercise sessions with older adults and discovered that the format was beneficial in promoting social interaction, motivation, and retention of physical activities, but this was accompanied by a limitation, which they believed to be the low-risk strength (undirected fall measurements) of the conclusions that can be drawn. Although their research mainly followed accel data and dual-task timed tests to recognize fallers among healthy elders, Ponti et al. (2017) showed that sensor technology could definitely discern fallers and non-fallers, which paves the way towards technology-based risk management in the community.</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In line with this, a Gov (2018) report on Stay Balanced programme stated that digital infrastructure distributing the programme, and facilitating clinical communication, could positively impact scale and fidelity in primary healthcare environments, where the administrative burden of physiotherapy services is decreased and there is more consistent programme delivery. </w:t>
      </w:r>
    </w:p>
    <w:p w:rsidR="00170945" w:rsidRPr="000144B0" w:rsidRDefault="00170945" w:rsidP="00774AB1">
      <w:pPr>
        <w:spacing w:line="360" w:lineRule="auto"/>
        <w:jc w:val="both"/>
        <w:rPr>
          <w:rFonts w:ascii="Arial" w:eastAsia="Arial" w:hAnsi="Arial" w:cs="Arial"/>
          <w:b/>
          <w:bCs/>
        </w:rPr>
      </w:pPr>
      <w:r w:rsidRPr="000144B0">
        <w:rPr>
          <w:rFonts w:ascii="Arial" w:eastAsia="Arial" w:hAnsi="Arial" w:cs="Arial"/>
          <w:b/>
          <w:bCs/>
        </w:rPr>
        <w:t xml:space="preserve">THEME 3: RISK </w:t>
      </w:r>
      <w:r w:rsidR="00D84539" w:rsidRPr="000144B0">
        <w:rPr>
          <w:rFonts w:ascii="Arial" w:eastAsia="Arial" w:hAnsi="Arial" w:cs="Arial"/>
          <w:b/>
          <w:bCs/>
        </w:rPr>
        <w:t>Perception</w:t>
      </w:r>
      <w:r w:rsidRPr="000144B0">
        <w:rPr>
          <w:rFonts w:ascii="Arial" w:eastAsia="Arial" w:hAnsi="Arial" w:cs="Arial"/>
          <w:b/>
          <w:bCs/>
        </w:rPr>
        <w:t>, Psychological Factors and Fall effectiveness.</w:t>
      </w:r>
    </w:p>
    <w:p w:rsidR="00170945" w:rsidRPr="000144B0" w:rsidRDefault="00170945" w:rsidP="00774AB1">
      <w:pPr>
        <w:spacing w:line="360" w:lineRule="auto"/>
        <w:jc w:val="both"/>
        <w:rPr>
          <w:rFonts w:ascii="Arial" w:eastAsia="Arial" w:hAnsi="Arial" w:cs="Arial"/>
          <w:b/>
          <w:bCs/>
          <w:i/>
          <w:iCs/>
        </w:rPr>
      </w:pPr>
      <w:r w:rsidRPr="000144B0">
        <w:rPr>
          <w:rFonts w:ascii="Arial" w:eastAsia="Arial" w:hAnsi="Arial" w:cs="Arial"/>
          <w:b/>
          <w:bCs/>
          <w:i/>
          <w:iCs/>
        </w:rPr>
        <w:t>Sub-theme 3.1: Perception of Patient and Carer with regard to falls risk.</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A key finding, which has the greatest clinical relevance, identified in the studies included was the generally low perception of falls risk in older and their caregivers. In a cross-sectional </w:t>
      </w:r>
      <w:r w:rsidRPr="000144B0">
        <w:rPr>
          <w:rFonts w:ascii="Arial" w:eastAsia="Arial" w:hAnsi="Arial" w:cs="Arial"/>
        </w:rPr>
        <w:lastRenderedPageBreak/>
        <w:t xml:space="preserve">study by Hasan et al. (2025) carried out at John Hunter Hospital, Newcastle Australia, it was discovered that 81 percent of the study sample had a poor perception of risk of falls in a verified scale and 88 percent of the patients and 67 percent of their carers had low levels of risk awareness. </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Hasan et al. (2025) concluded that proactive screening that is structured and integrated into the healthcare encounters was needed to identify at-risk individuals who do not usually present themselves to falls prevention services. This is in line with the rationale that informed the PreFIT trial (Bruce et al., 2016) that utilized a postal screening tool that it mailed to all older adults registered across participating general practices, as opposed to having patients make contact.</w:t>
      </w:r>
    </w:p>
    <w:p w:rsidR="00170945" w:rsidRPr="000144B0" w:rsidRDefault="00170945" w:rsidP="00774AB1">
      <w:pPr>
        <w:spacing w:line="360" w:lineRule="auto"/>
        <w:jc w:val="both"/>
        <w:rPr>
          <w:rFonts w:ascii="Arial" w:eastAsia="Arial" w:hAnsi="Arial" w:cs="Arial"/>
          <w:b/>
          <w:bCs/>
          <w:i/>
          <w:iCs/>
        </w:rPr>
      </w:pPr>
      <w:r w:rsidRPr="000144B0">
        <w:rPr>
          <w:rFonts w:ascii="Arial" w:eastAsia="Arial" w:hAnsi="Arial" w:cs="Arial"/>
          <w:b/>
          <w:bCs/>
          <w:i/>
          <w:iCs/>
        </w:rPr>
        <w:t>Sub-theme 3.2: Psychological Wellbeing and Fear of Falling.</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Fear of falling was identified as a unique psychological risk that not only predicts future falls, but also constrains engagement in physical activities, forming a vicious cycle of inactivity and high risk. Halvarsson et al. (2021) found a decreased falls-related concern at the individual level to be a key outcome of the StayBalanced programme, as the decrease in fears of falling was recognized as essential in clinical value as decreasing the actual fall frequency. Likewise, the growing body of findings that psychological aspects of the falls risk are equally significant indicators of need value has led Bjerk et al. (2017) to include such an outcome variable in their RCT protocol, namely, falls efficacy.</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In line with this, Baez et al. (2016) discovered that online group exercise developed a change in psychological wellbeing and decreased social isolating, which was done indirectly by eliminating fear of falling through improved confidence and peer support. According to the authors, social engagement emerged as an often cited reason in further participation, pointing to the fact that the group nature of most falls prevention programmes potentially provided psychological benefit some of which may contain greater physical benefits of exercise.</w:t>
      </w:r>
    </w:p>
    <w:p w:rsidR="00170945" w:rsidRPr="000144B0" w:rsidRDefault="00170945" w:rsidP="00774AB1">
      <w:pPr>
        <w:spacing w:line="360" w:lineRule="auto"/>
        <w:jc w:val="both"/>
        <w:rPr>
          <w:rFonts w:ascii="Arial" w:eastAsia="Arial" w:hAnsi="Arial" w:cs="Arial"/>
          <w:b/>
          <w:bCs/>
          <w:i/>
          <w:iCs/>
        </w:rPr>
      </w:pPr>
      <w:r w:rsidRPr="000144B0">
        <w:rPr>
          <w:rFonts w:ascii="Arial" w:eastAsia="Arial" w:hAnsi="Arial" w:cs="Arial"/>
          <w:b/>
          <w:bCs/>
          <w:i/>
          <w:iCs/>
        </w:rPr>
        <w:t>Sub-theme 3.3: Fall Self-efficacy and confidence.</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Falls self-efficacy, a personal belief in the ability to carry out their day-to-day tasks without falling was noted as a mediating variable in the programme efficacy as well as an outcome in its own right. Bjerk et al. (2017) discussed the idea that enhancing falls self-efficacy was a process by which exercise programmes decreased falls, arguing that more confidence in moving led to increased exercise, which enhanced strength, and balance. Thomas et al. (2010) have also observed that the OEP developing progression in terms of low to high-complexity exercises was also structured so that the development of self-efficacy could be objectively gradually reinforced by the feedback of the physiotherapist with the focus in contributing to the confidence of the participants.</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Quite to the contrary, Hasan et al. discovered that the poor falls perception, albeit seemingly </w:t>
      </w:r>
      <w:r w:rsidRPr="000144B0">
        <w:rPr>
          <w:rFonts w:ascii="Arial" w:eastAsia="Arial" w:hAnsi="Arial" w:cs="Arial"/>
        </w:rPr>
        <w:lastRenderedPageBreak/>
        <w:t>similar on the surface, to high self-efficacy, was more frequently either denial or lack of health literacy than true confidence based on physical competence (2025). This difference has significant clinical practice implications, indicating that falls self-efficacy does not require being a proxy that reflects clinical safety but it should instead be evaluated alongside risk objective measures.</w:t>
      </w:r>
    </w:p>
    <w:p w:rsidR="00170945" w:rsidRPr="000144B0" w:rsidRDefault="00170945" w:rsidP="00774AB1">
      <w:pPr>
        <w:spacing w:line="360" w:lineRule="auto"/>
        <w:jc w:val="both"/>
        <w:rPr>
          <w:rFonts w:ascii="Arial" w:eastAsia="Arial" w:hAnsi="Arial" w:cs="Arial"/>
          <w:b/>
          <w:bCs/>
        </w:rPr>
      </w:pPr>
      <w:r w:rsidRPr="000144B0">
        <w:rPr>
          <w:rFonts w:ascii="Arial" w:eastAsia="Arial" w:hAnsi="Arial" w:cs="Arial"/>
          <w:b/>
          <w:bCs/>
        </w:rPr>
        <w:t>THEME 4: Health outcomes and population specific consideration: Population-specific considerations.</w:t>
      </w:r>
    </w:p>
    <w:p w:rsidR="00170945" w:rsidRPr="000144B0" w:rsidRDefault="00170945" w:rsidP="00774AB1">
      <w:pPr>
        <w:spacing w:line="360" w:lineRule="auto"/>
        <w:jc w:val="both"/>
        <w:rPr>
          <w:rFonts w:ascii="Arial" w:eastAsia="Arial" w:hAnsi="Arial" w:cs="Arial"/>
          <w:b/>
          <w:bCs/>
          <w:i/>
          <w:iCs/>
        </w:rPr>
      </w:pPr>
      <w:r w:rsidRPr="000144B0">
        <w:rPr>
          <w:rFonts w:ascii="Arial" w:eastAsia="Arial" w:hAnsi="Arial" w:cs="Arial"/>
          <w:b/>
          <w:bCs/>
          <w:i/>
          <w:iCs/>
        </w:rPr>
        <w:t>Sub-theme 4.1: Moderating by Age, Sex and Frailty.</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A number of the studies identified emphasized found that the efficacy of intervention falls prevention by age, sex, and fraction in statuses differed considerably, impacting the way programmes are developed and delivered. Both Rikkonen et al. (2023) and Vilpunaho et al. (2019) narrowed down to community-dwelling women aged 72 to 84 only, which reflects the epidemiological fact that older women are the most impacted group of the falls and fall-related fractures because of osteoporosis and age-associated muscle degradation. In their meta-analysis, Thomas et al. (2010) also observed that OEP yielded the largest benefits in terms of mortality and fall reduction benefits among adults older than 80 years utilizing a home-based programme (individualised) rather than group-based community programmes, implying that OEP was specifically beneficial to frail older adults (80 or older) with limited community opportunities.</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Likewise, a synthesis of evidence on the OEP across several studies (conducted internationally, as stated by Yang et al. (2022), revealed that older adults who had a history of previous falls (defined as a high-risk group of patients) were more benefiting significantly compared to the outcomes of the same intervention on patients without a prior history of falls, which supports the argument in favour of targeted (as opposed to universal) delivery. In line with this, Bruce et al. (2016) used a proven postal screening measure to stratify participants in the PreFIT trial on the level of falls risk by assigning moderate and high-risk individuals to receive exercises or multifactorial assessment interventions and advice-only those on the low-risk end. </w:t>
      </w:r>
    </w:p>
    <w:p w:rsidR="00170945" w:rsidRPr="000144B0" w:rsidRDefault="00170945" w:rsidP="00774AB1">
      <w:pPr>
        <w:spacing w:line="360" w:lineRule="auto"/>
        <w:jc w:val="both"/>
        <w:rPr>
          <w:rFonts w:ascii="Arial" w:eastAsia="Arial" w:hAnsi="Arial" w:cs="Arial"/>
          <w:b/>
          <w:bCs/>
          <w:i/>
          <w:iCs/>
        </w:rPr>
      </w:pPr>
      <w:r w:rsidRPr="000144B0">
        <w:rPr>
          <w:rFonts w:ascii="Arial" w:eastAsia="Arial" w:hAnsi="Arial" w:cs="Arial"/>
          <w:b/>
          <w:bCs/>
          <w:i/>
          <w:iCs/>
        </w:rPr>
        <w:t>Sub-theme 4.2: Social, Physical and Quality of Life Outcomes.</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In addition to fall prevention as a specific outcome, more than five of the included studies reported a multitude of social, physical, and quality of life improvements of falls prevention programme activities, which gives a more participating view of the worth of physiotherapists-led community interventions. Bjerk et al. (2017) identified health-related quality of life as a core outcome measure in their RCT protocol as it is a more significant outcome measure among older adults with home help services since quality of life was as important an outcome measure as fall frequency. Baez et al. (2016) discovered that online group exercise positively influenced social wellbeing, and minimised feelings of isolation in participants, </w:t>
      </w:r>
      <w:r w:rsidRPr="000144B0">
        <w:rPr>
          <w:rFonts w:ascii="Arial" w:eastAsia="Arial" w:hAnsi="Arial" w:cs="Arial"/>
        </w:rPr>
        <w:lastRenderedPageBreak/>
        <w:t>which are particularly pertinent in the context of an ageing population in the UK.</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In line with this, the trial presented individual-level outcomes of health-related quality of life, level of physical activity, and gait performance in the trial presented by Halvarsson et al. (2021) alongside the main implementation outcomes of the fidelity, acceptability, and sustainability. This multi-dimensional outcome framework represents conceptual change in research on falls prevention wherein previous studies tended to focus on fall counts rather than instead effectively implemented interventions should enhance functional health and wellbeing of older adults in general. Improvements in measurements of physical performance at twelve- and twenty-four months of follow-up, such as balance and mobility outcome, as well as primary fall-related endpoint, were also reported in Rikkonen et al. (2023).</w:t>
      </w:r>
    </w:p>
    <w:p w:rsidR="00170945" w:rsidRPr="000144B0" w:rsidRDefault="00170945" w:rsidP="00774AB1">
      <w:pPr>
        <w:spacing w:line="360" w:lineRule="auto"/>
        <w:jc w:val="both"/>
        <w:rPr>
          <w:rFonts w:ascii="Arial" w:eastAsia="Arial" w:hAnsi="Arial" w:cs="Arial"/>
          <w:b/>
          <w:bCs/>
          <w:i/>
          <w:iCs/>
        </w:rPr>
      </w:pPr>
      <w:r w:rsidRPr="000144B0">
        <w:rPr>
          <w:rFonts w:ascii="Arial" w:eastAsia="Arial" w:hAnsi="Arial" w:cs="Arial"/>
          <w:b/>
          <w:bCs/>
          <w:i/>
          <w:iCs/>
        </w:rPr>
        <w:t>Sub-theme 4.3: Mortality Reduction and expanded health benefits.</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One particularly impressive observation that cropped up out of the included studies was the evidence that falls prevention exercise programmes can potentially decrease mortality in older adults, which not only adds a dimension of clinical relevance but quite literally goes beyond what fall prevention entails on its own. In their meta-analysis of seven OEP trials, Thomas et al. (2010) demonstrated a mortality risk ratio of 0.45 in 12 months favouring OEP which is equivalent to a 55 percent decrease in the mortality risk.</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In line with this, Yu et al. (2025) in a systematic review and meta-analysis study of the effects of exercise intervention on falls and balance functioning in older adults, verified that multicomponent exercise interventions which included balance training, strength training, and aerobic activity produced significant changes on the balance functioning and reduced fall rates in a large pooled sample.</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In a similar vein, Ponti et al. (2017) although concerned with the technical issue of how to detect the presence of fallers using acceleration data, but not about the outcomes of any intervention offered the evidence of the possibility that timely detection of people at risk of falling would allow them to refer to physiotherapy-based prevention programmes before they fell. </w:t>
      </w:r>
    </w:p>
    <w:p w:rsidR="00170945" w:rsidRPr="000144B0" w:rsidRDefault="00170945" w:rsidP="00774AB1">
      <w:pPr>
        <w:pStyle w:val="Heading2"/>
        <w:rPr>
          <w:rFonts w:cs="Arial"/>
        </w:rPr>
      </w:pPr>
      <w:bookmarkStart w:id="132" w:name="_heading=h.ewcta1uj16g8" w:colFirst="0" w:colLast="0"/>
      <w:bookmarkStart w:id="133" w:name="_Toc228352798"/>
      <w:bookmarkEnd w:id="132"/>
      <w:r w:rsidRPr="000144B0">
        <w:rPr>
          <w:rFonts w:cs="Arial"/>
        </w:rPr>
        <w:t>5.6 Chapter Summary</w:t>
      </w:r>
      <w:bookmarkEnd w:id="133"/>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The chapter was able to interpret and integrate the results of 15 articles included so as to utilize the thematic analysis model of Braun and Clarke (2006). They were found to be four general themes: exercise-based interventions and fall reduction, implementation and transferability of evidence-based programmes, risk perception and psychological factors, and population-specific considerations and health outcomes. The review showed some consistent evidence of the exercise based on physiotherapist, especially balance and strength training and the Otago Exercise Programme, has significant effects in preventing </w:t>
      </w:r>
      <w:r w:rsidRPr="000144B0">
        <w:rPr>
          <w:rFonts w:ascii="Arial" w:eastAsia="Arial" w:hAnsi="Arial" w:cs="Arial"/>
        </w:rPr>
        <w:lastRenderedPageBreak/>
        <w:t xml:space="preserve">falls among older adults who live at home. </w:t>
      </w:r>
      <w:r w:rsidRPr="000144B0">
        <w:rPr>
          <w:rFonts w:ascii="Arial" w:hAnsi="Arial" w:cs="Arial"/>
        </w:rPr>
        <w:br w:type="page"/>
      </w:r>
    </w:p>
    <w:p w:rsidR="00170945" w:rsidRPr="000144B0" w:rsidRDefault="00D91FD8" w:rsidP="00774AB1">
      <w:pPr>
        <w:pStyle w:val="Heading1"/>
        <w:rPr>
          <w:rFonts w:cs="Arial"/>
        </w:rPr>
      </w:pPr>
      <w:bookmarkStart w:id="134" w:name="_heading=h.kms9g3v1vt2" w:colFirst="0" w:colLast="0"/>
      <w:bookmarkStart w:id="135" w:name="_Toc228352799"/>
      <w:bookmarkEnd w:id="134"/>
      <w:r w:rsidRPr="000144B0">
        <w:rPr>
          <w:rFonts w:cs="Arial"/>
        </w:rPr>
        <w:lastRenderedPageBreak/>
        <w:t>Chapter 6: Discussion</w:t>
      </w:r>
      <w:bookmarkEnd w:id="135"/>
    </w:p>
    <w:p w:rsidR="00170945" w:rsidRPr="000144B0" w:rsidRDefault="00170945" w:rsidP="00774AB1">
      <w:pPr>
        <w:pStyle w:val="Heading2"/>
        <w:rPr>
          <w:rFonts w:cs="Arial"/>
        </w:rPr>
      </w:pPr>
      <w:bookmarkStart w:id="136" w:name="_heading=h.3wxexd186e7h" w:colFirst="0" w:colLast="0"/>
      <w:bookmarkStart w:id="137" w:name="_Toc228352800"/>
      <w:bookmarkEnd w:id="136"/>
      <w:r w:rsidRPr="000144B0">
        <w:rPr>
          <w:rFonts w:cs="Arial"/>
        </w:rPr>
        <w:t>6.1 Introduction to Chapter</w:t>
      </w:r>
      <w:bookmarkEnd w:id="137"/>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This chapter critically reviews the results of the systematic literature review against available evidence, clinical guidelines and theoretical models applicable when it comes to understanding the role of community physiotherapists in preventing falls among older adults in the United Kingdom. Chapter opens with a systematic discussion of the four broad themes that were determined in Chapter Five, discussing similarities, differences, and new information that can be drawn in the synthesis. It goes on to critically analyze the advantages and weaknesses of the review methodology and evidence base.</w:t>
      </w:r>
    </w:p>
    <w:p w:rsidR="00170945" w:rsidRPr="000144B0" w:rsidRDefault="00170945" w:rsidP="00774AB1">
      <w:pPr>
        <w:pStyle w:val="Heading2"/>
        <w:rPr>
          <w:rFonts w:cs="Arial"/>
        </w:rPr>
      </w:pPr>
      <w:bookmarkStart w:id="138" w:name="_heading=h.tvov3pcec656" w:colFirst="0" w:colLast="0"/>
      <w:bookmarkStart w:id="139" w:name="_Toc228352801"/>
      <w:bookmarkEnd w:id="138"/>
      <w:r w:rsidRPr="000144B0">
        <w:rPr>
          <w:rFonts w:cs="Arial"/>
        </w:rPr>
        <w:t>6.2 Discussion of Key findings</w:t>
      </w:r>
      <w:bookmarkEnd w:id="139"/>
    </w:p>
    <w:p w:rsidR="00170945" w:rsidRPr="000144B0" w:rsidRDefault="00170945" w:rsidP="00774AB1">
      <w:pPr>
        <w:spacing w:line="360" w:lineRule="auto"/>
        <w:jc w:val="both"/>
        <w:rPr>
          <w:rFonts w:ascii="Arial" w:eastAsia="Arial" w:hAnsi="Arial" w:cs="Arial"/>
          <w:b/>
          <w:bCs/>
          <w:i/>
          <w:iCs/>
        </w:rPr>
      </w:pPr>
      <w:r w:rsidRPr="000144B0">
        <w:rPr>
          <w:rFonts w:ascii="Arial" w:eastAsia="Arial" w:hAnsi="Arial" w:cs="Arial"/>
          <w:b/>
          <w:bCs/>
          <w:i/>
          <w:iCs/>
        </w:rPr>
        <w:t>THEME 1: Exercise intervention and fall prevention.</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The identification that structured balance and strength training is a highly effective impact in reducing the incidence of falls in community-dwelling older adults support the existing body of the literature and are compatible with the National Institute of Health and Care Excellence (NICE, 2013) guidelines, which suggests use of strength and balance training as a first-line intervention in older adults of at-risk fallers. The same recommendation is supported by the World Health Organization giving multicomponent physical activity as a crucial factor in healthy ageing and preventing falls, which include balance and muscle-strengthening exercises. Recent large-scale, pragmatic RCT studies like the PreFIT trial and Kuopio Fall Prevention Studysupport</w:t>
      </w:r>
      <w:r w:rsidR="005B2C6E">
        <w:rPr>
          <w:rFonts w:ascii="Arial" w:eastAsia="Arial" w:hAnsi="Arial" w:cs="Arial"/>
        </w:rPr>
        <w:t xml:space="preserve">, </w:t>
      </w:r>
      <w:r w:rsidRPr="000144B0">
        <w:rPr>
          <w:rFonts w:ascii="Arial" w:eastAsia="Arial" w:hAnsi="Arial" w:cs="Arial"/>
        </w:rPr>
        <w:t>what prior landmark trials like initially</w:t>
      </w:r>
      <w:r w:rsidR="00A466BF">
        <w:rPr>
          <w:rFonts w:ascii="Arial" w:eastAsia="Arial" w:hAnsi="Arial" w:cs="Arial"/>
        </w:rPr>
        <w:t xml:space="preserve"> did not</w:t>
      </w:r>
      <w:r w:rsidR="00393E10">
        <w:rPr>
          <w:rFonts w:ascii="Arial" w:eastAsia="Arial" w:hAnsi="Arial" w:cs="Arial"/>
        </w:rPr>
        <w:t xml:space="preserve"> (</w:t>
      </w:r>
      <w:r w:rsidR="00393E10" w:rsidRPr="000144B0">
        <w:rPr>
          <w:rFonts w:ascii="Arial" w:eastAsia="Arial" w:hAnsi="Arial" w:cs="Arial"/>
        </w:rPr>
        <w:t>Bruce et al., 2016</w:t>
      </w:r>
      <w:r w:rsidR="00393E10">
        <w:rPr>
          <w:rFonts w:ascii="Arial" w:eastAsia="Arial" w:hAnsi="Arial" w:cs="Arial"/>
        </w:rPr>
        <w:t>;</w:t>
      </w:r>
      <w:r w:rsidR="00393E10" w:rsidRPr="000144B0">
        <w:rPr>
          <w:rFonts w:ascii="Arial" w:eastAsia="Arial" w:hAnsi="Arial" w:cs="Arial"/>
        </w:rPr>
        <w:t>Rikkonen et al., 2023; Vilpunaho et al., 2019</w:t>
      </w:r>
      <w:r w:rsidR="00393E10">
        <w:rPr>
          <w:rFonts w:ascii="Arial" w:eastAsia="Arial" w:hAnsi="Arial" w:cs="Arial"/>
        </w:rPr>
        <w:t>).</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The review however also established that the relationship between dose-response of exercise and fall reduction is more complicated than initial studies had supposed. Thomas et al. (2010) observed that participants of the OEP who still exercised at the recommended frequency after twelve months were less than 37 percent, which makes basic inquiries as to whether the clinically proven effectiveness of these programmes is projected into the field in which adherence is less than ideal</w:t>
      </w:r>
      <w:r w:rsidR="00393E10">
        <w:rPr>
          <w:rFonts w:ascii="Arial" w:eastAsia="Arial" w:hAnsi="Arial" w:cs="Arial"/>
        </w:rPr>
        <w:t xml:space="preserve"> (</w:t>
      </w:r>
      <w:r w:rsidR="00393E10" w:rsidRPr="000144B0">
        <w:rPr>
          <w:rFonts w:ascii="Arial" w:eastAsia="Arial" w:hAnsi="Arial" w:cs="Arial"/>
        </w:rPr>
        <w:t>Campbell et al. 1997 and Robertson et al. 2002</w:t>
      </w:r>
      <w:r w:rsidR="00393E10">
        <w:rPr>
          <w:rFonts w:ascii="Arial" w:eastAsia="Arial" w:hAnsi="Arial" w:cs="Arial"/>
        </w:rPr>
        <w:t>)</w:t>
      </w:r>
      <w:r w:rsidRPr="000144B0">
        <w:rPr>
          <w:rFonts w:ascii="Arial" w:eastAsia="Arial" w:hAnsi="Arial" w:cs="Arial"/>
        </w:rPr>
        <w:t>. This discrepancy between efficacy in controlled situation and effectiveness in real-world practice is familiar among implementation science and directly is consistent with the theory of the research-to-practice gap characterised by Greenhalgh et al. (2004). According to the results of Halvarsson et al. (2021) and Baez et al. (2016) the type of delivery: group, home, and digital could be the mediator of adherence, and there is no universal format of the best. This comes as a predicament to the commissioning bodies that aim at identifying the best model to be used to deliver physiotherapy services in communities within the UK where in most cases resource restrictions restrict the scope of choices that can be made.</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The fact that Tai Chi is an evidence-based modality supported by Sherrington et al. (2008) </w:t>
      </w:r>
      <w:r w:rsidRPr="000144B0">
        <w:rPr>
          <w:rFonts w:ascii="Arial" w:eastAsia="Arial" w:hAnsi="Arial" w:cs="Arial"/>
        </w:rPr>
        <w:lastRenderedPageBreak/>
        <w:t>and implemented in the Kuopio study (Rikkonen et al., 2023) broadens the scope of the literature. The reported capabilities of Tai Chi in the maintenance of balance, lower extremity strength, and psychological health render Tai Chi an asset to the traditional physiotherapy exercise program especially in geriatric patients, who find the traditional gym-based exercise programs a challenge, or even inaccessible. This is in line with Li et al. (2005), whose RCT reported large fall reductions in older adults who took part in Tai Chi, as compared to their stretching controls, and with evidence in general reviewed by Wayne and Kaptchuk (2008), who proposed neurological, musculoskeletal, and psychosocial pathways that support the fall-preventive effects of Tai Chi.</w:t>
      </w:r>
    </w:p>
    <w:p w:rsidR="00170945" w:rsidRPr="000144B0" w:rsidRDefault="00170945" w:rsidP="00774AB1">
      <w:pPr>
        <w:spacing w:line="360" w:lineRule="auto"/>
        <w:jc w:val="both"/>
        <w:rPr>
          <w:rFonts w:ascii="Arial" w:eastAsia="Arial" w:hAnsi="Arial" w:cs="Arial"/>
          <w:b/>
          <w:bCs/>
          <w:i/>
          <w:iCs/>
        </w:rPr>
      </w:pPr>
      <w:r w:rsidRPr="000144B0">
        <w:rPr>
          <w:rFonts w:ascii="Arial" w:eastAsia="Arial" w:hAnsi="Arial" w:cs="Arial"/>
          <w:b/>
          <w:bCs/>
          <w:i/>
          <w:iCs/>
        </w:rPr>
        <w:t>THEME 2: Implementation and transferability of evidence-based programmes.</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The fact that the implementation process and knowledge translation are a subject of one of the most practically important conclusions in this review and the literature demonstrates that there are still unanswered questions and challenges to be solved. Although there have been decades of evidence indicating the effectiveness of exercises in falls prevention, the review proved that there is still a significant gap between the known and regularly provided exercises in the community practice. This is not a new finding. The gaps cited by Clemson et al. (2010) were present a decade prior and the Halvarsson et al. (2021) trial, StayBalanced, indicating intended to compare the implementation strategies, not mark its efficacy, is indicative of an understanding that implementation is a scientific issue, as well.</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The method of PreFIT trial, which incorporates a national scoping survey of falls services in UK in the trial design (Bruce et al., 2016) is a significant methodological reaction to this issue in that the procedure ensures that research by which interventions are evaluated take into account the structure of other services that are currently practiced. Nevertheless, the review also showed that even the programmes like the OEP which are well-designed and evidence-based still have considerable barriers to implementation due to workforce capacity, physiotherapist availability, and access by participants (Dadgari et al., 2016; Thomas et al., 2010; Yang et al., 2022). These obstacles are especially sharp in the UK context, where the demands on the physiotherapy services provided by the community were reported to be high due to the shortage of the workforce and the growing demand of an ageing population (NHS England, 2019). The advent of digital formats of delivery, exemplified by Baez et al. (2016) and Ponti et al. (2017), presents a potentially scalable complement to face-to-face physiotherapy, but evidence in the research of digital falls prevention is in its infancy and can be viewed with pewter. The pilot study by Baez et al. (2016) does not allow conclusive findings about the decrease in falls, and the accelerometer-based identification device created by Ponti et al. (2017) has not been tested yet in community physiotherapy pathways on scale.</w:t>
      </w:r>
    </w:p>
    <w:p w:rsidR="00170945" w:rsidRPr="000144B0" w:rsidRDefault="00170945" w:rsidP="00774AB1">
      <w:pPr>
        <w:spacing w:line="360" w:lineRule="auto"/>
        <w:jc w:val="both"/>
        <w:rPr>
          <w:rFonts w:ascii="Arial" w:eastAsia="Arial" w:hAnsi="Arial" w:cs="Arial"/>
          <w:b/>
          <w:bCs/>
          <w:i/>
          <w:iCs/>
        </w:rPr>
      </w:pPr>
      <w:r w:rsidRPr="000144B0">
        <w:rPr>
          <w:rFonts w:ascii="Arial" w:eastAsia="Arial" w:hAnsi="Arial" w:cs="Arial"/>
          <w:b/>
          <w:bCs/>
          <w:i/>
          <w:iCs/>
        </w:rPr>
        <w:t>THEME 3: Risk Perception, Psychological Factors and Fall effectiveness.</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lastRenderedPageBreak/>
        <w:t>The most clinically important and practically challenging results of this review</w:t>
      </w:r>
      <w:r w:rsidR="00D84539">
        <w:rPr>
          <w:rFonts w:ascii="Arial" w:eastAsia="Arial" w:hAnsi="Arial" w:cs="Arial"/>
        </w:rPr>
        <w:t xml:space="preserve"> showsit </w:t>
      </w:r>
      <w:r w:rsidRPr="000144B0">
        <w:rPr>
          <w:rFonts w:ascii="Arial" w:eastAsia="Arial" w:hAnsi="Arial" w:cs="Arial"/>
        </w:rPr>
        <w:t xml:space="preserve">was the finding that 81 percent of the older adults and carers in the Hasan et al. (2025) study demonstrated poor perception of falls risk. It questions directly the notion that is behind most falls prevention services that </w:t>
      </w:r>
      <w:r w:rsidR="00D84539" w:rsidRPr="000144B0">
        <w:rPr>
          <w:rFonts w:ascii="Arial" w:eastAsia="Arial" w:hAnsi="Arial" w:cs="Arial"/>
        </w:rPr>
        <w:t>harboured</w:t>
      </w:r>
      <w:r w:rsidRPr="000144B0">
        <w:rPr>
          <w:rFonts w:ascii="Arial" w:eastAsia="Arial" w:hAnsi="Arial" w:cs="Arial"/>
        </w:rPr>
        <w:t xml:space="preserve"> individuals in a vulnerable state (that is older adults) that they will be able to realise that they are at risk and obtain the necessary assistance. This is in line with the thinking of optimistic bias as documented by Weinstein (1980) that people systematically underestimate their own risk compared to those of others, and more recent research by Yardley et al. (2006) who have identified that older adults will frequently dismiss their risk of falls because concurrently they wish to maintain a sense of autonomy and competence.</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This has </w:t>
      </w:r>
      <w:r w:rsidR="00D91FD8" w:rsidRPr="000144B0">
        <w:rPr>
          <w:rFonts w:ascii="Arial" w:eastAsia="Arial" w:hAnsi="Arial" w:cs="Arial"/>
        </w:rPr>
        <w:t>an</w:t>
      </w:r>
      <w:r w:rsidRPr="000144B0">
        <w:rPr>
          <w:rFonts w:ascii="Arial" w:eastAsia="Arial" w:hAnsi="Arial" w:cs="Arial"/>
        </w:rPr>
        <w:t xml:space="preserve"> implications implication on the practice of community physiotherapy. Unless proactive, population-level screening is integrated into primary care and community health services, a large percentage of high-risk older adults will never be covered by voluntary falls prevention programmes. The exemplary use of postal screening mailed to all eligible older adults, participants of the PreFIT trial registered in the participating GP practices (Bruce et al., 2016), is one of the evidence-based reactions to this challenge, which aligns with the idea of the public health approach to falls prevention by the British Geriatrics Society (2018) and Public Health England (2020) standards. Psychological aspects of falls prevention such as fear of falling and falls self-efficacy are well established in the literature. First introduced by Tinetti et al. (1990) as an independent risk factor of subsequent falls, the future falls are limited by fear of falling as illustrated by other research studies by Zijlstra et al. (2007) and Delbaere et al. (2010). It is found by the current review that such psychological aspects are still underexploited in most community exercise programmes despite their tendency to concentrate on the physical outcomes to a relative disregard of such aspects as confidence and self-efficacy. Bjerk et al. (2017) and Halvarsson et al. (2021) ranks among the few that include falls efficacy and fear of falling as explicit outcome measures, and including them in this review strengthens the argument of the biopsychosocial approach to community falls prevention taking into account both physical, psychological, and social aspects.</w:t>
      </w:r>
    </w:p>
    <w:p w:rsidR="00170945" w:rsidRPr="00D84539" w:rsidRDefault="00170945" w:rsidP="00774AB1">
      <w:pPr>
        <w:spacing w:line="360" w:lineRule="auto"/>
        <w:jc w:val="both"/>
        <w:rPr>
          <w:rFonts w:ascii="Arial" w:eastAsia="Arial" w:hAnsi="Arial" w:cs="Arial"/>
          <w:b/>
          <w:bCs/>
          <w:i/>
          <w:iCs/>
        </w:rPr>
      </w:pPr>
      <w:r w:rsidRPr="00D84539">
        <w:rPr>
          <w:rFonts w:ascii="Arial" w:eastAsia="Arial" w:hAnsi="Arial" w:cs="Arial"/>
          <w:b/>
          <w:bCs/>
          <w:i/>
          <w:iCs/>
        </w:rPr>
        <w:t>THEME 4: Population-specific consideration and health outcomes.</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The review found that the effectiveness of interventions depended on age, sex, level of frailty, and history of falls in the previous past, which is in line with the overall data on differences in falls prevention. Thomas et al. (2010) concluded that the OEP generated the largest adult advantages aged 80 years and above, consistent with epidemiologic data that the risk of falls grows rapidly with age and frailty (Lord et al., 2007). The reason why the Kuopio studies exclusively examined older women (Rikkonen et al., 2023; Vilpunaho et al., 2019) is due to the long-standing sex disparity in the morbidity associated with falls, caused by increased rates of osteoporosis; and increased susceptibility to the bone fracture in </w:t>
      </w:r>
      <w:r w:rsidRPr="000144B0">
        <w:rPr>
          <w:rFonts w:ascii="Arial" w:eastAsia="Arial" w:hAnsi="Arial" w:cs="Arial"/>
        </w:rPr>
        <w:lastRenderedPageBreak/>
        <w:t>postmenopausal women. Though this focus is epidemiologically warranted, it creates a threat to the generalisability of the results to older men, who are underrepresented in falls prevention studies, yet who experience the substantial risks of falls in their own lives.</w:t>
      </w:r>
    </w:p>
    <w:p w:rsidR="00170945" w:rsidRDefault="00170945" w:rsidP="00774AB1">
      <w:pPr>
        <w:spacing w:line="360" w:lineRule="auto"/>
        <w:jc w:val="both"/>
        <w:rPr>
          <w:rFonts w:ascii="Arial" w:eastAsia="Arial" w:hAnsi="Arial" w:cs="Arial"/>
        </w:rPr>
      </w:pPr>
      <w:r w:rsidRPr="000144B0">
        <w:rPr>
          <w:rFonts w:ascii="Arial" w:eastAsia="Arial" w:hAnsi="Arial" w:cs="Arial"/>
        </w:rPr>
        <w:t>The fact that the OEP mortality-reduced by 55 percent in a twelve-month follow-up are impressive and, should it be repeated, would greatly reinforce the argument that investment in community-based physiotherapy-based falls prevention should be considered a broader approach to health promotion measures. This finding must be taken at face value though. The meta-analysis could only combine seven studies (with a total of 1,503 participants) and the confidence intervals of the mortality estimate, even though they were statistically significant, were very wide, indicating that the actual effect size is unknown. Moreover, the pathways through which exercise-based falls prevention successfully results in the reduction of mortality rates are not completely understood, although better cardiovascular fitness, fewer frail conditions, and avoidance of fatal fall-related injuries are viable possibilities. More recent confirmatory evidence of broad health effects of exercise interventions is given by Yu et al. (2025), but such review, similar to that of Thomas et al. (2010), is hampered by heterogeneity of trials included in the review, both in terms of exercise intervention type, duration and outcome measure.</w:t>
      </w:r>
    </w:p>
    <w:p w:rsidR="00B72A3E" w:rsidRPr="009754C3" w:rsidRDefault="00B72A3E" w:rsidP="00774AB1">
      <w:pPr>
        <w:spacing w:line="360" w:lineRule="auto"/>
        <w:jc w:val="both"/>
        <w:rPr>
          <w:rFonts w:ascii="Arial" w:eastAsia="Arial" w:hAnsi="Arial" w:cs="Arial"/>
          <w:color w:val="000000" w:themeColor="text1"/>
        </w:rPr>
      </w:pPr>
      <w:r w:rsidRPr="009754C3">
        <w:rPr>
          <w:rFonts w:ascii="Arial" w:eastAsia="Arial" w:hAnsi="Arial" w:cs="Arial"/>
          <w:color w:val="000000" w:themeColor="text1"/>
        </w:rPr>
        <w:t>Moreover, the possible economic consequences of the findings on the long-term related to the field of practice of public health and physiotherapy also have to be taken into account. Lower mortality and fall injuries can result in fewer hospital admissions, emergency medical services, and long term dependence among the older adults thus reducing the cost of healthcare due to ageing populations. Other contributory factors which can result in better psychological wellbeing, greater confidence in walking, and include social participation are the result of community-based physiotherapy programmes like the OEP, which are linked with a healthier ageing outcome. Nevertheless, additional large-scale longitudinal research will be needed to determine the sustainability of such benefits in different populations and healthcare contexts, namely, regarding culturally-specific and resource-sensitive models of intervention.</w:t>
      </w:r>
    </w:p>
    <w:p w:rsidR="00170945" w:rsidRPr="000144B0" w:rsidRDefault="00170945" w:rsidP="00774AB1">
      <w:pPr>
        <w:pStyle w:val="Heading2"/>
        <w:rPr>
          <w:rFonts w:cs="Arial"/>
        </w:rPr>
      </w:pPr>
      <w:bookmarkStart w:id="140" w:name="_heading=h.47rtfitfs57c" w:colFirst="0" w:colLast="0"/>
      <w:bookmarkStart w:id="141" w:name="_Toc228352802"/>
      <w:bookmarkEnd w:id="140"/>
      <w:r w:rsidRPr="000144B0">
        <w:rPr>
          <w:rFonts w:cs="Arial"/>
        </w:rPr>
        <w:t>6.3 Strengths and Limitations</w:t>
      </w:r>
      <w:bookmarkEnd w:id="141"/>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This methodological literature review has various strengths. The thematic analysis framework of Braun and Clarke (2006) helped to achieve a rigorous, clear and reproducible analysis. The diverse study designs (ranging to randomised controlled trials, cluster trials, meta-analyses, cross-sectional studies and pilot studies) resulted in a multi-dimensional, holistic evidence base. Although it is also a weakness, the geographical scope of the studies included enhanced the synthesis as it added international views on falls prevention practice.</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The main limitations are that thematic analysis is subjective to interpretation, that the studies </w:t>
      </w:r>
      <w:r w:rsidRPr="000144B0">
        <w:rPr>
          <w:rFonts w:ascii="Arial" w:eastAsia="Arial" w:hAnsi="Arial" w:cs="Arial"/>
        </w:rPr>
        <w:lastRenderedPageBreak/>
        <w:t>used are too geographically different to be directly applied to the UK situation, that quality and completeness of studies used may vary, and that non-English literature has not been included, which could have led to selection bias and increased the inconclusive nature of the review.</w:t>
      </w:r>
    </w:p>
    <w:p w:rsidR="00170945" w:rsidRPr="000144B0" w:rsidRDefault="00170945" w:rsidP="00774AB1">
      <w:pPr>
        <w:pStyle w:val="Heading2"/>
        <w:rPr>
          <w:rFonts w:cs="Arial"/>
        </w:rPr>
      </w:pPr>
      <w:bookmarkStart w:id="142" w:name="_heading=h.fg6kfet8ifus" w:colFirst="0" w:colLast="0"/>
      <w:bookmarkStart w:id="143" w:name="_Toc228352803"/>
      <w:bookmarkEnd w:id="142"/>
      <w:r w:rsidRPr="000144B0">
        <w:rPr>
          <w:rFonts w:cs="Arial"/>
        </w:rPr>
        <w:t>6.4 Chapter Summary</w:t>
      </w:r>
      <w:bookmarkEnd w:id="143"/>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This chapter discussed critically the four themes developed out of the systematic literature review, including exercise-based interventions and fall reduction, implementation and transferability, risk perception and psychological factors, and population-specific health outcomes. The discussion established that organised exercise programmes guided by physiotherapists have ample evidence and compliance with the falsehood of both NICE guidelines and WHO guidelines and also outlined inherent gaps in application, risk perception, and extrapolation to the UK scenario. The positive resemblance of the review, such as its high analytical rigor and evidence base diversification, were also admitted as there are some limitations related to the interpretive subjectivity and transferability of the results to the global population.</w:t>
      </w:r>
      <w:r w:rsidRPr="000144B0">
        <w:rPr>
          <w:rFonts w:ascii="Arial" w:hAnsi="Arial" w:cs="Arial"/>
        </w:rPr>
        <w:br w:type="page"/>
      </w:r>
    </w:p>
    <w:p w:rsidR="00170945" w:rsidRPr="000144B0" w:rsidRDefault="00D91FD8" w:rsidP="00774AB1">
      <w:pPr>
        <w:pStyle w:val="Heading1"/>
        <w:rPr>
          <w:rFonts w:cs="Arial"/>
        </w:rPr>
      </w:pPr>
      <w:bookmarkStart w:id="144" w:name="_heading=h.duzbu7kqbq6n" w:colFirst="0" w:colLast="0"/>
      <w:bookmarkStart w:id="145" w:name="_Toc228352804"/>
      <w:bookmarkEnd w:id="144"/>
      <w:r w:rsidRPr="000144B0">
        <w:rPr>
          <w:rFonts w:cs="Arial"/>
        </w:rPr>
        <w:lastRenderedPageBreak/>
        <w:t xml:space="preserve">Chapter 7: Recommendations </w:t>
      </w:r>
      <w:r>
        <w:rPr>
          <w:rFonts w:cs="Arial"/>
        </w:rPr>
        <w:t>a</w:t>
      </w:r>
      <w:r w:rsidRPr="000144B0">
        <w:rPr>
          <w:rFonts w:cs="Arial"/>
        </w:rPr>
        <w:t>nd Conclusion</w:t>
      </w:r>
      <w:bookmarkEnd w:id="145"/>
    </w:p>
    <w:p w:rsidR="00170945" w:rsidRPr="000144B0" w:rsidRDefault="00170945" w:rsidP="00774AB1">
      <w:pPr>
        <w:pStyle w:val="Heading2"/>
        <w:rPr>
          <w:rFonts w:cs="Arial"/>
        </w:rPr>
      </w:pPr>
      <w:bookmarkStart w:id="146" w:name="_heading=h.9m4g5g1aaxd8" w:colFirst="0" w:colLast="0"/>
      <w:bookmarkStart w:id="147" w:name="_Toc228352805"/>
      <w:bookmarkEnd w:id="146"/>
      <w:r w:rsidRPr="000144B0">
        <w:rPr>
          <w:rFonts w:cs="Arial"/>
        </w:rPr>
        <w:t>7.1 Chapter Introduction</w:t>
      </w:r>
      <w:bookmarkEnd w:id="147"/>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This chapter outlines the recommendations and conclusion from the study on the effects of community physiotherapists in fall prevention for older adults in the United Kingdom from the perspective of public health and social care. This chapter will summarise the study's findings and how these can inform practice, policy and research. This chapter is presented in four sections: implications of the findings, recommendations for practice, recommendations for future research and conclusion. All these sections highlight ways to improve community physiotherapy services to reduce the risks of falls, improve the safety of older adults, and provide comprehensive care for older adults in the UK's health system.</w:t>
      </w:r>
    </w:p>
    <w:p w:rsidR="00170945" w:rsidRPr="000144B0" w:rsidRDefault="00170945" w:rsidP="00774AB1">
      <w:pPr>
        <w:pStyle w:val="Heading2"/>
        <w:rPr>
          <w:rFonts w:cs="Arial"/>
        </w:rPr>
      </w:pPr>
      <w:bookmarkStart w:id="148" w:name="_heading=h.15io2wwlcobt" w:colFirst="0" w:colLast="0"/>
      <w:bookmarkStart w:id="149" w:name="_Toc228352806"/>
      <w:bookmarkEnd w:id="148"/>
      <w:r w:rsidRPr="000144B0">
        <w:rPr>
          <w:rFonts w:cs="Arial"/>
        </w:rPr>
        <w:t>7.2 Implications of findings</w:t>
      </w:r>
      <w:bookmarkEnd w:id="149"/>
    </w:p>
    <w:p w:rsidR="00170945" w:rsidRDefault="00170945" w:rsidP="00774AB1">
      <w:pPr>
        <w:spacing w:line="360" w:lineRule="auto"/>
        <w:jc w:val="both"/>
        <w:rPr>
          <w:rFonts w:ascii="Arial" w:eastAsia="Arial" w:hAnsi="Arial" w:cs="Arial"/>
        </w:rPr>
      </w:pPr>
      <w:r w:rsidRPr="000144B0">
        <w:rPr>
          <w:rFonts w:ascii="Arial" w:eastAsia="Arial" w:hAnsi="Arial" w:cs="Arial"/>
        </w:rPr>
        <w:t>The study has a number of implications for practice in public health and community physiotherapy services in the UK. Firstly, they highlight community physiotherapists play an important role in early identification of falls risk by performing balance assessments, balance training and home hazard assessments. This highlights the need for physiotherapy, primary and social care service integration to support early detection. Secondly, the findings show that inconsistency in services and lack of staff may reduce the effectiveness of the fall-prevention program in different geographical regions. This indicates that there is inequity among older people. Thirdly, the study findings indicate that patient education and self-management programs are important in fall prevention, suggesting that physiotherapists need to be more patient-centred. Overall, the results indicate more preventable community-based services and policy support are required to improve care for the older population in the UK.</w:t>
      </w:r>
    </w:p>
    <w:p w:rsidR="00D20C32" w:rsidRPr="009754C3" w:rsidRDefault="00D20C32" w:rsidP="00774AB1">
      <w:pPr>
        <w:spacing w:line="360" w:lineRule="auto"/>
        <w:jc w:val="both"/>
        <w:rPr>
          <w:rFonts w:ascii="Arial" w:eastAsia="Arial" w:hAnsi="Arial" w:cs="Arial"/>
          <w:color w:val="000000" w:themeColor="text1"/>
        </w:rPr>
      </w:pPr>
      <w:r w:rsidRPr="009754C3">
        <w:rPr>
          <w:rFonts w:ascii="Arial" w:eastAsia="Arial" w:hAnsi="Arial" w:cs="Arial"/>
          <w:color w:val="000000" w:themeColor="text1"/>
        </w:rPr>
        <w:t>Physiotherapists are also at the heart of evaluation of the risk factors of falls, devising personalised exercise regimes, and encouraging safe movements among older adults. Physiotherapists can use their body strength, balance, and functional training interventions to enhance physical independence and limit the number of falls. Moreover, physiotherapists offer education and continuous support leading to long-term compliance with physical activity programmes and a healthier ageing and quality of life in a community.</w:t>
      </w:r>
    </w:p>
    <w:p w:rsidR="00170945" w:rsidRPr="000144B0" w:rsidRDefault="00170945" w:rsidP="00774AB1">
      <w:pPr>
        <w:pStyle w:val="Heading2"/>
        <w:rPr>
          <w:rFonts w:cs="Arial"/>
        </w:rPr>
      </w:pPr>
      <w:bookmarkStart w:id="150" w:name="_heading=h.o6w64lm1cq6p" w:colFirst="0" w:colLast="0"/>
      <w:bookmarkStart w:id="151" w:name="_Toc228352807"/>
      <w:bookmarkEnd w:id="150"/>
      <w:r w:rsidRPr="000144B0">
        <w:rPr>
          <w:rFonts w:cs="Arial"/>
        </w:rPr>
        <w:t>7.3 Practice Recommendations</w:t>
      </w:r>
      <w:bookmarkEnd w:id="151"/>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The findings make several recommendations for physiotherapy practice in the community. Firstly, we should see an increased use of fall risk assessment tools in the community to identify individuals and adopt standardised approaches</w:t>
      </w:r>
      <w:r w:rsidR="00D8076A" w:rsidRPr="000144B0">
        <w:rPr>
          <w:rFonts w:ascii="Arial" w:eastAsia="Arial" w:hAnsi="Arial" w:cs="Arial"/>
        </w:rPr>
        <w:t xml:space="preserve"> (Adams </w:t>
      </w:r>
      <w:r w:rsidR="00D8076A" w:rsidRPr="000144B0">
        <w:rPr>
          <w:rFonts w:ascii="Arial" w:eastAsia="Arial" w:hAnsi="Arial" w:cs="Arial"/>
          <w:i/>
          <w:iCs/>
        </w:rPr>
        <w:t>et al.</w:t>
      </w:r>
      <w:r w:rsidR="00D8076A" w:rsidRPr="000144B0">
        <w:rPr>
          <w:rFonts w:ascii="Arial" w:eastAsia="Arial" w:hAnsi="Arial" w:cs="Arial"/>
        </w:rPr>
        <w:t xml:space="preserve"> 2018)</w:t>
      </w:r>
      <w:r w:rsidRPr="000144B0">
        <w:rPr>
          <w:rFonts w:ascii="Arial" w:eastAsia="Arial" w:hAnsi="Arial" w:cs="Arial"/>
        </w:rPr>
        <w:t xml:space="preserve">. Secondly, physiotherapists should adopt a multidisciplinary approach by working with occupational therapists, general practitioners and social workers to provide fall prevention strategies. Thirdly, more physiotherapy services should be provided at home for older adults at risk of </w:t>
      </w:r>
      <w:r w:rsidRPr="000144B0">
        <w:rPr>
          <w:rFonts w:ascii="Arial" w:eastAsia="Arial" w:hAnsi="Arial" w:cs="Arial"/>
        </w:rPr>
        <w:lastRenderedPageBreak/>
        <w:t>falls and who are unsteady to improve compliance</w:t>
      </w:r>
      <w:r w:rsidR="003B7277" w:rsidRPr="000144B0">
        <w:rPr>
          <w:rFonts w:ascii="Arial" w:eastAsia="Arial" w:hAnsi="Arial" w:cs="Arial"/>
        </w:rPr>
        <w:t xml:space="preserve"> (Rikkonen et al., 2023)</w:t>
      </w:r>
      <w:r w:rsidRPr="000144B0">
        <w:rPr>
          <w:rFonts w:ascii="Arial" w:eastAsia="Arial" w:hAnsi="Arial" w:cs="Arial"/>
        </w:rPr>
        <w:t>. Fourthly, continuing professional education should be improved to include skills in managing elderly clients, balance training and the use of technology. Public education should also be promoted with exercise and educational programs to promote movement. Finally, health services should aim to increase the workforce capacity in community physiotherapy services, to reduce the risk of service gaps and increase service provision for those living in urban and rural areas in the UK.</w:t>
      </w:r>
    </w:p>
    <w:p w:rsidR="00170945" w:rsidRPr="000144B0" w:rsidRDefault="00170945" w:rsidP="00774AB1">
      <w:pPr>
        <w:pStyle w:val="Heading2"/>
        <w:rPr>
          <w:rFonts w:cs="Arial"/>
        </w:rPr>
      </w:pPr>
      <w:bookmarkStart w:id="152" w:name="_heading=h.19lnvluk2dt1" w:colFirst="0" w:colLast="0"/>
      <w:bookmarkStart w:id="153" w:name="_Toc228352808"/>
      <w:bookmarkEnd w:id="152"/>
      <w:r w:rsidRPr="000144B0">
        <w:rPr>
          <w:rFonts w:cs="Arial"/>
        </w:rPr>
        <w:t>7.4 Future Research</w:t>
      </w:r>
      <w:bookmarkEnd w:id="153"/>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Studies should focus on delivering evidence of the effectiveness of different physiotherapy interventions for fall prevention in older adults. Longitudinal studies should be undertaken to assess the impact of community-based physio-therapy interventions on falls</w:t>
      </w:r>
      <w:r w:rsidR="003B7277" w:rsidRPr="000144B0">
        <w:rPr>
          <w:rFonts w:ascii="Arial" w:eastAsia="Arial" w:hAnsi="Arial" w:cs="Arial"/>
        </w:rPr>
        <w:t xml:space="preserve"> (Bjerk et al.2017)</w:t>
      </w:r>
      <w:r w:rsidRPr="000144B0">
        <w:rPr>
          <w:rFonts w:ascii="Arial" w:eastAsia="Arial" w:hAnsi="Arial" w:cs="Arial"/>
        </w:rPr>
        <w:t>. In addition, research to compare urban versus rural service delivery may provide insights into equity. And studies on the feasibility of using digital technologies (tele-rehabilitation and sensor-based monitoring) in community-based fall prevention interventions would be helpful. We would also benefit from the opinions of patients and their families to understand the barriers to patient engagement in physiotherapy</w:t>
      </w:r>
      <w:r w:rsidR="003B7277" w:rsidRPr="000144B0">
        <w:rPr>
          <w:rFonts w:ascii="Arial" w:eastAsia="Arial" w:hAnsi="Arial" w:cs="Arial"/>
        </w:rPr>
        <w:t xml:space="preserve"> (Rikkonen et al., 2023)</w:t>
      </w:r>
      <w:r w:rsidRPr="000144B0">
        <w:rPr>
          <w:rFonts w:ascii="Arial" w:eastAsia="Arial" w:hAnsi="Arial" w:cs="Arial"/>
        </w:rPr>
        <w:t>. And research on the cost-effectiveness of community physiotherapy interventions would be helpful for decision making. Finally, future research should adopt a mixed-methods approach to improve our understanding of how community physiotherapists can help to prevent falls and improve quality of life in older adults in the UK.</w:t>
      </w:r>
    </w:p>
    <w:p w:rsidR="00170945" w:rsidRPr="000144B0" w:rsidRDefault="00170945" w:rsidP="00774AB1">
      <w:pPr>
        <w:pStyle w:val="Heading2"/>
        <w:rPr>
          <w:rFonts w:cs="Arial"/>
        </w:rPr>
      </w:pPr>
      <w:bookmarkStart w:id="154" w:name="_heading=h.v7mpl9zieikd" w:colFirst="0" w:colLast="0"/>
      <w:bookmarkStart w:id="155" w:name="_Toc228352809"/>
      <w:bookmarkEnd w:id="154"/>
      <w:r w:rsidRPr="000144B0">
        <w:rPr>
          <w:rFonts w:cs="Arial"/>
        </w:rPr>
        <w:t>7.5 Conclusion</w:t>
      </w:r>
      <w:bookmarkEnd w:id="155"/>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The study has examined the role of community physiotherapists in the prevention of falls in the older population of the UK from a social care and public health perspective. This research tackled the question of how community physiotherapy interventions help to reduce fall risks and improve health outcomes in older adults.</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The main conclusions were that community physiotherapists play a key role in preventing falls by reducing fall risks, enhancing strength and balance, enhancing mobility and providing fall education. They have a key role in promoting independence and avoiding hospitalisation from fall injuries. The study also showed that multidisciplinary interventions involving physiotherapists and other health and social service providers are important to deliver effective and sustainable fall prevention services.</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The research also highlights the issues related to inequitable service delivery, staffing and availability of community-based rehabilitation. This may impact on the effectiveness and equity of fall prevention services nationally. Despite these challenges, the study suggests that improving community physiotherapy services will increase older people's safety, independence and well-</w:t>
      </w:r>
      <w:r w:rsidR="00714BE6" w:rsidRPr="000144B0">
        <w:rPr>
          <w:rFonts w:ascii="Arial" w:eastAsia="Arial" w:hAnsi="Arial" w:cs="Arial"/>
        </w:rPr>
        <w:t>being. The</w:t>
      </w:r>
      <w:r w:rsidRPr="000144B0">
        <w:rPr>
          <w:rFonts w:ascii="Arial" w:eastAsia="Arial" w:hAnsi="Arial" w:cs="Arial"/>
        </w:rPr>
        <w:t xml:space="preserve"> significance of the research is for public health policy and </w:t>
      </w:r>
      <w:r w:rsidRPr="000144B0">
        <w:rPr>
          <w:rFonts w:ascii="Arial" w:eastAsia="Arial" w:hAnsi="Arial" w:cs="Arial"/>
        </w:rPr>
        <w:lastRenderedPageBreak/>
        <w:t>practice, in an ageing population. Falls in older adults are a public health concern and prevention is important to reduce health-care costs and improve quality of life. Therefore, community physiotherapists are vital in integrated care, prevention and rehabilitation.</w:t>
      </w:r>
    </w:p>
    <w:p w:rsidR="00170945" w:rsidRPr="000144B0" w:rsidRDefault="00170945" w:rsidP="00774AB1">
      <w:pPr>
        <w:spacing w:line="360" w:lineRule="auto"/>
        <w:jc w:val="both"/>
        <w:rPr>
          <w:rFonts w:ascii="Arial" w:eastAsia="Arial" w:hAnsi="Arial" w:cs="Arial"/>
        </w:rPr>
      </w:pPr>
      <w:r w:rsidRPr="000144B0">
        <w:rPr>
          <w:rFonts w:ascii="Arial" w:eastAsia="Arial" w:hAnsi="Arial" w:cs="Arial"/>
        </w:rPr>
        <w:t xml:space="preserve">In conclusion, the evidence supports the important role that community physiotherapy is, and will continue to play, in the prevention of falls in older adults in the UK. </w:t>
      </w:r>
      <w:r w:rsidR="00714BE6" w:rsidRPr="000144B0">
        <w:rPr>
          <w:rFonts w:ascii="Arial" w:eastAsia="Arial" w:hAnsi="Arial" w:cs="Arial"/>
        </w:rPr>
        <w:t>They need</w:t>
      </w:r>
      <w:r w:rsidRPr="000144B0">
        <w:rPr>
          <w:rFonts w:ascii="Arial" w:eastAsia="Arial" w:hAnsi="Arial" w:cs="Arial"/>
        </w:rPr>
        <w:t xml:space="preserve"> to improve service delivery, communication between health professionals, and train health professionals.</w:t>
      </w:r>
    </w:p>
    <w:p w:rsidR="00261B22" w:rsidRPr="00976929" w:rsidRDefault="00170945" w:rsidP="00976929">
      <w:pPr>
        <w:spacing w:line="360" w:lineRule="auto"/>
        <w:jc w:val="both"/>
        <w:rPr>
          <w:rFonts w:ascii="Arial" w:eastAsia="Arial" w:hAnsi="Arial" w:cs="Arial"/>
        </w:rPr>
      </w:pPr>
      <w:r w:rsidRPr="000144B0">
        <w:rPr>
          <w:rFonts w:ascii="Arial" w:hAnsi="Arial" w:cs="Arial"/>
        </w:rPr>
        <w:br w:type="page"/>
      </w:r>
    </w:p>
    <w:p w:rsidR="00422D06" w:rsidRPr="000144B0" w:rsidRDefault="00F95EFB" w:rsidP="00774AB1">
      <w:pPr>
        <w:spacing w:line="360" w:lineRule="auto"/>
        <w:jc w:val="both"/>
        <w:rPr>
          <w:rFonts w:ascii="Arial" w:eastAsia="Calibri" w:hAnsi="Arial" w:cs="Arial"/>
          <w:b/>
          <w:bCs/>
          <w:sz w:val="28"/>
          <w:szCs w:val="28"/>
          <w:lang w:eastAsia="en-US" w:bidi="ar-SA"/>
        </w:rPr>
      </w:pPr>
      <w:r w:rsidRPr="000144B0">
        <w:rPr>
          <w:rFonts w:ascii="Arial" w:eastAsia="Calibri" w:hAnsi="Arial" w:cs="Arial"/>
          <w:b/>
          <w:bCs/>
          <w:sz w:val="28"/>
          <w:szCs w:val="28"/>
          <w:lang w:eastAsia="en-US" w:bidi="ar-SA"/>
        </w:rPr>
        <w:lastRenderedPageBreak/>
        <w:t>REFERENCES</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Acharya, J. (2022). Ageing and frailty in the UK. </w:t>
      </w:r>
      <w:r w:rsidRPr="000144B0">
        <w:rPr>
          <w:rFonts w:ascii="Arial" w:eastAsia="Arial" w:hAnsi="Arial" w:cs="Arial"/>
          <w:i/>
          <w:iCs/>
          <w:highlight w:val="white"/>
        </w:rPr>
        <w:t>Future Healthc J</w:t>
      </w:r>
      <w:r w:rsidRPr="000144B0">
        <w:rPr>
          <w:rFonts w:ascii="Arial" w:eastAsia="Arial" w:hAnsi="Arial" w:cs="Arial"/>
          <w:highlight w:val="white"/>
        </w:rPr>
        <w:t>, [online] 9(Suppl 2), pp.51–51. doi:</w:t>
      </w:r>
      <w:hyperlink r:id="rId12" w:history="1">
        <w:r w:rsidRPr="00C74DD5">
          <w:rPr>
            <w:rStyle w:val="Hyperlink"/>
            <w:rFonts w:ascii="Arial" w:eastAsia="Arial" w:hAnsi="Arial" w:cs="Arial"/>
          </w:rPr>
          <w:t>https://doi.org/10.7861/fhj.9-2-s51</w:t>
        </w:r>
      </w:hyperlink>
    </w:p>
    <w:p w:rsidR="00B87B48" w:rsidRPr="000144B0" w:rsidRDefault="00B87B48" w:rsidP="00A01A3E">
      <w:pPr>
        <w:spacing w:before="240" w:line="360" w:lineRule="auto"/>
        <w:jc w:val="both"/>
        <w:rPr>
          <w:rFonts w:ascii="Arial" w:eastAsia="Arial" w:hAnsi="Arial" w:cs="Arial"/>
        </w:rPr>
      </w:pPr>
      <w:r w:rsidRPr="000144B0">
        <w:rPr>
          <w:rFonts w:ascii="Arial" w:eastAsia="Arial" w:hAnsi="Arial" w:cs="Arial"/>
        </w:rPr>
        <w:t xml:space="preserve">Adams, N., Skelton, D.A., Howel, D., Bailey, C., Lampitt, R., Fouweather, T., Gray, J., Coe, D., Wilkinson, J., Gawler, S. and de Jong, L.D., 2018. Feasibility of trial procedures for a randomised controlled trial of a community based group exercise intervention for falls prevention for visually impaired older people: the VIOLET study. </w:t>
      </w:r>
      <w:r w:rsidRPr="000144B0">
        <w:rPr>
          <w:rFonts w:ascii="Arial" w:eastAsia="Arial" w:hAnsi="Arial" w:cs="Arial"/>
          <w:i/>
          <w:iCs/>
        </w:rPr>
        <w:t>BMC geriatrics</w:t>
      </w:r>
      <w:r w:rsidRPr="000144B0">
        <w:rPr>
          <w:rFonts w:ascii="Arial" w:eastAsia="Arial" w:hAnsi="Arial" w:cs="Arial"/>
        </w:rPr>
        <w:t>, 18(1), p.307.</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Afifi, M., Stryhn, H. and Sanchez, J., 2023. Data extraction and comparison for complex systematic reviews: a step-by-step guideline and an implementation example using open-source software. </w:t>
      </w:r>
      <w:r w:rsidRPr="000144B0">
        <w:rPr>
          <w:rFonts w:ascii="Arial" w:eastAsia="Arial" w:hAnsi="Arial" w:cs="Arial"/>
          <w:i/>
          <w:iCs/>
          <w:highlight w:val="white"/>
        </w:rPr>
        <w:t>Systematic reviews</w:t>
      </w:r>
      <w:r w:rsidRPr="000144B0">
        <w:rPr>
          <w:rFonts w:ascii="Arial" w:eastAsia="Arial" w:hAnsi="Arial" w:cs="Arial"/>
          <w:highlight w:val="white"/>
        </w:rPr>
        <w:t xml:space="preserve">, </w:t>
      </w:r>
      <w:r w:rsidRPr="000144B0">
        <w:rPr>
          <w:rFonts w:ascii="Arial" w:eastAsia="Arial" w:hAnsi="Arial" w:cs="Arial"/>
          <w:i/>
          <w:iCs/>
          <w:highlight w:val="white"/>
        </w:rPr>
        <w:t>12</w:t>
      </w:r>
      <w:r w:rsidRPr="000144B0">
        <w:rPr>
          <w:rFonts w:ascii="Arial" w:eastAsia="Arial" w:hAnsi="Arial" w:cs="Arial"/>
          <w:highlight w:val="white"/>
        </w:rPr>
        <w:t>(1), p.226.</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Ahmed, S.K., Mohammed, R.A., Nashwan, A.J., Ibrahim, R.H., Abdalla, A.Q., Ameen, B.M.M. and Khidhir, R.M. (2025). Using Thematic Analysis in Qualitative Research. </w:t>
      </w:r>
      <w:r w:rsidRPr="000144B0">
        <w:rPr>
          <w:rFonts w:ascii="Arial" w:eastAsia="Arial" w:hAnsi="Arial" w:cs="Arial"/>
          <w:i/>
          <w:iCs/>
          <w:highlight w:val="white"/>
        </w:rPr>
        <w:t>Journal of Medicine, Surgery, and Public Health</w:t>
      </w:r>
      <w:r w:rsidRPr="000144B0">
        <w:rPr>
          <w:rFonts w:ascii="Arial" w:eastAsia="Arial" w:hAnsi="Arial" w:cs="Arial"/>
          <w:highlight w:val="white"/>
        </w:rPr>
        <w:t>, [online] 6(6), p.100198. doi:</w:t>
      </w:r>
      <w:hyperlink r:id="rId13" w:history="1">
        <w:r w:rsidRPr="00C74DD5">
          <w:rPr>
            <w:rStyle w:val="Hyperlink"/>
            <w:rFonts w:ascii="Arial" w:eastAsia="Arial" w:hAnsi="Arial" w:cs="Arial"/>
          </w:rPr>
          <w:t>https://doi.org/10.1016/j.glmedi.2025.100198</w:t>
        </w:r>
      </w:hyperlink>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Algudairi, G.M. and Alrashed, A.M. (2024). Fall prevention among older adults in KSA: Role of physical therapy. </w:t>
      </w:r>
      <w:r w:rsidRPr="000144B0">
        <w:rPr>
          <w:rFonts w:ascii="Arial" w:eastAsia="Arial" w:hAnsi="Arial" w:cs="Arial"/>
          <w:i/>
          <w:iCs/>
          <w:highlight w:val="white"/>
        </w:rPr>
        <w:t>Journal of Taibah University Medical Sciences</w:t>
      </w:r>
      <w:r w:rsidRPr="000144B0">
        <w:rPr>
          <w:rFonts w:ascii="Arial" w:eastAsia="Arial" w:hAnsi="Arial" w:cs="Arial"/>
          <w:highlight w:val="white"/>
        </w:rPr>
        <w:t>, [online] 19(6), pp.1193–1201. doi:</w:t>
      </w:r>
      <w:hyperlink r:id="rId14" w:history="1">
        <w:r w:rsidRPr="00C74DD5">
          <w:rPr>
            <w:rStyle w:val="Hyperlink"/>
            <w:rFonts w:ascii="Arial" w:eastAsia="Arial" w:hAnsi="Arial" w:cs="Arial"/>
          </w:rPr>
          <w:t>https://doi.org/10.1016/j.jtumed.2024.12.006</w:t>
        </w:r>
      </w:hyperlink>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An, X., Pan, Y., He, C. and Liang, Y. (2025). Evidence Based Strategies for Preventing Falls in Community-Dwelling Older Adults. </w:t>
      </w:r>
      <w:r w:rsidRPr="000144B0">
        <w:rPr>
          <w:rFonts w:ascii="Arial" w:eastAsia="Arial" w:hAnsi="Arial" w:cs="Arial"/>
          <w:i/>
          <w:iCs/>
          <w:highlight w:val="white"/>
        </w:rPr>
        <w:t>Journal of Multidisciplinary Healthcare</w:t>
      </w:r>
      <w:r w:rsidRPr="000144B0">
        <w:rPr>
          <w:rFonts w:ascii="Arial" w:eastAsia="Arial" w:hAnsi="Arial" w:cs="Arial"/>
          <w:highlight w:val="white"/>
        </w:rPr>
        <w:t>, Volume 18(12), pp.4033–4044. doi:</w:t>
      </w:r>
      <w:hyperlink r:id="rId15" w:history="1">
        <w:r w:rsidRPr="00C74DD5">
          <w:rPr>
            <w:rStyle w:val="Hyperlink"/>
            <w:rFonts w:ascii="Arial" w:eastAsia="Arial" w:hAnsi="Arial" w:cs="Arial"/>
          </w:rPr>
          <w:t>https://doi.org/10.2147/jmdh.s535977</w:t>
        </w:r>
      </w:hyperlink>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Appeadu, M. and Bordoni, B. (2023). </w:t>
      </w:r>
      <w:r w:rsidRPr="000144B0">
        <w:rPr>
          <w:rFonts w:ascii="Arial" w:eastAsia="Arial" w:hAnsi="Arial" w:cs="Arial"/>
          <w:i/>
          <w:iCs/>
          <w:highlight w:val="white"/>
        </w:rPr>
        <w:t>Falls and fall prevention in the elderly</w:t>
      </w:r>
      <w:r w:rsidRPr="000144B0">
        <w:rPr>
          <w:rFonts w:ascii="Arial" w:eastAsia="Arial" w:hAnsi="Arial" w:cs="Arial"/>
          <w:highlight w:val="white"/>
        </w:rPr>
        <w:t xml:space="preserve">. [online] National Library of Medicine. Available at: </w:t>
      </w:r>
      <w:hyperlink r:id="rId16" w:history="1">
        <w:r w:rsidRPr="00C74DD5">
          <w:rPr>
            <w:rStyle w:val="Hyperlink"/>
            <w:rFonts w:ascii="Arial" w:eastAsia="Arial" w:hAnsi="Arial" w:cs="Arial"/>
          </w:rPr>
          <w:t>https://www.ncbi.nlm.nih.gov/books/NBK560761/</w:t>
        </w:r>
      </w:hyperlink>
      <w:r w:rsidRPr="000144B0">
        <w:rPr>
          <w:rFonts w:ascii="Arial" w:eastAsia="Arial" w:hAnsi="Arial" w:cs="Arial"/>
          <w:highlight w:val="white"/>
        </w:rPr>
        <w:t xml:space="preserve"> [Accessed 28 Apr. 2026].</w:t>
      </w:r>
    </w:p>
    <w:p w:rsidR="00B87B48" w:rsidRPr="000144B0" w:rsidRDefault="00B87B48" w:rsidP="00A01A3E">
      <w:pPr>
        <w:spacing w:before="240" w:line="360" w:lineRule="auto"/>
        <w:jc w:val="both"/>
        <w:rPr>
          <w:rFonts w:ascii="Arial" w:eastAsia="Arial" w:hAnsi="Arial" w:cs="Arial"/>
        </w:rPr>
      </w:pPr>
      <w:r w:rsidRPr="000144B0">
        <w:rPr>
          <w:rFonts w:ascii="Arial" w:eastAsia="Arial" w:hAnsi="Arial" w:cs="Arial"/>
        </w:rPr>
        <w:t xml:space="preserve">Ashburn, A., Pickering, R., McIntosh, E., Hulbert, S., Rochester, L., Roberts, H.C., Nieuwboer, A., Kunkel, D., Goodwin, V.A., Lamb, S.E. and Ballinger, C., 2019. Exercise-and strategy-based physiotherapy-delivered intervention for preventing repeat falls in people with Parkinson's: the PDSAFE RCT. </w:t>
      </w:r>
      <w:r w:rsidRPr="000144B0">
        <w:rPr>
          <w:rFonts w:ascii="Arial" w:eastAsia="Arial" w:hAnsi="Arial" w:cs="Arial"/>
          <w:i/>
          <w:iCs/>
        </w:rPr>
        <w:t xml:space="preserve">Health Technology Assessment </w:t>
      </w:r>
      <w:r w:rsidRPr="000144B0">
        <w:rPr>
          <w:rFonts w:ascii="Arial" w:eastAsia="Arial" w:hAnsi="Arial" w:cs="Arial"/>
        </w:rPr>
        <w:t>(Winchester, England), 23(36), p.1.</w:t>
      </w:r>
    </w:p>
    <w:p w:rsidR="00B87B48" w:rsidRPr="00B87B48" w:rsidRDefault="00B87B48" w:rsidP="00B87B48">
      <w:pPr>
        <w:spacing w:before="240" w:line="360" w:lineRule="auto"/>
        <w:jc w:val="both"/>
        <w:rPr>
          <w:rFonts w:ascii="Arial" w:eastAsia="Arial" w:hAnsi="Arial" w:cs="Arial"/>
          <w:highlight w:val="white"/>
          <w:lang w:val="en-IN"/>
        </w:rPr>
      </w:pPr>
      <w:r w:rsidRPr="00B87B48">
        <w:rPr>
          <w:rFonts w:ascii="Arial" w:eastAsia="Arial" w:hAnsi="Arial" w:cs="Arial"/>
          <w:highlight w:val="white"/>
          <w:lang w:val="en-IN"/>
        </w:rPr>
        <w:t xml:space="preserve">Azarian, M., Yu, H., Shiferaw, A.T. and Stevik, T.K. (2023). Do We Perform Systematic Literature Review Right? A Scientific Mapping and Methodological Assessment. </w:t>
      </w:r>
      <w:r w:rsidRPr="00B87B48">
        <w:rPr>
          <w:rFonts w:ascii="Arial" w:eastAsia="Arial" w:hAnsi="Arial" w:cs="Arial"/>
          <w:i/>
          <w:iCs/>
          <w:highlight w:val="white"/>
          <w:lang w:val="en-IN"/>
        </w:rPr>
        <w:t>Logistics</w:t>
      </w:r>
      <w:r w:rsidRPr="00B87B48">
        <w:rPr>
          <w:rFonts w:ascii="Arial" w:eastAsia="Arial" w:hAnsi="Arial" w:cs="Arial"/>
          <w:highlight w:val="white"/>
          <w:lang w:val="en-IN"/>
        </w:rPr>
        <w:t xml:space="preserve">, </w:t>
      </w:r>
      <w:r w:rsidRPr="00B87B48">
        <w:rPr>
          <w:rFonts w:ascii="Arial" w:eastAsia="Arial" w:hAnsi="Arial" w:cs="Arial"/>
          <w:highlight w:val="white"/>
          <w:lang w:val="en-IN"/>
        </w:rPr>
        <w:lastRenderedPageBreak/>
        <w:t>[online] 7(4), pp.1–32. doi:https://doi.org/10.3390/logistics7040089.</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Baez, M., Far, I.K., Ibarra, F., Ferron, M., Didino, D. and Casati, F., 2017. Effects of online group exercises for older adults on physical, psychological and social wellbeing: a randomized pilot trial. </w:t>
      </w:r>
      <w:r w:rsidRPr="000144B0">
        <w:rPr>
          <w:rFonts w:ascii="Arial" w:eastAsia="Arial" w:hAnsi="Arial" w:cs="Arial"/>
          <w:i/>
          <w:iCs/>
          <w:highlight w:val="white"/>
        </w:rPr>
        <w:t>PeerJ</w:t>
      </w:r>
      <w:r w:rsidRPr="000144B0">
        <w:rPr>
          <w:rFonts w:ascii="Arial" w:eastAsia="Arial" w:hAnsi="Arial" w:cs="Arial"/>
          <w:highlight w:val="white"/>
        </w:rPr>
        <w:t xml:space="preserve">, </w:t>
      </w:r>
      <w:r w:rsidRPr="000144B0">
        <w:rPr>
          <w:rFonts w:ascii="Arial" w:eastAsia="Arial" w:hAnsi="Arial" w:cs="Arial"/>
          <w:i/>
          <w:iCs/>
          <w:highlight w:val="white"/>
        </w:rPr>
        <w:t>5</w:t>
      </w:r>
      <w:r w:rsidRPr="000144B0">
        <w:rPr>
          <w:rFonts w:ascii="Arial" w:eastAsia="Arial" w:hAnsi="Arial" w:cs="Arial"/>
          <w:highlight w:val="white"/>
        </w:rPr>
        <w:t>, p.e3150.</w:t>
      </w:r>
    </w:p>
    <w:p w:rsidR="00B87B48" w:rsidRPr="000144B0" w:rsidRDefault="00B87B48" w:rsidP="00A01A3E">
      <w:pPr>
        <w:spacing w:before="240" w:line="360" w:lineRule="auto"/>
        <w:jc w:val="both"/>
        <w:rPr>
          <w:rFonts w:ascii="Arial" w:eastAsia="Arial" w:hAnsi="Arial" w:cs="Arial"/>
        </w:rPr>
      </w:pPr>
      <w:r w:rsidRPr="000144B0">
        <w:rPr>
          <w:rFonts w:ascii="Arial" w:eastAsia="Arial" w:hAnsi="Arial" w:cs="Arial"/>
        </w:rPr>
        <w:t xml:space="preserve">Bajwa, R.K., Goldberg, S.E., Van der Wardt, V., Burgon, C., Di Lorito, C., Godfrey, M., Dunlop, M., Logan, P., Masud, T., Gladman, J. and Smith, H., 2019. A randomised controlled trial of an exercise intervention promoting activity, independence and stability in older adults with mild cognitive impairment and early dementia (PrAISED)-A Protocol. </w:t>
      </w:r>
      <w:r w:rsidRPr="000144B0">
        <w:rPr>
          <w:rFonts w:ascii="Arial" w:eastAsia="Arial" w:hAnsi="Arial" w:cs="Arial"/>
          <w:i/>
          <w:iCs/>
        </w:rPr>
        <w:t>Trials</w:t>
      </w:r>
      <w:r w:rsidRPr="000144B0">
        <w:rPr>
          <w:rFonts w:ascii="Arial" w:eastAsia="Arial" w:hAnsi="Arial" w:cs="Arial"/>
        </w:rPr>
        <w:t>, 20(1), p.815.</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Barbosa dos Santos, R., de Aquino, M.P.M., da Silva, T., Lima, C.A., Salbach, N.M., Hill, K.D., Sherrington, C. and Perracini, M.R. (2025). What are physical therapists doing to prevent falls in older adults in Brazil? - Findings from a nationwide survey. </w:t>
      </w:r>
      <w:r w:rsidRPr="000144B0">
        <w:rPr>
          <w:rFonts w:ascii="Arial" w:eastAsia="Arial" w:hAnsi="Arial" w:cs="Arial"/>
          <w:i/>
          <w:iCs/>
          <w:highlight w:val="white"/>
        </w:rPr>
        <w:t>Brazilian Journal of Physical Therapy</w:t>
      </w:r>
      <w:r w:rsidRPr="000144B0">
        <w:rPr>
          <w:rFonts w:ascii="Arial" w:eastAsia="Arial" w:hAnsi="Arial" w:cs="Arial"/>
          <w:highlight w:val="white"/>
        </w:rPr>
        <w:t>, [online] 29(6), p.101252. doi:</w:t>
      </w:r>
      <w:hyperlink r:id="rId17" w:history="1">
        <w:r w:rsidRPr="00C74DD5">
          <w:rPr>
            <w:rStyle w:val="Hyperlink"/>
            <w:rFonts w:ascii="Arial" w:eastAsia="Arial" w:hAnsi="Arial" w:cs="Arial"/>
          </w:rPr>
          <w:t>https://doi.org/10.1016/j.bjpt.2025.101252</w:t>
        </w:r>
      </w:hyperlink>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Bjerk, M., Brovold, T., Skelton, D.A. and Bergland, A. (2017). A falls prevention programme to improve quality of life, physical function and falls efficacy in older people receiving home help services: study protocol for a randomised controlled trial. </w:t>
      </w:r>
      <w:r w:rsidRPr="000144B0">
        <w:rPr>
          <w:rFonts w:ascii="Arial" w:eastAsia="Arial" w:hAnsi="Arial" w:cs="Arial"/>
          <w:i/>
          <w:iCs/>
          <w:highlight w:val="white"/>
        </w:rPr>
        <w:t>BMC Health Services Research</w:t>
      </w:r>
      <w:r w:rsidRPr="000144B0">
        <w:rPr>
          <w:rFonts w:ascii="Arial" w:eastAsia="Arial" w:hAnsi="Arial" w:cs="Arial"/>
          <w:highlight w:val="white"/>
        </w:rPr>
        <w:t>, 17(1). doi:</w:t>
      </w:r>
      <w:hyperlink r:id="rId18" w:history="1">
        <w:r w:rsidRPr="00C74DD5">
          <w:rPr>
            <w:rStyle w:val="Hyperlink"/>
            <w:rFonts w:ascii="Arial" w:eastAsia="Arial" w:hAnsi="Arial" w:cs="Arial"/>
          </w:rPr>
          <w:t>https://doi.org/10.1186/s12913-017-2516-5</w:t>
        </w:r>
      </w:hyperlink>
    </w:p>
    <w:p w:rsidR="00B87B48" w:rsidRPr="00B87B48" w:rsidRDefault="00B87B48" w:rsidP="00B87B48">
      <w:pPr>
        <w:spacing w:before="240" w:line="360" w:lineRule="auto"/>
        <w:jc w:val="both"/>
        <w:rPr>
          <w:rFonts w:ascii="Arial" w:eastAsia="Arial" w:hAnsi="Arial" w:cs="Arial"/>
          <w:highlight w:val="white"/>
          <w:lang w:val="en-IN"/>
        </w:rPr>
      </w:pPr>
      <w:r w:rsidRPr="00B87B48">
        <w:rPr>
          <w:rFonts w:ascii="Arial" w:eastAsia="Arial" w:hAnsi="Arial" w:cs="Arial"/>
          <w:highlight w:val="white"/>
          <w:lang w:val="en-IN"/>
        </w:rPr>
        <w:t xml:space="preserve">Bramer, W.M., De Jonge, G.B., Rethlefsen, M.L., Mast, F. and Kleijnen, J. (2018). A Systematic Approach to Searching: an Efficient and Complete Method to Develop Literature Searches. </w:t>
      </w:r>
      <w:r w:rsidRPr="00B87B48">
        <w:rPr>
          <w:rFonts w:ascii="Arial" w:eastAsia="Arial" w:hAnsi="Arial" w:cs="Arial"/>
          <w:i/>
          <w:iCs/>
          <w:highlight w:val="white"/>
          <w:lang w:val="en-IN"/>
        </w:rPr>
        <w:t>Journal of the Medical Library Association</w:t>
      </w:r>
      <w:r w:rsidRPr="00B87B48">
        <w:rPr>
          <w:rFonts w:ascii="Arial" w:eastAsia="Arial" w:hAnsi="Arial" w:cs="Arial"/>
          <w:highlight w:val="white"/>
          <w:lang w:val="en-IN"/>
        </w:rPr>
        <w:t>, 106(4), pp.531–541. doi:https://doi.org/10.5195/jmla.2018.283.</w:t>
      </w:r>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British Geriatrics Society (2024). </w:t>
      </w:r>
      <w:r w:rsidRPr="00454396">
        <w:rPr>
          <w:rFonts w:ascii="Arial" w:eastAsia="Arial" w:hAnsi="Arial" w:cs="Arial"/>
          <w:i/>
          <w:iCs/>
          <w:highlight w:val="white"/>
          <w:lang w:val="en-IN"/>
        </w:rPr>
        <w:t>Be proactive: Evidence supporting proactive care for older people with frailty | British Geriatrics Society</w:t>
      </w:r>
      <w:r w:rsidRPr="00454396">
        <w:rPr>
          <w:rFonts w:ascii="Arial" w:eastAsia="Arial" w:hAnsi="Arial" w:cs="Arial"/>
          <w:highlight w:val="white"/>
          <w:lang w:val="en-IN"/>
        </w:rPr>
        <w:t>. [online] British Geriatrics Society. Available at: https://www.bgs.org.uk/ProactiveCareEvidence [Accessed 12 May 2026].</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Bruce, J., Lall, R., Withers, E.J., Finnegan, S., Underwood, M., Hulme, C., Sheridan, R., Skelton, D.A., Martin, F. and Lamb, S.E. (2016). A cluster randomised controlled trial of advice, exercise or multifactorial assessment to prevent falls and fractures in community-dwelling older adults: protocol for the prevention of falls injury trial (PreFIT). </w:t>
      </w:r>
      <w:r w:rsidRPr="000144B0">
        <w:rPr>
          <w:rFonts w:ascii="Arial" w:eastAsia="Arial" w:hAnsi="Arial" w:cs="Arial"/>
          <w:i/>
          <w:iCs/>
          <w:highlight w:val="white"/>
        </w:rPr>
        <w:t>BMJ Open</w:t>
      </w:r>
      <w:r w:rsidRPr="000144B0">
        <w:rPr>
          <w:rFonts w:ascii="Arial" w:eastAsia="Arial" w:hAnsi="Arial" w:cs="Arial"/>
          <w:highlight w:val="white"/>
        </w:rPr>
        <w:t>, 6(1), p.e009362. doi:</w:t>
      </w:r>
      <w:hyperlink r:id="rId19" w:history="1">
        <w:r w:rsidRPr="00C74DD5">
          <w:rPr>
            <w:rStyle w:val="Hyperlink"/>
            <w:rFonts w:ascii="Arial" w:eastAsia="Arial" w:hAnsi="Arial" w:cs="Arial"/>
          </w:rPr>
          <w:t>https://doi.org/10.1136/bmjopen-2015-009362</w:t>
        </w:r>
      </w:hyperlink>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Burgon, C., Darby, J., Pollock, K., van der Wardt, V., Peach, T., Beck, L., Logan, P. and Harwood, R.H. (2019). Perspectives of healthcare professionals in England on falls interventions for people with dementia: a qualitative interview study. </w:t>
      </w:r>
      <w:r w:rsidRPr="000144B0">
        <w:rPr>
          <w:rFonts w:ascii="Arial" w:eastAsia="Arial" w:hAnsi="Arial" w:cs="Arial"/>
          <w:i/>
          <w:iCs/>
          <w:highlight w:val="white"/>
        </w:rPr>
        <w:t>BMJ Open</w:t>
      </w:r>
      <w:r w:rsidRPr="000144B0">
        <w:rPr>
          <w:rFonts w:ascii="Arial" w:eastAsia="Arial" w:hAnsi="Arial" w:cs="Arial"/>
          <w:highlight w:val="white"/>
        </w:rPr>
        <w:t xml:space="preserve">, 9(2), </w:t>
      </w:r>
      <w:r w:rsidRPr="000144B0">
        <w:rPr>
          <w:rFonts w:ascii="Arial" w:eastAsia="Arial" w:hAnsi="Arial" w:cs="Arial"/>
          <w:highlight w:val="white"/>
        </w:rPr>
        <w:lastRenderedPageBreak/>
        <w:t>p.e025702. doi:</w:t>
      </w:r>
      <w:hyperlink r:id="rId20" w:history="1">
        <w:r w:rsidRPr="00C74DD5">
          <w:rPr>
            <w:rStyle w:val="Hyperlink"/>
            <w:rFonts w:ascii="Arial" w:eastAsia="Arial" w:hAnsi="Arial" w:cs="Arial"/>
          </w:rPr>
          <w:t>https://doi.org/10.1136/bmjopen-2018-025702</w:t>
        </w:r>
      </w:hyperlink>
    </w:p>
    <w:p w:rsidR="00B87B48" w:rsidRPr="00D71615" w:rsidRDefault="00B87B48" w:rsidP="00D71615">
      <w:pPr>
        <w:spacing w:before="240" w:line="360" w:lineRule="auto"/>
        <w:jc w:val="both"/>
        <w:rPr>
          <w:rFonts w:ascii="Arial" w:eastAsia="Arial" w:hAnsi="Arial" w:cs="Arial"/>
          <w:highlight w:val="white"/>
          <w:lang w:val="en-IN"/>
        </w:rPr>
      </w:pPr>
      <w:r w:rsidRPr="00D71615">
        <w:rPr>
          <w:rFonts w:ascii="Arial" w:eastAsia="Arial" w:hAnsi="Arial" w:cs="Arial"/>
          <w:highlight w:val="white"/>
          <w:lang w:val="en-IN"/>
        </w:rPr>
        <w:t xml:space="preserve">Cameron, I.D., Dyer, S.M., Panagoda, C.E., Murray, G.R., Hill, K.D., Cumming, R.G. and Kerse, N. (2018). Interventions for preventing falls in older people in care facilities and hospitals. </w:t>
      </w:r>
      <w:r w:rsidRPr="00D71615">
        <w:rPr>
          <w:rFonts w:ascii="Arial" w:eastAsia="Arial" w:hAnsi="Arial" w:cs="Arial"/>
          <w:i/>
          <w:iCs/>
          <w:highlight w:val="white"/>
          <w:lang w:val="en-IN"/>
        </w:rPr>
        <w:t>Cochrane Database of Systematic Reviews</w:t>
      </w:r>
      <w:r w:rsidRPr="00D71615">
        <w:rPr>
          <w:rFonts w:ascii="Arial" w:eastAsia="Arial" w:hAnsi="Arial" w:cs="Arial"/>
          <w:highlight w:val="white"/>
          <w:lang w:val="en-IN"/>
        </w:rPr>
        <w:t>, [online] 9(9). doi:https://doi.org/10.1002/14651858.cd005465.pub4.</w:t>
      </w:r>
    </w:p>
    <w:p w:rsidR="00B87B48" w:rsidRPr="00B87B48" w:rsidRDefault="00B87B48" w:rsidP="00B87B48">
      <w:pPr>
        <w:spacing w:before="240" w:line="360" w:lineRule="auto"/>
        <w:jc w:val="both"/>
        <w:rPr>
          <w:rFonts w:ascii="Arial" w:eastAsia="Arial" w:hAnsi="Arial" w:cs="Arial"/>
          <w:highlight w:val="white"/>
          <w:lang w:val="en-IN"/>
        </w:rPr>
      </w:pPr>
      <w:r w:rsidRPr="00B87B48">
        <w:rPr>
          <w:rFonts w:ascii="Arial" w:eastAsia="Arial" w:hAnsi="Arial" w:cs="Arial"/>
          <w:highlight w:val="white"/>
          <w:lang w:val="en-IN"/>
        </w:rPr>
        <w:t xml:space="preserve">CASP (2024). </w:t>
      </w:r>
      <w:r w:rsidRPr="00B87B48">
        <w:rPr>
          <w:rFonts w:ascii="Arial" w:eastAsia="Arial" w:hAnsi="Arial" w:cs="Arial"/>
          <w:i/>
          <w:iCs/>
          <w:highlight w:val="white"/>
          <w:lang w:val="en-IN"/>
        </w:rPr>
        <w:t>Critical Appraisal Checklists</w:t>
      </w:r>
      <w:r w:rsidRPr="00B87B48">
        <w:rPr>
          <w:rFonts w:ascii="Arial" w:eastAsia="Arial" w:hAnsi="Arial" w:cs="Arial"/>
          <w:highlight w:val="white"/>
          <w:lang w:val="en-IN"/>
        </w:rPr>
        <w:t>. [online] Critical Appraisal Skills Programme. Available at: https://casp-uk.net/casp-tools-checklists/ [Accessed 12 May 2026].</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CDC (2024). </w:t>
      </w:r>
      <w:r w:rsidRPr="000144B0">
        <w:rPr>
          <w:rFonts w:ascii="Arial" w:eastAsia="Arial" w:hAnsi="Arial" w:cs="Arial"/>
          <w:i/>
          <w:iCs/>
          <w:highlight w:val="white"/>
        </w:rPr>
        <w:t>Facts about falls</w:t>
      </w:r>
      <w:r w:rsidRPr="000144B0">
        <w:rPr>
          <w:rFonts w:ascii="Arial" w:eastAsia="Arial" w:hAnsi="Arial" w:cs="Arial"/>
          <w:highlight w:val="white"/>
        </w:rPr>
        <w:t xml:space="preserve">. [online] Older Adult Fall Prevention. Available at: </w:t>
      </w:r>
      <w:hyperlink r:id="rId21" w:history="1">
        <w:r w:rsidRPr="00C74DD5">
          <w:rPr>
            <w:rStyle w:val="Hyperlink"/>
            <w:rFonts w:ascii="Arial" w:eastAsia="Arial" w:hAnsi="Arial" w:cs="Arial"/>
          </w:rPr>
          <w:t>https://www.cdc.gov/falls/data-research/facts-stats/index.html</w:t>
        </w:r>
      </w:hyperlink>
      <w:r w:rsidRPr="000144B0">
        <w:rPr>
          <w:rFonts w:ascii="Arial" w:eastAsia="Arial" w:hAnsi="Arial" w:cs="Arial"/>
          <w:highlight w:val="white"/>
        </w:rPr>
        <w:t xml:space="preserve"> [Accessed 28 Apr. 2026].</w:t>
      </w:r>
    </w:p>
    <w:p w:rsidR="00B87B48" w:rsidRPr="00B87B48" w:rsidRDefault="00B87B48" w:rsidP="00B87B48">
      <w:pPr>
        <w:spacing w:before="240" w:line="360" w:lineRule="auto"/>
        <w:jc w:val="both"/>
        <w:rPr>
          <w:rFonts w:ascii="Arial" w:eastAsia="Arial" w:hAnsi="Arial" w:cs="Arial"/>
          <w:highlight w:val="white"/>
          <w:lang w:val="en-IN"/>
        </w:rPr>
      </w:pPr>
      <w:r w:rsidRPr="00B87B48">
        <w:rPr>
          <w:rFonts w:ascii="Arial" w:eastAsia="Arial" w:hAnsi="Arial" w:cs="Arial"/>
          <w:highlight w:val="white"/>
          <w:lang w:val="en-IN"/>
        </w:rPr>
        <w:t xml:space="preserve">Chiara De Poli and Oyebode, J.R. (2023). Research ethics and collaborative research in health and social care: Analysis of UK research ethics policies, scoping review of the literature, and focus group study. </w:t>
      </w:r>
      <w:r w:rsidRPr="00B87B48">
        <w:rPr>
          <w:rFonts w:ascii="Arial" w:eastAsia="Arial" w:hAnsi="Arial" w:cs="Arial"/>
          <w:i/>
          <w:iCs/>
          <w:highlight w:val="white"/>
          <w:lang w:val="en-IN"/>
        </w:rPr>
        <w:t>PLOS ONE</w:t>
      </w:r>
      <w:r w:rsidRPr="00B87B48">
        <w:rPr>
          <w:rFonts w:ascii="Arial" w:eastAsia="Arial" w:hAnsi="Arial" w:cs="Arial"/>
          <w:highlight w:val="white"/>
          <w:lang w:val="en-IN"/>
        </w:rPr>
        <w:t>, 18(12), pp.e0296223–e0296223. doi:https://doi.org/10.1371/journal.pone.0296223.</w:t>
      </w:r>
    </w:p>
    <w:p w:rsidR="00B87B48" w:rsidRPr="000144B0" w:rsidRDefault="00B87B48" w:rsidP="00A01A3E">
      <w:pPr>
        <w:spacing w:before="240" w:line="360" w:lineRule="auto"/>
        <w:jc w:val="both"/>
        <w:rPr>
          <w:rFonts w:ascii="Arial" w:eastAsia="Arial" w:hAnsi="Arial" w:cs="Arial"/>
        </w:rPr>
      </w:pPr>
      <w:r w:rsidRPr="000144B0">
        <w:rPr>
          <w:rFonts w:ascii="Arial" w:eastAsia="Arial" w:hAnsi="Arial" w:cs="Arial"/>
        </w:rPr>
        <w:t xml:space="preserve">Chivers Seymour, K., Pickering, R., Rochester, L., Roberts, H.C., Ballinger, C., Hulbert, S., Kunkel, D., Marian, I.R., Fitton, C., McIntosh, E. and Goodwin, V.A., 2019. Multicentre, randomised controlled trial of PDSAFE, a physiotherapist-delivered fall prevention programme for people with Parkinson’s. </w:t>
      </w:r>
      <w:r w:rsidRPr="000144B0">
        <w:rPr>
          <w:rFonts w:ascii="Arial" w:eastAsia="Arial" w:hAnsi="Arial" w:cs="Arial"/>
          <w:i/>
          <w:iCs/>
        </w:rPr>
        <w:t>Journal of Neurology, Neurosurgery &amp; Psychiatry</w:t>
      </w:r>
      <w:r w:rsidRPr="000144B0">
        <w:rPr>
          <w:rFonts w:ascii="Arial" w:eastAsia="Arial" w:hAnsi="Arial" w:cs="Arial"/>
        </w:rPr>
        <w:t>, 90(7), pp.774-782.</w:t>
      </w:r>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Choudhary, P.K., Choudhary, S., Saha, S., Katanić, B., İlbak, İ. and Tornóczky, Gusztáv József (2026). Effectiveness of Balance- and Strength-Based Exercise Interventions for Fall Prevention in Community-Dwelling Older Adults: A Systematic Review of Randomized Controlled Trials. </w:t>
      </w:r>
      <w:r w:rsidRPr="00454396">
        <w:rPr>
          <w:rFonts w:ascii="Arial" w:eastAsia="Arial" w:hAnsi="Arial" w:cs="Arial"/>
          <w:i/>
          <w:iCs/>
          <w:highlight w:val="white"/>
          <w:lang w:val="en-IN"/>
        </w:rPr>
        <w:t>Life</w:t>
      </w:r>
      <w:r w:rsidRPr="00454396">
        <w:rPr>
          <w:rFonts w:ascii="Arial" w:eastAsia="Arial" w:hAnsi="Arial" w:cs="Arial"/>
          <w:highlight w:val="white"/>
          <w:lang w:val="en-IN"/>
        </w:rPr>
        <w:t>, [online] 16(1), p.41. doi:https://doi.org/10.3390/life16010041.</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Dadgari, A., Aizan Hamid, T., Hakim, M.N., Chaman, R., Mousavi, S.A., Poh Hin, L. and Dadvar, L. (2016). Randomized Control Trials on Otago Exercise Program (OEP) to Reduce Falls Among Elderly Community Dwellers in Shahroud, Iran. </w:t>
      </w:r>
      <w:r w:rsidRPr="000144B0">
        <w:rPr>
          <w:rFonts w:ascii="Arial" w:eastAsia="Arial" w:hAnsi="Arial" w:cs="Arial"/>
          <w:i/>
          <w:iCs/>
          <w:highlight w:val="white"/>
        </w:rPr>
        <w:t>Iranian Red Crescent Medical Journal</w:t>
      </w:r>
      <w:r w:rsidRPr="000144B0">
        <w:rPr>
          <w:rFonts w:ascii="Arial" w:eastAsia="Arial" w:hAnsi="Arial" w:cs="Arial"/>
          <w:highlight w:val="white"/>
        </w:rPr>
        <w:t>, 18(5). doi:</w:t>
      </w:r>
      <w:hyperlink r:id="rId22" w:history="1">
        <w:r w:rsidRPr="00C74DD5">
          <w:rPr>
            <w:rStyle w:val="Hyperlink"/>
            <w:rFonts w:ascii="Arial" w:eastAsia="Arial" w:hAnsi="Arial" w:cs="Arial"/>
          </w:rPr>
          <w:t>https://doi.org/10.5812/ircmj.26340</w:t>
        </w:r>
      </w:hyperlink>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Davis, J.C., Husdal, K., Rice, J., Loomba, S., Falck, R.S., Dimri, V., Pinheiro, M., Cameron, I., Sherrington, C., Madden, K.M. and Liu-Ambrose, T. (2024). Cost-effectiveness of falls prevention strategies for older adults: protocol for a living systematic review. </w:t>
      </w:r>
      <w:r w:rsidRPr="00454396">
        <w:rPr>
          <w:rFonts w:ascii="Arial" w:eastAsia="Arial" w:hAnsi="Arial" w:cs="Arial"/>
          <w:i/>
          <w:iCs/>
          <w:highlight w:val="white"/>
          <w:lang w:val="en-IN"/>
        </w:rPr>
        <w:t>BMJ Open</w:t>
      </w:r>
      <w:r w:rsidRPr="00454396">
        <w:rPr>
          <w:rFonts w:ascii="Arial" w:eastAsia="Arial" w:hAnsi="Arial" w:cs="Arial"/>
          <w:highlight w:val="white"/>
          <w:lang w:val="en-IN"/>
        </w:rPr>
        <w:t>, 14(11), p.e088536. doi:https://doi.org/10.1136/bmjopen-2024-088536.</w:t>
      </w:r>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Dev, R., Zaslavsky, O., Cochrane, B., Eagen, T. and Woods, N.F. (2020). Healthy aging </w:t>
      </w:r>
      <w:r w:rsidRPr="00454396">
        <w:rPr>
          <w:rFonts w:ascii="Arial" w:eastAsia="Arial" w:hAnsi="Arial" w:cs="Arial"/>
          <w:highlight w:val="white"/>
          <w:lang w:val="en-IN"/>
        </w:rPr>
        <w:lastRenderedPageBreak/>
        <w:t xml:space="preserve">through the lens of community-based practitioners: a focus group study. </w:t>
      </w:r>
      <w:r w:rsidRPr="00454396">
        <w:rPr>
          <w:rFonts w:ascii="Arial" w:eastAsia="Arial" w:hAnsi="Arial" w:cs="Arial"/>
          <w:i/>
          <w:iCs/>
          <w:highlight w:val="white"/>
          <w:lang w:val="en-IN"/>
        </w:rPr>
        <w:t>BMC Geriatrics</w:t>
      </w:r>
      <w:r w:rsidRPr="00454396">
        <w:rPr>
          <w:rFonts w:ascii="Arial" w:eastAsia="Arial" w:hAnsi="Arial" w:cs="Arial"/>
          <w:highlight w:val="white"/>
          <w:lang w:val="en-IN"/>
        </w:rPr>
        <w:t>, [online] 20(1). doi:https://doi.org/10.1186/s12877-020-01611-x.</w:t>
      </w:r>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Elhag, S., Niechcial, M.A., Potter, L. and Gow, A.J. (2025). Exploring the impact of community-based interventions on healthy older adults’ physical health, psychological wellbeing, and social connections: A systematic review. </w:t>
      </w:r>
      <w:r w:rsidRPr="00454396">
        <w:rPr>
          <w:rFonts w:ascii="Arial" w:eastAsia="Arial" w:hAnsi="Arial" w:cs="Arial"/>
          <w:i/>
          <w:iCs/>
          <w:highlight w:val="white"/>
          <w:lang w:val="en-IN"/>
        </w:rPr>
        <w:t>Ageing Research Reviews</w:t>
      </w:r>
      <w:r w:rsidRPr="00454396">
        <w:rPr>
          <w:rFonts w:ascii="Arial" w:eastAsia="Arial" w:hAnsi="Arial" w:cs="Arial"/>
          <w:highlight w:val="white"/>
          <w:lang w:val="en-IN"/>
        </w:rPr>
        <w:t>, 111(12), pp.102784–102784. doi:https://doi.org/10.1016/j.arr.2025.102784.</w:t>
      </w:r>
    </w:p>
    <w:p w:rsidR="00B87B48" w:rsidRPr="009754C3" w:rsidRDefault="00B87B48" w:rsidP="00A01A3E">
      <w:pPr>
        <w:spacing w:before="240" w:line="360" w:lineRule="auto"/>
        <w:jc w:val="both"/>
        <w:rPr>
          <w:rFonts w:ascii="Arial" w:eastAsia="Arial" w:hAnsi="Arial" w:cs="Arial"/>
          <w:color w:val="000000" w:themeColor="text1"/>
        </w:rPr>
      </w:pPr>
      <w:r w:rsidRPr="009754C3">
        <w:rPr>
          <w:rFonts w:ascii="Arial" w:eastAsia="Arial" w:hAnsi="Arial" w:cs="Arial"/>
          <w:color w:val="000000" w:themeColor="text1"/>
        </w:rPr>
        <w:t>Fordham, B. and Williamson, E., 2025. The Role of Social Prescribers in Engaging Older Adults in Strength and Balance Training After Being Discharged From Physiotherapy Rehabilitation: A Qualitative Investigation. Health &amp; Social Care in the Community, 2025(1), p.8292209.</w:t>
      </w:r>
    </w:p>
    <w:p w:rsidR="00B87B48" w:rsidRPr="00B87B48" w:rsidRDefault="00B87B48" w:rsidP="00B87B48">
      <w:pPr>
        <w:spacing w:before="240" w:line="360" w:lineRule="auto"/>
        <w:jc w:val="both"/>
        <w:rPr>
          <w:rFonts w:ascii="Arial" w:eastAsia="Arial" w:hAnsi="Arial" w:cs="Arial"/>
          <w:highlight w:val="white"/>
          <w:lang w:val="en-IN"/>
        </w:rPr>
      </w:pPr>
      <w:r w:rsidRPr="00B87B48">
        <w:rPr>
          <w:rFonts w:ascii="Arial" w:eastAsia="Arial" w:hAnsi="Arial" w:cs="Arial"/>
          <w:highlight w:val="white"/>
          <w:lang w:val="en-IN"/>
        </w:rPr>
        <w:t xml:space="preserve">Frampton, G.K., Harris, P., Cooper, K., Cooper, T., Cleland, J., Jones, J., Shepherd, J., Clegg, A., Graves, N., Welch, K. and Cuthbertson, B.H. (2014). </w:t>
      </w:r>
      <w:r w:rsidRPr="00B87B48">
        <w:rPr>
          <w:rFonts w:ascii="Arial" w:eastAsia="Arial" w:hAnsi="Arial" w:cs="Arial"/>
          <w:i/>
          <w:iCs/>
          <w:highlight w:val="white"/>
          <w:lang w:val="en-IN"/>
        </w:rPr>
        <w:t>Data extraction forms for clinical effectiveness studies</w:t>
      </w:r>
      <w:r w:rsidRPr="00B87B48">
        <w:rPr>
          <w:rFonts w:ascii="Arial" w:eastAsia="Arial" w:hAnsi="Arial" w:cs="Arial"/>
          <w:highlight w:val="white"/>
          <w:lang w:val="en-IN"/>
        </w:rPr>
        <w:t>. [online] Nih.gov. Available at: https://www.ncbi.nlm.nih.gov/books/NBK263078/ [Accessed 12 May 2026].</w:t>
      </w:r>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Ganesh, A. (2025). Community-Based Healthcare of the Elderly. </w:t>
      </w:r>
      <w:r w:rsidRPr="00454396">
        <w:rPr>
          <w:rFonts w:ascii="Arial" w:eastAsia="Arial" w:hAnsi="Arial" w:cs="Arial"/>
          <w:i/>
          <w:iCs/>
          <w:highlight w:val="white"/>
          <w:lang w:val="en-IN"/>
        </w:rPr>
        <w:t>Handbook of Aging, Health and Public Policy</w:t>
      </w:r>
      <w:r w:rsidRPr="00454396">
        <w:rPr>
          <w:rFonts w:ascii="Arial" w:eastAsia="Arial" w:hAnsi="Arial" w:cs="Arial"/>
          <w:highlight w:val="white"/>
          <w:lang w:val="en-IN"/>
        </w:rPr>
        <w:t>, 12(15), pp.1299–1309. doi:https://doi.org/10.1007/978-981-99-7842-7_250.</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Giovannini, S., Brau, F., Galluzzo, V., Santagada, D.A., Loreti, C., Biscotti, L., Laudisio, A., Zuccalà, G. and Bernabei, R. (2022). Falls among Older Adults: Screening, Identification, Rehabilitation, and Management. </w:t>
      </w:r>
      <w:r w:rsidRPr="000144B0">
        <w:rPr>
          <w:rFonts w:ascii="Arial" w:eastAsia="Arial" w:hAnsi="Arial" w:cs="Arial"/>
          <w:i/>
          <w:iCs/>
          <w:highlight w:val="white"/>
        </w:rPr>
        <w:t>Applied Sciences</w:t>
      </w:r>
      <w:r w:rsidRPr="000144B0">
        <w:rPr>
          <w:rFonts w:ascii="Arial" w:eastAsia="Arial" w:hAnsi="Arial" w:cs="Arial"/>
          <w:highlight w:val="white"/>
        </w:rPr>
        <w:t>, [online] 12(15), pp.1–17. doi:</w:t>
      </w:r>
      <w:hyperlink r:id="rId23" w:history="1">
        <w:r w:rsidRPr="00C74DD5">
          <w:rPr>
            <w:rStyle w:val="Hyperlink"/>
            <w:rFonts w:ascii="Arial" w:eastAsia="Arial" w:hAnsi="Arial" w:cs="Arial"/>
          </w:rPr>
          <w:t>https://doi.org/10.3390/app12157934</w:t>
        </w:r>
      </w:hyperlink>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Gov (2018). </w:t>
      </w:r>
      <w:r w:rsidRPr="000144B0">
        <w:rPr>
          <w:rFonts w:ascii="Arial" w:eastAsia="Arial" w:hAnsi="Arial" w:cs="Arial"/>
          <w:i/>
          <w:iCs/>
          <w:highlight w:val="white"/>
        </w:rPr>
        <w:t>‘Stay balanced’ – effectiveness of evidence-based balance training for older adults transferred into a physical therapy…</w:t>
      </w:r>
      <w:r w:rsidRPr="000144B0">
        <w:rPr>
          <w:rFonts w:ascii="Arial" w:eastAsia="Arial" w:hAnsi="Arial" w:cs="Arial"/>
          <w:highlight w:val="white"/>
        </w:rPr>
        <w:t xml:space="preserve">. [online] Dntb.gov.ua. Available at: </w:t>
      </w:r>
      <w:hyperlink r:id="rId24" w:history="1">
        <w:r w:rsidRPr="00C74DD5">
          <w:rPr>
            <w:rStyle w:val="Hyperlink"/>
            <w:rFonts w:ascii="Arial" w:eastAsia="Arial" w:hAnsi="Arial" w:cs="Arial"/>
          </w:rPr>
          <w:t>https://ouci.dntb.gov.ua/en/works/98xdOPY9/</w:t>
        </w:r>
      </w:hyperlink>
      <w:r w:rsidRPr="000144B0">
        <w:rPr>
          <w:rFonts w:ascii="Arial" w:eastAsia="Arial" w:hAnsi="Arial" w:cs="Arial"/>
          <w:highlight w:val="white"/>
        </w:rPr>
        <w:t xml:space="preserve"> [Accessed 20 Apr. 2026].</w:t>
      </w:r>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GOV.UK (2022). </w:t>
      </w:r>
      <w:r w:rsidRPr="00454396">
        <w:rPr>
          <w:rFonts w:ascii="Arial" w:eastAsia="Arial" w:hAnsi="Arial" w:cs="Arial"/>
          <w:i/>
          <w:iCs/>
          <w:highlight w:val="white"/>
          <w:lang w:val="en-IN"/>
        </w:rPr>
        <w:t>Falls: Applying All Our Health</w:t>
      </w:r>
      <w:r w:rsidRPr="00454396">
        <w:rPr>
          <w:rFonts w:ascii="Arial" w:eastAsia="Arial" w:hAnsi="Arial" w:cs="Arial"/>
          <w:highlight w:val="white"/>
          <w:lang w:val="en-IN"/>
        </w:rPr>
        <w:t>. [online] Gov.uk. Available at: https://www.gov.uk/government/publications/falls-applying-all-our-health/falls-applying-all-our-health [Accessed 12 May 2026].</w:t>
      </w:r>
    </w:p>
    <w:p w:rsidR="00B87B48" w:rsidRPr="00B87B48" w:rsidRDefault="00B87B48" w:rsidP="00B87B48">
      <w:pPr>
        <w:spacing w:before="240" w:line="360" w:lineRule="auto"/>
        <w:jc w:val="both"/>
        <w:rPr>
          <w:rFonts w:ascii="Arial" w:eastAsia="Arial" w:hAnsi="Arial" w:cs="Arial"/>
          <w:highlight w:val="white"/>
          <w:lang w:val="en-IN"/>
        </w:rPr>
      </w:pPr>
      <w:r w:rsidRPr="00B87B48">
        <w:rPr>
          <w:rFonts w:ascii="Arial" w:eastAsia="Arial" w:hAnsi="Arial" w:cs="Arial"/>
          <w:highlight w:val="white"/>
          <w:lang w:val="en-IN"/>
        </w:rPr>
        <w:t xml:space="preserve">Gusenbauer, M. and Gauster, S.P. (2024). How to Search for Literature in Systematic Reviews and meta-analyses: a Comprehensive step-by-step Guide. </w:t>
      </w:r>
      <w:r w:rsidRPr="00B87B48">
        <w:rPr>
          <w:rFonts w:ascii="Arial" w:eastAsia="Arial" w:hAnsi="Arial" w:cs="Arial"/>
          <w:i/>
          <w:iCs/>
          <w:highlight w:val="white"/>
          <w:lang w:val="en-IN"/>
        </w:rPr>
        <w:t>Technological Forecasting and Social Change</w:t>
      </w:r>
      <w:r w:rsidRPr="00B87B48">
        <w:rPr>
          <w:rFonts w:ascii="Arial" w:eastAsia="Arial" w:hAnsi="Arial" w:cs="Arial"/>
          <w:highlight w:val="white"/>
          <w:lang w:val="en-IN"/>
        </w:rPr>
        <w:t>, [online] 212(13), p.123833. doi:https://doi.org/10.1016/j.techfore.2024.123833.</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lastRenderedPageBreak/>
        <w:t xml:space="preserve">Haile, Z.T., 2022. Critical appraisal tools and reporting guidelines. </w:t>
      </w:r>
      <w:r w:rsidRPr="000144B0">
        <w:rPr>
          <w:rFonts w:ascii="Arial" w:eastAsia="Arial" w:hAnsi="Arial" w:cs="Arial"/>
          <w:i/>
          <w:iCs/>
          <w:highlight w:val="white"/>
        </w:rPr>
        <w:t>Journal of Human Lactation</w:t>
      </w:r>
      <w:r w:rsidRPr="000144B0">
        <w:rPr>
          <w:rFonts w:ascii="Arial" w:eastAsia="Arial" w:hAnsi="Arial" w:cs="Arial"/>
          <w:highlight w:val="white"/>
        </w:rPr>
        <w:t xml:space="preserve">, </w:t>
      </w:r>
      <w:r w:rsidRPr="000144B0">
        <w:rPr>
          <w:rFonts w:ascii="Arial" w:eastAsia="Arial" w:hAnsi="Arial" w:cs="Arial"/>
          <w:i/>
          <w:iCs/>
          <w:highlight w:val="white"/>
        </w:rPr>
        <w:t>38</w:t>
      </w:r>
      <w:r w:rsidRPr="000144B0">
        <w:rPr>
          <w:rFonts w:ascii="Arial" w:eastAsia="Arial" w:hAnsi="Arial" w:cs="Arial"/>
          <w:highlight w:val="white"/>
        </w:rPr>
        <w:t>(1), pp.21-27.</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Halvarsson, A., Roaldsen, K.S., Nilsen, P., Dohrn, I.-M. and Ståhle, A. (2021). StayBalanced: implementation of evidence-based fall prevention balance training for older adults—cluster randomized controlled and hybrid type 3 trial. </w:t>
      </w:r>
      <w:r w:rsidRPr="000144B0">
        <w:rPr>
          <w:rFonts w:ascii="Arial" w:eastAsia="Arial" w:hAnsi="Arial" w:cs="Arial"/>
          <w:i/>
          <w:iCs/>
          <w:highlight w:val="white"/>
        </w:rPr>
        <w:t>Trials</w:t>
      </w:r>
      <w:r w:rsidRPr="000144B0">
        <w:rPr>
          <w:rFonts w:ascii="Arial" w:eastAsia="Arial" w:hAnsi="Arial" w:cs="Arial"/>
          <w:highlight w:val="white"/>
        </w:rPr>
        <w:t>, 22(1). doi:</w:t>
      </w:r>
      <w:hyperlink r:id="rId25" w:history="1">
        <w:r w:rsidRPr="00C74DD5">
          <w:rPr>
            <w:rStyle w:val="Hyperlink"/>
            <w:rFonts w:ascii="Arial" w:eastAsia="Arial" w:hAnsi="Arial" w:cs="Arial"/>
          </w:rPr>
          <w:t>https://doi.org/10.1186/s13063-021-05091-1</w:t>
        </w:r>
      </w:hyperlink>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Hasan, M., Walsh, B., Oldmeadow, C. and Coda, A. (2025). Falls risk perception among older adults and carers: a cross-sectional study. </w:t>
      </w:r>
      <w:r w:rsidRPr="000144B0">
        <w:rPr>
          <w:rFonts w:ascii="Arial" w:eastAsia="Arial" w:hAnsi="Arial" w:cs="Arial"/>
          <w:i/>
          <w:iCs/>
          <w:highlight w:val="white"/>
        </w:rPr>
        <w:t>BMC Geriatrics</w:t>
      </w:r>
      <w:r w:rsidRPr="000144B0">
        <w:rPr>
          <w:rFonts w:ascii="Arial" w:eastAsia="Arial" w:hAnsi="Arial" w:cs="Arial"/>
          <w:highlight w:val="white"/>
        </w:rPr>
        <w:t>, 25(1). doi:</w:t>
      </w:r>
      <w:hyperlink r:id="rId26" w:history="1">
        <w:r w:rsidRPr="00C74DD5">
          <w:rPr>
            <w:rStyle w:val="Hyperlink"/>
            <w:rFonts w:ascii="Arial" w:eastAsia="Arial" w:hAnsi="Arial" w:cs="Arial"/>
          </w:rPr>
          <w:t>https://doi.org/10.1186/s12877-025-06403-9</w:t>
        </w:r>
      </w:hyperlink>
    </w:p>
    <w:p w:rsidR="00B87B48" w:rsidRPr="009754C3" w:rsidRDefault="00B87B48" w:rsidP="00A01A3E">
      <w:pPr>
        <w:spacing w:before="240" w:line="360" w:lineRule="auto"/>
        <w:jc w:val="both"/>
        <w:rPr>
          <w:rFonts w:ascii="Arial" w:eastAsia="Arial" w:hAnsi="Arial" w:cs="Arial"/>
          <w:color w:val="000000" w:themeColor="text1"/>
        </w:rPr>
      </w:pPr>
      <w:r w:rsidRPr="009754C3">
        <w:rPr>
          <w:rFonts w:ascii="Arial" w:eastAsia="Arial" w:hAnsi="Arial" w:cs="Arial"/>
          <w:color w:val="000000" w:themeColor="text1"/>
        </w:rPr>
        <w:t>Heng, H., Kiegaldie, D., Slade, S.C., Jazayeri, D., Shaw, L., Knight, M., Jones, C., Hill, A.M. and Morris, M.E., 2022. Healthcare professional perspectives on barriers and enablers to falls prevention education: a qualitative study.</w:t>
      </w:r>
      <w:r w:rsidRPr="009754C3">
        <w:rPr>
          <w:rFonts w:ascii="Arial" w:eastAsia="Arial" w:hAnsi="Arial" w:cs="Arial"/>
          <w:i/>
          <w:iCs/>
          <w:color w:val="000000" w:themeColor="text1"/>
        </w:rPr>
        <w:t xml:space="preserve"> PLoS One</w:t>
      </w:r>
      <w:r w:rsidRPr="009754C3">
        <w:rPr>
          <w:rFonts w:ascii="Arial" w:eastAsia="Arial" w:hAnsi="Arial" w:cs="Arial"/>
          <w:color w:val="000000" w:themeColor="text1"/>
        </w:rPr>
        <w:t>, 17(4), p.e0266797.</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Holt</w:t>
      </w:r>
      <w:r w:rsidRPr="000144B0">
        <w:rPr>
          <w:rFonts w:ascii="Cambria Math" w:eastAsia="Arial" w:hAnsi="Cambria Math" w:cs="Cambria Math"/>
          <w:highlight w:val="white"/>
        </w:rPr>
        <w:t>‐</w:t>
      </w:r>
      <w:r w:rsidRPr="000144B0">
        <w:rPr>
          <w:rFonts w:ascii="Arial" w:eastAsia="Arial" w:hAnsi="Arial" w:cs="Arial"/>
          <w:highlight w:val="white"/>
        </w:rPr>
        <w:t xml:space="preserve">Lunstad, J. (2024). Social connection as a critical factor for mental and physical health: evidence, trends, challenges, and future implications. </w:t>
      </w:r>
      <w:r w:rsidRPr="000144B0">
        <w:rPr>
          <w:rFonts w:ascii="Arial" w:eastAsia="Arial" w:hAnsi="Arial" w:cs="Arial"/>
          <w:i/>
          <w:iCs/>
          <w:highlight w:val="white"/>
        </w:rPr>
        <w:t>World Psychiatry</w:t>
      </w:r>
      <w:r w:rsidRPr="000144B0">
        <w:rPr>
          <w:rFonts w:ascii="Arial" w:eastAsia="Arial" w:hAnsi="Arial" w:cs="Arial"/>
          <w:highlight w:val="white"/>
        </w:rPr>
        <w:t>, [online] 23(3), pp.312–332. doi:</w:t>
      </w:r>
      <w:hyperlink r:id="rId27" w:history="1">
        <w:r w:rsidRPr="00C74DD5">
          <w:rPr>
            <w:rStyle w:val="Hyperlink"/>
            <w:rFonts w:ascii="Arial" w:eastAsia="Arial" w:hAnsi="Arial" w:cs="Arial"/>
          </w:rPr>
          <w:t>https://doi.org/10.1002/wps.21224</w:t>
        </w:r>
      </w:hyperlink>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Howland, J. and Peterson, E.W. (2024). The critical role of primary care health care professionals in referring older adults to community-based fall prevention programs. </w:t>
      </w:r>
      <w:r w:rsidRPr="000144B0">
        <w:rPr>
          <w:rFonts w:ascii="Arial" w:eastAsia="Arial" w:hAnsi="Arial" w:cs="Arial"/>
          <w:i/>
          <w:iCs/>
          <w:highlight w:val="white"/>
        </w:rPr>
        <w:t>Frontiers in Public Health</w:t>
      </w:r>
      <w:r w:rsidRPr="000144B0">
        <w:rPr>
          <w:rFonts w:ascii="Arial" w:eastAsia="Arial" w:hAnsi="Arial" w:cs="Arial"/>
          <w:highlight w:val="white"/>
        </w:rPr>
        <w:t>, [online] 12(12), p.1377972. doi:</w:t>
      </w:r>
      <w:hyperlink r:id="rId28" w:history="1">
        <w:r w:rsidRPr="00C74DD5">
          <w:rPr>
            <w:rStyle w:val="Hyperlink"/>
            <w:rFonts w:ascii="Arial" w:eastAsia="Arial" w:hAnsi="Arial" w:cs="Arial"/>
          </w:rPr>
          <w:t>https://doi.org/10.3389/fpubh.2024.1377972</w:t>
        </w:r>
      </w:hyperlink>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Humayoun, S., Yaqoob, B., Abbasi, N., Sajid, M., Aman, K. and Noor, N., 2024. Critical appraisal of a qualitative review: A systematic review. </w:t>
      </w:r>
      <w:r w:rsidRPr="000144B0">
        <w:rPr>
          <w:rFonts w:ascii="Arial" w:eastAsia="Arial" w:hAnsi="Arial" w:cs="Arial"/>
          <w:i/>
          <w:iCs/>
          <w:highlight w:val="white"/>
        </w:rPr>
        <w:t>Pakistan Oral &amp; Dental Journal</w:t>
      </w:r>
      <w:r w:rsidRPr="000144B0">
        <w:rPr>
          <w:rFonts w:ascii="Arial" w:eastAsia="Arial" w:hAnsi="Arial" w:cs="Arial"/>
          <w:highlight w:val="white"/>
        </w:rPr>
        <w:t xml:space="preserve">, </w:t>
      </w:r>
      <w:r w:rsidRPr="000144B0">
        <w:rPr>
          <w:rFonts w:ascii="Arial" w:eastAsia="Arial" w:hAnsi="Arial" w:cs="Arial"/>
          <w:i/>
          <w:iCs/>
          <w:highlight w:val="white"/>
        </w:rPr>
        <w:t>44</w:t>
      </w:r>
      <w:r w:rsidRPr="000144B0">
        <w:rPr>
          <w:rFonts w:ascii="Arial" w:eastAsia="Arial" w:hAnsi="Arial" w:cs="Arial"/>
          <w:highlight w:val="white"/>
        </w:rPr>
        <w:t>(4), pp.9-18.</w:t>
      </w:r>
    </w:p>
    <w:p w:rsidR="00B87B48" w:rsidRPr="000144B0" w:rsidRDefault="00B87B48" w:rsidP="00A01A3E">
      <w:pPr>
        <w:spacing w:before="240" w:line="360" w:lineRule="auto"/>
        <w:jc w:val="both"/>
        <w:rPr>
          <w:rFonts w:ascii="Arial" w:eastAsia="Arial" w:hAnsi="Arial" w:cs="Arial"/>
        </w:rPr>
      </w:pPr>
      <w:r w:rsidRPr="000144B0">
        <w:rPr>
          <w:rFonts w:ascii="Arial" w:eastAsia="Arial" w:hAnsi="Arial" w:cs="Arial"/>
        </w:rPr>
        <w:t xml:space="preserve">Iliffe, S., Kendrick, D., Morris, R., Masud, T., Gage, H., Skelton, D., Dinan, S., Bowling, A., Griffin, M., Haworth, D. and Swanwick, G., 2014. Multicentre cluster randomised trial comparing a community group exercise programme and home-based exercise with usual care for people aged 65 years and over in primary care. </w:t>
      </w:r>
      <w:r w:rsidRPr="000144B0">
        <w:rPr>
          <w:rFonts w:ascii="Arial" w:eastAsia="Arial" w:hAnsi="Arial" w:cs="Arial"/>
          <w:i/>
          <w:iCs/>
        </w:rPr>
        <w:t>Health technology assessment</w:t>
      </w:r>
      <w:r w:rsidRPr="000144B0">
        <w:rPr>
          <w:rFonts w:ascii="Arial" w:eastAsia="Arial" w:hAnsi="Arial" w:cs="Arial"/>
        </w:rPr>
        <w:t xml:space="preserve"> (Winchester, England), 18(49), p.vii.</w:t>
      </w:r>
    </w:p>
    <w:p w:rsidR="00B87B48" w:rsidRPr="00B87B48" w:rsidRDefault="00B87B48" w:rsidP="00B87B48">
      <w:pPr>
        <w:spacing w:before="240" w:line="360" w:lineRule="auto"/>
        <w:jc w:val="both"/>
        <w:rPr>
          <w:rFonts w:ascii="Arial" w:eastAsia="Arial" w:hAnsi="Arial" w:cs="Arial"/>
          <w:highlight w:val="white"/>
          <w:lang w:val="en-IN"/>
        </w:rPr>
      </w:pPr>
      <w:r w:rsidRPr="00B87B48">
        <w:rPr>
          <w:rFonts w:ascii="Arial" w:eastAsia="Arial" w:hAnsi="Arial" w:cs="Arial"/>
          <w:highlight w:val="white"/>
          <w:lang w:val="en-IN"/>
        </w:rPr>
        <w:t xml:space="preserve">Joanna Briggs Institute (2017). </w:t>
      </w:r>
      <w:r w:rsidRPr="00B87B48">
        <w:rPr>
          <w:rFonts w:ascii="Arial" w:eastAsia="Arial" w:hAnsi="Arial" w:cs="Arial"/>
          <w:i/>
          <w:iCs/>
          <w:highlight w:val="white"/>
          <w:lang w:val="en-IN"/>
        </w:rPr>
        <w:t>Checklist for systematic reviews and research syntheses</w:t>
      </w:r>
      <w:r w:rsidRPr="00B87B48">
        <w:rPr>
          <w:rFonts w:ascii="Arial" w:eastAsia="Arial" w:hAnsi="Arial" w:cs="Arial"/>
          <w:highlight w:val="white"/>
          <w:lang w:val="en-IN"/>
        </w:rPr>
        <w:t>. [online] Available at: https://jbi.global/sites/default/files/2019-05/JBI_Critical_Appraisal-Checklist_for_Systematic_Reviews2017_0.pdf [Accessed 12 May 2026].</w:t>
      </w:r>
    </w:p>
    <w:p w:rsidR="00B87B48" w:rsidRPr="00B87B48" w:rsidRDefault="00B87B48" w:rsidP="00B87B48">
      <w:pPr>
        <w:spacing w:before="240" w:line="360" w:lineRule="auto"/>
        <w:jc w:val="both"/>
        <w:rPr>
          <w:rFonts w:ascii="Arial" w:eastAsia="Arial" w:hAnsi="Arial" w:cs="Arial"/>
          <w:highlight w:val="white"/>
          <w:lang w:val="en-IN"/>
        </w:rPr>
      </w:pPr>
      <w:r w:rsidRPr="00B87B48">
        <w:rPr>
          <w:rFonts w:ascii="Arial" w:eastAsia="Arial" w:hAnsi="Arial" w:cs="Arial"/>
          <w:highlight w:val="white"/>
          <w:lang w:val="en-IN"/>
        </w:rPr>
        <w:t xml:space="preserve">jquale (2024). </w:t>
      </w:r>
      <w:r w:rsidRPr="00B87B48">
        <w:rPr>
          <w:rFonts w:ascii="Arial" w:eastAsia="Arial" w:hAnsi="Arial" w:cs="Arial"/>
          <w:i/>
          <w:iCs/>
          <w:highlight w:val="white"/>
          <w:lang w:val="en-IN"/>
        </w:rPr>
        <w:t xml:space="preserve">The Benefits of Physical Therapy for Seniors: Enhancing Health and </w:t>
      </w:r>
      <w:r w:rsidRPr="00B87B48">
        <w:rPr>
          <w:rFonts w:ascii="Arial" w:eastAsia="Arial" w:hAnsi="Arial" w:cs="Arial"/>
          <w:i/>
          <w:iCs/>
          <w:highlight w:val="white"/>
          <w:lang w:val="en-IN"/>
        </w:rPr>
        <w:lastRenderedPageBreak/>
        <w:t>Independence - Grace Management</w:t>
      </w:r>
      <w:r w:rsidRPr="00B87B48">
        <w:rPr>
          <w:rFonts w:ascii="Arial" w:eastAsia="Arial" w:hAnsi="Arial" w:cs="Arial"/>
          <w:highlight w:val="white"/>
          <w:lang w:val="en-IN"/>
        </w:rPr>
        <w:t>. [online] Grace Management - A Grace Mgmt Community. Available at: https://www.gracemanagement.com/blog/the-benefits-of-physical-therapy-for-seniors-enhancing-health-and-independence/.</w:t>
      </w:r>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Kirk-Sanchez, N., McDonough, C., Avin, K., Blackwood, J. and Hanke, T. (2025). Physical Therapy Management of Fall Risk in Community-Dwelling Older Adults: An Evidence-Based Clinical Practice Guideline From the American Physical Therapy Association – Geriatrics. </w:t>
      </w:r>
      <w:r w:rsidRPr="00454396">
        <w:rPr>
          <w:rFonts w:ascii="Arial" w:eastAsia="Arial" w:hAnsi="Arial" w:cs="Arial"/>
          <w:i/>
          <w:iCs/>
          <w:highlight w:val="white"/>
          <w:lang w:val="en-IN"/>
        </w:rPr>
        <w:t>Journal of Geriatric Physical Therapy</w:t>
      </w:r>
      <w:r w:rsidRPr="00454396">
        <w:rPr>
          <w:rFonts w:ascii="Arial" w:eastAsia="Arial" w:hAnsi="Arial" w:cs="Arial"/>
          <w:highlight w:val="white"/>
          <w:lang w:val="en-IN"/>
        </w:rPr>
        <w:t>, [online] 48(2), pp.62–87. doi:https://doi.org/10.1519/jpt.0000000000000454.</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Kumar, M. and Danishta (2025). Evaluating the Impact of Balance Exercises on Fall Prevention in Older Adults: A Community-based Study. </w:t>
      </w:r>
      <w:r w:rsidRPr="000144B0">
        <w:rPr>
          <w:rFonts w:ascii="Arial" w:eastAsia="Arial" w:hAnsi="Arial" w:cs="Arial"/>
          <w:i/>
          <w:iCs/>
          <w:highlight w:val="white"/>
        </w:rPr>
        <w:t>Asian Journal of Advances in Medical Science</w:t>
      </w:r>
      <w:r w:rsidRPr="000144B0">
        <w:rPr>
          <w:rFonts w:ascii="Arial" w:eastAsia="Arial" w:hAnsi="Arial" w:cs="Arial"/>
          <w:highlight w:val="white"/>
        </w:rPr>
        <w:t>, [online] 7(1), pp.139–145. doi:</w:t>
      </w:r>
      <w:hyperlink r:id="rId29" w:history="1">
        <w:r w:rsidRPr="00C74DD5">
          <w:rPr>
            <w:rStyle w:val="Hyperlink"/>
            <w:rFonts w:ascii="Arial" w:eastAsia="Arial" w:hAnsi="Arial" w:cs="Arial"/>
          </w:rPr>
          <w:t>https://doi.org/10.56557/ajoaims/2025/v7i1160</w:t>
        </w:r>
      </w:hyperlink>
    </w:p>
    <w:p w:rsidR="00B87B48" w:rsidRPr="00D71615" w:rsidRDefault="00B87B48" w:rsidP="00D71615">
      <w:pPr>
        <w:spacing w:before="240" w:line="360" w:lineRule="auto"/>
        <w:jc w:val="both"/>
        <w:rPr>
          <w:rFonts w:ascii="Arial" w:eastAsia="Arial" w:hAnsi="Arial" w:cs="Arial"/>
          <w:highlight w:val="white"/>
          <w:lang w:val="en-IN"/>
        </w:rPr>
      </w:pPr>
      <w:r w:rsidRPr="00D71615">
        <w:rPr>
          <w:rFonts w:ascii="Arial" w:eastAsia="Arial" w:hAnsi="Arial" w:cs="Arial"/>
          <w:highlight w:val="white"/>
          <w:lang w:val="en-IN"/>
        </w:rPr>
        <w:t xml:space="preserve">Ley, C. and Putz, P. (2024). Efficacy of interventions and techniques on adherence to physiotherapy in adults: an overview of systematic reviews and panoramic meta-analysis. </w:t>
      </w:r>
      <w:r w:rsidRPr="00D71615">
        <w:rPr>
          <w:rFonts w:ascii="Arial" w:eastAsia="Arial" w:hAnsi="Arial" w:cs="Arial"/>
          <w:i/>
          <w:iCs/>
          <w:highlight w:val="white"/>
          <w:lang w:val="en-IN"/>
        </w:rPr>
        <w:t>Systematic reviews</w:t>
      </w:r>
      <w:r w:rsidRPr="00D71615">
        <w:rPr>
          <w:rFonts w:ascii="Arial" w:eastAsia="Arial" w:hAnsi="Arial" w:cs="Arial"/>
          <w:highlight w:val="white"/>
          <w:lang w:val="en-IN"/>
        </w:rPr>
        <w:t>, 13(1). doi:https://doi.org/10.1186/s13643-024-02538-9.</w:t>
      </w:r>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Li, S. and Surineni, K. (2024). Falls in hospitalized patients and preventive strategies: A narrative review. </w:t>
      </w:r>
      <w:r w:rsidRPr="00454396">
        <w:rPr>
          <w:rFonts w:ascii="Arial" w:eastAsia="Arial" w:hAnsi="Arial" w:cs="Arial"/>
          <w:i/>
          <w:iCs/>
          <w:highlight w:val="white"/>
          <w:lang w:val="en-IN"/>
        </w:rPr>
        <w:t>The American Journal of Geriatric Psychiatry: Open Science, Education, and Practice</w:t>
      </w:r>
      <w:r w:rsidRPr="00454396">
        <w:rPr>
          <w:rFonts w:ascii="Arial" w:eastAsia="Arial" w:hAnsi="Arial" w:cs="Arial"/>
          <w:highlight w:val="white"/>
          <w:lang w:val="en-IN"/>
        </w:rPr>
        <w:t>, [online] 5(5), pp.1–9. doi:https://doi.org/10.1016/j.osep.2024.10.004.</w:t>
      </w:r>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Li, Y., Luo, L. and Dong, H. (2024). Delivering Integrated Community Care for the Elderly: A Qualitative Case Study in Southern China. </w:t>
      </w:r>
      <w:r w:rsidRPr="00454396">
        <w:rPr>
          <w:rFonts w:ascii="Arial" w:eastAsia="Arial" w:hAnsi="Arial" w:cs="Arial"/>
          <w:i/>
          <w:iCs/>
          <w:highlight w:val="white"/>
          <w:lang w:val="en-IN"/>
        </w:rPr>
        <w:t>International journal of environmental research and public health/International journal of environmental research and public health</w:t>
      </w:r>
      <w:r w:rsidRPr="00454396">
        <w:rPr>
          <w:rFonts w:ascii="Arial" w:eastAsia="Arial" w:hAnsi="Arial" w:cs="Arial"/>
          <w:highlight w:val="white"/>
          <w:lang w:val="en-IN"/>
        </w:rPr>
        <w:t>, 21(6), pp.680–680. doi:https://doi.org/10.3390/ijerph21060680.</w:t>
      </w:r>
    </w:p>
    <w:p w:rsidR="00B87B48" w:rsidRPr="009754C3" w:rsidRDefault="00B87B48" w:rsidP="00AD6A32">
      <w:pPr>
        <w:spacing w:before="240" w:line="360" w:lineRule="auto"/>
        <w:jc w:val="both"/>
        <w:rPr>
          <w:rFonts w:ascii="Arial" w:eastAsia="Arial" w:hAnsi="Arial" w:cs="Arial"/>
          <w:color w:val="000000" w:themeColor="text1"/>
          <w:highlight w:val="white"/>
          <w:lang w:val="en-IN"/>
        </w:rPr>
      </w:pPr>
      <w:r w:rsidRPr="009754C3">
        <w:rPr>
          <w:rFonts w:ascii="Arial" w:eastAsia="Arial" w:hAnsi="Arial" w:cs="Arial"/>
          <w:color w:val="000000" w:themeColor="text1"/>
          <w:highlight w:val="white"/>
          <w:lang w:val="en-IN"/>
        </w:rPr>
        <w:t xml:space="preserve">Liberati, A., Altman, D.G., Tetzlaff, J., Mulrow, C., Gotzsche, P.C., Ioannidis, J.P.A., Clarke, M., Devereaux, P.J., Kleijnen, J. and Moher, D. (2009). The PRISMA statement for reporting systematic reviews and meta-analyses of studies that evaluate healthcare interventions: explanation and elaboration. </w:t>
      </w:r>
      <w:r w:rsidRPr="009754C3">
        <w:rPr>
          <w:rFonts w:ascii="Arial" w:eastAsia="Arial" w:hAnsi="Arial" w:cs="Arial"/>
          <w:i/>
          <w:iCs/>
          <w:color w:val="000000" w:themeColor="text1"/>
          <w:highlight w:val="white"/>
          <w:lang w:val="en-IN"/>
        </w:rPr>
        <w:t>BMJ</w:t>
      </w:r>
      <w:r w:rsidRPr="009754C3">
        <w:rPr>
          <w:rFonts w:ascii="Arial" w:eastAsia="Arial" w:hAnsi="Arial" w:cs="Arial"/>
          <w:color w:val="000000" w:themeColor="text1"/>
          <w:highlight w:val="white"/>
          <w:lang w:val="en-IN"/>
        </w:rPr>
        <w:t>, [online] 339(339), pp.b2700–b2700. doi:https://doi.org/10.1136/bmj.b2700.</w:t>
      </w:r>
    </w:p>
    <w:p w:rsidR="00B87B48" w:rsidRPr="00D71615" w:rsidRDefault="00B87B48" w:rsidP="00D71615">
      <w:pPr>
        <w:spacing w:before="240" w:line="360" w:lineRule="auto"/>
        <w:jc w:val="both"/>
        <w:rPr>
          <w:rFonts w:ascii="Arial" w:eastAsia="Arial" w:hAnsi="Arial" w:cs="Arial"/>
          <w:highlight w:val="white"/>
          <w:lang w:val="en-IN"/>
        </w:rPr>
      </w:pPr>
      <w:r w:rsidRPr="00D71615">
        <w:rPr>
          <w:rFonts w:ascii="Arial" w:eastAsia="Arial" w:hAnsi="Arial" w:cs="Arial"/>
          <w:highlight w:val="white"/>
          <w:lang w:val="en-IN"/>
        </w:rPr>
        <w:t xml:space="preserve">Mackenzie, L. and Clifford, A. (2018). Perceptions of primary health staff about falls prevention in primary care settings in the west of Ireland. </w:t>
      </w:r>
      <w:r w:rsidRPr="00D71615">
        <w:rPr>
          <w:rFonts w:ascii="Arial" w:eastAsia="Arial" w:hAnsi="Arial" w:cs="Arial"/>
          <w:i/>
          <w:iCs/>
          <w:highlight w:val="white"/>
          <w:lang w:val="en-IN"/>
        </w:rPr>
        <w:t>British Journal of Occupational Therapy</w:t>
      </w:r>
      <w:r w:rsidRPr="00D71615">
        <w:rPr>
          <w:rFonts w:ascii="Arial" w:eastAsia="Arial" w:hAnsi="Arial" w:cs="Arial"/>
          <w:highlight w:val="white"/>
          <w:lang w:val="en-IN"/>
        </w:rPr>
        <w:t>, 81(9), pp.525–534. doi:https://doi.org/10.1177/0308022618761759.</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MashaelAlsobhi, AfnanGmmash, RawanAldhabi, Muataz Reda Almaddah, Ameen, A., Almotairi, F., Reem Basuodan and Khan, F. (2024). Physical Therapists’ Attitudes, Beliefs, </w:t>
      </w:r>
      <w:r w:rsidRPr="000144B0">
        <w:rPr>
          <w:rFonts w:ascii="Arial" w:eastAsia="Arial" w:hAnsi="Arial" w:cs="Arial"/>
          <w:highlight w:val="white"/>
        </w:rPr>
        <w:lastRenderedPageBreak/>
        <w:t xml:space="preserve">and Barriers Regarding Fall Screening and Prevention among Patients with Knee Osteoarthritis: A Cross-Sectional Study. </w:t>
      </w:r>
      <w:r w:rsidRPr="000144B0">
        <w:rPr>
          <w:rFonts w:ascii="Arial" w:eastAsia="Arial" w:hAnsi="Arial" w:cs="Arial"/>
          <w:i/>
          <w:iCs/>
          <w:highlight w:val="white"/>
        </w:rPr>
        <w:t>Healthcare</w:t>
      </w:r>
      <w:r w:rsidRPr="000144B0">
        <w:rPr>
          <w:rFonts w:ascii="Arial" w:eastAsia="Arial" w:hAnsi="Arial" w:cs="Arial"/>
          <w:highlight w:val="white"/>
        </w:rPr>
        <w:t>, 12(7), pp.718–718. doi:</w:t>
      </w:r>
      <w:hyperlink r:id="rId30" w:history="1">
        <w:r w:rsidRPr="00C74DD5">
          <w:rPr>
            <w:rStyle w:val="Hyperlink"/>
            <w:rFonts w:ascii="Arial" w:eastAsia="Arial" w:hAnsi="Arial" w:cs="Arial"/>
          </w:rPr>
          <w:t>https://doi.org/10.3390/healthcare12070718</w:t>
        </w:r>
      </w:hyperlink>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Matos, C., Baixinho, C.R., Alarcão, V., Henriques, M.A., Ferreira, R.O., Nascimento, T., Arriaga, M., Alves, T., Nogueira, P. and Costa, A. (2025). Perceptions of Fall Prevention and Engagement in Social Prescribing Activities Among Older Adults: A Cross-Sectional Study in Portugal. </w:t>
      </w:r>
      <w:r w:rsidRPr="000144B0">
        <w:rPr>
          <w:rFonts w:ascii="Arial" w:eastAsia="Arial" w:hAnsi="Arial" w:cs="Arial"/>
          <w:i/>
          <w:iCs/>
          <w:highlight w:val="white"/>
        </w:rPr>
        <w:t>Healthcare</w:t>
      </w:r>
      <w:r w:rsidRPr="000144B0">
        <w:rPr>
          <w:rFonts w:ascii="Arial" w:eastAsia="Arial" w:hAnsi="Arial" w:cs="Arial"/>
          <w:highlight w:val="white"/>
        </w:rPr>
        <w:t>, [online] 13(24), p.3209. doi:</w:t>
      </w:r>
      <w:hyperlink r:id="rId31" w:history="1">
        <w:r w:rsidRPr="00C74DD5">
          <w:rPr>
            <w:rStyle w:val="Hyperlink"/>
            <w:rFonts w:ascii="Arial" w:eastAsia="Arial" w:hAnsi="Arial" w:cs="Arial"/>
          </w:rPr>
          <w:t>https://doi.org/10.3390/healthcare13243209</w:t>
        </w:r>
      </w:hyperlink>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Matos, C., Baixinho, C.R., Alarcão, V., Henriques, M.A., Ferreira, R.O., Nascimento, T., Arriaga, M., Alves, T., Nogueira, P. and Costa, A. (2025). Perceptions of Fall Prevention and Engagement in Social Prescribing Activities Among Older Adults: A Cross-Sectional Study in Portugal. </w:t>
      </w:r>
      <w:r w:rsidRPr="00454396">
        <w:rPr>
          <w:rFonts w:ascii="Arial" w:eastAsia="Arial" w:hAnsi="Arial" w:cs="Arial"/>
          <w:i/>
          <w:iCs/>
          <w:highlight w:val="white"/>
          <w:lang w:val="en-IN"/>
        </w:rPr>
        <w:t>Healthcare</w:t>
      </w:r>
      <w:r w:rsidRPr="00454396">
        <w:rPr>
          <w:rFonts w:ascii="Arial" w:eastAsia="Arial" w:hAnsi="Arial" w:cs="Arial"/>
          <w:highlight w:val="white"/>
          <w:lang w:val="en-IN"/>
        </w:rPr>
        <w:t>, [online] 13(24), p.3209. doi:https://doi.org/10.3390/healthcare13243209.</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Meekes, W.M., Leemrijse, C.J., Korevaar, J.C., Stanmore, E.K. and van de Goor, L. (Ien) A. (2022). Implementing Falls Prevention in Primary Care: Barriers and Facilitators. </w:t>
      </w:r>
      <w:r w:rsidRPr="000144B0">
        <w:rPr>
          <w:rFonts w:ascii="Arial" w:eastAsia="Arial" w:hAnsi="Arial" w:cs="Arial"/>
          <w:i/>
          <w:iCs/>
          <w:highlight w:val="white"/>
        </w:rPr>
        <w:t>Clinical Interventions in Aging</w:t>
      </w:r>
      <w:r w:rsidRPr="000144B0">
        <w:rPr>
          <w:rFonts w:ascii="Arial" w:eastAsia="Arial" w:hAnsi="Arial" w:cs="Arial"/>
          <w:highlight w:val="white"/>
        </w:rPr>
        <w:t>, [online] Volume 17(14), pp.885–902. doi:</w:t>
      </w:r>
      <w:hyperlink r:id="rId32" w:history="1">
        <w:r w:rsidRPr="00C74DD5">
          <w:rPr>
            <w:rStyle w:val="Hyperlink"/>
            <w:rFonts w:ascii="Arial" w:eastAsia="Arial" w:hAnsi="Arial" w:cs="Arial"/>
          </w:rPr>
          <w:t>https://doi.org/10.2147/cia.s354911</w:t>
        </w:r>
      </w:hyperlink>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Missingham, P. (2024). </w:t>
      </w:r>
      <w:r w:rsidRPr="00454396">
        <w:rPr>
          <w:rFonts w:ascii="Arial" w:eastAsia="Arial" w:hAnsi="Arial" w:cs="Arial"/>
          <w:i/>
          <w:iCs/>
          <w:highlight w:val="white"/>
          <w:lang w:val="en-IN"/>
        </w:rPr>
        <w:t>A Pinch of Prevention</w:t>
      </w:r>
      <w:r w:rsidRPr="00454396">
        <w:rPr>
          <w:rFonts w:ascii="Arial" w:eastAsia="Arial" w:hAnsi="Arial" w:cs="Arial"/>
          <w:highlight w:val="white"/>
          <w:lang w:val="en-IN"/>
        </w:rPr>
        <w:t>. [online] A Pinch of Prevention -. Available at: https://www.apinchofprevention.com.au/physiotherapy-for-fall-prevention/.</w:t>
      </w:r>
    </w:p>
    <w:p w:rsidR="00B87B48" w:rsidRPr="00B87B48" w:rsidRDefault="00B87B48" w:rsidP="00B87B48">
      <w:pPr>
        <w:spacing w:before="240" w:line="360" w:lineRule="auto"/>
        <w:jc w:val="both"/>
        <w:rPr>
          <w:rFonts w:ascii="Arial" w:eastAsia="Arial" w:hAnsi="Arial" w:cs="Arial"/>
          <w:highlight w:val="white"/>
          <w:lang w:val="en-IN"/>
        </w:rPr>
      </w:pPr>
      <w:r w:rsidRPr="00B87B48">
        <w:rPr>
          <w:rFonts w:ascii="Arial" w:eastAsia="Arial" w:hAnsi="Arial" w:cs="Arial"/>
          <w:highlight w:val="white"/>
          <w:lang w:val="en-IN"/>
        </w:rPr>
        <w:t xml:space="preserve">Miteu, G.D. (2024). Ethics in Scientific Research: a Lens into Its Importance, History, and Future. </w:t>
      </w:r>
      <w:r w:rsidRPr="00B87B48">
        <w:rPr>
          <w:rFonts w:ascii="Arial" w:eastAsia="Arial" w:hAnsi="Arial" w:cs="Arial"/>
          <w:i/>
          <w:iCs/>
          <w:highlight w:val="white"/>
          <w:lang w:val="en-IN"/>
        </w:rPr>
        <w:t>Annals of Medicine and Surgery</w:t>
      </w:r>
      <w:r w:rsidRPr="00B87B48">
        <w:rPr>
          <w:rFonts w:ascii="Arial" w:eastAsia="Arial" w:hAnsi="Arial" w:cs="Arial"/>
          <w:highlight w:val="white"/>
          <w:lang w:val="en-IN"/>
        </w:rPr>
        <w:t>, [online] 86(5), pp.2395–2398. doi:https://doi.org/10.1097/MS9.0000000000001959.</w:t>
      </w:r>
    </w:p>
    <w:p w:rsidR="00B87B48" w:rsidRPr="000144B0" w:rsidRDefault="00B87B48" w:rsidP="00A01A3E">
      <w:pPr>
        <w:spacing w:before="240" w:line="360" w:lineRule="auto"/>
        <w:jc w:val="both"/>
        <w:rPr>
          <w:rFonts w:ascii="Arial" w:eastAsia="Arial" w:hAnsi="Arial" w:cs="Arial"/>
          <w:color w:val="EE0000"/>
        </w:rPr>
      </w:pPr>
      <w:r w:rsidRPr="009754C3">
        <w:rPr>
          <w:rFonts w:ascii="Arial" w:eastAsia="Arial" w:hAnsi="Arial" w:cs="Arial"/>
          <w:color w:val="000000" w:themeColor="text1"/>
        </w:rPr>
        <w:t xml:space="preserve">Moher, D., Liberati, A., Tetzlaff, J. and Altman, D.G. (2009). Preferred reporting items for systematic reviews and meta-analyses: The PRISMA statement. </w:t>
      </w:r>
      <w:r w:rsidRPr="009754C3">
        <w:rPr>
          <w:rFonts w:ascii="Arial" w:eastAsia="Arial" w:hAnsi="Arial" w:cs="Arial"/>
          <w:i/>
          <w:iCs/>
          <w:color w:val="000000" w:themeColor="text1"/>
        </w:rPr>
        <w:t>PLoS Medicine</w:t>
      </w:r>
      <w:r w:rsidRPr="009754C3">
        <w:rPr>
          <w:rFonts w:ascii="Arial" w:eastAsia="Arial" w:hAnsi="Arial" w:cs="Arial"/>
          <w:color w:val="000000" w:themeColor="text1"/>
        </w:rPr>
        <w:t>, [online] 6(7), p.e1000097. doi:</w:t>
      </w:r>
      <w:hyperlink r:id="rId33" w:history="1">
        <w:r w:rsidRPr="00C74DD5">
          <w:rPr>
            <w:rStyle w:val="Hyperlink"/>
            <w:rFonts w:ascii="Arial" w:eastAsia="Arial" w:hAnsi="Arial" w:cs="Arial"/>
          </w:rPr>
          <w:t>https://doi.org/10.1371/journal.pmed.1000097</w:t>
        </w:r>
      </w:hyperlink>
    </w:p>
    <w:p w:rsidR="00B87B48" w:rsidRPr="00D71615" w:rsidRDefault="00B87B48" w:rsidP="00D71615">
      <w:pPr>
        <w:spacing w:before="240" w:line="360" w:lineRule="auto"/>
        <w:jc w:val="both"/>
        <w:rPr>
          <w:rFonts w:ascii="Arial" w:eastAsia="Arial" w:hAnsi="Arial" w:cs="Arial"/>
          <w:highlight w:val="white"/>
          <w:lang w:val="en-IN"/>
        </w:rPr>
      </w:pPr>
      <w:r w:rsidRPr="00D71615">
        <w:rPr>
          <w:rFonts w:ascii="Arial" w:eastAsia="Arial" w:hAnsi="Arial" w:cs="Arial"/>
          <w:highlight w:val="white"/>
          <w:lang w:val="en-IN"/>
        </w:rPr>
        <w:t xml:space="preserve">Montero-Odasso, M., van der Velde, N., Martin, F.C., Petrovic, M., Tan, M.P., Ryg, J., Aguilar-Navarro, S., Alexander, N.B., Becker, C., Blain, H., Bourke, R., Cameron, I.D., Camicioli, R., Clemson, L., Close, J., Delbaere, K., Duan, L., Duque, G., Dyer, S.M. and Freiberger, E. (2022). World guidelines for falls prevention and management for older adults: A global initiative. </w:t>
      </w:r>
      <w:r w:rsidRPr="00D71615">
        <w:rPr>
          <w:rFonts w:ascii="Arial" w:eastAsia="Arial" w:hAnsi="Arial" w:cs="Arial"/>
          <w:i/>
          <w:iCs/>
          <w:highlight w:val="white"/>
          <w:lang w:val="en-IN"/>
        </w:rPr>
        <w:t>Age and Ageing</w:t>
      </w:r>
      <w:r w:rsidRPr="00D71615">
        <w:rPr>
          <w:rFonts w:ascii="Arial" w:eastAsia="Arial" w:hAnsi="Arial" w:cs="Arial"/>
          <w:highlight w:val="white"/>
          <w:lang w:val="en-IN"/>
        </w:rPr>
        <w:t>, [online] 51(9). doi:https://doi.org/10.1093/ageing/afac205.</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Motley, K., Parab, T., Jordan, M., Kelly, M., Noone, V., O’Malley, N. and Clifford, A.M. </w:t>
      </w:r>
      <w:r w:rsidRPr="000144B0">
        <w:rPr>
          <w:rFonts w:ascii="Arial" w:eastAsia="Arial" w:hAnsi="Arial" w:cs="Arial"/>
          <w:highlight w:val="white"/>
        </w:rPr>
        <w:lastRenderedPageBreak/>
        <w:t xml:space="preserve">(2024). ‘A great feeling to know that there’s somebody interested in improving your life’: Experiences of a blended falls prevention programme. </w:t>
      </w:r>
      <w:r w:rsidRPr="000144B0">
        <w:rPr>
          <w:rFonts w:ascii="Arial" w:eastAsia="Arial" w:hAnsi="Arial" w:cs="Arial"/>
          <w:i/>
          <w:iCs/>
          <w:highlight w:val="white"/>
        </w:rPr>
        <w:t>Physiotherapy Practice and Research</w:t>
      </w:r>
      <w:r w:rsidRPr="000144B0">
        <w:rPr>
          <w:rFonts w:ascii="Arial" w:eastAsia="Arial" w:hAnsi="Arial" w:cs="Arial"/>
          <w:highlight w:val="white"/>
        </w:rPr>
        <w:t>, 45(1), pp.49–58. doi:</w:t>
      </w:r>
      <w:hyperlink r:id="rId34" w:history="1">
        <w:r w:rsidRPr="00C74DD5">
          <w:rPr>
            <w:rStyle w:val="Hyperlink"/>
            <w:rFonts w:ascii="Arial" w:eastAsia="Arial" w:hAnsi="Arial" w:cs="Arial"/>
          </w:rPr>
          <w:t>https://doi.org/10.3233/ppr-230779</w:t>
        </w:r>
      </w:hyperlink>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Naeem, M., Ozuem, W., Howell, K. and Ranfagni, S. (2023). A step-by-step Process of Thematic Analysis to Develop a Conceptual Model in Qualitative Research. </w:t>
      </w:r>
      <w:r w:rsidRPr="000144B0">
        <w:rPr>
          <w:rFonts w:ascii="Arial" w:eastAsia="Arial" w:hAnsi="Arial" w:cs="Arial"/>
          <w:i/>
          <w:iCs/>
          <w:highlight w:val="white"/>
        </w:rPr>
        <w:t>International Journal of Qualitative Methods</w:t>
      </w:r>
      <w:r w:rsidRPr="000144B0">
        <w:rPr>
          <w:rFonts w:ascii="Arial" w:eastAsia="Arial" w:hAnsi="Arial" w:cs="Arial"/>
          <w:highlight w:val="white"/>
        </w:rPr>
        <w:t>, 22(1), pp.1–18. doi:</w:t>
      </w:r>
      <w:hyperlink r:id="rId35" w:history="1">
        <w:r w:rsidRPr="00C74DD5">
          <w:rPr>
            <w:rStyle w:val="Hyperlink"/>
            <w:rFonts w:ascii="Arial" w:eastAsia="Arial" w:hAnsi="Arial" w:cs="Arial"/>
          </w:rPr>
          <w:t>https://doi.org/10.1177/16094069231205789</w:t>
        </w:r>
      </w:hyperlink>
    </w:p>
    <w:p w:rsidR="00B87B48" w:rsidRPr="00D71615" w:rsidRDefault="00B87B48" w:rsidP="00D71615">
      <w:pPr>
        <w:spacing w:before="240" w:line="360" w:lineRule="auto"/>
        <w:jc w:val="both"/>
        <w:rPr>
          <w:rFonts w:ascii="Arial" w:eastAsia="Arial" w:hAnsi="Arial" w:cs="Arial"/>
          <w:highlight w:val="white"/>
          <w:lang w:val="en-IN"/>
        </w:rPr>
      </w:pPr>
      <w:r w:rsidRPr="00D71615">
        <w:rPr>
          <w:rFonts w:ascii="Arial" w:eastAsia="Arial" w:hAnsi="Arial" w:cs="Arial"/>
          <w:highlight w:val="white"/>
          <w:lang w:val="en-IN"/>
        </w:rPr>
        <w:t xml:space="preserve">Nazir, S., Mathiyakom, W., Tassawar, M.A. and Tantisuwat, A. (2025). Barriers to reporting fear of falling and participation in fall prevention strategies among older adults in Pakistan: a qualitative study. </w:t>
      </w:r>
      <w:r w:rsidRPr="00D71615">
        <w:rPr>
          <w:rFonts w:ascii="Arial" w:eastAsia="Arial" w:hAnsi="Arial" w:cs="Arial"/>
          <w:i/>
          <w:iCs/>
          <w:highlight w:val="white"/>
          <w:lang w:val="en-IN"/>
        </w:rPr>
        <w:t>BMC Geriatrics</w:t>
      </w:r>
      <w:r w:rsidRPr="00D71615">
        <w:rPr>
          <w:rFonts w:ascii="Arial" w:eastAsia="Arial" w:hAnsi="Arial" w:cs="Arial"/>
          <w:highlight w:val="white"/>
          <w:lang w:val="en-IN"/>
        </w:rPr>
        <w:t>, 25(1). doi:https://doi.org/10.1186/s12877-025-06555-8.</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NHS (2021). </w:t>
      </w:r>
      <w:r w:rsidRPr="000144B0">
        <w:rPr>
          <w:rFonts w:ascii="Arial" w:eastAsia="Arial" w:hAnsi="Arial" w:cs="Arial"/>
          <w:i/>
          <w:iCs/>
          <w:highlight w:val="white"/>
        </w:rPr>
        <w:t>Falls</w:t>
      </w:r>
      <w:r w:rsidRPr="000144B0">
        <w:rPr>
          <w:rFonts w:ascii="Arial" w:eastAsia="Arial" w:hAnsi="Arial" w:cs="Arial"/>
          <w:highlight w:val="white"/>
        </w:rPr>
        <w:t>. [online] NHS. Available at: https://www.nhs.uk/conditions/Falls/ [Accessed 28 Apr. 2026].</w:t>
      </w:r>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OECD (2025). </w:t>
      </w:r>
      <w:r w:rsidRPr="00454396">
        <w:rPr>
          <w:rFonts w:ascii="Arial" w:eastAsia="Arial" w:hAnsi="Arial" w:cs="Arial"/>
          <w:i/>
          <w:iCs/>
          <w:highlight w:val="white"/>
          <w:lang w:val="en-IN"/>
        </w:rPr>
        <w:t>Adapting health systems to an ageing population: The Economic Benefit of Promoting Healthy Ageing and Community Care</w:t>
      </w:r>
      <w:r w:rsidRPr="00454396">
        <w:rPr>
          <w:rFonts w:ascii="Arial" w:eastAsia="Arial" w:hAnsi="Arial" w:cs="Arial"/>
          <w:highlight w:val="white"/>
          <w:lang w:val="en-IN"/>
        </w:rPr>
        <w:t>. [online] OECD. Available at: https://www.oecd.org/en/publications/the-economic-benefit-of-promoting-healthy-ageing-and-community-care_0f7bc62b-en/full-report/adapting-health-systems-to-an-ageing-population_674c5da7.html [Accessed 12 May 2026].</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Ponti, M., Bet, P., Oliveira, C.L. and Castro, P.C. (2017). Better than counting seconds: Identifying fallers among healthy elderly using fusion of accelerometer features and dual-task Timed Up and Go. </w:t>
      </w:r>
      <w:r w:rsidRPr="000144B0">
        <w:rPr>
          <w:rFonts w:ascii="Arial" w:eastAsia="Arial" w:hAnsi="Arial" w:cs="Arial"/>
          <w:i/>
          <w:iCs/>
          <w:highlight w:val="white"/>
        </w:rPr>
        <w:t>PLOS ONE</w:t>
      </w:r>
      <w:r w:rsidRPr="000144B0">
        <w:rPr>
          <w:rFonts w:ascii="Arial" w:eastAsia="Arial" w:hAnsi="Arial" w:cs="Arial"/>
          <w:highlight w:val="white"/>
        </w:rPr>
        <w:t>, 12(4), pp.e0175559–e0175559. doi:</w:t>
      </w:r>
      <w:hyperlink r:id="rId36" w:history="1">
        <w:r w:rsidRPr="00C74DD5">
          <w:rPr>
            <w:rStyle w:val="Hyperlink"/>
            <w:rFonts w:ascii="Arial" w:eastAsia="Arial" w:hAnsi="Arial" w:cs="Arial"/>
          </w:rPr>
          <w:t>https://doi.org/10.1371/journal.pone.0175559</w:t>
        </w:r>
      </w:hyperlink>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Price, A. (2015) </w:t>
      </w:r>
      <w:r w:rsidRPr="000144B0">
        <w:rPr>
          <w:rFonts w:ascii="Arial" w:eastAsia="Arial" w:hAnsi="Arial" w:cs="Arial"/>
          <w:i/>
          <w:iCs/>
          <w:highlight w:val="white"/>
        </w:rPr>
        <w:t>Critical Appraisal Skills Programme (CASP) for all</w:t>
      </w:r>
      <w:r w:rsidRPr="000144B0">
        <w:rPr>
          <w:rFonts w:ascii="Arial" w:eastAsia="Arial" w:hAnsi="Arial" w:cs="Arial"/>
          <w:highlight w:val="white"/>
        </w:rPr>
        <w:t xml:space="preserve">. Available at: </w:t>
      </w:r>
      <w:hyperlink r:id="rId37">
        <w:r w:rsidRPr="000144B0">
          <w:rPr>
            <w:rFonts w:ascii="Arial" w:eastAsia="Arial" w:hAnsi="Arial" w:cs="Arial"/>
            <w:color w:val="0000FF"/>
            <w:highlight w:val="white"/>
            <w:u w:val="single"/>
          </w:rPr>
          <w:t>https://www.ithinkwell.org/casp-critical-appraisal-skills-programme-for-all/</w:t>
        </w:r>
      </w:hyperlink>
      <w:r w:rsidRPr="000144B0">
        <w:rPr>
          <w:rFonts w:ascii="Arial" w:eastAsia="Arial" w:hAnsi="Arial" w:cs="Arial"/>
          <w:highlight w:val="white"/>
        </w:rPr>
        <w:t xml:space="preserve"> (Accessed: 7 April 2026).</w:t>
      </w:r>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Ramos, V.D., Polack, S., Reichenberger, V., Scherer, N., Penn-Kekana, L., de Araujo Morais, I., Kuper, H. and Moran de Brito, C.M. (2024). A situational analysis of rehabilitation policy and systems in Brazil. </w:t>
      </w:r>
      <w:r w:rsidRPr="00454396">
        <w:rPr>
          <w:rFonts w:ascii="Arial" w:eastAsia="Arial" w:hAnsi="Arial" w:cs="Arial"/>
          <w:i/>
          <w:iCs/>
          <w:highlight w:val="white"/>
          <w:lang w:val="en-IN"/>
        </w:rPr>
        <w:t>SSM - Health Systems</w:t>
      </w:r>
      <w:r w:rsidRPr="00454396">
        <w:rPr>
          <w:rFonts w:ascii="Arial" w:eastAsia="Arial" w:hAnsi="Arial" w:cs="Arial"/>
          <w:highlight w:val="white"/>
          <w:lang w:val="en-IN"/>
        </w:rPr>
        <w:t>, [online] 4(12), p.100045. doi:https://doi.org/10.1016/j.ssmhs.2024.100045.</w:t>
      </w:r>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Reddy, R.S., Alahmari, K.A., MastourSaeed Alshahrani, Batool Abdulelah Alkhamis, Tedla, J.S., ALMohiza, M.A., Basant Hamdy Elrefaey, Koura, G.M., Kumar Gular, Hani Hassan Alnakhli, Mukherjee, D., Rao, V.S. and Khalid Awad Al-Qahtani (2024). Exploring the impact of physiotherapy on health outcomes in older adults with chronic diseases: a cross-sectional </w:t>
      </w:r>
      <w:r w:rsidRPr="00454396">
        <w:rPr>
          <w:rFonts w:ascii="Arial" w:eastAsia="Arial" w:hAnsi="Arial" w:cs="Arial"/>
          <w:highlight w:val="white"/>
          <w:lang w:val="en-IN"/>
        </w:rPr>
        <w:lastRenderedPageBreak/>
        <w:t xml:space="preserve">analysis. </w:t>
      </w:r>
      <w:r w:rsidRPr="00454396">
        <w:rPr>
          <w:rFonts w:ascii="Arial" w:eastAsia="Arial" w:hAnsi="Arial" w:cs="Arial"/>
          <w:i/>
          <w:iCs/>
          <w:highlight w:val="white"/>
          <w:lang w:val="en-IN"/>
        </w:rPr>
        <w:t>Frontiers in Public Health</w:t>
      </w:r>
      <w:r w:rsidRPr="00454396">
        <w:rPr>
          <w:rFonts w:ascii="Arial" w:eastAsia="Arial" w:hAnsi="Arial" w:cs="Arial"/>
          <w:highlight w:val="white"/>
          <w:lang w:val="en-IN"/>
        </w:rPr>
        <w:t>, 12(12). doi:https://doi.org/10.3389/fpubh.2024.1415882.</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Reis, M., Ferreira, S., Conde, M. and Martins, A.C. (2025). Health and Functioning of Community-Dwelling Older Adults in Urban and Rural Areas of Portugal—What Are the Implications for Physiotherapy Care? </w:t>
      </w:r>
      <w:r w:rsidRPr="000144B0">
        <w:rPr>
          <w:rFonts w:ascii="Arial" w:eastAsia="Arial" w:hAnsi="Arial" w:cs="Arial"/>
          <w:i/>
          <w:iCs/>
          <w:highlight w:val="white"/>
        </w:rPr>
        <w:t>International Journal of Environmental Research and Public Health</w:t>
      </w:r>
      <w:r w:rsidRPr="000144B0">
        <w:rPr>
          <w:rFonts w:ascii="Arial" w:eastAsia="Arial" w:hAnsi="Arial" w:cs="Arial"/>
          <w:highlight w:val="white"/>
        </w:rPr>
        <w:t>, 22(12), pp.1827–1827. doi:</w:t>
      </w:r>
      <w:hyperlink r:id="rId38" w:history="1">
        <w:r w:rsidRPr="00C74DD5">
          <w:rPr>
            <w:rStyle w:val="Hyperlink"/>
            <w:rFonts w:ascii="Arial" w:eastAsia="Arial" w:hAnsi="Arial" w:cs="Arial"/>
          </w:rPr>
          <w:t>https://doi.org/10.3390/ijerph22121827</w:t>
        </w:r>
      </w:hyperlink>
      <w:r w:rsidRPr="000144B0">
        <w:rPr>
          <w:rFonts w:ascii="Arial" w:eastAsia="Arial" w:hAnsi="Arial" w:cs="Arial"/>
          <w:highlight w:val="white"/>
        </w:rPr>
        <w:t>.</w:t>
      </w:r>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Research gate (2023). </w:t>
      </w:r>
      <w:r w:rsidRPr="00454396">
        <w:rPr>
          <w:rFonts w:ascii="Arial" w:eastAsia="Arial" w:hAnsi="Arial" w:cs="Arial"/>
          <w:i/>
          <w:iCs/>
          <w:highlight w:val="white"/>
          <w:lang w:val="en-IN"/>
        </w:rPr>
        <w:t>(PDF) Effect of physiotherapy in Fall prevention</w:t>
      </w:r>
      <w:r w:rsidRPr="00454396">
        <w:rPr>
          <w:rFonts w:ascii="Arial" w:eastAsia="Arial" w:hAnsi="Arial" w:cs="Arial"/>
          <w:highlight w:val="white"/>
          <w:lang w:val="en-IN"/>
        </w:rPr>
        <w:t>. [online] ResearchGate. Available at: https://www.researchgate.net/publication/343161794_Effect_of_physiotherapy_in_Fall_prevention [Accessed 12 May 2026].</w:t>
      </w:r>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Reuter-Sandquist, M., Ernstmeyer, K. and Christman, E. (2022). </w:t>
      </w:r>
      <w:r w:rsidRPr="00454396">
        <w:rPr>
          <w:rFonts w:ascii="Arial" w:eastAsia="Arial" w:hAnsi="Arial" w:cs="Arial"/>
          <w:i/>
          <w:iCs/>
          <w:highlight w:val="white"/>
          <w:lang w:val="en-IN"/>
        </w:rPr>
        <w:t>Chapter 9: Promote independence through rehabilitation/restorative care</w:t>
      </w:r>
      <w:r w:rsidRPr="00454396">
        <w:rPr>
          <w:rFonts w:ascii="Arial" w:eastAsia="Arial" w:hAnsi="Arial" w:cs="Arial"/>
          <w:highlight w:val="white"/>
          <w:lang w:val="en-IN"/>
        </w:rPr>
        <w:t>. [online] National Library of Medicine. Available at: https://www.ncbi.nlm.nih.gov/books/NBK599390/.</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Rikkonen, T., Sund, R., Heli Koivumaa-Honkanen, Joonas Sirola, Honkanen, R. and Heikki Kröger (2023). Effectiveness of exercise on fall prevention in community-dwelling older adults: a 2-year randomized controlled study of 914 women. </w:t>
      </w:r>
      <w:r w:rsidRPr="000144B0">
        <w:rPr>
          <w:rFonts w:ascii="Arial" w:eastAsia="Arial" w:hAnsi="Arial" w:cs="Arial"/>
          <w:i/>
          <w:iCs/>
          <w:highlight w:val="white"/>
        </w:rPr>
        <w:t>Age and Ageing</w:t>
      </w:r>
      <w:r w:rsidRPr="000144B0">
        <w:rPr>
          <w:rFonts w:ascii="Arial" w:eastAsia="Arial" w:hAnsi="Arial" w:cs="Arial"/>
          <w:highlight w:val="white"/>
        </w:rPr>
        <w:t>, 52(4). doi:</w:t>
      </w:r>
      <w:hyperlink r:id="rId39" w:history="1">
        <w:r w:rsidRPr="00C74DD5">
          <w:rPr>
            <w:rStyle w:val="Hyperlink"/>
            <w:rFonts w:ascii="Arial" w:eastAsia="Arial" w:hAnsi="Arial" w:cs="Arial"/>
          </w:rPr>
          <w:t>https://doi.org/10.1093/ageing/afad059</w:t>
        </w:r>
      </w:hyperlink>
      <w:r w:rsidRPr="000144B0">
        <w:rPr>
          <w:rFonts w:ascii="Arial" w:eastAsia="Arial" w:hAnsi="Arial" w:cs="Arial"/>
          <w:highlight w:val="white"/>
        </w:rPr>
        <w:t>.</w:t>
      </w:r>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Robinson, S.K., Meisnere, M., Phillips, J.R.L. and McCauley, L. (2021). </w:t>
      </w:r>
      <w:r w:rsidRPr="00454396">
        <w:rPr>
          <w:rFonts w:ascii="Arial" w:eastAsia="Arial" w:hAnsi="Arial" w:cs="Arial"/>
          <w:i/>
          <w:iCs/>
          <w:highlight w:val="white"/>
          <w:lang w:val="en-IN"/>
        </w:rPr>
        <w:t>Person-Centered, family-centered, and community-oriented primary care</w:t>
      </w:r>
      <w:r w:rsidRPr="00454396">
        <w:rPr>
          <w:rFonts w:ascii="Arial" w:eastAsia="Arial" w:hAnsi="Arial" w:cs="Arial"/>
          <w:highlight w:val="white"/>
          <w:lang w:val="en-IN"/>
        </w:rPr>
        <w:t xml:space="preserve">. [online] </w:t>
      </w:r>
      <w:r w:rsidRPr="00454396">
        <w:rPr>
          <w:rFonts w:ascii="Arial" w:eastAsia="Arial" w:hAnsi="Arial" w:cs="Arial"/>
          <w:i/>
          <w:iCs/>
          <w:highlight w:val="white"/>
          <w:lang w:val="en-IN"/>
        </w:rPr>
        <w:t>www.ncbi.nlm.nih.gov</w:t>
      </w:r>
      <w:r w:rsidRPr="00454396">
        <w:rPr>
          <w:rFonts w:ascii="Arial" w:eastAsia="Arial" w:hAnsi="Arial" w:cs="Arial"/>
          <w:highlight w:val="white"/>
          <w:lang w:val="en-IN"/>
        </w:rPr>
        <w:t>. National Academies Press (US). Available at: https://www.ncbi.nlm.nih.gov/books/NBK571814/.</w:t>
      </w:r>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Rony, M.K.K., Parvin, M.R., Wahiduzzaman, M., Akter, K. and Ullah, M. (2024). Challenges and Advancements in the Health-Related Quality of Life of Older People. </w:t>
      </w:r>
      <w:r w:rsidRPr="00454396">
        <w:rPr>
          <w:rFonts w:ascii="Arial" w:eastAsia="Arial" w:hAnsi="Arial" w:cs="Arial"/>
          <w:i/>
          <w:iCs/>
          <w:highlight w:val="white"/>
          <w:lang w:val="en-IN"/>
        </w:rPr>
        <w:t>Advances in Public Health</w:t>
      </w:r>
      <w:r w:rsidRPr="00454396">
        <w:rPr>
          <w:rFonts w:ascii="Arial" w:eastAsia="Arial" w:hAnsi="Arial" w:cs="Arial"/>
          <w:highlight w:val="white"/>
          <w:lang w:val="en-IN"/>
        </w:rPr>
        <w:t>, [online] 2024(1), p.e8839631. doi:https://doi.org/10.1155/2024/8839631.</w:t>
      </w:r>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Salari, N., Darvishi, N., Ahmadipanah, M., Shohaimi, S. and Mohammadi, M. (2022). Global prevalence of falls in the older adults: a comprehensive systematic review and meta-analysis. </w:t>
      </w:r>
      <w:r w:rsidRPr="00454396">
        <w:rPr>
          <w:rFonts w:ascii="Arial" w:eastAsia="Arial" w:hAnsi="Arial" w:cs="Arial"/>
          <w:i/>
          <w:iCs/>
          <w:highlight w:val="white"/>
          <w:lang w:val="en-IN"/>
        </w:rPr>
        <w:t>Journal of Orthopaedic Surgery and Research</w:t>
      </w:r>
      <w:r w:rsidRPr="00454396">
        <w:rPr>
          <w:rFonts w:ascii="Arial" w:eastAsia="Arial" w:hAnsi="Arial" w:cs="Arial"/>
          <w:highlight w:val="white"/>
          <w:lang w:val="en-IN"/>
        </w:rPr>
        <w:t>, [online] 17(1). doi:https://doi.org/10.1186/s13018-022-03222-1.</w:t>
      </w:r>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Schoene, D., Heller, C., Aung, Y.N., Sieber, C.C., Kemmler, W. and Freiberger, E. (2019). A systematic review on the influence of fear of falling on quality of life in older people: is there a role for falls? </w:t>
      </w:r>
      <w:r w:rsidRPr="00454396">
        <w:rPr>
          <w:rFonts w:ascii="Arial" w:eastAsia="Arial" w:hAnsi="Arial" w:cs="Arial"/>
          <w:i/>
          <w:iCs/>
          <w:highlight w:val="white"/>
          <w:lang w:val="en-IN"/>
        </w:rPr>
        <w:t>Clinical Interventions in Aging</w:t>
      </w:r>
      <w:r w:rsidRPr="00454396">
        <w:rPr>
          <w:rFonts w:ascii="Arial" w:eastAsia="Arial" w:hAnsi="Arial" w:cs="Arial"/>
          <w:highlight w:val="white"/>
          <w:lang w:val="en-IN"/>
        </w:rPr>
        <w:t>, Volume 14(14), pp.701–719. doi:https://doi.org/10.2147/cia.s197857.</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lastRenderedPageBreak/>
        <w:t xml:space="preserve">Shaheen, N., Shaheen, A., Ramadan, A., Hefnawy, M.T., Ramadan, A., Ibrahim, I.A., Hassanein, M.E., Ashour, M.E. and Flouty, O., 2023. Appraising systematic reviews: a comprehensive guide to ensuring validity and reliability. </w:t>
      </w:r>
      <w:r w:rsidRPr="000144B0">
        <w:rPr>
          <w:rFonts w:ascii="Arial" w:eastAsia="Arial" w:hAnsi="Arial" w:cs="Arial"/>
          <w:i/>
          <w:iCs/>
          <w:highlight w:val="white"/>
        </w:rPr>
        <w:t>Frontiers in research metrics and analytics</w:t>
      </w:r>
      <w:r w:rsidRPr="000144B0">
        <w:rPr>
          <w:rFonts w:ascii="Arial" w:eastAsia="Arial" w:hAnsi="Arial" w:cs="Arial"/>
          <w:highlight w:val="white"/>
        </w:rPr>
        <w:t xml:space="preserve">, </w:t>
      </w:r>
      <w:r w:rsidRPr="000144B0">
        <w:rPr>
          <w:rFonts w:ascii="Arial" w:eastAsia="Arial" w:hAnsi="Arial" w:cs="Arial"/>
          <w:i/>
          <w:iCs/>
          <w:highlight w:val="white"/>
        </w:rPr>
        <w:t>8</w:t>
      </w:r>
      <w:r w:rsidRPr="000144B0">
        <w:rPr>
          <w:rFonts w:ascii="Arial" w:eastAsia="Arial" w:hAnsi="Arial" w:cs="Arial"/>
          <w:highlight w:val="white"/>
        </w:rPr>
        <w:t>, p.1268045.</w:t>
      </w:r>
    </w:p>
    <w:p w:rsidR="00B87B48" w:rsidRPr="00D71615" w:rsidRDefault="00B87B48" w:rsidP="00D71615">
      <w:pPr>
        <w:spacing w:before="240" w:line="360" w:lineRule="auto"/>
        <w:jc w:val="both"/>
        <w:rPr>
          <w:rFonts w:ascii="Arial" w:eastAsia="Arial" w:hAnsi="Arial" w:cs="Arial"/>
          <w:highlight w:val="white"/>
          <w:lang w:val="en-IN"/>
        </w:rPr>
      </w:pPr>
      <w:r w:rsidRPr="00D71615">
        <w:rPr>
          <w:rFonts w:ascii="Arial" w:eastAsia="Arial" w:hAnsi="Arial" w:cs="Arial"/>
          <w:highlight w:val="white"/>
          <w:lang w:val="en-IN"/>
        </w:rPr>
        <w:t xml:space="preserve">Shaw, L., Kiegaldie, D. and Farlie, M.K. (2020). Education interventions for health professionals on falls prevention in health care settings: a 10-year scoping review. </w:t>
      </w:r>
      <w:r w:rsidRPr="00D71615">
        <w:rPr>
          <w:rFonts w:ascii="Arial" w:eastAsia="Arial" w:hAnsi="Arial" w:cs="Arial"/>
          <w:i/>
          <w:iCs/>
          <w:highlight w:val="white"/>
          <w:lang w:val="en-IN"/>
        </w:rPr>
        <w:t>BMC Geriatrics</w:t>
      </w:r>
      <w:r w:rsidRPr="00D71615">
        <w:rPr>
          <w:rFonts w:ascii="Arial" w:eastAsia="Arial" w:hAnsi="Arial" w:cs="Arial"/>
          <w:highlight w:val="white"/>
          <w:lang w:val="en-IN"/>
        </w:rPr>
        <w:t>, [online] 20(1). doi:https://doi.org/10.1186/s12877-020-01819-x.</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Sherrington, C., Fairhall, N.J., Wallbank, G.K., Tiedemann, A., Michaleff, Z.A., Howard, K., Clemson, L., Hopewell, S. and Lamb, S.E. (2020). Exercise for preventing falls in older people living in the community. </w:t>
      </w:r>
      <w:r w:rsidRPr="000144B0">
        <w:rPr>
          <w:rFonts w:ascii="Arial" w:eastAsia="Arial" w:hAnsi="Arial" w:cs="Arial"/>
          <w:i/>
          <w:iCs/>
          <w:highlight w:val="white"/>
        </w:rPr>
        <w:t>Cochrane Database of Systematic Reviews</w:t>
      </w:r>
      <w:r w:rsidRPr="000144B0">
        <w:rPr>
          <w:rFonts w:ascii="Arial" w:eastAsia="Arial" w:hAnsi="Arial" w:cs="Arial"/>
          <w:highlight w:val="white"/>
        </w:rPr>
        <w:t>, [online] 1(1), p.CD012424. doi:</w:t>
      </w:r>
      <w:hyperlink r:id="rId40" w:history="1">
        <w:r w:rsidRPr="00C74DD5">
          <w:rPr>
            <w:rStyle w:val="Hyperlink"/>
            <w:rFonts w:ascii="Arial" w:eastAsia="Arial" w:hAnsi="Arial" w:cs="Arial"/>
          </w:rPr>
          <w:t>https://doi.org/10.1002/14651858.cd012424.pub2</w:t>
        </w:r>
      </w:hyperlink>
      <w:r w:rsidRPr="000144B0">
        <w:rPr>
          <w:rFonts w:ascii="Arial" w:eastAsia="Arial" w:hAnsi="Arial" w:cs="Arial"/>
          <w:highlight w:val="white"/>
        </w:rPr>
        <w:t>.</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Sherrington, C., Lord, S. and Close, J., 2008. Best practice recommendations for physical activity to prevent falls in older adults: A rapid review. </w:t>
      </w:r>
      <w:r w:rsidRPr="000144B0">
        <w:rPr>
          <w:rFonts w:ascii="Arial" w:eastAsia="Arial" w:hAnsi="Arial" w:cs="Arial"/>
          <w:i/>
          <w:iCs/>
          <w:highlight w:val="white"/>
        </w:rPr>
        <w:t>Syd. NSW Dep. Health</w:t>
      </w:r>
      <w:r w:rsidRPr="000144B0">
        <w:rPr>
          <w:rFonts w:ascii="Arial" w:eastAsia="Arial" w:hAnsi="Arial" w:cs="Arial"/>
          <w:highlight w:val="white"/>
        </w:rPr>
        <w:t>.</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Sherrington, C., Lord, S. and Close, J., 2008. Best practice recommendations for physical activity to prevent falls in older adults: A rapid review. </w:t>
      </w:r>
      <w:r w:rsidRPr="000144B0">
        <w:rPr>
          <w:rFonts w:ascii="Arial" w:eastAsia="Arial" w:hAnsi="Arial" w:cs="Arial"/>
          <w:i/>
          <w:iCs/>
          <w:highlight w:val="white"/>
        </w:rPr>
        <w:t>Syd. NSW Dep. Health</w:t>
      </w:r>
      <w:r w:rsidRPr="000144B0">
        <w:rPr>
          <w:rFonts w:ascii="Arial" w:eastAsia="Arial" w:hAnsi="Arial" w:cs="Arial"/>
          <w:highlight w:val="white"/>
        </w:rPr>
        <w:t>.</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Sherrington, C., Ma and Ct, J. (2008). </w:t>
      </w:r>
      <w:r w:rsidRPr="000144B0">
        <w:rPr>
          <w:rFonts w:ascii="Arial" w:eastAsia="Arial" w:hAnsi="Arial" w:cs="Arial"/>
          <w:i/>
          <w:iCs/>
          <w:highlight w:val="white"/>
        </w:rPr>
        <w:t>BEST -PRACTICE RECOMMENDATIONS FOR PHYSICAL ACTIVITY TO PREVENT FALLS IN OLDER ADULTS</w:t>
      </w:r>
      <w:r w:rsidRPr="000144B0">
        <w:rPr>
          <w:rFonts w:ascii="Arial" w:eastAsia="Arial" w:hAnsi="Arial" w:cs="Arial"/>
          <w:highlight w:val="white"/>
        </w:rPr>
        <w:t xml:space="preserve">. [online] Available at: </w:t>
      </w:r>
      <w:hyperlink r:id="rId41" w:history="1">
        <w:r w:rsidRPr="00C74DD5">
          <w:rPr>
            <w:rStyle w:val="Hyperlink"/>
            <w:rFonts w:ascii="Arial" w:eastAsia="Arial" w:hAnsi="Arial" w:cs="Arial"/>
          </w:rPr>
          <w:t>https://www.activeandhealthy.nsw.gov.au/assets/pdf/Best_Practice_Recommendations.pdf</w:t>
        </w:r>
      </w:hyperlink>
      <w:r w:rsidRPr="000144B0">
        <w:rPr>
          <w:rFonts w:ascii="Arial" w:eastAsia="Arial" w:hAnsi="Arial" w:cs="Arial"/>
          <w:highlight w:val="white"/>
        </w:rPr>
        <w:t xml:space="preserve"> [Accessed 20 Apr. 2026].</w:t>
      </w:r>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Solli, R., Olsen, N.R., Kvæl, L.A.H., Van de Velde, S., Pripp, A.H., Flottorp, S.A. and Brovold, T. (2026). Effectiveness of clinical decision support in fall prevention among older adults: A systematic review and meta-analysis. </w:t>
      </w:r>
      <w:r w:rsidRPr="00454396">
        <w:rPr>
          <w:rFonts w:ascii="Arial" w:eastAsia="Arial" w:hAnsi="Arial" w:cs="Arial"/>
          <w:i/>
          <w:iCs/>
          <w:highlight w:val="white"/>
          <w:lang w:val="en-IN"/>
        </w:rPr>
        <w:t>PloS one</w:t>
      </w:r>
      <w:r w:rsidRPr="00454396">
        <w:rPr>
          <w:rFonts w:ascii="Arial" w:eastAsia="Arial" w:hAnsi="Arial" w:cs="Arial"/>
          <w:highlight w:val="white"/>
          <w:lang w:val="en-IN"/>
        </w:rPr>
        <w:t>, [online] 21(1), p.e0340025. doi:https://doi.org/10.1371/journal.pone.0340025.</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Studer, M., Irwin, K.E. and Wingood, M. (2025). The Pharmacists of Physical Activity: Physiotherapists Empowering Older Adults’ Autonomy in the Self-Management of Aging with and Without Persistent Conditions. </w:t>
      </w:r>
      <w:r w:rsidRPr="000144B0">
        <w:rPr>
          <w:rFonts w:ascii="Arial" w:eastAsia="Arial" w:hAnsi="Arial" w:cs="Arial"/>
          <w:i/>
          <w:iCs/>
          <w:highlight w:val="white"/>
        </w:rPr>
        <w:t>Healthcare</w:t>
      </w:r>
      <w:r w:rsidRPr="000144B0">
        <w:rPr>
          <w:rFonts w:ascii="Arial" w:eastAsia="Arial" w:hAnsi="Arial" w:cs="Arial"/>
          <w:highlight w:val="white"/>
        </w:rPr>
        <w:t>, [online] 13(7), p.834. doi:</w:t>
      </w:r>
      <w:hyperlink r:id="rId42" w:history="1">
        <w:r w:rsidRPr="00C74DD5">
          <w:rPr>
            <w:rStyle w:val="Hyperlink"/>
            <w:rFonts w:ascii="Arial" w:eastAsia="Arial" w:hAnsi="Arial" w:cs="Arial"/>
          </w:rPr>
          <w:t>https://doi.org/10.3390/healthcare13070834</w:t>
        </w:r>
      </w:hyperlink>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Studer, M., Irwin, K.E. and Wingood, M. (2025). The Pharmacists of Physical Activity: Physiotherapists Empowering Older Adults’ Autonomy in the Self-Management of Aging with and Without Persistent Conditions. </w:t>
      </w:r>
      <w:r w:rsidRPr="00454396">
        <w:rPr>
          <w:rFonts w:ascii="Arial" w:eastAsia="Arial" w:hAnsi="Arial" w:cs="Arial"/>
          <w:i/>
          <w:iCs/>
          <w:highlight w:val="white"/>
          <w:lang w:val="en-IN"/>
        </w:rPr>
        <w:t>Healthcare</w:t>
      </w:r>
      <w:r w:rsidRPr="00454396">
        <w:rPr>
          <w:rFonts w:ascii="Arial" w:eastAsia="Arial" w:hAnsi="Arial" w:cs="Arial"/>
          <w:highlight w:val="white"/>
          <w:lang w:val="en-IN"/>
        </w:rPr>
        <w:t>, [online] 13(7), p.834. doi:https://doi.org/10.3390/healthcare13070834.</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lastRenderedPageBreak/>
        <w:t xml:space="preserve">therapies on the thames (2024). </w:t>
      </w:r>
      <w:r w:rsidRPr="000144B0">
        <w:rPr>
          <w:rFonts w:ascii="Arial" w:eastAsia="Arial" w:hAnsi="Arial" w:cs="Arial"/>
          <w:i/>
          <w:iCs/>
          <w:highlight w:val="white"/>
        </w:rPr>
        <w:t>Cost of Falls to NHS and Social Care - Therapies on Thames</w:t>
      </w:r>
      <w:r w:rsidRPr="000144B0">
        <w:rPr>
          <w:rFonts w:ascii="Arial" w:eastAsia="Arial" w:hAnsi="Arial" w:cs="Arial"/>
          <w:highlight w:val="white"/>
        </w:rPr>
        <w:t xml:space="preserve">. [online] https://therapiesonthames.co.uk/. Available at: </w:t>
      </w:r>
      <w:hyperlink r:id="rId43" w:history="1">
        <w:r w:rsidRPr="00C74DD5">
          <w:rPr>
            <w:rStyle w:val="Hyperlink"/>
            <w:rFonts w:ascii="Arial" w:eastAsia="Arial" w:hAnsi="Arial" w:cs="Arial"/>
          </w:rPr>
          <w:t>https://therapiesonthames.co.uk/blog/cost-of-falls-to-nhs-and-social-care/</w:t>
        </w:r>
      </w:hyperlink>
      <w:r w:rsidRPr="000144B0">
        <w:rPr>
          <w:rFonts w:ascii="Arial" w:eastAsia="Arial" w:hAnsi="Arial" w:cs="Arial"/>
          <w:highlight w:val="white"/>
        </w:rPr>
        <w:t xml:space="preserve"> [Accessed 28 Apr. 2026].</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Thomas, S., Mackintosh, S. and Halbert, J. (2010). Does the ‘Otago exercise programme’ reduce mortality and falls in older adults?: a systematic review and meta-analysis. </w:t>
      </w:r>
      <w:r w:rsidRPr="000144B0">
        <w:rPr>
          <w:rFonts w:ascii="Arial" w:eastAsia="Arial" w:hAnsi="Arial" w:cs="Arial"/>
          <w:i/>
          <w:iCs/>
          <w:highlight w:val="white"/>
        </w:rPr>
        <w:t>Age and Ageing</w:t>
      </w:r>
      <w:r w:rsidRPr="000144B0">
        <w:rPr>
          <w:rFonts w:ascii="Arial" w:eastAsia="Arial" w:hAnsi="Arial" w:cs="Arial"/>
          <w:highlight w:val="white"/>
        </w:rPr>
        <w:t>, [online] 39(6), pp.681–687. doi:</w:t>
      </w:r>
      <w:hyperlink r:id="rId44" w:history="1">
        <w:r w:rsidRPr="00C74DD5">
          <w:rPr>
            <w:rStyle w:val="Hyperlink"/>
            <w:rFonts w:ascii="Arial" w:eastAsia="Arial" w:hAnsi="Arial" w:cs="Arial"/>
          </w:rPr>
          <w:t>https://doi.org/10.1093/ageing/afq102</w:t>
        </w:r>
      </w:hyperlink>
      <w:r w:rsidRPr="000144B0">
        <w:rPr>
          <w:rFonts w:ascii="Arial" w:eastAsia="Arial" w:hAnsi="Arial" w:cs="Arial"/>
          <w:highlight w:val="white"/>
        </w:rPr>
        <w:t>.</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Tod, D., Booth, A. and Smith, B., 2022. Critical appraisal. </w:t>
      </w:r>
      <w:r w:rsidRPr="000144B0">
        <w:rPr>
          <w:rFonts w:ascii="Arial" w:eastAsia="Arial" w:hAnsi="Arial" w:cs="Arial"/>
          <w:i/>
          <w:iCs/>
          <w:highlight w:val="white"/>
        </w:rPr>
        <w:t>International Review of Sport and Exercise Psychology</w:t>
      </w:r>
      <w:r w:rsidRPr="000144B0">
        <w:rPr>
          <w:rFonts w:ascii="Arial" w:eastAsia="Arial" w:hAnsi="Arial" w:cs="Arial"/>
          <w:highlight w:val="white"/>
        </w:rPr>
        <w:t xml:space="preserve">, </w:t>
      </w:r>
      <w:r w:rsidRPr="000144B0">
        <w:rPr>
          <w:rFonts w:ascii="Arial" w:eastAsia="Arial" w:hAnsi="Arial" w:cs="Arial"/>
          <w:i/>
          <w:iCs/>
          <w:highlight w:val="white"/>
        </w:rPr>
        <w:t>15</w:t>
      </w:r>
      <w:r w:rsidRPr="000144B0">
        <w:rPr>
          <w:rFonts w:ascii="Arial" w:eastAsia="Arial" w:hAnsi="Arial" w:cs="Arial"/>
          <w:highlight w:val="white"/>
        </w:rPr>
        <w:t>(1), pp.52-72.</w:t>
      </w:r>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Uberoi, E. (2025). </w:t>
      </w:r>
      <w:r w:rsidRPr="00454396">
        <w:rPr>
          <w:rFonts w:ascii="Arial" w:eastAsia="Arial" w:hAnsi="Arial" w:cs="Arial"/>
          <w:i/>
          <w:iCs/>
          <w:highlight w:val="white"/>
          <w:lang w:val="en-IN"/>
        </w:rPr>
        <w:t>The implications of population ageing for social policy</w:t>
      </w:r>
      <w:r w:rsidRPr="00454396">
        <w:rPr>
          <w:rFonts w:ascii="Arial" w:eastAsia="Arial" w:hAnsi="Arial" w:cs="Arial"/>
          <w:highlight w:val="white"/>
          <w:lang w:val="en-IN"/>
        </w:rPr>
        <w:t>. [online] House of Commons Library. Available at: https://commonslibrary.parliament.uk/research-briefings/cbp-10338/ [Accessed 12 May 2026].</w:t>
      </w:r>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Vaishya, R. and Vaish, A. (2020). Falls in Older Adults Are Serious. </w:t>
      </w:r>
      <w:r w:rsidRPr="00454396">
        <w:rPr>
          <w:rFonts w:ascii="Arial" w:eastAsia="Arial" w:hAnsi="Arial" w:cs="Arial"/>
          <w:i/>
          <w:iCs/>
          <w:highlight w:val="white"/>
          <w:lang w:val="en-IN"/>
        </w:rPr>
        <w:t>Indian Journal of Orthopaedics</w:t>
      </w:r>
      <w:r w:rsidRPr="00454396">
        <w:rPr>
          <w:rFonts w:ascii="Arial" w:eastAsia="Arial" w:hAnsi="Arial" w:cs="Arial"/>
          <w:highlight w:val="white"/>
          <w:lang w:val="en-IN"/>
        </w:rPr>
        <w:t>, [online] 54(1), pp.69–74. doi:https://doi.org/10.1007/s43465-019-00037-x.</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van der Velde, N., Seppala, L.J., Herrero, A.C., Annweiler, C., Jónsdóttir, A.B., Blain, H., Dionyssiotis, Y., Duque, S., Frith, J., Francis, B.N., Grodzicki, T., Hay, A., Hernández-Sánchez, L.A., Jaatinen, R., Kadane, C.J., Kolsek, M., Kostka, T., McGarrigle, L., Perkisas, S. and Pertinatsch, C. (2025). Falls prevention in community-dwelling older adults and implementation of world falls guidelines: a call for action across Europe by the European Geriatric Medicine Society Special Interest Group on Falls and Fractures. </w:t>
      </w:r>
      <w:r w:rsidRPr="000144B0">
        <w:rPr>
          <w:rFonts w:ascii="Arial" w:eastAsia="Arial" w:hAnsi="Arial" w:cs="Arial"/>
          <w:i/>
          <w:iCs/>
          <w:highlight w:val="white"/>
        </w:rPr>
        <w:t>European Geriatric Medicine</w:t>
      </w:r>
      <w:r w:rsidRPr="000144B0">
        <w:rPr>
          <w:rFonts w:ascii="Arial" w:eastAsia="Arial" w:hAnsi="Arial" w:cs="Arial"/>
          <w:highlight w:val="white"/>
        </w:rPr>
        <w:t>, 12(15). doi:</w:t>
      </w:r>
      <w:hyperlink r:id="rId45" w:history="1">
        <w:r w:rsidRPr="00C74DD5">
          <w:rPr>
            <w:rStyle w:val="Hyperlink"/>
            <w:rFonts w:ascii="Arial" w:eastAsia="Arial" w:hAnsi="Arial" w:cs="Arial"/>
          </w:rPr>
          <w:t>https://doi.org/10.1007/s41999-025-01206-y</w:t>
        </w:r>
      </w:hyperlink>
      <w:r w:rsidRPr="000144B0">
        <w:rPr>
          <w:rFonts w:ascii="Arial" w:eastAsia="Arial" w:hAnsi="Arial" w:cs="Arial"/>
          <w:highlight w:val="white"/>
        </w:rPr>
        <w:t>.</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Vilpunaho, T., Kröger, H., Honkanen, R., Koivumaa-Honkanen, H., Sirola, J., Kuvaja-Köllner, V., Sund, R. and Rikkonen, T., 2019. Randomised controlled trial (RCT) study design for a large-scale municipal fall prevention exercise programme in community-living older women: study protocol for the Kuopio Fall Prevention Study (KFPS). </w:t>
      </w:r>
      <w:r w:rsidRPr="000144B0">
        <w:rPr>
          <w:rFonts w:ascii="Arial" w:eastAsia="Arial" w:hAnsi="Arial" w:cs="Arial"/>
          <w:i/>
          <w:iCs/>
          <w:highlight w:val="white"/>
        </w:rPr>
        <w:t>BMJ open</w:t>
      </w:r>
      <w:r w:rsidRPr="000144B0">
        <w:rPr>
          <w:rFonts w:ascii="Arial" w:eastAsia="Arial" w:hAnsi="Arial" w:cs="Arial"/>
          <w:highlight w:val="white"/>
        </w:rPr>
        <w:t xml:space="preserve">, </w:t>
      </w:r>
      <w:r w:rsidRPr="000144B0">
        <w:rPr>
          <w:rFonts w:ascii="Arial" w:eastAsia="Arial" w:hAnsi="Arial" w:cs="Arial"/>
          <w:i/>
          <w:iCs/>
          <w:highlight w:val="white"/>
        </w:rPr>
        <w:t>9</w:t>
      </w:r>
      <w:r w:rsidRPr="000144B0">
        <w:rPr>
          <w:rFonts w:ascii="Arial" w:eastAsia="Arial" w:hAnsi="Arial" w:cs="Arial"/>
          <w:highlight w:val="white"/>
        </w:rPr>
        <w:t>(6), p.e028716.</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Vincenzo, J.L., Hergott, C., Schrodt, L., Perera, S., Tripken, J., Shubert, T.E. and Brach, J.S. (2021a). Physical Therapists as Partners for Community Fall Risk Screenings and Referrals to Community Programs. </w:t>
      </w:r>
      <w:r w:rsidRPr="000144B0">
        <w:rPr>
          <w:rFonts w:ascii="Arial" w:eastAsia="Arial" w:hAnsi="Arial" w:cs="Arial"/>
          <w:i/>
          <w:iCs/>
          <w:highlight w:val="white"/>
        </w:rPr>
        <w:t>Frontiers in Public Health</w:t>
      </w:r>
      <w:r w:rsidRPr="000144B0">
        <w:rPr>
          <w:rFonts w:ascii="Arial" w:eastAsia="Arial" w:hAnsi="Arial" w:cs="Arial"/>
          <w:highlight w:val="white"/>
        </w:rPr>
        <w:t>, 9(12). doi:</w:t>
      </w:r>
      <w:hyperlink r:id="rId46" w:history="1">
        <w:r w:rsidRPr="00C74DD5">
          <w:rPr>
            <w:rStyle w:val="Hyperlink"/>
            <w:rFonts w:ascii="Arial" w:eastAsia="Arial" w:hAnsi="Arial" w:cs="Arial"/>
          </w:rPr>
          <w:t>https://doi.org/10.3389/fpubh.2021.672366</w:t>
        </w:r>
      </w:hyperlink>
      <w:r w:rsidRPr="000144B0">
        <w:rPr>
          <w:rFonts w:ascii="Arial" w:eastAsia="Arial" w:hAnsi="Arial" w:cs="Arial"/>
          <w:highlight w:val="white"/>
        </w:rPr>
        <w:t>.</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Vincenzo, J.L., Patton, S.K., Lefler, L.L., Falvey, J.R., McElfish, P.A., Curran, G. and Wei, J. (2021b). Older Adults’ Perceptions Regarding the Role of Physical Therapists in Fall Prevention. </w:t>
      </w:r>
      <w:r w:rsidRPr="000144B0">
        <w:rPr>
          <w:rFonts w:ascii="Arial" w:eastAsia="Arial" w:hAnsi="Arial" w:cs="Arial"/>
          <w:i/>
          <w:iCs/>
          <w:highlight w:val="white"/>
        </w:rPr>
        <w:t>Journal of Geriatric Physical Therapy</w:t>
      </w:r>
      <w:r w:rsidRPr="000144B0">
        <w:rPr>
          <w:rFonts w:ascii="Arial" w:eastAsia="Arial" w:hAnsi="Arial" w:cs="Arial"/>
          <w:highlight w:val="white"/>
        </w:rPr>
        <w:t xml:space="preserve">, 45(3). </w:t>
      </w:r>
      <w:r w:rsidRPr="000144B0">
        <w:rPr>
          <w:rFonts w:ascii="Arial" w:eastAsia="Arial" w:hAnsi="Arial" w:cs="Arial"/>
          <w:highlight w:val="white"/>
        </w:rPr>
        <w:lastRenderedPageBreak/>
        <w:t>doi:</w:t>
      </w:r>
      <w:hyperlink r:id="rId47" w:history="1">
        <w:r w:rsidRPr="00C74DD5">
          <w:rPr>
            <w:rStyle w:val="Hyperlink"/>
            <w:rFonts w:ascii="Arial" w:eastAsia="Arial" w:hAnsi="Arial" w:cs="Arial"/>
          </w:rPr>
          <w:t>https://doi.org/10.1519/jpt.0000000000000304</w:t>
        </w:r>
      </w:hyperlink>
      <w:r w:rsidRPr="000144B0">
        <w:rPr>
          <w:rFonts w:ascii="Arial" w:eastAsia="Arial" w:hAnsi="Arial" w:cs="Arial"/>
          <w:highlight w:val="white"/>
        </w:rPr>
        <w:t>.</w:t>
      </w:r>
    </w:p>
    <w:p w:rsidR="00B87B48" w:rsidRDefault="00B87B48" w:rsidP="00B87B48">
      <w:pPr>
        <w:spacing w:before="240" w:line="360" w:lineRule="auto"/>
        <w:jc w:val="both"/>
        <w:rPr>
          <w:rFonts w:ascii="Arial" w:eastAsia="Arial" w:hAnsi="Arial" w:cs="Arial"/>
          <w:highlight w:val="white"/>
          <w:lang w:val="en-IN"/>
        </w:rPr>
      </w:pPr>
      <w:r w:rsidRPr="00B87B48">
        <w:rPr>
          <w:rFonts w:ascii="Arial" w:eastAsia="Arial" w:hAnsi="Arial" w:cs="Arial"/>
          <w:highlight w:val="white"/>
          <w:lang w:val="en-IN"/>
        </w:rPr>
        <w:t xml:space="preserve">Weiss, M., Nair, L.B., Hoorani, B.H., Gibbert, M. and Hoegl, M. (2023). Transparency of reporting practices in quantitative field studies: The transparency sweet spot for article citations. </w:t>
      </w:r>
      <w:r w:rsidRPr="00B87B48">
        <w:rPr>
          <w:rFonts w:ascii="Arial" w:eastAsia="Arial" w:hAnsi="Arial" w:cs="Arial"/>
          <w:i/>
          <w:iCs/>
          <w:highlight w:val="white"/>
          <w:lang w:val="en-IN"/>
        </w:rPr>
        <w:t>Journal of Informetrics</w:t>
      </w:r>
      <w:r w:rsidRPr="00B87B48">
        <w:rPr>
          <w:rFonts w:ascii="Arial" w:eastAsia="Arial" w:hAnsi="Arial" w:cs="Arial"/>
          <w:highlight w:val="white"/>
          <w:lang w:val="en-IN"/>
        </w:rPr>
        <w:t>, [online] 17(2), p.101396. doi:https://doi.org/10.1016/j.joi.2023.101396.</w:t>
      </w:r>
    </w:p>
    <w:p w:rsidR="00B87B48" w:rsidRPr="00D71615" w:rsidRDefault="00B87B48" w:rsidP="00D71615">
      <w:pPr>
        <w:spacing w:before="240" w:line="360" w:lineRule="auto"/>
        <w:jc w:val="both"/>
        <w:rPr>
          <w:rFonts w:ascii="Arial" w:eastAsia="Arial" w:hAnsi="Arial" w:cs="Arial"/>
          <w:highlight w:val="white"/>
          <w:lang w:val="en-IN"/>
        </w:rPr>
      </w:pPr>
      <w:r w:rsidRPr="00D71615">
        <w:rPr>
          <w:rFonts w:ascii="Arial" w:eastAsia="Arial" w:hAnsi="Arial" w:cs="Arial"/>
          <w:highlight w:val="white"/>
          <w:lang w:val="en-IN"/>
        </w:rPr>
        <w:t xml:space="preserve">Worum, H., Lillekroken, D., Roaldsen, K.S., Ahlsen, B. and Bergland, A. (2020). Physiotherapists’ perceptions of challenges facing evidence-based practice and the importance of environmental empowerment in fall prevention in the municipality – a qualitative study. </w:t>
      </w:r>
      <w:r w:rsidRPr="00D71615">
        <w:rPr>
          <w:rFonts w:ascii="Arial" w:eastAsia="Arial" w:hAnsi="Arial" w:cs="Arial"/>
          <w:i/>
          <w:iCs/>
          <w:highlight w:val="white"/>
          <w:lang w:val="en-IN"/>
        </w:rPr>
        <w:t>BMC Geriatrics</w:t>
      </w:r>
      <w:r w:rsidRPr="00D71615">
        <w:rPr>
          <w:rFonts w:ascii="Arial" w:eastAsia="Arial" w:hAnsi="Arial" w:cs="Arial"/>
          <w:highlight w:val="white"/>
          <w:lang w:val="en-IN"/>
        </w:rPr>
        <w:t>, 20(1). doi:https://doi.org/10.1186/s12877-020-01846-8.</w:t>
      </w:r>
    </w:p>
    <w:p w:rsidR="00B87B48" w:rsidRPr="000144B0"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Yang, Y., Wang, K., Liu, H., Qu, J., Wang, Y., Chen, P., Zhang, T. and Luo, J. (2022). The impact of Otago exercise programme on the prevention of falls in older adult: A systematic review. </w:t>
      </w:r>
      <w:r w:rsidRPr="000144B0">
        <w:rPr>
          <w:rFonts w:ascii="Arial" w:eastAsia="Arial" w:hAnsi="Arial" w:cs="Arial"/>
          <w:i/>
          <w:iCs/>
          <w:highlight w:val="white"/>
        </w:rPr>
        <w:t>Frontiers in Public Health</w:t>
      </w:r>
      <w:r w:rsidRPr="000144B0">
        <w:rPr>
          <w:rFonts w:ascii="Arial" w:eastAsia="Arial" w:hAnsi="Arial" w:cs="Arial"/>
          <w:highlight w:val="white"/>
        </w:rPr>
        <w:t>, 10(1), p.953593. doi:</w:t>
      </w:r>
      <w:hyperlink r:id="rId48" w:history="1">
        <w:r w:rsidRPr="00C74DD5">
          <w:rPr>
            <w:rStyle w:val="Hyperlink"/>
            <w:rFonts w:ascii="Arial" w:eastAsia="Arial" w:hAnsi="Arial" w:cs="Arial"/>
          </w:rPr>
          <w:t>https://doi.org/10.3389/fpubh.2022.953593</w:t>
        </w:r>
      </w:hyperlink>
      <w:r w:rsidRPr="000144B0">
        <w:rPr>
          <w:rFonts w:ascii="Arial" w:eastAsia="Arial" w:hAnsi="Arial" w:cs="Arial"/>
          <w:highlight w:val="white"/>
        </w:rPr>
        <w:t>.</w:t>
      </w:r>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Yazdi-Feyzabadi, V., Sabermahani, M., Borhaninejad, V. and Iranmanesh, M. (2025). Breaking barriers: challenges faced by the older adults in accessing primary healthcare in a developing country. </w:t>
      </w:r>
      <w:r w:rsidRPr="00454396">
        <w:rPr>
          <w:rFonts w:ascii="Arial" w:eastAsia="Arial" w:hAnsi="Arial" w:cs="Arial"/>
          <w:i/>
          <w:iCs/>
          <w:highlight w:val="white"/>
          <w:lang w:val="en-IN"/>
        </w:rPr>
        <w:t>BMC Geriatrics</w:t>
      </w:r>
      <w:r w:rsidRPr="00454396">
        <w:rPr>
          <w:rFonts w:ascii="Arial" w:eastAsia="Arial" w:hAnsi="Arial" w:cs="Arial"/>
          <w:highlight w:val="white"/>
          <w:lang w:val="en-IN"/>
        </w:rPr>
        <w:t>, [online] 25(1). doi:https://doi.org/10.1186/s12877-025-06712-z.</w:t>
      </w:r>
    </w:p>
    <w:p w:rsidR="00B87B48" w:rsidRDefault="00B87B48" w:rsidP="00A01A3E">
      <w:pPr>
        <w:spacing w:before="240" w:line="360" w:lineRule="auto"/>
        <w:jc w:val="both"/>
        <w:rPr>
          <w:rFonts w:ascii="Arial" w:eastAsia="Arial" w:hAnsi="Arial" w:cs="Arial"/>
          <w:highlight w:val="white"/>
        </w:rPr>
      </w:pPr>
      <w:r w:rsidRPr="000144B0">
        <w:rPr>
          <w:rFonts w:ascii="Arial" w:eastAsia="Arial" w:hAnsi="Arial" w:cs="Arial"/>
          <w:highlight w:val="white"/>
        </w:rPr>
        <w:t xml:space="preserve">Yu, H., Zhong, J., Li, M. and Chen, S. (2025). Effects of exercise intervention on falls and balance function in older adults: a systematic review and meta-analysis. </w:t>
      </w:r>
      <w:r w:rsidRPr="000144B0">
        <w:rPr>
          <w:rFonts w:ascii="Arial" w:eastAsia="Arial" w:hAnsi="Arial" w:cs="Arial"/>
          <w:i/>
          <w:iCs/>
          <w:highlight w:val="white"/>
        </w:rPr>
        <w:t>PeerJ</w:t>
      </w:r>
      <w:r w:rsidRPr="000144B0">
        <w:rPr>
          <w:rFonts w:ascii="Arial" w:eastAsia="Arial" w:hAnsi="Arial" w:cs="Arial"/>
          <w:highlight w:val="white"/>
        </w:rPr>
        <w:t>, [online] 13(15), pp.e20190–e20190. doi:</w:t>
      </w:r>
      <w:hyperlink r:id="rId49" w:history="1">
        <w:r w:rsidRPr="00C74DD5">
          <w:rPr>
            <w:rStyle w:val="Hyperlink"/>
            <w:rFonts w:ascii="Arial" w:eastAsia="Arial" w:hAnsi="Arial" w:cs="Arial"/>
          </w:rPr>
          <w:t>https://doi.org/10.7717/peerj.20190</w:t>
        </w:r>
      </w:hyperlink>
      <w:r w:rsidRPr="000144B0">
        <w:rPr>
          <w:rFonts w:ascii="Arial" w:eastAsia="Arial" w:hAnsi="Arial" w:cs="Arial"/>
          <w:highlight w:val="white"/>
        </w:rPr>
        <w:t>.</w:t>
      </w:r>
    </w:p>
    <w:p w:rsidR="00B87B48" w:rsidRPr="00454396" w:rsidRDefault="00B87B48" w:rsidP="00454396">
      <w:pPr>
        <w:spacing w:before="240" w:line="360" w:lineRule="auto"/>
        <w:jc w:val="both"/>
        <w:rPr>
          <w:rFonts w:ascii="Arial" w:eastAsia="Arial" w:hAnsi="Arial" w:cs="Arial"/>
          <w:highlight w:val="white"/>
          <w:lang w:val="en-IN"/>
        </w:rPr>
      </w:pPr>
      <w:r w:rsidRPr="00454396">
        <w:rPr>
          <w:rFonts w:ascii="Arial" w:eastAsia="Arial" w:hAnsi="Arial" w:cs="Arial"/>
          <w:highlight w:val="white"/>
          <w:lang w:val="en-IN"/>
        </w:rPr>
        <w:t xml:space="preserve">Zarina Naz, Suraj Kumar Aruwani, Arsalan Rasool, Joetika Devi, Ayesha Khalid and Diyab Ahmed Maqsood (2025). Effectiveness of Home-Based Physical Therapy in Enhancing Mobility Among Elderly Living Alone in Urban Communities. </w:t>
      </w:r>
      <w:r w:rsidRPr="00454396">
        <w:rPr>
          <w:rFonts w:ascii="Arial" w:eastAsia="Arial" w:hAnsi="Arial" w:cs="Arial"/>
          <w:i/>
          <w:iCs/>
          <w:highlight w:val="white"/>
          <w:lang w:val="en-IN"/>
        </w:rPr>
        <w:t>Journal of Health, Wellness and Community Research</w:t>
      </w:r>
      <w:r w:rsidRPr="00454396">
        <w:rPr>
          <w:rFonts w:ascii="Arial" w:eastAsia="Arial" w:hAnsi="Arial" w:cs="Arial"/>
          <w:highlight w:val="white"/>
          <w:lang w:val="en-IN"/>
        </w:rPr>
        <w:t>, 12(15), p.e1054. doi:https://doi.org/10.61919/pck5gb19.</w:t>
      </w:r>
    </w:p>
    <w:p w:rsidR="00B87B48" w:rsidRPr="00B87B48" w:rsidRDefault="00B87B48" w:rsidP="00B87B48">
      <w:pPr>
        <w:spacing w:before="240" w:line="360" w:lineRule="auto"/>
        <w:jc w:val="both"/>
        <w:rPr>
          <w:rFonts w:ascii="Arial" w:eastAsia="Arial" w:hAnsi="Arial" w:cs="Arial"/>
          <w:highlight w:val="white"/>
          <w:lang w:val="en-IN"/>
        </w:rPr>
      </w:pPr>
    </w:p>
    <w:p w:rsidR="00454396" w:rsidRDefault="00454396" w:rsidP="00A01A3E">
      <w:pPr>
        <w:spacing w:before="240" w:line="360" w:lineRule="auto"/>
        <w:jc w:val="both"/>
        <w:rPr>
          <w:rFonts w:ascii="Arial" w:eastAsia="Arial" w:hAnsi="Arial" w:cs="Arial"/>
          <w:highlight w:val="white"/>
        </w:rPr>
      </w:pPr>
    </w:p>
    <w:p w:rsidR="00D71615" w:rsidRDefault="00D71615" w:rsidP="00A01A3E">
      <w:pPr>
        <w:spacing w:before="240" w:line="360" w:lineRule="auto"/>
        <w:jc w:val="both"/>
        <w:rPr>
          <w:rFonts w:ascii="Arial" w:eastAsia="Arial" w:hAnsi="Arial" w:cs="Arial"/>
          <w:highlight w:val="white"/>
        </w:rPr>
      </w:pPr>
    </w:p>
    <w:p w:rsidR="00AD6A32" w:rsidRPr="000144B0" w:rsidRDefault="00AD6A32" w:rsidP="00A01A3E">
      <w:pPr>
        <w:spacing w:before="240" w:line="360" w:lineRule="auto"/>
        <w:jc w:val="both"/>
        <w:rPr>
          <w:rFonts w:ascii="Arial" w:eastAsia="Arial" w:hAnsi="Arial" w:cs="Arial"/>
          <w:highlight w:val="white"/>
        </w:rPr>
      </w:pPr>
    </w:p>
    <w:p w:rsidR="0031543C" w:rsidRPr="000144B0" w:rsidRDefault="0031543C" w:rsidP="00A01A3E">
      <w:pPr>
        <w:spacing w:before="240" w:line="360" w:lineRule="auto"/>
        <w:jc w:val="both"/>
        <w:rPr>
          <w:rFonts w:ascii="Arial" w:eastAsia="Arial" w:hAnsi="Arial" w:cs="Arial"/>
          <w:highlight w:val="white"/>
        </w:rPr>
      </w:pPr>
    </w:p>
    <w:p w:rsidR="0031543C" w:rsidRPr="000144B0" w:rsidRDefault="0031543C" w:rsidP="00861D25">
      <w:pPr>
        <w:spacing w:before="240" w:line="360" w:lineRule="auto"/>
        <w:jc w:val="both"/>
        <w:rPr>
          <w:rFonts w:cs="Arial"/>
        </w:rPr>
      </w:pPr>
      <w:bookmarkStart w:id="156" w:name="_heading=h.3el1b3hxcuh9" w:colFirst="0" w:colLast="0"/>
      <w:bookmarkEnd w:id="156"/>
      <w:r w:rsidRPr="000144B0">
        <w:rPr>
          <w:rFonts w:ascii="Arial" w:hAnsi="Arial" w:cs="Arial"/>
        </w:rPr>
        <w:br w:type="page"/>
      </w:r>
      <w:bookmarkStart w:id="157" w:name="_Toc228352810"/>
      <w:r w:rsidRPr="000144B0">
        <w:rPr>
          <w:rFonts w:cs="Arial"/>
        </w:rPr>
        <w:lastRenderedPageBreak/>
        <w:t>Appendices</w:t>
      </w:r>
      <w:bookmarkEnd w:id="157"/>
    </w:p>
    <w:p w:rsidR="0031543C" w:rsidRPr="000144B0" w:rsidRDefault="0031543C" w:rsidP="00774AB1">
      <w:pPr>
        <w:pStyle w:val="Heading2"/>
        <w:rPr>
          <w:rFonts w:cs="Arial"/>
        </w:rPr>
      </w:pPr>
      <w:bookmarkStart w:id="158" w:name="_heading=h.pban8jsdrel0" w:colFirst="0" w:colLast="0"/>
      <w:bookmarkStart w:id="159" w:name="_Toc228352811"/>
      <w:bookmarkEnd w:id="158"/>
      <w:r w:rsidRPr="000144B0">
        <w:rPr>
          <w:rFonts w:cs="Arial"/>
        </w:rPr>
        <w:t>Appendix 1: CASP Appraisal Tool</w:t>
      </w:r>
      <w:bookmarkEnd w:id="159"/>
    </w:p>
    <w:tbl>
      <w:tblPr>
        <w:tblW w:w="10207" w:type="dxa"/>
        <w:tblInd w:w="-715" w:type="dxa"/>
        <w:tblBorders>
          <w:top w:val="nil"/>
          <w:left w:val="nil"/>
          <w:bottom w:val="nil"/>
          <w:right w:val="nil"/>
          <w:insideH w:val="nil"/>
          <w:insideV w:val="nil"/>
        </w:tblBorders>
        <w:tblLayout w:type="fixed"/>
        <w:tblLook w:val="0600"/>
      </w:tblPr>
      <w:tblGrid>
        <w:gridCol w:w="1276"/>
        <w:gridCol w:w="837"/>
        <w:gridCol w:w="1005"/>
        <w:gridCol w:w="1139"/>
        <w:gridCol w:w="967"/>
        <w:gridCol w:w="814"/>
        <w:gridCol w:w="891"/>
        <w:gridCol w:w="726"/>
        <w:gridCol w:w="622"/>
        <w:gridCol w:w="796"/>
        <w:gridCol w:w="1134"/>
      </w:tblGrid>
      <w:tr w:rsidR="0031543C" w:rsidRPr="000144B0" w:rsidTr="00E44A1F">
        <w:trPr>
          <w:trHeight w:val="1980"/>
        </w:trPr>
        <w:tc>
          <w:tcPr>
            <w:tcW w:w="1276"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b/>
                <w:bCs/>
              </w:rPr>
            </w:pPr>
            <w:r w:rsidRPr="000144B0">
              <w:rPr>
                <w:rFonts w:ascii="Arial" w:eastAsia="Arial" w:hAnsi="Arial" w:cs="Arial"/>
                <w:b/>
                <w:bCs/>
              </w:rPr>
              <w:t>Study (Author, Year)</w:t>
            </w:r>
          </w:p>
        </w:tc>
        <w:tc>
          <w:tcPr>
            <w:tcW w:w="837"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b/>
                <w:bCs/>
              </w:rPr>
            </w:pPr>
            <w:r w:rsidRPr="000144B0">
              <w:rPr>
                <w:rFonts w:ascii="Arial" w:eastAsia="Arial" w:hAnsi="Arial" w:cs="Arial"/>
                <w:b/>
                <w:bCs/>
              </w:rPr>
              <w:t>Clear Aim</w:t>
            </w:r>
          </w:p>
        </w:tc>
        <w:tc>
          <w:tcPr>
            <w:tcW w:w="100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b/>
                <w:bCs/>
              </w:rPr>
            </w:pPr>
            <w:r w:rsidRPr="000144B0">
              <w:rPr>
                <w:rFonts w:ascii="Arial" w:eastAsia="Arial" w:hAnsi="Arial" w:cs="Arial"/>
                <w:b/>
                <w:bCs/>
              </w:rPr>
              <w:t>Appropriate Methodology</w:t>
            </w:r>
          </w:p>
        </w:tc>
        <w:tc>
          <w:tcPr>
            <w:tcW w:w="1139"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b/>
                <w:bCs/>
              </w:rPr>
            </w:pPr>
            <w:r w:rsidRPr="000144B0">
              <w:rPr>
                <w:rFonts w:ascii="Arial" w:eastAsia="Arial" w:hAnsi="Arial" w:cs="Arial"/>
                <w:b/>
                <w:bCs/>
              </w:rPr>
              <w:t>Randomisation</w:t>
            </w:r>
          </w:p>
        </w:tc>
        <w:tc>
          <w:tcPr>
            <w:tcW w:w="967"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b/>
                <w:bCs/>
              </w:rPr>
            </w:pPr>
            <w:r w:rsidRPr="000144B0">
              <w:rPr>
                <w:rFonts w:ascii="Arial" w:eastAsia="Arial" w:hAnsi="Arial" w:cs="Arial"/>
                <w:b/>
                <w:bCs/>
              </w:rPr>
              <w:t>Recruitment Appropriate</w:t>
            </w:r>
          </w:p>
        </w:tc>
        <w:tc>
          <w:tcPr>
            <w:tcW w:w="814"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b/>
                <w:bCs/>
              </w:rPr>
            </w:pPr>
            <w:r w:rsidRPr="000144B0">
              <w:rPr>
                <w:rFonts w:ascii="Arial" w:eastAsia="Arial" w:hAnsi="Arial" w:cs="Arial"/>
                <w:b/>
                <w:bCs/>
              </w:rPr>
              <w:t>Data Collection</w:t>
            </w:r>
          </w:p>
        </w:tc>
        <w:tc>
          <w:tcPr>
            <w:tcW w:w="891"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b/>
                <w:bCs/>
              </w:rPr>
            </w:pPr>
            <w:r w:rsidRPr="000144B0">
              <w:rPr>
                <w:rFonts w:ascii="Arial" w:eastAsia="Arial" w:hAnsi="Arial" w:cs="Arial"/>
                <w:b/>
                <w:bCs/>
              </w:rPr>
              <w:t>Bias Considered</w:t>
            </w:r>
          </w:p>
        </w:tc>
        <w:tc>
          <w:tcPr>
            <w:tcW w:w="726"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b/>
                <w:bCs/>
              </w:rPr>
            </w:pPr>
            <w:r w:rsidRPr="000144B0">
              <w:rPr>
                <w:rFonts w:ascii="Arial" w:eastAsia="Arial" w:hAnsi="Arial" w:cs="Arial"/>
                <w:b/>
                <w:bCs/>
              </w:rPr>
              <w:t>Ethical Issues</w:t>
            </w:r>
          </w:p>
        </w:tc>
        <w:tc>
          <w:tcPr>
            <w:tcW w:w="622"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b/>
                <w:bCs/>
              </w:rPr>
            </w:pPr>
            <w:r w:rsidRPr="000144B0">
              <w:rPr>
                <w:rFonts w:ascii="Arial" w:eastAsia="Arial" w:hAnsi="Arial" w:cs="Arial"/>
                <w:b/>
                <w:bCs/>
              </w:rPr>
              <w:t>Analysis Rigorous</w:t>
            </w:r>
          </w:p>
        </w:tc>
        <w:tc>
          <w:tcPr>
            <w:tcW w:w="796"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b/>
                <w:bCs/>
              </w:rPr>
            </w:pPr>
            <w:r w:rsidRPr="000144B0">
              <w:rPr>
                <w:rFonts w:ascii="Arial" w:eastAsia="Arial" w:hAnsi="Arial" w:cs="Arial"/>
                <w:b/>
                <w:bCs/>
              </w:rPr>
              <w:t>Clear Findings</w:t>
            </w:r>
          </w:p>
        </w:tc>
        <w:tc>
          <w:tcPr>
            <w:tcW w:w="1134"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b/>
                <w:bCs/>
              </w:rPr>
            </w:pPr>
            <w:r w:rsidRPr="000144B0">
              <w:rPr>
                <w:rFonts w:ascii="Arial" w:eastAsia="Arial" w:hAnsi="Arial" w:cs="Arial"/>
                <w:b/>
                <w:bCs/>
              </w:rPr>
              <w:t>Valuable Research</w:t>
            </w:r>
          </w:p>
        </w:tc>
      </w:tr>
      <w:tr w:rsidR="0031543C" w:rsidRPr="000144B0" w:rsidTr="00E44A1F">
        <w:trPr>
          <w:trHeight w:val="885"/>
        </w:trPr>
        <w:tc>
          <w:tcPr>
            <w:tcW w:w="1276"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Sherrington et al., 2008</w:t>
            </w:r>
          </w:p>
        </w:tc>
        <w:tc>
          <w:tcPr>
            <w:tcW w:w="837"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005"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139"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No</w:t>
            </w:r>
          </w:p>
        </w:tc>
        <w:tc>
          <w:tcPr>
            <w:tcW w:w="967"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814"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891"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726"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622"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796"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134"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r>
      <w:tr w:rsidR="0031543C" w:rsidRPr="000144B0" w:rsidTr="00E44A1F">
        <w:trPr>
          <w:trHeight w:val="885"/>
        </w:trPr>
        <w:tc>
          <w:tcPr>
            <w:tcW w:w="1276"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Bjerk et al., 2017</w:t>
            </w:r>
          </w:p>
        </w:tc>
        <w:tc>
          <w:tcPr>
            <w:tcW w:w="837"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005"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139"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967"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814"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891"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726"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622"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796"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134"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r>
      <w:tr w:rsidR="0031543C" w:rsidRPr="000144B0" w:rsidTr="00E44A1F">
        <w:trPr>
          <w:trHeight w:val="885"/>
        </w:trPr>
        <w:tc>
          <w:tcPr>
            <w:tcW w:w="1276"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Baez et al., 2017</w:t>
            </w:r>
          </w:p>
        </w:tc>
        <w:tc>
          <w:tcPr>
            <w:tcW w:w="837"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005"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139"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967"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814"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891"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726"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622"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796"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134"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r>
      <w:tr w:rsidR="0031543C" w:rsidRPr="000144B0" w:rsidTr="00E44A1F">
        <w:trPr>
          <w:trHeight w:val="885"/>
        </w:trPr>
        <w:tc>
          <w:tcPr>
            <w:tcW w:w="1276"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Nazarko, 2006</w:t>
            </w:r>
          </w:p>
        </w:tc>
        <w:tc>
          <w:tcPr>
            <w:tcW w:w="837"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005"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No</w:t>
            </w:r>
          </w:p>
        </w:tc>
        <w:tc>
          <w:tcPr>
            <w:tcW w:w="1139"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No</w:t>
            </w:r>
          </w:p>
        </w:tc>
        <w:tc>
          <w:tcPr>
            <w:tcW w:w="967"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814"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891"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No</w:t>
            </w:r>
          </w:p>
        </w:tc>
        <w:tc>
          <w:tcPr>
            <w:tcW w:w="726"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622"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No</w:t>
            </w:r>
          </w:p>
        </w:tc>
        <w:tc>
          <w:tcPr>
            <w:tcW w:w="796"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134"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r>
      <w:tr w:rsidR="0031543C" w:rsidRPr="000144B0" w:rsidTr="00E44A1F">
        <w:trPr>
          <w:trHeight w:val="885"/>
        </w:trPr>
        <w:tc>
          <w:tcPr>
            <w:tcW w:w="1276"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Iliffe et al., 2014</w:t>
            </w:r>
          </w:p>
        </w:tc>
        <w:tc>
          <w:tcPr>
            <w:tcW w:w="837"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005"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139"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967"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814"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891"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726"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622"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796"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134"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r>
      <w:tr w:rsidR="0031543C" w:rsidRPr="000144B0" w:rsidTr="00E44A1F">
        <w:trPr>
          <w:trHeight w:val="885"/>
        </w:trPr>
        <w:tc>
          <w:tcPr>
            <w:tcW w:w="1276"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Adams et al., 2018</w:t>
            </w:r>
          </w:p>
        </w:tc>
        <w:tc>
          <w:tcPr>
            <w:tcW w:w="837"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005"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139"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967"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814"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891"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726"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622"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796"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134"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r>
      <w:tr w:rsidR="0031543C" w:rsidRPr="000144B0" w:rsidTr="00E44A1F">
        <w:trPr>
          <w:trHeight w:val="1245"/>
        </w:trPr>
        <w:tc>
          <w:tcPr>
            <w:tcW w:w="1276"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Chivers Seymour et al., 2019</w:t>
            </w:r>
          </w:p>
        </w:tc>
        <w:tc>
          <w:tcPr>
            <w:tcW w:w="837"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005"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139"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967"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814"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891"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726"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622"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796"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134"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r>
      <w:tr w:rsidR="0031543C" w:rsidRPr="000144B0" w:rsidTr="00E44A1F">
        <w:trPr>
          <w:trHeight w:val="885"/>
        </w:trPr>
        <w:tc>
          <w:tcPr>
            <w:tcW w:w="1276"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Ashburn et al., 2019</w:t>
            </w:r>
          </w:p>
        </w:tc>
        <w:tc>
          <w:tcPr>
            <w:tcW w:w="837"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005"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139"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967"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814"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891"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726"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622"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796"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134"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r>
      <w:tr w:rsidR="0031543C" w:rsidRPr="000144B0" w:rsidTr="00E44A1F">
        <w:trPr>
          <w:trHeight w:val="885"/>
        </w:trPr>
        <w:tc>
          <w:tcPr>
            <w:tcW w:w="1276"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Bajwa et al., 2019</w:t>
            </w:r>
          </w:p>
        </w:tc>
        <w:tc>
          <w:tcPr>
            <w:tcW w:w="837"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005"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139"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967"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814"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891"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726"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622"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796"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c>
          <w:tcPr>
            <w:tcW w:w="1134"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r w:rsidRPr="000144B0">
              <w:rPr>
                <w:rFonts w:ascii="Arial" w:eastAsia="Arial" w:hAnsi="Arial" w:cs="Arial"/>
              </w:rPr>
              <w:t>Yes</w:t>
            </w:r>
          </w:p>
        </w:tc>
      </w:tr>
    </w:tbl>
    <w:p w:rsidR="0031543C" w:rsidRPr="000144B0" w:rsidRDefault="0031543C" w:rsidP="00774AB1">
      <w:pPr>
        <w:spacing w:line="360" w:lineRule="auto"/>
        <w:jc w:val="both"/>
        <w:rPr>
          <w:rFonts w:ascii="Arial" w:eastAsia="Arial" w:hAnsi="Arial" w:cs="Arial"/>
          <w:b/>
          <w:bCs/>
        </w:rPr>
      </w:pPr>
    </w:p>
    <w:p w:rsidR="0031543C" w:rsidRPr="000144B0" w:rsidRDefault="0031543C" w:rsidP="00774AB1">
      <w:pPr>
        <w:spacing w:line="360" w:lineRule="auto"/>
        <w:jc w:val="both"/>
        <w:rPr>
          <w:rFonts w:ascii="Arial" w:eastAsia="Arial" w:hAnsi="Arial" w:cs="Arial"/>
          <w:b/>
          <w:bCs/>
        </w:rPr>
      </w:pPr>
      <w:r w:rsidRPr="000144B0">
        <w:rPr>
          <w:rFonts w:ascii="Arial" w:hAnsi="Arial" w:cs="Arial"/>
        </w:rPr>
        <w:br w:type="page"/>
      </w:r>
    </w:p>
    <w:p w:rsidR="0031543C" w:rsidRPr="000144B0" w:rsidRDefault="0031543C" w:rsidP="00774AB1">
      <w:pPr>
        <w:pStyle w:val="Heading2"/>
        <w:rPr>
          <w:rFonts w:cs="Arial"/>
        </w:rPr>
      </w:pPr>
      <w:bookmarkStart w:id="160" w:name="_heading=h.25n8dylevw8t" w:colFirst="0" w:colLast="0"/>
      <w:bookmarkStart w:id="161" w:name="_Toc228352812"/>
      <w:bookmarkEnd w:id="160"/>
      <w:r w:rsidRPr="000144B0">
        <w:rPr>
          <w:rFonts w:cs="Arial"/>
        </w:rPr>
        <w:lastRenderedPageBreak/>
        <w:t>Appendix 2: SLR table with themes</w:t>
      </w:r>
      <w:bookmarkEnd w:id="161"/>
    </w:p>
    <w:tbl>
      <w:tblPr>
        <w:tblW w:w="8895" w:type="dxa"/>
        <w:tblBorders>
          <w:top w:val="nil"/>
          <w:left w:val="nil"/>
          <w:bottom w:val="nil"/>
          <w:right w:val="nil"/>
          <w:insideH w:val="nil"/>
          <w:insideV w:val="nil"/>
        </w:tblBorders>
        <w:tblLayout w:type="fixed"/>
        <w:tblLook w:val="0600"/>
      </w:tblPr>
      <w:tblGrid>
        <w:gridCol w:w="4335"/>
        <w:gridCol w:w="4560"/>
      </w:tblGrid>
      <w:tr w:rsidR="0031543C" w:rsidRPr="000144B0" w:rsidTr="00E44A1F">
        <w:trPr>
          <w:trHeight w:val="450"/>
        </w:trPr>
        <w:tc>
          <w:tcPr>
            <w:tcW w:w="433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b/>
                <w:bCs/>
              </w:rPr>
            </w:pPr>
            <w:r w:rsidRPr="000144B0">
              <w:rPr>
                <w:rFonts w:ascii="Arial" w:eastAsia="Arial" w:hAnsi="Arial" w:cs="Arial"/>
                <w:b/>
                <w:bCs/>
              </w:rPr>
              <w:t>Themes &amp; Sub-themes</w:t>
            </w:r>
          </w:p>
        </w:tc>
        <w:tc>
          <w:tcPr>
            <w:tcW w:w="456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b/>
                <w:bCs/>
              </w:rPr>
            </w:pPr>
            <w:r w:rsidRPr="000144B0">
              <w:rPr>
                <w:rFonts w:ascii="Arial" w:eastAsia="Arial" w:hAnsi="Arial" w:cs="Arial"/>
                <w:b/>
                <w:bCs/>
              </w:rPr>
              <w:t>Articles where it was extracted</w:t>
            </w:r>
          </w:p>
        </w:tc>
      </w:tr>
      <w:tr w:rsidR="0031543C" w:rsidRPr="000144B0" w:rsidTr="00E44A1F">
        <w:trPr>
          <w:trHeight w:val="720"/>
        </w:trPr>
        <w:tc>
          <w:tcPr>
            <w:tcW w:w="433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b/>
                <w:bCs/>
              </w:rPr>
            </w:pPr>
            <w:r w:rsidRPr="000144B0">
              <w:rPr>
                <w:rFonts w:ascii="Arial" w:eastAsia="Arial" w:hAnsi="Arial" w:cs="Arial"/>
                <w:b/>
                <w:bCs/>
              </w:rPr>
              <w:t>Theme 1: Exercise-Based Interventions and Fall Reduction</w:t>
            </w:r>
          </w:p>
        </w:tc>
        <w:tc>
          <w:tcPr>
            <w:tcW w:w="4560"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p>
        </w:tc>
      </w:tr>
      <w:tr w:rsidR="0031543C" w:rsidRPr="000144B0" w:rsidTr="00E44A1F">
        <w:trPr>
          <w:trHeight w:val="1005"/>
        </w:trPr>
        <w:tc>
          <w:tcPr>
            <w:tcW w:w="433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t>Sub-theme 1.1: Structured balance and strength training</w:t>
            </w:r>
          </w:p>
        </w:tc>
        <w:tc>
          <w:tcPr>
            <w:tcW w:w="4560"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t>Sherrington et al. (2008); Halvarsson et al. (2021); Kumar &amp;Danishta (2025); Rikkonen et al. (2023)</w:t>
            </w:r>
          </w:p>
        </w:tc>
      </w:tr>
      <w:tr w:rsidR="0031543C" w:rsidRPr="000144B0" w:rsidTr="00E44A1F">
        <w:trPr>
          <w:trHeight w:val="1005"/>
        </w:trPr>
        <w:tc>
          <w:tcPr>
            <w:tcW w:w="433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t>Sub-theme 1.2: Home-based exercise programmes</w:t>
            </w:r>
          </w:p>
        </w:tc>
        <w:tc>
          <w:tcPr>
            <w:tcW w:w="4560"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t>Dadgari et al. (2016); Thomas et al. (2010); Yang et al. (2022); Bjerk et al. (2017)</w:t>
            </w:r>
          </w:p>
        </w:tc>
      </w:tr>
      <w:tr w:rsidR="0031543C" w:rsidRPr="000144B0" w:rsidTr="00E44A1F">
        <w:trPr>
          <w:trHeight w:val="720"/>
        </w:trPr>
        <w:tc>
          <w:tcPr>
            <w:tcW w:w="433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t>Sub-theme 1.3: Tai Chi and mind-body exercise</w:t>
            </w:r>
          </w:p>
        </w:tc>
        <w:tc>
          <w:tcPr>
            <w:tcW w:w="4560"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t>Sherrington et al. (2008); Yu et al. (2025)</w:t>
            </w:r>
          </w:p>
        </w:tc>
      </w:tr>
      <w:tr w:rsidR="0031543C" w:rsidRPr="000144B0" w:rsidTr="00E44A1F">
        <w:trPr>
          <w:trHeight w:val="720"/>
        </w:trPr>
        <w:tc>
          <w:tcPr>
            <w:tcW w:w="433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t>Sub-theme 1.4: Duration, frequency and dose-response</w:t>
            </w:r>
          </w:p>
        </w:tc>
        <w:tc>
          <w:tcPr>
            <w:tcW w:w="4560"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t>Sherrington et al. (2008); Yu et al. (2025); Rikkonen et al. (2023)</w:t>
            </w:r>
          </w:p>
        </w:tc>
      </w:tr>
      <w:tr w:rsidR="0031543C" w:rsidRPr="000144B0" w:rsidTr="00E44A1F">
        <w:trPr>
          <w:trHeight w:val="1005"/>
        </w:trPr>
        <w:tc>
          <w:tcPr>
            <w:tcW w:w="433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b/>
                <w:bCs/>
              </w:rPr>
            </w:pPr>
            <w:r w:rsidRPr="000144B0">
              <w:rPr>
                <w:rFonts w:ascii="Arial" w:eastAsia="Arial" w:hAnsi="Arial" w:cs="Arial"/>
                <w:b/>
                <w:bCs/>
              </w:rPr>
              <w:t>Theme 2: Implementation and Transferability of Evidence-Based Programmes</w:t>
            </w:r>
          </w:p>
        </w:tc>
        <w:tc>
          <w:tcPr>
            <w:tcW w:w="4560"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p>
        </w:tc>
      </w:tr>
      <w:tr w:rsidR="0031543C" w:rsidRPr="000144B0" w:rsidTr="00E44A1F">
        <w:trPr>
          <w:trHeight w:val="720"/>
        </w:trPr>
        <w:tc>
          <w:tcPr>
            <w:tcW w:w="433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t>Sub-theme 2.1: Translation from research to clinical practice</w:t>
            </w:r>
          </w:p>
        </w:tc>
        <w:tc>
          <w:tcPr>
            <w:tcW w:w="4560"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t>Halvarsson et al. (2021); Gov (2018); Vilpunaho et al. (2019)</w:t>
            </w:r>
          </w:p>
        </w:tc>
      </w:tr>
      <w:tr w:rsidR="0031543C" w:rsidRPr="000144B0" w:rsidTr="00E44A1F">
        <w:trPr>
          <w:trHeight w:val="720"/>
        </w:trPr>
        <w:tc>
          <w:tcPr>
            <w:tcW w:w="433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t>Sub-theme 2.2: Barriers and facilitators to programme delivery</w:t>
            </w:r>
          </w:p>
        </w:tc>
        <w:tc>
          <w:tcPr>
            <w:tcW w:w="4560"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t>Halvarsson et al. (2021); Bjerk et al. (2017)</w:t>
            </w:r>
          </w:p>
        </w:tc>
      </w:tr>
      <w:tr w:rsidR="0031543C" w:rsidRPr="000144B0" w:rsidTr="00E44A1F">
        <w:trPr>
          <w:trHeight w:val="720"/>
        </w:trPr>
        <w:tc>
          <w:tcPr>
            <w:tcW w:w="433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t>Sub-theme 2.3: Digital and online delivery modalities</w:t>
            </w:r>
          </w:p>
        </w:tc>
        <w:tc>
          <w:tcPr>
            <w:tcW w:w="4560"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t>Baez et al. (2016)</w:t>
            </w:r>
          </w:p>
        </w:tc>
      </w:tr>
      <w:tr w:rsidR="0031543C" w:rsidRPr="000144B0" w:rsidTr="00E44A1F">
        <w:trPr>
          <w:trHeight w:val="1005"/>
        </w:trPr>
        <w:tc>
          <w:tcPr>
            <w:tcW w:w="433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b/>
                <w:bCs/>
              </w:rPr>
            </w:pPr>
            <w:r w:rsidRPr="000144B0">
              <w:rPr>
                <w:rFonts w:ascii="Arial" w:eastAsia="Arial" w:hAnsi="Arial" w:cs="Arial"/>
                <w:b/>
                <w:bCs/>
              </w:rPr>
              <w:t>Theme 3: Risk Perception, Psychological Factors and Falls Efficacy</w:t>
            </w:r>
          </w:p>
        </w:tc>
        <w:tc>
          <w:tcPr>
            <w:tcW w:w="4560"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p>
        </w:tc>
      </w:tr>
      <w:tr w:rsidR="0031543C" w:rsidRPr="000144B0" w:rsidTr="00E44A1F">
        <w:trPr>
          <w:trHeight w:val="720"/>
        </w:trPr>
        <w:tc>
          <w:tcPr>
            <w:tcW w:w="433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t>Sub-theme 3.1: Patient and carer perception of falls risk</w:t>
            </w:r>
          </w:p>
        </w:tc>
        <w:tc>
          <w:tcPr>
            <w:tcW w:w="4560"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t>Hasan et al. (2025)</w:t>
            </w:r>
          </w:p>
        </w:tc>
      </w:tr>
      <w:tr w:rsidR="0031543C" w:rsidRPr="000144B0" w:rsidTr="00E44A1F">
        <w:trPr>
          <w:trHeight w:val="720"/>
        </w:trPr>
        <w:tc>
          <w:tcPr>
            <w:tcW w:w="433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t>Sub-theme 3.2: Fear of falling and psychological wellbeing</w:t>
            </w:r>
          </w:p>
        </w:tc>
        <w:tc>
          <w:tcPr>
            <w:tcW w:w="4560"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t>Baez et al. (2016); Hasan et al. (2025)</w:t>
            </w:r>
          </w:p>
        </w:tc>
      </w:tr>
      <w:tr w:rsidR="0031543C" w:rsidRPr="000144B0" w:rsidTr="00E44A1F">
        <w:trPr>
          <w:trHeight w:val="720"/>
        </w:trPr>
        <w:tc>
          <w:tcPr>
            <w:tcW w:w="433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lastRenderedPageBreak/>
              <w:t>Sub-theme 3.3: Falls self-efficacy and confidence</w:t>
            </w:r>
          </w:p>
        </w:tc>
        <w:tc>
          <w:tcPr>
            <w:tcW w:w="4560"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t>Bjerk et al. (2017); Hasan et al. (2025)</w:t>
            </w:r>
          </w:p>
        </w:tc>
      </w:tr>
      <w:tr w:rsidR="0031543C" w:rsidRPr="000144B0" w:rsidTr="00E44A1F">
        <w:trPr>
          <w:trHeight w:val="1005"/>
        </w:trPr>
        <w:tc>
          <w:tcPr>
            <w:tcW w:w="433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b/>
                <w:bCs/>
              </w:rPr>
            </w:pPr>
            <w:r w:rsidRPr="000144B0">
              <w:rPr>
                <w:rFonts w:ascii="Arial" w:eastAsia="Arial" w:hAnsi="Arial" w:cs="Arial"/>
                <w:b/>
                <w:bCs/>
              </w:rPr>
              <w:t>Theme 4: Population-Specific Considerations and Health Outcomes</w:t>
            </w:r>
          </w:p>
        </w:tc>
        <w:tc>
          <w:tcPr>
            <w:tcW w:w="4560"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line="360" w:lineRule="auto"/>
              <w:jc w:val="both"/>
              <w:rPr>
                <w:rFonts w:ascii="Arial" w:eastAsia="Arial" w:hAnsi="Arial" w:cs="Arial"/>
              </w:rPr>
            </w:pPr>
          </w:p>
        </w:tc>
      </w:tr>
      <w:tr w:rsidR="0031543C" w:rsidRPr="000144B0" w:rsidTr="00E44A1F">
        <w:trPr>
          <w:trHeight w:val="720"/>
        </w:trPr>
        <w:tc>
          <w:tcPr>
            <w:tcW w:w="433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t>Sub-theme 4.1: Age, sex and frailty as moderating factors</w:t>
            </w:r>
          </w:p>
        </w:tc>
        <w:tc>
          <w:tcPr>
            <w:tcW w:w="4560"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t>Rikkonen et al. (2023); Vilpunaho et al. (2019); Ponti et al. (2017)</w:t>
            </w:r>
          </w:p>
        </w:tc>
      </w:tr>
      <w:tr w:rsidR="0031543C" w:rsidRPr="000144B0" w:rsidTr="00E44A1F">
        <w:trPr>
          <w:trHeight w:val="720"/>
        </w:trPr>
        <w:tc>
          <w:tcPr>
            <w:tcW w:w="433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t>Sub-theme 4.2: Social, physical and quality of life outcomes</w:t>
            </w:r>
          </w:p>
        </w:tc>
        <w:tc>
          <w:tcPr>
            <w:tcW w:w="4560"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t>Baez et al. (2016); Bjerk et al. (2017); Kumar &amp; Danishta (2025)</w:t>
            </w:r>
          </w:p>
        </w:tc>
      </w:tr>
      <w:tr w:rsidR="0031543C" w:rsidRPr="000144B0" w:rsidTr="00E44A1F">
        <w:trPr>
          <w:trHeight w:val="720"/>
        </w:trPr>
        <w:tc>
          <w:tcPr>
            <w:tcW w:w="433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t>Sub-theme 4.3: Mortality reduction and broader health benefits</w:t>
            </w:r>
          </w:p>
        </w:tc>
        <w:tc>
          <w:tcPr>
            <w:tcW w:w="4560" w:type="dxa"/>
            <w:tcBorders>
              <w:top w:val="nil"/>
              <w:left w:val="nil"/>
              <w:bottom w:val="single" w:sz="5" w:space="0" w:color="000000"/>
              <w:right w:val="single" w:sz="5" w:space="0" w:color="000000"/>
            </w:tcBorders>
            <w:tcMar>
              <w:top w:w="0" w:type="dxa"/>
              <w:left w:w="100" w:type="dxa"/>
              <w:bottom w:w="0" w:type="dxa"/>
              <w:right w:w="100" w:type="dxa"/>
            </w:tcMar>
          </w:tcPr>
          <w:p w:rsidR="0031543C" w:rsidRPr="000144B0" w:rsidRDefault="0031543C" w:rsidP="00774AB1">
            <w:pPr>
              <w:spacing w:after="160" w:line="360" w:lineRule="auto"/>
              <w:jc w:val="both"/>
              <w:rPr>
                <w:rFonts w:ascii="Arial" w:eastAsia="Arial" w:hAnsi="Arial" w:cs="Arial"/>
              </w:rPr>
            </w:pPr>
            <w:r w:rsidRPr="000144B0">
              <w:rPr>
                <w:rFonts w:ascii="Arial" w:eastAsia="Arial" w:hAnsi="Arial" w:cs="Arial"/>
              </w:rPr>
              <w:t>Thomas et al. (2010); Yu et al. (2025); Yang et al. (2022)</w:t>
            </w:r>
          </w:p>
        </w:tc>
      </w:tr>
    </w:tbl>
    <w:p w:rsidR="0031543C" w:rsidRPr="000144B0" w:rsidRDefault="0031543C" w:rsidP="00774AB1">
      <w:pPr>
        <w:spacing w:line="360" w:lineRule="auto"/>
        <w:jc w:val="both"/>
        <w:rPr>
          <w:rFonts w:ascii="Arial" w:eastAsia="Arial" w:hAnsi="Arial" w:cs="Arial"/>
        </w:rPr>
      </w:pPr>
    </w:p>
    <w:p w:rsidR="0031543C" w:rsidRPr="000144B0" w:rsidRDefault="0031543C" w:rsidP="00774AB1">
      <w:pPr>
        <w:spacing w:line="360" w:lineRule="auto"/>
        <w:jc w:val="both"/>
        <w:rPr>
          <w:rFonts w:ascii="Arial" w:eastAsia="Arial" w:hAnsi="Arial" w:cs="Arial"/>
          <w:b/>
          <w:bCs/>
        </w:rPr>
      </w:pPr>
    </w:p>
    <w:p w:rsidR="00711BB8" w:rsidRPr="000144B0" w:rsidRDefault="00711BB8" w:rsidP="00774AB1">
      <w:pPr>
        <w:spacing w:line="360" w:lineRule="auto"/>
        <w:jc w:val="both"/>
        <w:rPr>
          <w:rFonts w:ascii="Arial" w:hAnsi="Arial" w:cs="Arial"/>
        </w:rPr>
      </w:pPr>
    </w:p>
    <w:p w:rsidR="00711BB8" w:rsidRPr="000144B0" w:rsidRDefault="00711BB8" w:rsidP="00774AB1">
      <w:pPr>
        <w:spacing w:line="360" w:lineRule="auto"/>
        <w:jc w:val="both"/>
        <w:rPr>
          <w:rFonts w:ascii="Arial" w:hAnsi="Arial" w:cs="Arial"/>
        </w:rPr>
      </w:pPr>
    </w:p>
    <w:p w:rsidR="00711BB8" w:rsidRPr="000144B0" w:rsidRDefault="00711BB8" w:rsidP="00774AB1">
      <w:pPr>
        <w:spacing w:line="360" w:lineRule="auto"/>
        <w:jc w:val="both"/>
        <w:rPr>
          <w:rFonts w:ascii="Arial" w:hAnsi="Arial" w:cs="Arial"/>
        </w:rPr>
      </w:pPr>
    </w:p>
    <w:p w:rsidR="00711BB8" w:rsidRPr="000144B0" w:rsidRDefault="00711BB8" w:rsidP="00774AB1">
      <w:pPr>
        <w:spacing w:line="360" w:lineRule="auto"/>
        <w:jc w:val="both"/>
        <w:rPr>
          <w:rFonts w:ascii="Arial" w:hAnsi="Arial" w:cs="Arial"/>
        </w:rPr>
      </w:pPr>
    </w:p>
    <w:p w:rsidR="00711BB8" w:rsidRPr="000144B0" w:rsidRDefault="00711BB8" w:rsidP="00774AB1">
      <w:pPr>
        <w:spacing w:line="360" w:lineRule="auto"/>
        <w:jc w:val="both"/>
        <w:rPr>
          <w:rFonts w:ascii="Arial" w:hAnsi="Arial" w:cs="Arial"/>
        </w:rPr>
      </w:pPr>
    </w:p>
    <w:p w:rsidR="00711BB8" w:rsidRPr="000144B0" w:rsidRDefault="00711BB8" w:rsidP="00774AB1">
      <w:pPr>
        <w:spacing w:line="360" w:lineRule="auto"/>
        <w:jc w:val="both"/>
        <w:rPr>
          <w:rFonts w:ascii="Arial" w:hAnsi="Arial" w:cs="Arial"/>
        </w:rPr>
      </w:pPr>
    </w:p>
    <w:p w:rsidR="00711BB8" w:rsidRPr="000144B0" w:rsidRDefault="00711BB8" w:rsidP="00774AB1">
      <w:pPr>
        <w:spacing w:line="360" w:lineRule="auto"/>
        <w:jc w:val="both"/>
        <w:rPr>
          <w:rFonts w:ascii="Arial" w:hAnsi="Arial" w:cs="Arial"/>
        </w:rPr>
      </w:pPr>
    </w:p>
    <w:p w:rsidR="00711BB8" w:rsidRPr="000144B0" w:rsidRDefault="00711BB8" w:rsidP="00774AB1">
      <w:pPr>
        <w:spacing w:line="360" w:lineRule="auto"/>
        <w:jc w:val="both"/>
        <w:rPr>
          <w:rFonts w:ascii="Arial" w:hAnsi="Arial" w:cs="Arial"/>
        </w:rPr>
      </w:pPr>
    </w:p>
    <w:p w:rsidR="00711BB8" w:rsidRPr="000144B0" w:rsidRDefault="00711BB8" w:rsidP="00774AB1">
      <w:pPr>
        <w:spacing w:line="360" w:lineRule="auto"/>
        <w:jc w:val="both"/>
        <w:rPr>
          <w:rFonts w:ascii="Arial" w:hAnsi="Arial" w:cs="Arial"/>
        </w:rPr>
      </w:pPr>
    </w:p>
    <w:p w:rsidR="00711BB8" w:rsidRPr="000144B0" w:rsidRDefault="00711BB8" w:rsidP="00774AB1">
      <w:pPr>
        <w:spacing w:line="360" w:lineRule="auto"/>
        <w:jc w:val="both"/>
        <w:rPr>
          <w:rFonts w:ascii="Arial" w:hAnsi="Arial" w:cs="Arial"/>
        </w:rPr>
      </w:pPr>
    </w:p>
    <w:p w:rsidR="00711BB8" w:rsidRPr="000144B0" w:rsidRDefault="00711BB8" w:rsidP="00774AB1">
      <w:pPr>
        <w:spacing w:line="360" w:lineRule="auto"/>
        <w:jc w:val="both"/>
        <w:rPr>
          <w:rFonts w:ascii="Arial" w:hAnsi="Arial" w:cs="Arial"/>
        </w:rPr>
      </w:pPr>
    </w:p>
    <w:p w:rsidR="00711BB8" w:rsidRPr="000144B0" w:rsidRDefault="00711BB8" w:rsidP="00774AB1">
      <w:pPr>
        <w:spacing w:line="360" w:lineRule="auto"/>
        <w:jc w:val="both"/>
        <w:rPr>
          <w:rFonts w:ascii="Arial" w:hAnsi="Arial" w:cs="Arial"/>
        </w:rPr>
      </w:pPr>
    </w:p>
    <w:p w:rsidR="00BA6C6F" w:rsidRPr="000144B0" w:rsidRDefault="00BA6C6F" w:rsidP="00774AB1">
      <w:pPr>
        <w:spacing w:line="360" w:lineRule="auto"/>
        <w:jc w:val="both"/>
        <w:rPr>
          <w:rFonts w:ascii="Arial" w:hAnsi="Arial" w:cs="Arial"/>
        </w:rPr>
      </w:pPr>
    </w:p>
    <w:p w:rsidR="00BA6C6F" w:rsidRPr="000144B0" w:rsidRDefault="00BA6C6F" w:rsidP="00774AB1">
      <w:pPr>
        <w:spacing w:line="360" w:lineRule="auto"/>
        <w:jc w:val="both"/>
        <w:rPr>
          <w:rFonts w:ascii="Arial" w:hAnsi="Arial" w:cs="Arial"/>
        </w:rPr>
      </w:pPr>
    </w:p>
    <w:p w:rsidR="00BA6C6F" w:rsidRPr="000144B0" w:rsidRDefault="00BA6C6F" w:rsidP="00774AB1">
      <w:pPr>
        <w:spacing w:line="360" w:lineRule="auto"/>
        <w:jc w:val="both"/>
        <w:rPr>
          <w:rFonts w:ascii="Arial" w:hAnsi="Arial" w:cs="Arial"/>
        </w:rPr>
      </w:pPr>
    </w:p>
    <w:p w:rsidR="00BA6C6F" w:rsidRPr="000144B0" w:rsidRDefault="00BA6C6F" w:rsidP="00774AB1">
      <w:pPr>
        <w:spacing w:line="360" w:lineRule="auto"/>
        <w:jc w:val="both"/>
        <w:rPr>
          <w:rFonts w:ascii="Arial" w:hAnsi="Arial" w:cs="Arial"/>
        </w:rPr>
      </w:pPr>
    </w:p>
    <w:p w:rsidR="00BA6C6F" w:rsidRPr="000144B0" w:rsidRDefault="00BA6C6F" w:rsidP="00774AB1">
      <w:pPr>
        <w:spacing w:line="360" w:lineRule="auto"/>
        <w:jc w:val="both"/>
        <w:rPr>
          <w:rFonts w:ascii="Arial" w:hAnsi="Arial" w:cs="Arial"/>
        </w:rPr>
      </w:pPr>
    </w:p>
    <w:p w:rsidR="00BA6C6F" w:rsidRPr="000144B0" w:rsidRDefault="00BA6C6F" w:rsidP="00774AB1">
      <w:pPr>
        <w:spacing w:line="360" w:lineRule="auto"/>
        <w:jc w:val="both"/>
        <w:rPr>
          <w:rFonts w:ascii="Arial" w:hAnsi="Arial" w:cs="Arial"/>
        </w:rPr>
      </w:pPr>
    </w:p>
    <w:p w:rsidR="00BA6C6F" w:rsidRPr="000144B0" w:rsidRDefault="00BA6C6F" w:rsidP="00774AB1">
      <w:pPr>
        <w:spacing w:line="360" w:lineRule="auto"/>
        <w:jc w:val="both"/>
        <w:rPr>
          <w:rFonts w:ascii="Arial" w:hAnsi="Arial" w:cs="Arial"/>
        </w:rPr>
      </w:pPr>
    </w:p>
    <w:p w:rsidR="00BA6C6F" w:rsidRPr="000144B0" w:rsidRDefault="00BA6C6F" w:rsidP="00774AB1">
      <w:pPr>
        <w:spacing w:line="360" w:lineRule="auto"/>
        <w:jc w:val="both"/>
        <w:rPr>
          <w:rFonts w:ascii="Arial" w:hAnsi="Arial" w:cs="Arial"/>
        </w:rPr>
      </w:pPr>
    </w:p>
    <w:p w:rsidR="00890B7E" w:rsidRPr="000144B0" w:rsidRDefault="00890B7E" w:rsidP="00774AB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line="360" w:lineRule="auto"/>
        <w:ind w:right="-526"/>
        <w:jc w:val="both"/>
        <w:rPr>
          <w:rFonts w:ascii="Arial" w:hAnsi="Arial" w:cs="Arial"/>
        </w:rPr>
      </w:pPr>
    </w:p>
    <w:p w:rsidR="00EE701D" w:rsidRPr="00A01A3E" w:rsidRDefault="00EE701D" w:rsidP="00A01A3E">
      <w:pPr>
        <w:spacing w:line="360" w:lineRule="auto"/>
        <w:jc w:val="both"/>
        <w:rPr>
          <w:rFonts w:ascii="Arial" w:eastAsia="Hiragino Sans CNS W3" w:hAnsi="Arial" w:cs="Arial"/>
          <w:sz w:val="24"/>
          <w:szCs w:val="24"/>
        </w:rPr>
      </w:pPr>
    </w:p>
    <w:sectPr w:rsidR="00EE701D" w:rsidRPr="00A01A3E" w:rsidSect="004871DF">
      <w:headerReference w:type="default" r:id="rId50"/>
      <w:footerReference w:type="default" r:id="rId5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6278" w:rsidRDefault="00ED6278">
      <w:r>
        <w:separator/>
      </w:r>
    </w:p>
  </w:endnote>
  <w:endnote w:type="continuationSeparator" w:id="1">
    <w:p w:rsidR="00ED6278" w:rsidRDefault="00ED62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Hiragino Sans CNS W3">
    <w:altName w:val="Yu Gothic"/>
    <w:charset w:val="80"/>
    <w:family w:val="swiss"/>
    <w:pitch w:val="variable"/>
    <w:sig w:usb0="A00002FF" w:usb1="28CFFDFA" w:usb2="00000016" w:usb3="00000000" w:csb0="0012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C3A" w:rsidRDefault="00006CBA">
    <w:pPr>
      <w:pStyle w:val="BodyText"/>
      <w:spacing w:line="14" w:lineRule="auto"/>
      <w:rPr>
        <w:sz w:val="20"/>
      </w:rPr>
    </w:pPr>
    <w:r w:rsidRPr="00006CBA">
      <w:rPr>
        <w:noProof/>
        <w:lang w:bidi="ar-SA"/>
      </w:rPr>
      <w:pict>
        <v:shapetype id="_x0000_t202" coordsize="21600,21600" o:spt="202" path="m,l,21600r21600,l21600,xe">
          <v:stroke joinstyle="miter"/>
          <v:path gradientshapeok="t" o:connecttype="rect"/>
        </v:shapetype>
        <v:shape id="Text Box 2" o:spid="_x0000_s1026" type="#_x0000_t202" style="position:absolute;margin-left:298.05pt;margin-top:728.35pt;width:16pt;height:15.3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" filled="f" stroked="f">
          <v:textbox inset="0,0,0,0">
            <w:txbxContent>
              <w:p w:rsidR="00C93C3A" w:rsidRDefault="00006CBA">
                <w:pPr>
                  <w:spacing w:before="10"/>
                  <w:ind w:left="40"/>
                  <w:rPr>
                    <w:rFonts w:ascii="Times New Roman"/>
                    <w:sz w:val="24"/>
                  </w:rPr>
                </w:pPr>
                <w:r>
                  <w:fldChar w:fldCharType="begin"/>
                </w:r>
                <w:r w:rsidR="00D65A4A">
                  <w:rPr>
                    <w:rFonts w:ascii="Times New Roman"/>
                    <w:sz w:val="24"/>
                  </w:rPr>
                  <w:instrText xml:space="preserve"> PAGE </w:instrText>
                </w:r>
                <w:r>
                  <w:fldChar w:fldCharType="separate"/>
                </w:r>
                <w:r w:rsidR="00861D25">
                  <w:rPr>
                    <w:rFonts w:ascii="Times New Roman"/>
                    <w:noProof/>
                    <w:sz w:val="24"/>
                  </w:rPr>
                  <w:t>1</w:t>
                </w:r>
                <w: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62729153"/>
      <w:docPartObj>
        <w:docPartGallery w:val="Page Numbers (Bottom of Page)"/>
        <w:docPartUnique/>
      </w:docPartObj>
    </w:sdtPr>
    <w:sdtEndPr>
      <w:rPr>
        <w:noProof/>
      </w:rPr>
    </w:sdtEndPr>
    <w:sdtContent>
      <w:p w:rsidR="0081234F" w:rsidRDefault="00006CBA">
        <w:pPr>
          <w:pStyle w:val="Footer"/>
          <w:jc w:val="center"/>
        </w:pPr>
        <w:r>
          <w:fldChar w:fldCharType="begin"/>
        </w:r>
        <w:r w:rsidR="0081234F">
          <w:instrText xml:space="preserve"> PAGE   \* MERGEFORMAT </w:instrText>
        </w:r>
        <w:r>
          <w:fldChar w:fldCharType="separate"/>
        </w:r>
        <w:r w:rsidR="00861D25">
          <w:rPr>
            <w:noProof/>
          </w:rPr>
          <w:t>65</w:t>
        </w:r>
        <w:r>
          <w:rPr>
            <w:noProof/>
          </w:rPr>
          <w:fldChar w:fldCharType="end"/>
        </w:r>
      </w:p>
    </w:sdtContent>
  </w:sdt>
  <w:p w:rsidR="005136F5" w:rsidRDefault="005136F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6278" w:rsidRDefault="00ED6278">
      <w:r>
        <w:separator/>
      </w:r>
    </w:p>
  </w:footnote>
  <w:footnote w:type="continuationSeparator" w:id="1">
    <w:p w:rsidR="00ED6278" w:rsidRDefault="00ED62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6F5" w:rsidRDefault="005136F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66D97"/>
    <w:multiLevelType w:val="multilevel"/>
    <w:tmpl w:val="346205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3812DB4"/>
    <w:multiLevelType w:val="multilevel"/>
    <w:tmpl w:val="230A88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3">
    <w:nsid w:val="078E00C0"/>
    <w:multiLevelType w:val="hybridMultilevel"/>
    <w:tmpl w:val="ED404D92"/>
    <w:lvl w:ilvl="0" w:tplc="A7A03B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1A354A"/>
    <w:multiLevelType w:val="multilevel"/>
    <w:tmpl w:val="169E2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4A53C2A"/>
    <w:multiLevelType w:val="hybridMultilevel"/>
    <w:tmpl w:val="C432348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23EA053A"/>
    <w:multiLevelType w:val="multilevel"/>
    <w:tmpl w:val="5662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2E1E94"/>
    <w:multiLevelType w:val="multilevel"/>
    <w:tmpl w:val="9A764D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9">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10">
    <w:nsid w:val="32524038"/>
    <w:multiLevelType w:val="hybridMultilevel"/>
    <w:tmpl w:val="132E3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12">
    <w:nsid w:val="3F1F5652"/>
    <w:multiLevelType w:val="hybridMultilevel"/>
    <w:tmpl w:val="BFE40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0DA3A4C"/>
    <w:multiLevelType w:val="hybridMultilevel"/>
    <w:tmpl w:val="5816C6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nsid w:val="44356274"/>
    <w:multiLevelType w:val="multilevel"/>
    <w:tmpl w:val="9B801D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16">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F925F51"/>
    <w:multiLevelType w:val="hybridMultilevel"/>
    <w:tmpl w:val="C92EA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2472F6C"/>
    <w:multiLevelType w:val="hybridMultilevel"/>
    <w:tmpl w:val="F126079A"/>
    <w:lvl w:ilvl="0" w:tplc="21C04F0C">
      <w:start w:val="1"/>
      <w:numFmt w:val="bullet"/>
      <w:lvlText w:val=""/>
      <w:lvlJc w:val="left"/>
      <w:pPr>
        <w:ind w:left="720" w:hanging="360"/>
      </w:pPr>
      <w:rPr>
        <w:rFonts w:ascii="Symbol" w:hAnsi="Symbol" w:hint="default"/>
        <w:lang w:val="en-US"/>
      </w:rPr>
    </w:lvl>
    <w:lvl w:ilvl="1" w:tplc="E3B6560C">
      <w:numFmt w:val="bullet"/>
      <w:lvlText w:val="•"/>
      <w:lvlJc w:val="left"/>
      <w:pPr>
        <w:ind w:left="1800" w:hanging="720"/>
      </w:pPr>
      <w:rPr>
        <w:rFonts w:ascii="Times New Roman" w:eastAsiaTheme="minorHAnsi" w:hAnsi="Times New Roman" w:cs="Times New Roman"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1">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22">
    <w:nsid w:val="56EB4548"/>
    <w:multiLevelType w:val="hybridMultilevel"/>
    <w:tmpl w:val="E96EE54A"/>
    <w:lvl w:ilvl="0" w:tplc="42E0DFC4">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5705199B"/>
    <w:multiLevelType w:val="hybridMultilevel"/>
    <w:tmpl w:val="A5A4FEEE"/>
    <w:lvl w:ilvl="0" w:tplc="DE1C6B08">
      <w:start w:val="1"/>
      <w:numFmt w:val="lowerLetter"/>
      <w:lvlText w:val="%1)"/>
      <w:lvlJc w:val="left"/>
      <w:pPr>
        <w:ind w:left="1440" w:hanging="72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nsid w:val="5C253CEE"/>
    <w:multiLevelType w:val="hybridMultilevel"/>
    <w:tmpl w:val="38F80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0097A02"/>
    <w:multiLevelType w:val="multilevel"/>
    <w:tmpl w:val="C7EE73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654900BB"/>
    <w:multiLevelType w:val="hybridMultilevel"/>
    <w:tmpl w:val="43F2023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7">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28">
    <w:nsid w:val="6F556FA1"/>
    <w:multiLevelType w:val="hybridMultilevel"/>
    <w:tmpl w:val="761445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30">
    <w:nsid w:val="72545135"/>
    <w:multiLevelType w:val="multilevel"/>
    <w:tmpl w:val="34B690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5"/>
  </w:num>
  <w:num w:numId="2">
    <w:abstractNumId w:val="8"/>
  </w:num>
  <w:num w:numId="3">
    <w:abstractNumId w:val="9"/>
  </w:num>
  <w:num w:numId="4">
    <w:abstractNumId w:val="2"/>
  </w:num>
  <w:num w:numId="5">
    <w:abstractNumId w:val="11"/>
  </w:num>
  <w:num w:numId="6">
    <w:abstractNumId w:val="27"/>
  </w:num>
  <w:num w:numId="7">
    <w:abstractNumId w:val="29"/>
  </w:num>
  <w:num w:numId="8">
    <w:abstractNumId w:val="21"/>
  </w:num>
  <w:num w:numId="9">
    <w:abstractNumId w:val="17"/>
  </w:num>
  <w:num w:numId="10">
    <w:abstractNumId w:val="16"/>
  </w:num>
  <w:num w:numId="11">
    <w:abstractNumId w:val="18"/>
  </w:num>
  <w:num w:numId="12">
    <w:abstractNumId w:val="6"/>
  </w:num>
  <w:num w:numId="13">
    <w:abstractNumId w:val="24"/>
  </w:num>
  <w:num w:numId="14">
    <w:abstractNumId w:val="28"/>
  </w:num>
  <w:num w:numId="15">
    <w:abstractNumId w:val="23"/>
  </w:num>
  <w:num w:numId="16">
    <w:abstractNumId w:val="3"/>
  </w:num>
  <w:num w:numId="17">
    <w:abstractNumId w:val="10"/>
  </w:num>
  <w:num w:numId="18">
    <w:abstractNumId w:val="12"/>
  </w:num>
  <w:num w:numId="19">
    <w:abstractNumId w:val="5"/>
  </w:num>
  <w:num w:numId="20">
    <w:abstractNumId w:val="20"/>
  </w:num>
  <w:num w:numId="21">
    <w:abstractNumId w:val="7"/>
  </w:num>
  <w:num w:numId="22">
    <w:abstractNumId w:val="26"/>
  </w:num>
  <w:num w:numId="23">
    <w:abstractNumId w:val="19"/>
  </w:num>
  <w:num w:numId="24">
    <w:abstractNumId w:val="13"/>
  </w:num>
  <w:num w:numId="25">
    <w:abstractNumId w:val="22"/>
  </w:num>
  <w:num w:numId="26">
    <w:abstractNumId w:val="1"/>
  </w:num>
  <w:num w:numId="27">
    <w:abstractNumId w:val="0"/>
  </w:num>
  <w:num w:numId="28">
    <w:abstractNumId w:val="4"/>
  </w:num>
  <w:num w:numId="29">
    <w:abstractNumId w:val="14"/>
  </w:num>
  <w:num w:numId="30">
    <w:abstractNumId w:val="25"/>
  </w:num>
  <w:num w:numId="31">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removePersonalInformation/>
  <w:removeDateAndTime/>
  <w:defaultTabStop w:val="720"/>
  <w:drawingGridHorizontalSpacing w:val="110"/>
  <w:displayHorizontalDrawingGridEvery w:val="2"/>
  <w:characterSpacingControl w:val="doNotCompress"/>
  <w:hdrShapeDefaults>
    <o:shapedefaults v:ext="edit" spidmax="4098"/>
    <o:shapelayout v:ext="edit">
      <o:idmap v:ext="edit" data="1"/>
    </o:shapelayout>
  </w:hdrShapeDefaults>
  <w:footnotePr>
    <w:footnote w:id="0"/>
    <w:footnote w:id="1"/>
  </w:footnotePr>
  <w:endnotePr>
    <w:endnote w:id="0"/>
    <w:endnote w:id="1"/>
  </w:endnotePr>
  <w:compat>
    <w:ulTrailSpace/>
  </w:compat>
  <w:rsids>
    <w:rsidRoot w:val="00C93C3A"/>
    <w:rsid w:val="00001B29"/>
    <w:rsid w:val="00001B6C"/>
    <w:rsid w:val="000028FF"/>
    <w:rsid w:val="00005A1B"/>
    <w:rsid w:val="00005C2B"/>
    <w:rsid w:val="00006B3E"/>
    <w:rsid w:val="00006CBA"/>
    <w:rsid w:val="00007701"/>
    <w:rsid w:val="00010C5D"/>
    <w:rsid w:val="00013B33"/>
    <w:rsid w:val="000144B0"/>
    <w:rsid w:val="00014F17"/>
    <w:rsid w:val="00022535"/>
    <w:rsid w:val="00022B81"/>
    <w:rsid w:val="00024268"/>
    <w:rsid w:val="00025299"/>
    <w:rsid w:val="00027766"/>
    <w:rsid w:val="00030919"/>
    <w:rsid w:val="00031C83"/>
    <w:rsid w:val="0003244B"/>
    <w:rsid w:val="00032CF7"/>
    <w:rsid w:val="000339D6"/>
    <w:rsid w:val="00034FE4"/>
    <w:rsid w:val="00037E6C"/>
    <w:rsid w:val="00040C5E"/>
    <w:rsid w:val="0004500C"/>
    <w:rsid w:val="000468E5"/>
    <w:rsid w:val="00050C9C"/>
    <w:rsid w:val="00054527"/>
    <w:rsid w:val="00055816"/>
    <w:rsid w:val="00055B54"/>
    <w:rsid w:val="000570DB"/>
    <w:rsid w:val="00071460"/>
    <w:rsid w:val="00071FE3"/>
    <w:rsid w:val="000752B5"/>
    <w:rsid w:val="000773A2"/>
    <w:rsid w:val="00081477"/>
    <w:rsid w:val="00082194"/>
    <w:rsid w:val="00091C75"/>
    <w:rsid w:val="00091FA5"/>
    <w:rsid w:val="00092170"/>
    <w:rsid w:val="000967AE"/>
    <w:rsid w:val="000A4662"/>
    <w:rsid w:val="000A503C"/>
    <w:rsid w:val="000A7868"/>
    <w:rsid w:val="000B5FF3"/>
    <w:rsid w:val="000C51B7"/>
    <w:rsid w:val="000D2BF1"/>
    <w:rsid w:val="000E2741"/>
    <w:rsid w:val="000E2C1F"/>
    <w:rsid w:val="000E33C3"/>
    <w:rsid w:val="000E7BFD"/>
    <w:rsid w:val="000F0F97"/>
    <w:rsid w:val="000F5961"/>
    <w:rsid w:val="000F603B"/>
    <w:rsid w:val="000F7015"/>
    <w:rsid w:val="001032F2"/>
    <w:rsid w:val="00106B30"/>
    <w:rsid w:val="00111EA8"/>
    <w:rsid w:val="00113EFE"/>
    <w:rsid w:val="00117BFE"/>
    <w:rsid w:val="00120917"/>
    <w:rsid w:val="001216B3"/>
    <w:rsid w:val="001226B1"/>
    <w:rsid w:val="00126DC2"/>
    <w:rsid w:val="001300C9"/>
    <w:rsid w:val="00130164"/>
    <w:rsid w:val="00132269"/>
    <w:rsid w:val="00133452"/>
    <w:rsid w:val="00141A70"/>
    <w:rsid w:val="00143063"/>
    <w:rsid w:val="0014352D"/>
    <w:rsid w:val="00147D3B"/>
    <w:rsid w:val="00150343"/>
    <w:rsid w:val="00150A0A"/>
    <w:rsid w:val="0015227A"/>
    <w:rsid w:val="00157283"/>
    <w:rsid w:val="00161CEC"/>
    <w:rsid w:val="001633E9"/>
    <w:rsid w:val="00163F98"/>
    <w:rsid w:val="0016540B"/>
    <w:rsid w:val="0016792E"/>
    <w:rsid w:val="00167DFC"/>
    <w:rsid w:val="00170945"/>
    <w:rsid w:val="001731C5"/>
    <w:rsid w:val="00177C98"/>
    <w:rsid w:val="001831EC"/>
    <w:rsid w:val="00184183"/>
    <w:rsid w:val="001842BE"/>
    <w:rsid w:val="00186626"/>
    <w:rsid w:val="00186A5D"/>
    <w:rsid w:val="00187594"/>
    <w:rsid w:val="00190258"/>
    <w:rsid w:val="00191BBE"/>
    <w:rsid w:val="001926A7"/>
    <w:rsid w:val="00195132"/>
    <w:rsid w:val="001A0505"/>
    <w:rsid w:val="001A1947"/>
    <w:rsid w:val="001A4C6F"/>
    <w:rsid w:val="001A506D"/>
    <w:rsid w:val="001B0B88"/>
    <w:rsid w:val="001B1A27"/>
    <w:rsid w:val="001B4019"/>
    <w:rsid w:val="001B598C"/>
    <w:rsid w:val="001B7E17"/>
    <w:rsid w:val="001C5EAF"/>
    <w:rsid w:val="001E0C23"/>
    <w:rsid w:val="001E2642"/>
    <w:rsid w:val="001E48C7"/>
    <w:rsid w:val="001F085F"/>
    <w:rsid w:val="001F2606"/>
    <w:rsid w:val="001F485A"/>
    <w:rsid w:val="00201954"/>
    <w:rsid w:val="00204A78"/>
    <w:rsid w:val="0020653A"/>
    <w:rsid w:val="00213863"/>
    <w:rsid w:val="00214CA6"/>
    <w:rsid w:val="00215EBE"/>
    <w:rsid w:val="00216AA8"/>
    <w:rsid w:val="00221C71"/>
    <w:rsid w:val="002224B7"/>
    <w:rsid w:val="00223F7C"/>
    <w:rsid w:val="00225793"/>
    <w:rsid w:val="00233477"/>
    <w:rsid w:val="00236938"/>
    <w:rsid w:val="00236C02"/>
    <w:rsid w:val="00237984"/>
    <w:rsid w:val="00243616"/>
    <w:rsid w:val="00245A43"/>
    <w:rsid w:val="00247EDE"/>
    <w:rsid w:val="00250744"/>
    <w:rsid w:val="00261B22"/>
    <w:rsid w:val="002655AA"/>
    <w:rsid w:val="002671E6"/>
    <w:rsid w:val="00272118"/>
    <w:rsid w:val="0027424A"/>
    <w:rsid w:val="00274253"/>
    <w:rsid w:val="002752F5"/>
    <w:rsid w:val="00276466"/>
    <w:rsid w:val="0028494A"/>
    <w:rsid w:val="00286CFC"/>
    <w:rsid w:val="00290472"/>
    <w:rsid w:val="0029198F"/>
    <w:rsid w:val="002A149F"/>
    <w:rsid w:val="002A1517"/>
    <w:rsid w:val="002A37A1"/>
    <w:rsid w:val="002A3F7D"/>
    <w:rsid w:val="002A5E00"/>
    <w:rsid w:val="002B0857"/>
    <w:rsid w:val="002B15F1"/>
    <w:rsid w:val="002B6B87"/>
    <w:rsid w:val="002C212A"/>
    <w:rsid w:val="002D3ECA"/>
    <w:rsid w:val="002D6BDE"/>
    <w:rsid w:val="002D75A5"/>
    <w:rsid w:val="002E4F76"/>
    <w:rsid w:val="002E5ED5"/>
    <w:rsid w:val="002F12E5"/>
    <w:rsid w:val="00303F3F"/>
    <w:rsid w:val="00304A2B"/>
    <w:rsid w:val="00306A79"/>
    <w:rsid w:val="00307090"/>
    <w:rsid w:val="00307AA1"/>
    <w:rsid w:val="003122B2"/>
    <w:rsid w:val="00313B6F"/>
    <w:rsid w:val="0031543C"/>
    <w:rsid w:val="00323841"/>
    <w:rsid w:val="00324ECB"/>
    <w:rsid w:val="003254BD"/>
    <w:rsid w:val="003276BE"/>
    <w:rsid w:val="00333218"/>
    <w:rsid w:val="00333384"/>
    <w:rsid w:val="00333D3A"/>
    <w:rsid w:val="00335A4B"/>
    <w:rsid w:val="003404E1"/>
    <w:rsid w:val="00341000"/>
    <w:rsid w:val="00342060"/>
    <w:rsid w:val="003430D1"/>
    <w:rsid w:val="00347B96"/>
    <w:rsid w:val="0035077C"/>
    <w:rsid w:val="0035460F"/>
    <w:rsid w:val="00354A87"/>
    <w:rsid w:val="0035627F"/>
    <w:rsid w:val="00363A20"/>
    <w:rsid w:val="00367853"/>
    <w:rsid w:val="00382682"/>
    <w:rsid w:val="0038639E"/>
    <w:rsid w:val="00393E10"/>
    <w:rsid w:val="00396EC6"/>
    <w:rsid w:val="00397E27"/>
    <w:rsid w:val="003A01CC"/>
    <w:rsid w:val="003A1419"/>
    <w:rsid w:val="003A1F55"/>
    <w:rsid w:val="003A42BF"/>
    <w:rsid w:val="003A5183"/>
    <w:rsid w:val="003B0B04"/>
    <w:rsid w:val="003B0B29"/>
    <w:rsid w:val="003B4307"/>
    <w:rsid w:val="003B53A5"/>
    <w:rsid w:val="003B5725"/>
    <w:rsid w:val="003B7277"/>
    <w:rsid w:val="003C5D76"/>
    <w:rsid w:val="003D5EDF"/>
    <w:rsid w:val="003E6A27"/>
    <w:rsid w:val="003E70BC"/>
    <w:rsid w:val="003E73A1"/>
    <w:rsid w:val="003F0A54"/>
    <w:rsid w:val="003F128E"/>
    <w:rsid w:val="003F22BA"/>
    <w:rsid w:val="003F62A5"/>
    <w:rsid w:val="003F7AC6"/>
    <w:rsid w:val="00401852"/>
    <w:rsid w:val="00402BA5"/>
    <w:rsid w:val="00402D6B"/>
    <w:rsid w:val="00406D05"/>
    <w:rsid w:val="00410B1C"/>
    <w:rsid w:val="004139A0"/>
    <w:rsid w:val="00417A1F"/>
    <w:rsid w:val="00422D06"/>
    <w:rsid w:val="00424959"/>
    <w:rsid w:val="004278BD"/>
    <w:rsid w:val="004304A4"/>
    <w:rsid w:val="00431E8A"/>
    <w:rsid w:val="004340CC"/>
    <w:rsid w:val="00437FCA"/>
    <w:rsid w:val="00441A07"/>
    <w:rsid w:val="004478D0"/>
    <w:rsid w:val="0045241B"/>
    <w:rsid w:val="00454396"/>
    <w:rsid w:val="00455FF5"/>
    <w:rsid w:val="00462A75"/>
    <w:rsid w:val="00465FDB"/>
    <w:rsid w:val="0046736D"/>
    <w:rsid w:val="004673E8"/>
    <w:rsid w:val="00467F6B"/>
    <w:rsid w:val="004702FD"/>
    <w:rsid w:val="00471455"/>
    <w:rsid w:val="00471559"/>
    <w:rsid w:val="0047251E"/>
    <w:rsid w:val="00472EC9"/>
    <w:rsid w:val="00473777"/>
    <w:rsid w:val="00474D84"/>
    <w:rsid w:val="00477E12"/>
    <w:rsid w:val="00480DDD"/>
    <w:rsid w:val="00483D87"/>
    <w:rsid w:val="00484A7A"/>
    <w:rsid w:val="00484B39"/>
    <w:rsid w:val="00485B55"/>
    <w:rsid w:val="004867D7"/>
    <w:rsid w:val="00486992"/>
    <w:rsid w:val="004871DF"/>
    <w:rsid w:val="00487994"/>
    <w:rsid w:val="00491A51"/>
    <w:rsid w:val="00492C34"/>
    <w:rsid w:val="00495030"/>
    <w:rsid w:val="004A0F1C"/>
    <w:rsid w:val="004A162F"/>
    <w:rsid w:val="004A2187"/>
    <w:rsid w:val="004A26FE"/>
    <w:rsid w:val="004A2A82"/>
    <w:rsid w:val="004A5963"/>
    <w:rsid w:val="004A5F77"/>
    <w:rsid w:val="004A6BE9"/>
    <w:rsid w:val="004B4C07"/>
    <w:rsid w:val="004B5412"/>
    <w:rsid w:val="004C05A5"/>
    <w:rsid w:val="004C076B"/>
    <w:rsid w:val="004C0A2A"/>
    <w:rsid w:val="004C5715"/>
    <w:rsid w:val="004C6B88"/>
    <w:rsid w:val="004C7E5E"/>
    <w:rsid w:val="004D156A"/>
    <w:rsid w:val="004D7846"/>
    <w:rsid w:val="004F2938"/>
    <w:rsid w:val="004F3E79"/>
    <w:rsid w:val="004F49A0"/>
    <w:rsid w:val="004F50E0"/>
    <w:rsid w:val="00501418"/>
    <w:rsid w:val="005052FD"/>
    <w:rsid w:val="00512F91"/>
    <w:rsid w:val="005136F5"/>
    <w:rsid w:val="00515A78"/>
    <w:rsid w:val="00521D50"/>
    <w:rsid w:val="00523CA2"/>
    <w:rsid w:val="00527E67"/>
    <w:rsid w:val="0053374D"/>
    <w:rsid w:val="0053436F"/>
    <w:rsid w:val="005416C7"/>
    <w:rsid w:val="00541C85"/>
    <w:rsid w:val="00543C5C"/>
    <w:rsid w:val="0054658D"/>
    <w:rsid w:val="005517B9"/>
    <w:rsid w:val="00552685"/>
    <w:rsid w:val="005527C3"/>
    <w:rsid w:val="00557981"/>
    <w:rsid w:val="00557B86"/>
    <w:rsid w:val="005611BF"/>
    <w:rsid w:val="005618F7"/>
    <w:rsid w:val="005620FE"/>
    <w:rsid w:val="00564620"/>
    <w:rsid w:val="00564CA4"/>
    <w:rsid w:val="00572677"/>
    <w:rsid w:val="005737F8"/>
    <w:rsid w:val="00574B1A"/>
    <w:rsid w:val="00575FB0"/>
    <w:rsid w:val="00585286"/>
    <w:rsid w:val="00585418"/>
    <w:rsid w:val="00585B62"/>
    <w:rsid w:val="0058672E"/>
    <w:rsid w:val="005867AD"/>
    <w:rsid w:val="00586958"/>
    <w:rsid w:val="00587003"/>
    <w:rsid w:val="00587B29"/>
    <w:rsid w:val="00592373"/>
    <w:rsid w:val="00593E64"/>
    <w:rsid w:val="005943A1"/>
    <w:rsid w:val="0059497B"/>
    <w:rsid w:val="0059591F"/>
    <w:rsid w:val="005A00DB"/>
    <w:rsid w:val="005A2CC7"/>
    <w:rsid w:val="005A3315"/>
    <w:rsid w:val="005A4BCC"/>
    <w:rsid w:val="005A5259"/>
    <w:rsid w:val="005B1FA8"/>
    <w:rsid w:val="005B237B"/>
    <w:rsid w:val="005B2C6E"/>
    <w:rsid w:val="005B452B"/>
    <w:rsid w:val="005B4F38"/>
    <w:rsid w:val="005B5D20"/>
    <w:rsid w:val="005C06A7"/>
    <w:rsid w:val="005C2C7A"/>
    <w:rsid w:val="005D417B"/>
    <w:rsid w:val="005D4785"/>
    <w:rsid w:val="005D704E"/>
    <w:rsid w:val="005E082D"/>
    <w:rsid w:val="005E1819"/>
    <w:rsid w:val="005E1C5D"/>
    <w:rsid w:val="005E6CF5"/>
    <w:rsid w:val="005E7485"/>
    <w:rsid w:val="005F14CE"/>
    <w:rsid w:val="005F4CBF"/>
    <w:rsid w:val="005F7E30"/>
    <w:rsid w:val="006004E4"/>
    <w:rsid w:val="006018FE"/>
    <w:rsid w:val="006052F4"/>
    <w:rsid w:val="00605399"/>
    <w:rsid w:val="00605BE6"/>
    <w:rsid w:val="00606FE4"/>
    <w:rsid w:val="00611412"/>
    <w:rsid w:val="00611C2C"/>
    <w:rsid w:val="006126BA"/>
    <w:rsid w:val="00614DD9"/>
    <w:rsid w:val="00620D31"/>
    <w:rsid w:val="00623704"/>
    <w:rsid w:val="00623A94"/>
    <w:rsid w:val="00625475"/>
    <w:rsid w:val="00633646"/>
    <w:rsid w:val="00633F1A"/>
    <w:rsid w:val="00635FF4"/>
    <w:rsid w:val="00641A5E"/>
    <w:rsid w:val="00641BBB"/>
    <w:rsid w:val="006431C5"/>
    <w:rsid w:val="0064431B"/>
    <w:rsid w:val="00645316"/>
    <w:rsid w:val="006516B7"/>
    <w:rsid w:val="0065314E"/>
    <w:rsid w:val="00656F5A"/>
    <w:rsid w:val="00664A07"/>
    <w:rsid w:val="00666E8C"/>
    <w:rsid w:val="00671E9D"/>
    <w:rsid w:val="006722A5"/>
    <w:rsid w:val="006824B8"/>
    <w:rsid w:val="00682D0A"/>
    <w:rsid w:val="00684A1B"/>
    <w:rsid w:val="00685958"/>
    <w:rsid w:val="00687819"/>
    <w:rsid w:val="0069251E"/>
    <w:rsid w:val="00697EAF"/>
    <w:rsid w:val="006A2997"/>
    <w:rsid w:val="006A5C09"/>
    <w:rsid w:val="006A7158"/>
    <w:rsid w:val="006A747B"/>
    <w:rsid w:val="006A7B49"/>
    <w:rsid w:val="006B19F6"/>
    <w:rsid w:val="006B2FD8"/>
    <w:rsid w:val="006B5084"/>
    <w:rsid w:val="006B7C10"/>
    <w:rsid w:val="006C1761"/>
    <w:rsid w:val="006D22BB"/>
    <w:rsid w:val="006D31AE"/>
    <w:rsid w:val="006D33EA"/>
    <w:rsid w:val="006D4BB4"/>
    <w:rsid w:val="006D7FB2"/>
    <w:rsid w:val="006E23C5"/>
    <w:rsid w:val="006E2F2B"/>
    <w:rsid w:val="006E3B95"/>
    <w:rsid w:val="006F7F10"/>
    <w:rsid w:val="00702317"/>
    <w:rsid w:val="0071149B"/>
    <w:rsid w:val="00711BB8"/>
    <w:rsid w:val="0071280C"/>
    <w:rsid w:val="00713568"/>
    <w:rsid w:val="00714BE6"/>
    <w:rsid w:val="007213FA"/>
    <w:rsid w:val="00722CA1"/>
    <w:rsid w:val="00724265"/>
    <w:rsid w:val="00732B5A"/>
    <w:rsid w:val="00733F86"/>
    <w:rsid w:val="00737672"/>
    <w:rsid w:val="00737A30"/>
    <w:rsid w:val="007409BC"/>
    <w:rsid w:val="007465AE"/>
    <w:rsid w:val="00751AF7"/>
    <w:rsid w:val="00752564"/>
    <w:rsid w:val="00754428"/>
    <w:rsid w:val="00757455"/>
    <w:rsid w:val="00757B37"/>
    <w:rsid w:val="007604C9"/>
    <w:rsid w:val="00764302"/>
    <w:rsid w:val="0076606D"/>
    <w:rsid w:val="00766D97"/>
    <w:rsid w:val="0077366F"/>
    <w:rsid w:val="00774A16"/>
    <w:rsid w:val="00774AB1"/>
    <w:rsid w:val="007810DB"/>
    <w:rsid w:val="0078415F"/>
    <w:rsid w:val="00790D04"/>
    <w:rsid w:val="00791334"/>
    <w:rsid w:val="007923C4"/>
    <w:rsid w:val="00795B3A"/>
    <w:rsid w:val="007971E6"/>
    <w:rsid w:val="007A0252"/>
    <w:rsid w:val="007A0ADE"/>
    <w:rsid w:val="007A4FD0"/>
    <w:rsid w:val="007A5A85"/>
    <w:rsid w:val="007A7B6B"/>
    <w:rsid w:val="007B09F4"/>
    <w:rsid w:val="007C0E9D"/>
    <w:rsid w:val="007C5124"/>
    <w:rsid w:val="007D4C2D"/>
    <w:rsid w:val="007D5178"/>
    <w:rsid w:val="007D5D8B"/>
    <w:rsid w:val="007E1F1E"/>
    <w:rsid w:val="007E4010"/>
    <w:rsid w:val="007F1C65"/>
    <w:rsid w:val="007F1F9C"/>
    <w:rsid w:val="007F4D74"/>
    <w:rsid w:val="00802A09"/>
    <w:rsid w:val="0081234F"/>
    <w:rsid w:val="0081283E"/>
    <w:rsid w:val="00814B1F"/>
    <w:rsid w:val="008167AF"/>
    <w:rsid w:val="008210F6"/>
    <w:rsid w:val="00827272"/>
    <w:rsid w:val="00834508"/>
    <w:rsid w:val="0083476D"/>
    <w:rsid w:val="0083789D"/>
    <w:rsid w:val="0084312C"/>
    <w:rsid w:val="00844821"/>
    <w:rsid w:val="008448B2"/>
    <w:rsid w:val="00851367"/>
    <w:rsid w:val="008513BC"/>
    <w:rsid w:val="00860CB2"/>
    <w:rsid w:val="00861D25"/>
    <w:rsid w:val="00863A87"/>
    <w:rsid w:val="00865B6F"/>
    <w:rsid w:val="008670A9"/>
    <w:rsid w:val="0087294E"/>
    <w:rsid w:val="00877470"/>
    <w:rsid w:val="00880ABE"/>
    <w:rsid w:val="00890B7E"/>
    <w:rsid w:val="00891935"/>
    <w:rsid w:val="008A2D96"/>
    <w:rsid w:val="008A3D05"/>
    <w:rsid w:val="008B31C8"/>
    <w:rsid w:val="008B57C7"/>
    <w:rsid w:val="008B60F2"/>
    <w:rsid w:val="008B7107"/>
    <w:rsid w:val="008C5990"/>
    <w:rsid w:val="008E160E"/>
    <w:rsid w:val="008E226F"/>
    <w:rsid w:val="008E6D01"/>
    <w:rsid w:val="008F28B7"/>
    <w:rsid w:val="008F458E"/>
    <w:rsid w:val="008F5283"/>
    <w:rsid w:val="008F5DE1"/>
    <w:rsid w:val="00902F3C"/>
    <w:rsid w:val="00905D4C"/>
    <w:rsid w:val="00910001"/>
    <w:rsid w:val="00914E5C"/>
    <w:rsid w:val="009252D4"/>
    <w:rsid w:val="00927599"/>
    <w:rsid w:val="00931389"/>
    <w:rsid w:val="00933DFB"/>
    <w:rsid w:val="00934E01"/>
    <w:rsid w:val="00936B72"/>
    <w:rsid w:val="00937CCC"/>
    <w:rsid w:val="00944F00"/>
    <w:rsid w:val="0094683E"/>
    <w:rsid w:val="009507CB"/>
    <w:rsid w:val="0095187D"/>
    <w:rsid w:val="00951C10"/>
    <w:rsid w:val="009565F3"/>
    <w:rsid w:val="00962388"/>
    <w:rsid w:val="00963743"/>
    <w:rsid w:val="009666D4"/>
    <w:rsid w:val="00970181"/>
    <w:rsid w:val="009708E1"/>
    <w:rsid w:val="00974347"/>
    <w:rsid w:val="009754C3"/>
    <w:rsid w:val="009759E1"/>
    <w:rsid w:val="00976929"/>
    <w:rsid w:val="00977D23"/>
    <w:rsid w:val="00982D66"/>
    <w:rsid w:val="0098583C"/>
    <w:rsid w:val="0098653D"/>
    <w:rsid w:val="009929F7"/>
    <w:rsid w:val="009A24D5"/>
    <w:rsid w:val="009A3ED8"/>
    <w:rsid w:val="009B354F"/>
    <w:rsid w:val="009B46BF"/>
    <w:rsid w:val="009C08FD"/>
    <w:rsid w:val="009C3FC8"/>
    <w:rsid w:val="009C5ACC"/>
    <w:rsid w:val="009C71EC"/>
    <w:rsid w:val="009D4AE7"/>
    <w:rsid w:val="009D5E53"/>
    <w:rsid w:val="009E0439"/>
    <w:rsid w:val="009E1BDC"/>
    <w:rsid w:val="009E600F"/>
    <w:rsid w:val="009E65E6"/>
    <w:rsid w:val="009E70F5"/>
    <w:rsid w:val="009F0B7D"/>
    <w:rsid w:val="009F304B"/>
    <w:rsid w:val="009F5228"/>
    <w:rsid w:val="00A004C6"/>
    <w:rsid w:val="00A01A3E"/>
    <w:rsid w:val="00A02B85"/>
    <w:rsid w:val="00A0479C"/>
    <w:rsid w:val="00A061FB"/>
    <w:rsid w:val="00A07A8B"/>
    <w:rsid w:val="00A07F08"/>
    <w:rsid w:val="00A105D7"/>
    <w:rsid w:val="00A11058"/>
    <w:rsid w:val="00A11332"/>
    <w:rsid w:val="00A11B8F"/>
    <w:rsid w:val="00A11C04"/>
    <w:rsid w:val="00A11FF6"/>
    <w:rsid w:val="00A1495A"/>
    <w:rsid w:val="00A149D1"/>
    <w:rsid w:val="00A15201"/>
    <w:rsid w:val="00A17114"/>
    <w:rsid w:val="00A21540"/>
    <w:rsid w:val="00A22ACF"/>
    <w:rsid w:val="00A24E76"/>
    <w:rsid w:val="00A27A63"/>
    <w:rsid w:val="00A3494F"/>
    <w:rsid w:val="00A40898"/>
    <w:rsid w:val="00A40F9C"/>
    <w:rsid w:val="00A4136D"/>
    <w:rsid w:val="00A428B9"/>
    <w:rsid w:val="00A43039"/>
    <w:rsid w:val="00A45EA5"/>
    <w:rsid w:val="00A466BF"/>
    <w:rsid w:val="00A52929"/>
    <w:rsid w:val="00A52952"/>
    <w:rsid w:val="00A5577D"/>
    <w:rsid w:val="00A568E2"/>
    <w:rsid w:val="00A6008F"/>
    <w:rsid w:val="00A61CBE"/>
    <w:rsid w:val="00A63C36"/>
    <w:rsid w:val="00A65CEF"/>
    <w:rsid w:val="00A65D31"/>
    <w:rsid w:val="00A666E9"/>
    <w:rsid w:val="00A670C5"/>
    <w:rsid w:val="00A71529"/>
    <w:rsid w:val="00A71818"/>
    <w:rsid w:val="00A71DBA"/>
    <w:rsid w:val="00A76D09"/>
    <w:rsid w:val="00A8288E"/>
    <w:rsid w:val="00A82D7D"/>
    <w:rsid w:val="00A84C70"/>
    <w:rsid w:val="00A855DF"/>
    <w:rsid w:val="00A8616F"/>
    <w:rsid w:val="00A903D3"/>
    <w:rsid w:val="00A90D50"/>
    <w:rsid w:val="00A95EE7"/>
    <w:rsid w:val="00AA120E"/>
    <w:rsid w:val="00AA1EEF"/>
    <w:rsid w:val="00AA1F5A"/>
    <w:rsid w:val="00AA221B"/>
    <w:rsid w:val="00AA3321"/>
    <w:rsid w:val="00AA7C63"/>
    <w:rsid w:val="00AB12AA"/>
    <w:rsid w:val="00AB3A10"/>
    <w:rsid w:val="00AD15D2"/>
    <w:rsid w:val="00AD2763"/>
    <w:rsid w:val="00AD6A32"/>
    <w:rsid w:val="00AE071B"/>
    <w:rsid w:val="00AE3B7B"/>
    <w:rsid w:val="00AF1853"/>
    <w:rsid w:val="00AF3B23"/>
    <w:rsid w:val="00AF579A"/>
    <w:rsid w:val="00AF60D6"/>
    <w:rsid w:val="00AF63A1"/>
    <w:rsid w:val="00B058A2"/>
    <w:rsid w:val="00B05FD3"/>
    <w:rsid w:val="00B10A6A"/>
    <w:rsid w:val="00B1257D"/>
    <w:rsid w:val="00B13DAF"/>
    <w:rsid w:val="00B16F54"/>
    <w:rsid w:val="00B20415"/>
    <w:rsid w:val="00B21657"/>
    <w:rsid w:val="00B218DC"/>
    <w:rsid w:val="00B26940"/>
    <w:rsid w:val="00B27555"/>
    <w:rsid w:val="00B31165"/>
    <w:rsid w:val="00B324A8"/>
    <w:rsid w:val="00B327A4"/>
    <w:rsid w:val="00B34FF3"/>
    <w:rsid w:val="00B4354D"/>
    <w:rsid w:val="00B4730E"/>
    <w:rsid w:val="00B501D7"/>
    <w:rsid w:val="00B5258D"/>
    <w:rsid w:val="00B5775B"/>
    <w:rsid w:val="00B614E2"/>
    <w:rsid w:val="00B62A5E"/>
    <w:rsid w:val="00B6591B"/>
    <w:rsid w:val="00B6659D"/>
    <w:rsid w:val="00B7012F"/>
    <w:rsid w:val="00B71E45"/>
    <w:rsid w:val="00B72A3E"/>
    <w:rsid w:val="00B757AD"/>
    <w:rsid w:val="00B84342"/>
    <w:rsid w:val="00B87B48"/>
    <w:rsid w:val="00B91FEE"/>
    <w:rsid w:val="00B928DC"/>
    <w:rsid w:val="00B93E80"/>
    <w:rsid w:val="00B93FAF"/>
    <w:rsid w:val="00BA0C5D"/>
    <w:rsid w:val="00BA6C6F"/>
    <w:rsid w:val="00BB1F3A"/>
    <w:rsid w:val="00BB4E2B"/>
    <w:rsid w:val="00BC1598"/>
    <w:rsid w:val="00BC1C53"/>
    <w:rsid w:val="00BC254B"/>
    <w:rsid w:val="00BD27CC"/>
    <w:rsid w:val="00BD6316"/>
    <w:rsid w:val="00BD7935"/>
    <w:rsid w:val="00BE71D5"/>
    <w:rsid w:val="00BE72A8"/>
    <w:rsid w:val="00BF18CA"/>
    <w:rsid w:val="00BF1A9F"/>
    <w:rsid w:val="00BF27B5"/>
    <w:rsid w:val="00BF7346"/>
    <w:rsid w:val="00BF7BD4"/>
    <w:rsid w:val="00C00FC5"/>
    <w:rsid w:val="00C024C8"/>
    <w:rsid w:val="00C06AC6"/>
    <w:rsid w:val="00C120B1"/>
    <w:rsid w:val="00C13121"/>
    <w:rsid w:val="00C15995"/>
    <w:rsid w:val="00C22B23"/>
    <w:rsid w:val="00C22C0E"/>
    <w:rsid w:val="00C23291"/>
    <w:rsid w:val="00C24BCC"/>
    <w:rsid w:val="00C27062"/>
    <w:rsid w:val="00C27550"/>
    <w:rsid w:val="00C326BE"/>
    <w:rsid w:val="00C4081D"/>
    <w:rsid w:val="00C41F95"/>
    <w:rsid w:val="00C434E3"/>
    <w:rsid w:val="00C436E0"/>
    <w:rsid w:val="00C50447"/>
    <w:rsid w:val="00C51192"/>
    <w:rsid w:val="00C53331"/>
    <w:rsid w:val="00C54003"/>
    <w:rsid w:val="00C54E1C"/>
    <w:rsid w:val="00C56A9D"/>
    <w:rsid w:val="00C65208"/>
    <w:rsid w:val="00C70576"/>
    <w:rsid w:val="00C737FF"/>
    <w:rsid w:val="00C760D9"/>
    <w:rsid w:val="00C764A3"/>
    <w:rsid w:val="00C76DF6"/>
    <w:rsid w:val="00C77CC6"/>
    <w:rsid w:val="00C8264E"/>
    <w:rsid w:val="00C8355D"/>
    <w:rsid w:val="00C91EDC"/>
    <w:rsid w:val="00C93C3A"/>
    <w:rsid w:val="00C94A1E"/>
    <w:rsid w:val="00CA1CD4"/>
    <w:rsid w:val="00CA72B6"/>
    <w:rsid w:val="00CB2B31"/>
    <w:rsid w:val="00CB7AE4"/>
    <w:rsid w:val="00CC55BA"/>
    <w:rsid w:val="00CC5A34"/>
    <w:rsid w:val="00CD354B"/>
    <w:rsid w:val="00CD64B5"/>
    <w:rsid w:val="00CD7E8A"/>
    <w:rsid w:val="00CE0675"/>
    <w:rsid w:val="00CE10CA"/>
    <w:rsid w:val="00CE1DBC"/>
    <w:rsid w:val="00CE29E9"/>
    <w:rsid w:val="00CE6097"/>
    <w:rsid w:val="00CE7AA0"/>
    <w:rsid w:val="00CF073A"/>
    <w:rsid w:val="00CF155D"/>
    <w:rsid w:val="00CF30C4"/>
    <w:rsid w:val="00CF4D20"/>
    <w:rsid w:val="00CF5B80"/>
    <w:rsid w:val="00CF6BC2"/>
    <w:rsid w:val="00CF707D"/>
    <w:rsid w:val="00D01B70"/>
    <w:rsid w:val="00D03D87"/>
    <w:rsid w:val="00D0648E"/>
    <w:rsid w:val="00D11EDB"/>
    <w:rsid w:val="00D13A00"/>
    <w:rsid w:val="00D20305"/>
    <w:rsid w:val="00D20C32"/>
    <w:rsid w:val="00D21E45"/>
    <w:rsid w:val="00D2548F"/>
    <w:rsid w:val="00D26887"/>
    <w:rsid w:val="00D269B4"/>
    <w:rsid w:val="00D30355"/>
    <w:rsid w:val="00D30F8E"/>
    <w:rsid w:val="00D31EFD"/>
    <w:rsid w:val="00D350FF"/>
    <w:rsid w:val="00D40127"/>
    <w:rsid w:val="00D40D2C"/>
    <w:rsid w:val="00D41694"/>
    <w:rsid w:val="00D44120"/>
    <w:rsid w:val="00D44776"/>
    <w:rsid w:val="00D57F6F"/>
    <w:rsid w:val="00D65A4A"/>
    <w:rsid w:val="00D66DD9"/>
    <w:rsid w:val="00D7004B"/>
    <w:rsid w:val="00D7071B"/>
    <w:rsid w:val="00D71043"/>
    <w:rsid w:val="00D71615"/>
    <w:rsid w:val="00D76A32"/>
    <w:rsid w:val="00D8076A"/>
    <w:rsid w:val="00D839CC"/>
    <w:rsid w:val="00D84539"/>
    <w:rsid w:val="00D84A68"/>
    <w:rsid w:val="00D863B5"/>
    <w:rsid w:val="00D91FD8"/>
    <w:rsid w:val="00D948AC"/>
    <w:rsid w:val="00D964ED"/>
    <w:rsid w:val="00D97013"/>
    <w:rsid w:val="00DA4DF0"/>
    <w:rsid w:val="00DA599A"/>
    <w:rsid w:val="00DA5D26"/>
    <w:rsid w:val="00DA79D1"/>
    <w:rsid w:val="00DA7AF0"/>
    <w:rsid w:val="00DB1C4B"/>
    <w:rsid w:val="00DB4A8C"/>
    <w:rsid w:val="00DB5957"/>
    <w:rsid w:val="00DB670C"/>
    <w:rsid w:val="00DB69C9"/>
    <w:rsid w:val="00DC2699"/>
    <w:rsid w:val="00DC2E73"/>
    <w:rsid w:val="00DD0254"/>
    <w:rsid w:val="00DD5EB2"/>
    <w:rsid w:val="00DE0AE7"/>
    <w:rsid w:val="00DE0F98"/>
    <w:rsid w:val="00DE2F03"/>
    <w:rsid w:val="00DE6FF8"/>
    <w:rsid w:val="00DF5515"/>
    <w:rsid w:val="00DF572A"/>
    <w:rsid w:val="00E01DB3"/>
    <w:rsid w:val="00E02506"/>
    <w:rsid w:val="00E04B07"/>
    <w:rsid w:val="00E05C54"/>
    <w:rsid w:val="00E0645C"/>
    <w:rsid w:val="00E06629"/>
    <w:rsid w:val="00E10636"/>
    <w:rsid w:val="00E13327"/>
    <w:rsid w:val="00E17DAA"/>
    <w:rsid w:val="00E202D3"/>
    <w:rsid w:val="00E209FC"/>
    <w:rsid w:val="00E23813"/>
    <w:rsid w:val="00E26599"/>
    <w:rsid w:val="00E30535"/>
    <w:rsid w:val="00E30677"/>
    <w:rsid w:val="00E31078"/>
    <w:rsid w:val="00E322E9"/>
    <w:rsid w:val="00E3485B"/>
    <w:rsid w:val="00E41BCA"/>
    <w:rsid w:val="00E4547F"/>
    <w:rsid w:val="00E45CAD"/>
    <w:rsid w:val="00E504C2"/>
    <w:rsid w:val="00E50594"/>
    <w:rsid w:val="00E51922"/>
    <w:rsid w:val="00E562B1"/>
    <w:rsid w:val="00E567FC"/>
    <w:rsid w:val="00E612BB"/>
    <w:rsid w:val="00E615FC"/>
    <w:rsid w:val="00E649C1"/>
    <w:rsid w:val="00E6543C"/>
    <w:rsid w:val="00E72E5E"/>
    <w:rsid w:val="00E73750"/>
    <w:rsid w:val="00E73790"/>
    <w:rsid w:val="00E769C7"/>
    <w:rsid w:val="00E8406F"/>
    <w:rsid w:val="00E872BE"/>
    <w:rsid w:val="00E9299A"/>
    <w:rsid w:val="00E94BA2"/>
    <w:rsid w:val="00E95620"/>
    <w:rsid w:val="00E95AA3"/>
    <w:rsid w:val="00EA016B"/>
    <w:rsid w:val="00EA1450"/>
    <w:rsid w:val="00EA3939"/>
    <w:rsid w:val="00EA42BE"/>
    <w:rsid w:val="00EA4708"/>
    <w:rsid w:val="00EB0F17"/>
    <w:rsid w:val="00EB255F"/>
    <w:rsid w:val="00EB3D28"/>
    <w:rsid w:val="00EB4D8A"/>
    <w:rsid w:val="00EB5640"/>
    <w:rsid w:val="00EB6FA9"/>
    <w:rsid w:val="00EC0139"/>
    <w:rsid w:val="00EC07D0"/>
    <w:rsid w:val="00EC26D9"/>
    <w:rsid w:val="00EC468D"/>
    <w:rsid w:val="00ED6278"/>
    <w:rsid w:val="00EE14E9"/>
    <w:rsid w:val="00EE701D"/>
    <w:rsid w:val="00EF6EBA"/>
    <w:rsid w:val="00F05611"/>
    <w:rsid w:val="00F07848"/>
    <w:rsid w:val="00F163FD"/>
    <w:rsid w:val="00F20EEB"/>
    <w:rsid w:val="00F24E8D"/>
    <w:rsid w:val="00F3026B"/>
    <w:rsid w:val="00F338DD"/>
    <w:rsid w:val="00F40875"/>
    <w:rsid w:val="00F413B4"/>
    <w:rsid w:val="00F41A96"/>
    <w:rsid w:val="00F46419"/>
    <w:rsid w:val="00F5061A"/>
    <w:rsid w:val="00F51F4C"/>
    <w:rsid w:val="00F52CA1"/>
    <w:rsid w:val="00F53549"/>
    <w:rsid w:val="00F54DF9"/>
    <w:rsid w:val="00F55F13"/>
    <w:rsid w:val="00F60763"/>
    <w:rsid w:val="00F627B3"/>
    <w:rsid w:val="00F6541B"/>
    <w:rsid w:val="00F7186B"/>
    <w:rsid w:val="00F71EF8"/>
    <w:rsid w:val="00F7339B"/>
    <w:rsid w:val="00F76B24"/>
    <w:rsid w:val="00F82B17"/>
    <w:rsid w:val="00F86299"/>
    <w:rsid w:val="00F90231"/>
    <w:rsid w:val="00F91771"/>
    <w:rsid w:val="00F9271C"/>
    <w:rsid w:val="00F9290C"/>
    <w:rsid w:val="00F95EFB"/>
    <w:rsid w:val="00F978CE"/>
    <w:rsid w:val="00FA16F8"/>
    <w:rsid w:val="00FA3701"/>
    <w:rsid w:val="00FA646E"/>
    <w:rsid w:val="00FA6994"/>
    <w:rsid w:val="00FA7F94"/>
    <w:rsid w:val="00FB0068"/>
    <w:rsid w:val="00FB36FE"/>
    <w:rsid w:val="00FB62BF"/>
    <w:rsid w:val="00FC2FBA"/>
    <w:rsid w:val="00FC5E7F"/>
    <w:rsid w:val="00FC79DE"/>
    <w:rsid w:val="00FD1C47"/>
    <w:rsid w:val="00FD498C"/>
    <w:rsid w:val="00FD581D"/>
    <w:rsid w:val="00FD71C7"/>
    <w:rsid w:val="00FE70AB"/>
    <w:rsid w:val="00FF0EEF"/>
    <w:rsid w:val="00FF3BB6"/>
    <w:rsid w:val="00FF660C"/>
    <w:rsid w:val="00FF714A"/>
    <w:rsid w:val="213CC2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5227A"/>
    <w:rPr>
      <w:rFonts w:ascii="Calibri Light" w:eastAsia="Calibri Light" w:hAnsi="Calibri Light" w:cs="Calibri Light"/>
      <w:lang w:val="en-GB" w:eastAsia="en-GB" w:bidi="en-GB"/>
    </w:rPr>
  </w:style>
  <w:style w:type="paragraph" w:styleId="Heading1">
    <w:name w:val="heading 1"/>
    <w:basedOn w:val="Normal"/>
    <w:autoRedefine/>
    <w:uiPriority w:val="1"/>
    <w:qFormat/>
    <w:rsid w:val="00774AB1"/>
    <w:pPr>
      <w:spacing w:line="360" w:lineRule="auto"/>
      <w:ind w:left="220"/>
      <w:jc w:val="both"/>
      <w:outlineLvl w:val="0"/>
    </w:pPr>
    <w:rPr>
      <w:rFonts w:ascii="Arial" w:hAnsi="Arial"/>
      <w:b/>
      <w:sz w:val="28"/>
      <w:szCs w:val="32"/>
    </w:rPr>
  </w:style>
  <w:style w:type="paragraph" w:styleId="Heading2">
    <w:name w:val="heading 2"/>
    <w:basedOn w:val="Normal"/>
    <w:link w:val="Heading2Char"/>
    <w:autoRedefine/>
    <w:uiPriority w:val="1"/>
    <w:qFormat/>
    <w:rsid w:val="00774AB1"/>
    <w:pPr>
      <w:spacing w:line="360" w:lineRule="auto"/>
      <w:ind w:left="220"/>
      <w:jc w:val="both"/>
      <w:outlineLvl w:val="1"/>
    </w:pPr>
    <w:rPr>
      <w:rFonts w:ascii="Arial" w:hAnsi="Arial"/>
      <w:b/>
      <w:sz w:val="26"/>
      <w:szCs w:val="28"/>
    </w:rPr>
  </w:style>
  <w:style w:type="paragraph" w:styleId="Heading3">
    <w:name w:val="heading 3"/>
    <w:basedOn w:val="Normal"/>
    <w:uiPriority w:val="1"/>
    <w:qFormat/>
    <w:rsid w:val="00D44120"/>
    <w:pPr>
      <w:spacing w:before="10"/>
      <w:ind w:left="40"/>
      <w:outlineLvl w:val="2"/>
    </w:pPr>
    <w:rPr>
      <w:rFonts w:ascii="Arial" w:hAnsi="Arial"/>
      <w:b/>
      <w:sz w:val="24"/>
      <w:szCs w:val="24"/>
    </w:rPr>
  </w:style>
  <w:style w:type="paragraph" w:styleId="Heading4">
    <w:name w:val="heading 4"/>
    <w:basedOn w:val="Normal"/>
    <w:next w:val="Normal"/>
    <w:link w:val="Heading4Char"/>
    <w:autoRedefine/>
    <w:uiPriority w:val="9"/>
    <w:unhideWhenUsed/>
    <w:qFormat/>
    <w:rsid w:val="00774AB1"/>
    <w:pPr>
      <w:keepNext/>
      <w:keepLines/>
      <w:spacing w:line="360" w:lineRule="auto"/>
      <w:jc w:val="center"/>
      <w:outlineLvl w:val="3"/>
    </w:pPr>
    <w:rPr>
      <w:rFonts w:ascii="Arial" w:eastAsiaTheme="majorEastAsia" w:hAnsi="Arial" w:cstheme="majorBidi"/>
      <w:b/>
      <w:iCs/>
      <w:sz w:val="24"/>
    </w:rPr>
  </w:style>
  <w:style w:type="paragraph" w:styleId="Heading5">
    <w:name w:val="heading 5"/>
    <w:basedOn w:val="Normal"/>
    <w:next w:val="Normal"/>
    <w:link w:val="Heading5Char"/>
    <w:autoRedefine/>
    <w:uiPriority w:val="9"/>
    <w:unhideWhenUsed/>
    <w:qFormat/>
    <w:rsid w:val="00774AB1"/>
    <w:pPr>
      <w:keepNext/>
      <w:keepLines/>
      <w:spacing w:line="360" w:lineRule="auto"/>
      <w:jc w:val="center"/>
      <w:outlineLvl w:val="4"/>
    </w:pPr>
    <w:rPr>
      <w:rFonts w:ascii="Arial" w:eastAsiaTheme="majorEastAsia" w:hAnsi="Arial" w:cstheme="majorBidi"/>
      <w:b/>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DA5D26"/>
    <w:rPr>
      <w:rFonts w:ascii="Arial" w:hAnsi="Arial"/>
    </w:rPr>
  </w:style>
  <w:style w:type="paragraph" w:styleId="ListParagraph">
    <w:name w:val="List Paragraph"/>
    <w:basedOn w:val="Normal"/>
    <w:uiPriority w:val="34"/>
    <w:qFormat/>
    <w:rsid w:val="00006CBA"/>
    <w:pPr>
      <w:ind w:left="940" w:hanging="360"/>
    </w:pPr>
  </w:style>
  <w:style w:type="paragraph" w:customStyle="1" w:styleId="TableParagraph">
    <w:name w:val="Table Paragraph"/>
    <w:basedOn w:val="Normal"/>
    <w:uiPriority w:val="1"/>
    <w:qFormat/>
    <w:rsid w:val="00006CBA"/>
    <w:pPr>
      <w:ind w:left="107"/>
    </w:pPr>
  </w:style>
  <w:style w:type="table" w:styleId="TableGrid">
    <w:name w:val="Table Grid"/>
    <w:basedOn w:val="TableNormal"/>
    <w:uiPriority w:val="39"/>
    <w:rsid w:val="005C2C7A"/>
    <w:pPr>
      <w:widowControl/>
      <w:autoSpaceDE/>
      <w:autoSpaceDN/>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character" w:styleId="Hyperlink">
    <w:name w:val="Hyperlink"/>
    <w:basedOn w:val="DefaultParagraphFont"/>
    <w:uiPriority w:val="99"/>
    <w:unhideWhenUsed/>
    <w:rsid w:val="00E51922"/>
    <w:rPr>
      <w:color w:val="0000FF" w:themeColor="hyperlink"/>
      <w:u w:val="single"/>
    </w:rPr>
  </w:style>
  <w:style w:type="paragraph" w:styleId="TOC1">
    <w:name w:val="toc 1"/>
    <w:basedOn w:val="Normal"/>
    <w:next w:val="Normal"/>
    <w:uiPriority w:val="39"/>
    <w:unhideWhenUsed/>
    <w:rsid w:val="00E51922"/>
    <w:pPr>
      <w:widowControl/>
      <w:autoSpaceDE/>
      <w:autoSpaceDN/>
      <w:spacing w:after="100" w:line="259" w:lineRule="auto"/>
    </w:pPr>
    <w:rPr>
      <w:rFonts w:asciiTheme="minorHAnsi" w:eastAsiaTheme="minorHAnsi" w:hAnsiTheme="minorHAnsi" w:cstheme="minorBidi"/>
      <w:lang w:eastAsia="en-US" w:bidi="ar-SA"/>
    </w:rPr>
  </w:style>
  <w:style w:type="paragraph" w:styleId="TOC2">
    <w:name w:val="toc 2"/>
    <w:basedOn w:val="Normal"/>
    <w:next w:val="Normal"/>
    <w:uiPriority w:val="39"/>
    <w:unhideWhenUsed/>
    <w:rsid w:val="00E51922"/>
    <w:pPr>
      <w:widowControl/>
      <w:autoSpaceDE/>
      <w:autoSpaceDN/>
      <w:spacing w:after="100" w:line="259" w:lineRule="auto"/>
      <w:ind w:left="220"/>
    </w:pPr>
    <w:rPr>
      <w:rFonts w:asciiTheme="minorHAnsi" w:eastAsiaTheme="minorHAnsi" w:hAnsiTheme="minorHAnsi" w:cstheme="minorBidi"/>
      <w:lang w:eastAsia="en-US" w:bidi="ar-SA"/>
    </w:rPr>
  </w:style>
  <w:style w:type="paragraph" w:styleId="TableofFigures">
    <w:name w:val="table of figures"/>
    <w:basedOn w:val="Normal"/>
    <w:next w:val="Normal"/>
    <w:uiPriority w:val="99"/>
    <w:unhideWhenUsed/>
    <w:rsid w:val="005F4CBF"/>
    <w:pPr>
      <w:widowControl/>
      <w:autoSpaceDE/>
      <w:autoSpaceDN/>
      <w:spacing w:line="259" w:lineRule="auto"/>
    </w:pPr>
    <w:rPr>
      <w:rFonts w:asciiTheme="minorHAnsi" w:eastAsiaTheme="minorHAnsi" w:hAnsiTheme="minorHAnsi" w:cstheme="minorBidi"/>
      <w:lang w:eastAsia="en-US" w:bidi="ar-SA"/>
    </w:rPr>
  </w:style>
  <w:style w:type="character" w:customStyle="1" w:styleId="Heading2Char">
    <w:name w:val="Heading 2 Char"/>
    <w:basedOn w:val="DefaultParagraphFont"/>
    <w:link w:val="Heading2"/>
    <w:uiPriority w:val="1"/>
    <w:rsid w:val="00774AB1"/>
    <w:rPr>
      <w:rFonts w:ascii="Arial" w:eastAsia="Calibri Light" w:hAnsi="Arial" w:cs="Calibri Light"/>
      <w:b/>
      <w:sz w:val="26"/>
      <w:szCs w:val="28"/>
      <w:lang w:val="en-GB" w:eastAsia="en-GB" w:bidi="en-GB"/>
    </w:rPr>
  </w:style>
  <w:style w:type="character" w:customStyle="1" w:styleId="BodyTextChar">
    <w:name w:val="Body Text Char"/>
    <w:basedOn w:val="DefaultParagraphFont"/>
    <w:link w:val="BodyText"/>
    <w:uiPriority w:val="1"/>
    <w:rsid w:val="00512F91"/>
    <w:rPr>
      <w:rFonts w:ascii="Arial" w:eastAsia="Calibri Light" w:hAnsi="Arial" w:cs="Calibri Light"/>
      <w:lang w:val="en-GB" w:eastAsia="en-GB" w:bidi="en-GB"/>
    </w:rPr>
  </w:style>
  <w:style w:type="paragraph" w:customStyle="1" w:styleId="Caption1">
    <w:name w:val="Caption1"/>
    <w:basedOn w:val="Normal"/>
    <w:next w:val="Normal"/>
    <w:uiPriority w:val="35"/>
    <w:unhideWhenUsed/>
    <w:qFormat/>
    <w:rsid w:val="005B5D20"/>
    <w:pPr>
      <w:widowControl/>
      <w:autoSpaceDE/>
      <w:autoSpaceDN/>
      <w:spacing w:after="200"/>
    </w:pPr>
    <w:rPr>
      <w:rFonts w:ascii="Calibri" w:eastAsia="Calibri" w:hAnsi="Calibri" w:cs="Arial"/>
      <w:i/>
      <w:iCs/>
      <w:color w:val="44546A"/>
      <w:sz w:val="18"/>
      <w:szCs w:val="18"/>
      <w:lang w:eastAsia="en-US" w:bidi="ar-SA"/>
    </w:rPr>
  </w:style>
  <w:style w:type="character" w:customStyle="1" w:styleId="UnresolvedMention">
    <w:name w:val="Unresolved Mention"/>
    <w:basedOn w:val="DefaultParagraphFont"/>
    <w:uiPriority w:val="99"/>
    <w:semiHidden/>
    <w:unhideWhenUsed/>
    <w:rsid w:val="00A11058"/>
    <w:rPr>
      <w:color w:val="605E5C"/>
      <w:shd w:val="clear" w:color="auto" w:fill="E1DFDD"/>
    </w:rPr>
  </w:style>
  <w:style w:type="character" w:customStyle="1" w:styleId="cf01">
    <w:name w:val="cf01"/>
    <w:basedOn w:val="DefaultParagraphFont"/>
    <w:rsid w:val="00E202D3"/>
    <w:rPr>
      <w:rFonts w:ascii="Segoe UI" w:hAnsi="Segoe UI" w:cs="Segoe UI" w:hint="default"/>
      <w:sz w:val="18"/>
      <w:szCs w:val="18"/>
    </w:rPr>
  </w:style>
  <w:style w:type="character" w:customStyle="1" w:styleId="Heading5Char">
    <w:name w:val="Heading 5 Char"/>
    <w:basedOn w:val="DefaultParagraphFont"/>
    <w:link w:val="Heading5"/>
    <w:uiPriority w:val="9"/>
    <w:rsid w:val="00774AB1"/>
    <w:rPr>
      <w:rFonts w:ascii="Arial" w:eastAsiaTheme="majorEastAsia" w:hAnsi="Arial" w:cstheme="majorBidi"/>
      <w:b/>
      <w:color w:val="000000" w:themeColor="text1"/>
      <w:sz w:val="24"/>
      <w:lang w:val="en-GB" w:eastAsia="en-GB" w:bidi="en-GB"/>
    </w:rPr>
  </w:style>
  <w:style w:type="character" w:customStyle="1" w:styleId="Heading4Char">
    <w:name w:val="Heading 4 Char"/>
    <w:basedOn w:val="DefaultParagraphFont"/>
    <w:link w:val="Heading4"/>
    <w:uiPriority w:val="9"/>
    <w:rsid w:val="00774AB1"/>
    <w:rPr>
      <w:rFonts w:ascii="Arial" w:eastAsiaTheme="majorEastAsia" w:hAnsi="Arial" w:cstheme="majorBidi"/>
      <w:b/>
      <w:iCs/>
      <w:sz w:val="24"/>
      <w:lang w:val="en-GB" w:eastAsia="en-GB" w:bidi="en-GB"/>
    </w:rPr>
  </w:style>
  <w:style w:type="paragraph" w:styleId="TOCHeading">
    <w:name w:val="TOC Heading"/>
    <w:basedOn w:val="Heading1"/>
    <w:next w:val="Normal"/>
    <w:uiPriority w:val="39"/>
    <w:unhideWhenUsed/>
    <w:qFormat/>
    <w:rsid w:val="00910001"/>
    <w:pPr>
      <w:keepNext/>
      <w:keepLines/>
      <w:widowControl/>
      <w:autoSpaceDE/>
      <w:autoSpaceDN/>
      <w:spacing w:before="240" w:line="259" w:lineRule="auto"/>
      <w:ind w:left="0"/>
      <w:jc w:val="left"/>
      <w:outlineLvl w:val="9"/>
    </w:pPr>
    <w:rPr>
      <w:rFonts w:asciiTheme="majorHAnsi" w:eastAsiaTheme="majorEastAsia" w:hAnsiTheme="majorHAnsi" w:cstheme="majorBidi"/>
      <w:b w:val="0"/>
      <w:color w:val="365F91" w:themeColor="accent1" w:themeShade="BF"/>
      <w:sz w:val="32"/>
      <w:lang w:val="en-US" w:eastAsia="en-US" w:bidi="ar-SA"/>
    </w:rPr>
  </w:style>
  <w:style w:type="paragraph" w:styleId="TOC3">
    <w:name w:val="toc 3"/>
    <w:basedOn w:val="Normal"/>
    <w:next w:val="Normal"/>
    <w:autoRedefine/>
    <w:uiPriority w:val="39"/>
    <w:unhideWhenUsed/>
    <w:rsid w:val="00910001"/>
    <w:pPr>
      <w:spacing w:after="100"/>
      <w:ind w:left="440"/>
    </w:pPr>
  </w:style>
  <w:style w:type="paragraph" w:styleId="BalloonText">
    <w:name w:val="Balloon Text"/>
    <w:basedOn w:val="Normal"/>
    <w:link w:val="BalloonTextChar"/>
    <w:uiPriority w:val="99"/>
    <w:semiHidden/>
    <w:unhideWhenUsed/>
    <w:rsid w:val="00861D25"/>
    <w:rPr>
      <w:rFonts w:ascii="Tahoma" w:hAnsi="Tahoma" w:cs="Tahoma"/>
      <w:sz w:val="16"/>
      <w:szCs w:val="16"/>
    </w:rPr>
  </w:style>
  <w:style w:type="character" w:customStyle="1" w:styleId="BalloonTextChar">
    <w:name w:val="Balloon Text Char"/>
    <w:basedOn w:val="DefaultParagraphFont"/>
    <w:link w:val="BalloonText"/>
    <w:uiPriority w:val="99"/>
    <w:semiHidden/>
    <w:rsid w:val="00861D25"/>
    <w:rPr>
      <w:rFonts w:ascii="Tahoma" w:eastAsia="Calibri Light" w:hAnsi="Tahoma" w:cs="Tahoma"/>
      <w:sz w:val="16"/>
      <w:szCs w:val="16"/>
      <w:lang w:val="en-GB" w:eastAsia="en-GB" w:bidi="en-GB"/>
    </w:rPr>
  </w:style>
</w:styles>
</file>

<file path=word/webSettings.xml><?xml version="1.0" encoding="utf-8"?>
<w:webSettings xmlns:r="http://schemas.openxmlformats.org/officeDocument/2006/relationships" xmlns:w="http://schemas.openxmlformats.org/wordprocessingml/2006/main">
  <w:divs>
    <w:div w:id="584728630">
      <w:bodyDiv w:val="1"/>
      <w:marLeft w:val="0"/>
      <w:marRight w:val="0"/>
      <w:marTop w:val="0"/>
      <w:marBottom w:val="0"/>
      <w:divBdr>
        <w:top w:val="none" w:sz="0" w:space="0" w:color="auto"/>
        <w:left w:val="none" w:sz="0" w:space="0" w:color="auto"/>
        <w:bottom w:val="none" w:sz="0" w:space="0" w:color="auto"/>
        <w:right w:val="none" w:sz="0" w:space="0" w:color="auto"/>
      </w:divBdr>
    </w:div>
    <w:div w:id="1575315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glmedi.2025.100198" TargetMode="External"/><Relationship Id="rId18" Type="http://schemas.openxmlformats.org/officeDocument/2006/relationships/hyperlink" Target="https://doi.org/10.1186/s12913-017-2516-5" TargetMode="External"/><Relationship Id="rId26" Type="http://schemas.openxmlformats.org/officeDocument/2006/relationships/hyperlink" Target="https://doi.org/10.1186/s12877-025-06403-9" TargetMode="External"/><Relationship Id="rId39" Type="http://schemas.openxmlformats.org/officeDocument/2006/relationships/hyperlink" Target="https://doi.org/10.1093/ageing/afad059" TargetMode="External"/><Relationship Id="rId3" Type="http://schemas.openxmlformats.org/officeDocument/2006/relationships/styles" Target="styles.xml"/><Relationship Id="rId21" Type="http://schemas.openxmlformats.org/officeDocument/2006/relationships/hyperlink" Target="https://www.cdc.gov/falls/data-research/facts-stats/index.html" TargetMode="External"/><Relationship Id="rId34" Type="http://schemas.openxmlformats.org/officeDocument/2006/relationships/hyperlink" Target="https://doi.org/10.3233/ppr-230779" TargetMode="External"/><Relationship Id="rId42" Type="http://schemas.openxmlformats.org/officeDocument/2006/relationships/hyperlink" Target="https://doi.org/10.3390/healthcare13070834" TargetMode="External"/><Relationship Id="rId47" Type="http://schemas.openxmlformats.org/officeDocument/2006/relationships/hyperlink" Target="https://doi.org/10.1519/jpt.0000000000000304"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oi.org/10.7861/fhj.9-2-s51" TargetMode="External"/><Relationship Id="rId17" Type="http://schemas.openxmlformats.org/officeDocument/2006/relationships/hyperlink" Target="https://doi.org/10.1016/j.bjpt.2025.101252" TargetMode="External"/><Relationship Id="rId25" Type="http://schemas.openxmlformats.org/officeDocument/2006/relationships/hyperlink" Target="https://doi.org/10.1186/s13063-021-05091-1" TargetMode="External"/><Relationship Id="rId33" Type="http://schemas.openxmlformats.org/officeDocument/2006/relationships/hyperlink" Target="https://doi.org/10.1371/journal.pmed.1000097" TargetMode="External"/><Relationship Id="rId38" Type="http://schemas.openxmlformats.org/officeDocument/2006/relationships/hyperlink" Target="https://doi.org/10.3390/ijerph22121827" TargetMode="External"/><Relationship Id="rId46" Type="http://schemas.openxmlformats.org/officeDocument/2006/relationships/hyperlink" Target="https://doi.org/10.3389/fpubh.2021.672366" TargetMode="External"/><Relationship Id="rId2" Type="http://schemas.openxmlformats.org/officeDocument/2006/relationships/numbering" Target="numbering.xml"/><Relationship Id="rId16" Type="http://schemas.openxmlformats.org/officeDocument/2006/relationships/hyperlink" Target="https://www.ncbi.nlm.nih.gov/books/NBK560761/" TargetMode="External"/><Relationship Id="rId20" Type="http://schemas.openxmlformats.org/officeDocument/2006/relationships/hyperlink" Target="https://doi.org/10.1136/bmjopen-2018-025702" TargetMode="External"/><Relationship Id="rId29" Type="http://schemas.openxmlformats.org/officeDocument/2006/relationships/hyperlink" Target="https://doi.org/10.56557/ajoaims/2025/v7i1160" TargetMode="External"/><Relationship Id="rId41" Type="http://schemas.openxmlformats.org/officeDocument/2006/relationships/hyperlink" Target="https://www.activeandhealthy.nsw.gov.au/assets/pdf/Best_Practice_Recommendation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ouci.dntb.gov.ua/en/works/98xdOPY9/" TargetMode="External"/><Relationship Id="rId32" Type="http://schemas.openxmlformats.org/officeDocument/2006/relationships/hyperlink" Target="https://doi.org/10.2147/cia.s354911" TargetMode="External"/><Relationship Id="rId37" Type="http://schemas.openxmlformats.org/officeDocument/2006/relationships/hyperlink" Target="https://www.ithinkwell.org/casp-critical-appraisal-skills-programme-for-all/" TargetMode="External"/><Relationship Id="rId40" Type="http://schemas.openxmlformats.org/officeDocument/2006/relationships/hyperlink" Target="https://doi.org/10.1002/14651858.cd012424.pub2" TargetMode="External"/><Relationship Id="rId45" Type="http://schemas.openxmlformats.org/officeDocument/2006/relationships/hyperlink" Target="https://doi.org/10.1007/s41999-025-01206-y"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2147/jmdh.s535977" TargetMode="External"/><Relationship Id="rId23" Type="http://schemas.openxmlformats.org/officeDocument/2006/relationships/hyperlink" Target="https://doi.org/10.3390/app12157934" TargetMode="External"/><Relationship Id="rId28" Type="http://schemas.openxmlformats.org/officeDocument/2006/relationships/hyperlink" Target="https://doi.org/10.3389/fpubh.2024.1377972" TargetMode="External"/><Relationship Id="rId36" Type="http://schemas.openxmlformats.org/officeDocument/2006/relationships/hyperlink" Target="https://doi.org/10.1371/journal.pone.0175559" TargetMode="External"/><Relationship Id="rId49" Type="http://schemas.openxmlformats.org/officeDocument/2006/relationships/hyperlink" Target="https://doi.org/10.7717/peerj.20190" TargetMode="External"/><Relationship Id="rId10" Type="http://schemas.openxmlformats.org/officeDocument/2006/relationships/image" Target="media/image2.png"/><Relationship Id="rId19" Type="http://schemas.openxmlformats.org/officeDocument/2006/relationships/hyperlink" Target="https://doi.org/10.1136/bmjopen-2015-009362" TargetMode="External"/><Relationship Id="rId31" Type="http://schemas.openxmlformats.org/officeDocument/2006/relationships/hyperlink" Target="https://doi.org/10.3390/healthcare13243209" TargetMode="External"/><Relationship Id="rId44" Type="http://schemas.openxmlformats.org/officeDocument/2006/relationships/hyperlink" Target="https://doi.org/10.1093/ageing/afq102"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016/j.jtumed.2024.12.006" TargetMode="External"/><Relationship Id="rId22" Type="http://schemas.openxmlformats.org/officeDocument/2006/relationships/hyperlink" Target="https://doi.org/10.5812/ircmj.26340" TargetMode="External"/><Relationship Id="rId27" Type="http://schemas.openxmlformats.org/officeDocument/2006/relationships/hyperlink" Target="https://doi.org/10.1002/wps.21224" TargetMode="External"/><Relationship Id="rId30" Type="http://schemas.openxmlformats.org/officeDocument/2006/relationships/hyperlink" Target="https://doi.org/10.3390/healthcare12070718" TargetMode="External"/><Relationship Id="rId35" Type="http://schemas.openxmlformats.org/officeDocument/2006/relationships/hyperlink" Target="https://doi.org/10.1177/16094069231205789" TargetMode="External"/><Relationship Id="rId43" Type="http://schemas.openxmlformats.org/officeDocument/2006/relationships/hyperlink" Target="https://therapiesonthames.co.uk/blog/cost-of-falls-to-nhs-and-social-care/" TargetMode="External"/><Relationship Id="rId48" Type="http://schemas.openxmlformats.org/officeDocument/2006/relationships/hyperlink" Target="https://doi.org/10.3389/fpubh.2022.953593" TargetMode="External"/><Relationship Id="rId8" Type="http://schemas.openxmlformats.org/officeDocument/2006/relationships/image" Target="media/image1.png"/><Relationship Id="rId5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B8D13-5949-4B76-8A04-232B287CD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22245</Words>
  <Characters>126803</Characters>
  <Application>Microsoft Office Word</Application>
  <DocSecurity>0</DocSecurity>
  <Lines>1056</Lines>
  <Paragraphs>297</Paragraphs>
  <ScaleCrop>false</ScaleCrop>
  <LinksUpToDate>false</LinksUpToDate>
  <CharactersWithSpaces>148751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2026-05-12T23:46:00Z</dcterms:created>
  <dcterms:modified xsi:type="dcterms:W3CDTF">2026-05-12T23:46:00Z</dcterms:modified>
</cp:coreProperties>
</file>