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rFonts w:ascii="Arial" w:cs="Arial" w:eastAsia="Arial" w:hAnsi="Arial"/>
          <w:b w:val="1"/>
          <w:sz w:val="22"/>
          <w:szCs w:val="22"/>
        </w:rPr>
        <w:drawing>
          <wp:inline distB="114300" distT="114300" distL="114300" distR="114300">
            <wp:extent cx="2190750" cy="857250"/>
            <wp:effectExtent b="0" l="0" r="0" t="0"/>
            <wp:docPr id="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90750" cy="8572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3">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University of Wales Trinity Saint David</w:t>
      </w:r>
    </w:p>
    <w:p w:rsidR="00000000" w:rsidDel="00000000" w:rsidP="00000000" w:rsidRDefault="00000000" w:rsidRPr="00000000" w14:paraId="00000004">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Global Business Environment (LCBB4005)</w:t>
      </w:r>
    </w:p>
    <w:p w:rsidR="00000000" w:rsidDel="00000000" w:rsidP="00000000" w:rsidRDefault="00000000" w:rsidRPr="00000000" w14:paraId="00000005">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Analysis of Business Environment of UWTSD</w:t>
      </w:r>
    </w:p>
    <w:p w:rsidR="00000000" w:rsidDel="00000000" w:rsidP="00000000" w:rsidRDefault="00000000" w:rsidRPr="00000000" w14:paraId="00000006">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 of Student : Raluca-Maria Manda</w:t>
      </w:r>
    </w:p>
    <w:p w:rsidR="00000000" w:rsidDel="00000000" w:rsidP="00000000" w:rsidRDefault="00000000" w:rsidRPr="00000000" w14:paraId="00000007">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Id:2127848</w:t>
      </w:r>
    </w:p>
    <w:p w:rsidR="00000000" w:rsidDel="00000000" w:rsidP="00000000" w:rsidRDefault="00000000" w:rsidRPr="00000000" w14:paraId="00000008">
      <w:pPr>
        <w:spacing w:line="276"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Name of Lecturer:Dr.Eric Osei</w:t>
      </w:r>
    </w:p>
    <w:p w:rsidR="00000000" w:rsidDel="00000000" w:rsidP="00000000" w:rsidRDefault="00000000" w:rsidRPr="00000000" w14:paraId="00000009">
      <w:pPr>
        <w:spacing w:line="276"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A">
      <w:pPr>
        <w:spacing w:line="276" w:lineRule="auto"/>
        <w:jc w:val="left"/>
        <w:rPr>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B">
      <w:pPr>
        <w:rPr>
          <w:b w:val="1"/>
          <w:sz w:val="40"/>
          <w:szCs w:val="40"/>
        </w:rPr>
      </w:pP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366091"/>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Higher Education Sector in the UK</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and Discussion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 of the Higher Education Sector in the UK</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Model for the Higher Education sector of the UK</w:t>
              <w:tab/>
              <w:t xml:space="preserve">9</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276"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line="276" w:lineRule="auto"/>
        <w:jc w:val="left"/>
        <w:rPr>
          <w:b w:val="1"/>
          <w:sz w:val="32"/>
          <w:szCs w:val="32"/>
        </w:rPr>
      </w:pPr>
      <w:r w:rsidDel="00000000" w:rsidR="00000000" w:rsidRPr="00000000">
        <w:rPr>
          <w:rtl w:val="0"/>
        </w:rPr>
      </w:r>
    </w:p>
    <w:p w:rsidR="00000000" w:rsidDel="00000000" w:rsidP="00000000" w:rsidRDefault="00000000" w:rsidRPr="00000000" w14:paraId="00000017">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8">
      <w:pPr>
        <w:rPr/>
      </w:pPr>
      <w:r w:rsidDel="00000000" w:rsidR="00000000" w:rsidRPr="00000000">
        <w:rPr>
          <w:rtl w:val="0"/>
        </w:rPr>
        <w:t xml:space="preserve">Higher education has always been the desire for national and international students. The Higher Education sector of the United Kingdom has already been the center of desire for international students. Thousands of international students visit the UK every year to enhance their academic qualifications by studying in the Higher Education sector here. This is because the Universities located in the United Kingdom have immense popularity worldwide for the quality of educational degrees and courses they deliver. However, this report is prepared using information regarding the higher education sector of the United Kingdom. The first section of this report provides a detailed overview of the Higher Education sector of the UK. The key focus of this report has been given on the conduction of Porter's Five Forces as well as a PESTEL Analysis of the Higher education sector of the United Kingdom. This report also measures the impacts of global factors on the chosen University named UWTSD while conducting this Analysis.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rPr/>
      </w:pPr>
      <w:bookmarkStart w:colFirst="0" w:colLast="0" w:name="_heading=h.30j0zll" w:id="1"/>
      <w:bookmarkEnd w:id="1"/>
      <w:r w:rsidDel="00000000" w:rsidR="00000000" w:rsidRPr="00000000">
        <w:rPr>
          <w:rtl w:val="0"/>
        </w:rPr>
        <w:t xml:space="preserve">Overview of the Higher Education Sector in the UK</w:t>
      </w:r>
    </w:p>
    <w:p w:rsidR="00000000" w:rsidDel="00000000" w:rsidP="00000000" w:rsidRDefault="00000000" w:rsidRPr="00000000" w14:paraId="00000023">
      <w:pPr>
        <w:rPr/>
      </w:pPr>
      <w:r w:rsidDel="00000000" w:rsidR="00000000" w:rsidRPr="00000000">
        <w:rPr>
          <w:rtl w:val="0"/>
        </w:rPr>
        <w:t xml:space="preserve">In particular, the higher education system in the United Kingdom has earned a worldwide reputation for quality. The success of its graduates is another factor that contributes to the region's well-deserved reputation for excellence in higher education. Many well-known people whose work has been recognized on a global scale received their education at one of the many prestigious colleges in the United Kingdom (</w:t>
      </w:r>
      <w:r w:rsidDel="00000000" w:rsidR="00000000" w:rsidRPr="00000000">
        <w:rPr>
          <w:color w:val="222222"/>
          <w:highlight w:val="white"/>
          <w:rtl w:val="0"/>
        </w:rPr>
        <w:t xml:space="preserve">Universities UK, 2014)</w:t>
      </w:r>
      <w:r w:rsidDel="00000000" w:rsidR="00000000" w:rsidRPr="00000000">
        <w:rPr>
          <w:rtl w:val="0"/>
        </w:rPr>
        <w:t xml:space="preserve">. There are a few of these educational establishments that are consistently ranked among the very best in the entire world. London, the capital of the United Kingdom, is frequently recognized as the educational hub of the world as a whole, and with good reason. There are more universities ranked in the top 10 in London than in any other city in the world. There are four of its establishments that are ranked among the very best in the entire world.</w:t>
      </w:r>
    </w:p>
    <w:p w:rsidR="00000000" w:rsidDel="00000000" w:rsidP="00000000" w:rsidRDefault="00000000" w:rsidRPr="00000000" w14:paraId="00000024">
      <w:pPr>
        <w:jc w:val="center"/>
        <w:rPr/>
      </w:pPr>
      <w:r w:rsidDel="00000000" w:rsidR="00000000" w:rsidRPr="00000000">
        <w:rPr/>
        <w:drawing>
          <wp:inline distB="0" distT="0" distL="0" distR="0">
            <wp:extent cx="6181292" cy="4594722"/>
            <wp:effectExtent b="0" l="0" r="0" t="0"/>
            <wp:docPr descr="https://lh3.googleusercontent.com/pyIsivScXMBW4YD7D084jhwOqS9s--5u50ShOQGT2PSirRi47we6n2L-x9B9EnYF4CpOBxOOGUikTnFRZaG2ffsfsY3qJ4hRvvZVSlM_h-Z94y3Aw5g-ix9zpnc8gvH7h1H46oiw-eQSO2BkymE120_gO7DK5NbPYgCCl5OU5yTMbAJnledczbmhcg" id="7" name="image2.png"/>
            <a:graphic>
              <a:graphicData uri="http://schemas.openxmlformats.org/drawingml/2006/picture">
                <pic:pic>
                  <pic:nvPicPr>
                    <pic:cNvPr descr="https://lh3.googleusercontent.com/pyIsivScXMBW4YD7D084jhwOqS9s--5u50ShOQGT2PSirRi47we6n2L-x9B9EnYF4CpOBxOOGUikTnFRZaG2ffsfsY3qJ4hRvvZVSlM_h-Z94y3Aw5g-ix9zpnc8gvH7h1H46oiw-eQSO2BkymE120_gO7DK5NbPYgCCl5OU5yTMbAJnledczbmhcg" id="0" name="image2.png"/>
                    <pic:cNvPicPr preferRelativeResize="0"/>
                  </pic:nvPicPr>
                  <pic:blipFill>
                    <a:blip r:embed="rId8"/>
                    <a:srcRect b="0" l="0" r="0" t="0"/>
                    <a:stretch>
                      <a:fillRect/>
                    </a:stretch>
                  </pic:blipFill>
                  <pic:spPr>
                    <a:xfrm>
                      <a:off x="0" y="0"/>
                      <a:ext cx="6181292" cy="4594722"/>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t xml:space="preserve">Figure 1: Number of Universities in the UK (Source: Statista, 2022)</w:t>
      </w:r>
    </w:p>
    <w:p w:rsidR="00000000" w:rsidDel="00000000" w:rsidP="00000000" w:rsidRDefault="00000000" w:rsidRPr="00000000" w14:paraId="00000026">
      <w:pPr>
        <w:rPr/>
      </w:pPr>
      <w:r w:rsidDel="00000000" w:rsidR="00000000" w:rsidRPr="00000000">
        <w:rPr>
          <w:rtl w:val="0"/>
        </w:rPr>
        <w:t xml:space="preserve">It can be observed that there have been a lot of universities operating in the UK from 2010 to 2019. Although the number of universities has not changed much, the quality of the education system in the UK has been quite excellent over the years. Many students from both the UK and other countries want to get themselves admitted to universities located in the UK (</w:t>
      </w:r>
      <w:r w:rsidDel="00000000" w:rsidR="00000000" w:rsidRPr="00000000">
        <w:rPr>
          <w:color w:val="222222"/>
          <w:highlight w:val="white"/>
          <w:rtl w:val="0"/>
        </w:rPr>
        <w:t xml:space="preserve">Statista, 2022)</w:t>
      </w:r>
      <w:r w:rsidDel="00000000" w:rsidR="00000000" w:rsidRPr="00000000">
        <w:rPr>
          <w:rtl w:val="0"/>
        </w:rPr>
        <w:t xml:space="preserve">.</w:t>
      </w:r>
    </w:p>
    <w:p w:rsidR="00000000" w:rsidDel="00000000" w:rsidP="00000000" w:rsidRDefault="00000000" w:rsidRPr="00000000" w14:paraId="00000027">
      <w:pPr>
        <w:rPr/>
      </w:pPr>
      <w:r w:rsidDel="00000000" w:rsidR="00000000" w:rsidRPr="00000000">
        <w:rPr>
          <w:rtl w:val="0"/>
        </w:rPr>
        <w:t xml:space="preserve">There have been a lot of opportunities that university students in the UK can avail of. The universities located in the UK have the best possible campus facilities. The students can also get transport facilities from the universities, which can save the students' time. Most universities in the UK also provide scholarships to deserving students, which facilitates the overall educational procedure. The students can also get part-time job opportunities, which facilitate the students' financial aspects of living.</w:t>
      </w:r>
    </w:p>
    <w:p w:rsidR="00000000" w:rsidDel="00000000" w:rsidP="00000000" w:rsidRDefault="00000000" w:rsidRPr="00000000" w14:paraId="00000028">
      <w:pPr>
        <w:rPr/>
      </w:pPr>
      <w:r w:rsidDel="00000000" w:rsidR="00000000" w:rsidRPr="00000000">
        <w:rPr>
          <w:rtl w:val="0"/>
        </w:rPr>
        <w:t xml:space="preserve">Although there are some issues regarding higher education in the UK, such as increasing costs, cultural barriers, international competition, etc., the opportunities are greater than the challenges.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pPr>
      <w:bookmarkStart w:colFirst="0" w:colLast="0" w:name="_heading=h.1fob9te" w:id="2"/>
      <w:bookmarkEnd w:id="2"/>
      <w:r w:rsidDel="00000000" w:rsidR="00000000" w:rsidRPr="00000000">
        <w:rPr>
          <w:rtl w:val="0"/>
        </w:rPr>
        <w:t xml:space="preserve">Analysis and Discussion</w:t>
      </w:r>
    </w:p>
    <w:p w:rsidR="00000000" w:rsidDel="00000000" w:rsidP="00000000" w:rsidRDefault="00000000" w:rsidRPr="00000000" w14:paraId="00000033">
      <w:pPr>
        <w:pStyle w:val="Heading2"/>
        <w:rPr/>
      </w:pPr>
      <w:bookmarkStart w:colFirst="0" w:colLast="0" w:name="_heading=h.3znysh7" w:id="3"/>
      <w:bookmarkEnd w:id="3"/>
      <w:r w:rsidDel="00000000" w:rsidR="00000000" w:rsidRPr="00000000">
        <w:rPr>
          <w:rtl w:val="0"/>
        </w:rPr>
        <w:t xml:space="preserve">PESTLE Analysis of the Higher Education Sector in the UK</w:t>
      </w:r>
    </w:p>
    <w:p w:rsidR="00000000" w:rsidDel="00000000" w:rsidP="00000000" w:rsidRDefault="00000000" w:rsidRPr="00000000" w14:paraId="00000034">
      <w:pPr>
        <w:rPr/>
      </w:pPr>
      <w:r w:rsidDel="00000000" w:rsidR="00000000" w:rsidRPr="00000000">
        <w:rPr>
          <w:rtl w:val="0"/>
        </w:rPr>
        <w:t xml:space="preserve">PESTEL Analysis evaluates the external factors of the entities operating under a specific sector that can either positively or negatively impact the institution concerned. The following shows the PESTEL Analysis for the UK Higher Education Sector. This also emphasizes the positive or negative impacts fallen on UWTSD by the global factors being considered in this analysis. </w:t>
      </w:r>
    </w:p>
    <w:p w:rsidR="00000000" w:rsidDel="00000000" w:rsidP="00000000" w:rsidRDefault="00000000" w:rsidRPr="00000000" w14:paraId="00000035">
      <w:pPr>
        <w:keepNext w:val="1"/>
        <w:jc w:val="center"/>
        <w:rPr/>
      </w:pPr>
      <w:r w:rsidDel="00000000" w:rsidR="00000000" w:rsidRPr="00000000">
        <w:rPr/>
        <mc:AlternateContent>
          <mc:Choice Requires="wpg">
            <w:drawing>
              <wp:inline distB="0" distT="0" distL="0" distR="0">
                <wp:extent cx="6440557" cy="3204376"/>
                <wp:effectExtent b="0" l="0" r="0" t="0"/>
                <wp:docPr id="5" name=""/>
                <a:graphic>
                  <a:graphicData uri="http://schemas.microsoft.com/office/word/2010/wordprocessingGroup">
                    <wpg:wgp>
                      <wpg:cNvGrpSpPr/>
                      <wpg:grpSpPr>
                        <a:xfrm>
                          <a:off x="0" y="0"/>
                          <a:ext cx="6440557" cy="3204376"/>
                          <a:chOff x="0" y="0"/>
                          <a:chExt cx="6452775" cy="3204375"/>
                        </a:xfrm>
                      </wpg:grpSpPr>
                      <wpg:grpSp>
                        <wpg:cNvGrpSpPr/>
                        <wpg:grpSpPr>
                          <a:xfrm>
                            <a:off x="0" y="0"/>
                            <a:ext cx="6440550" cy="3204375"/>
                            <a:chOff x="0" y="0"/>
                            <a:chExt cx="6440550" cy="3204375"/>
                          </a:xfrm>
                        </wpg:grpSpPr>
                        <wps:wsp>
                          <wps:cNvSpPr/>
                          <wps:cNvPr id="3" name="Shape 3"/>
                          <wps:spPr>
                            <a:xfrm>
                              <a:off x="0" y="0"/>
                              <a:ext cx="6440550" cy="32043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7" name="Shape 27"/>
                          <wps:spPr>
                            <a:xfrm>
                              <a:off x="3398058" y="1132059"/>
                              <a:ext cx="2607434"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398058" y="1132059"/>
                              <a:ext cx="1738289"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4267203" y="1790436"/>
                              <a:ext cx="434572"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832630" y="1790436"/>
                              <a:ext cx="434572" cy="206817"/>
                            </a:xfrm>
                            <a:custGeom>
                              <a:rect b="b" l="l" r="r" t="t"/>
                              <a:pathLst>
                                <a:path extrusionOk="0" h="120000" w="120000">
                                  <a:moveTo>
                                    <a:pt x="120000" y="0"/>
                                  </a:moveTo>
                                  <a:lnTo>
                                    <a:pt x="120000" y="81776"/>
                                  </a:lnTo>
                                  <a:lnTo>
                                    <a:pt x="0" y="81776"/>
                                  </a:lnTo>
                                  <a:lnTo>
                                    <a:pt x="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398058" y="1132059"/>
                              <a:ext cx="869144"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352338" y="1132059"/>
                              <a:ext cx="91440" cy="206817"/>
                            </a:xfrm>
                            <a:custGeom>
                              <a:rect b="b" l="l" r="r" t="t"/>
                              <a:pathLst>
                                <a:path extrusionOk="0" h="120000" w="120000">
                                  <a:moveTo>
                                    <a:pt x="60000" y="0"/>
                                  </a:moveTo>
                                  <a:lnTo>
                                    <a:pt x="6000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2528913" y="1790436"/>
                              <a:ext cx="434572"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4" name="Shape 34"/>
                          <wps:spPr>
                            <a:xfrm>
                              <a:off x="2094340" y="1790436"/>
                              <a:ext cx="434572" cy="206817"/>
                            </a:xfrm>
                            <a:custGeom>
                              <a:rect b="b" l="l" r="r" t="t"/>
                              <a:pathLst>
                                <a:path extrusionOk="0" h="120000" w="120000">
                                  <a:moveTo>
                                    <a:pt x="120000" y="0"/>
                                  </a:moveTo>
                                  <a:lnTo>
                                    <a:pt x="120000" y="81776"/>
                                  </a:lnTo>
                                  <a:lnTo>
                                    <a:pt x="0" y="81776"/>
                                  </a:lnTo>
                                  <a:lnTo>
                                    <a:pt x="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5" name="Shape 35"/>
                          <wps:spPr>
                            <a:xfrm>
                              <a:off x="2528913" y="1132059"/>
                              <a:ext cx="869144" cy="206817"/>
                            </a:xfrm>
                            <a:custGeom>
                              <a:rect b="b" l="l" r="r" t="t"/>
                              <a:pathLst>
                                <a:path extrusionOk="0" h="120000" w="120000">
                                  <a:moveTo>
                                    <a:pt x="120000" y="0"/>
                                  </a:moveTo>
                                  <a:lnTo>
                                    <a:pt x="120000" y="81776"/>
                                  </a:lnTo>
                                  <a:lnTo>
                                    <a:pt x="0" y="81776"/>
                                  </a:lnTo>
                                  <a:lnTo>
                                    <a:pt x="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36" name="Shape 36"/>
                          <wps:spPr>
                            <a:xfrm>
                              <a:off x="790623" y="1790436"/>
                              <a:ext cx="434572" cy="206817"/>
                            </a:xfrm>
                            <a:custGeom>
                              <a:rect b="b" l="l" r="r" t="t"/>
                              <a:pathLst>
                                <a:path extrusionOk="0" h="120000" w="120000">
                                  <a:moveTo>
                                    <a:pt x="0" y="0"/>
                                  </a:moveTo>
                                  <a:lnTo>
                                    <a:pt x="0" y="81776"/>
                                  </a:lnTo>
                                  <a:lnTo>
                                    <a:pt x="120000" y="81776"/>
                                  </a:lnTo>
                                  <a:lnTo>
                                    <a:pt x="12000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7" name="Shape 37"/>
                          <wps:spPr>
                            <a:xfrm>
                              <a:off x="356050" y="1790436"/>
                              <a:ext cx="434572" cy="206817"/>
                            </a:xfrm>
                            <a:custGeom>
                              <a:rect b="b" l="l" r="r" t="t"/>
                              <a:pathLst>
                                <a:path extrusionOk="0" h="120000" w="120000">
                                  <a:moveTo>
                                    <a:pt x="120000" y="0"/>
                                  </a:moveTo>
                                  <a:lnTo>
                                    <a:pt x="120000" y="81776"/>
                                  </a:lnTo>
                                  <a:lnTo>
                                    <a:pt x="0" y="81776"/>
                                  </a:lnTo>
                                  <a:lnTo>
                                    <a:pt x="0" y="120000"/>
                                  </a:lnTo>
                                </a:path>
                              </a:pathLst>
                            </a:custGeom>
                            <a:noFill/>
                            <a:ln cap="flat" cmpd="sng" w="25400">
                              <a:solidFill>
                                <a:srgbClr val="4674AA"/>
                              </a:solidFill>
                              <a:prstDash val="solid"/>
                              <a:round/>
                              <a:headEnd len="sm" w="sm" type="none"/>
                              <a:tailEnd len="sm" w="sm" type="none"/>
                            </a:ln>
                          </wps:spPr>
                          <wps:bodyPr anchorCtr="0" anchor="ctr" bIns="91425" lIns="91425" spcFirstLastPara="1" rIns="91425" wrap="square" tIns="91425">
                            <a:noAutofit/>
                          </wps:bodyPr>
                        </wps:wsp>
                        <wps:wsp>
                          <wps:cNvSpPr/>
                          <wps:cNvPr id="38" name="Shape 38"/>
                          <wps:spPr>
                            <a:xfrm>
                              <a:off x="790623" y="1132059"/>
                              <a:ext cx="2607434" cy="206817"/>
                            </a:xfrm>
                            <a:custGeom>
                              <a:rect b="b" l="l" r="r" t="t"/>
                              <a:pathLst>
                                <a:path extrusionOk="0" h="120000" w="120000">
                                  <a:moveTo>
                                    <a:pt x="120000" y="0"/>
                                  </a:moveTo>
                                  <a:lnTo>
                                    <a:pt x="120000" y="81776"/>
                                  </a:lnTo>
                                  <a:lnTo>
                                    <a:pt x="0" y="81776"/>
                                  </a:lnTo>
                                  <a:lnTo>
                                    <a:pt x="0" y="120000"/>
                                  </a:lnTo>
                                </a:path>
                              </a:pathLst>
                            </a:custGeom>
                            <a:noFill/>
                            <a:ln cap="flat" cmpd="sng" w="25400">
                              <a:solidFill>
                                <a:srgbClr val="3B6495"/>
                              </a:solidFill>
                              <a:prstDash val="solid"/>
                              <a:round/>
                              <a:headEnd len="sm" w="sm" type="none"/>
                              <a:tailEnd len="sm" w="sm" type="none"/>
                            </a:ln>
                          </wps:spPr>
                          <wps:bodyPr anchorCtr="0" anchor="ctr" bIns="91425" lIns="91425" spcFirstLastPara="1" rIns="91425" wrap="square" tIns="91425">
                            <a:noAutofit/>
                          </wps:bodyPr>
                        </wps:wsp>
                        <wps:wsp>
                          <wps:cNvSpPr/>
                          <wps:cNvPr id="39" name="Shape 39"/>
                          <wps:spPr>
                            <a:xfrm>
                              <a:off x="3042498" y="680499"/>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0" name="Shape 40"/>
                          <wps:spPr>
                            <a:xfrm>
                              <a:off x="3121512" y="755561"/>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1" name="Shape 41"/>
                          <wps:spPr>
                            <a:xfrm>
                              <a:off x="3134738" y="768787"/>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16"/>
                                    <w:vertAlign w:val="baseline"/>
                                  </w:rPr>
                                  <w:t xml:space="preserve">PESTEL Analysis</w:t>
                                </w:r>
                              </w:p>
                            </w:txbxContent>
                          </wps:txbx>
                          <wps:bodyPr anchorCtr="0" anchor="ctr" bIns="30475" lIns="30475" spcFirstLastPara="1" rIns="30475" wrap="square" tIns="30475">
                            <a:noAutofit/>
                          </wps:bodyPr>
                        </wps:wsp>
                        <wps:wsp>
                          <wps:cNvSpPr/>
                          <wps:cNvPr id="42" name="Shape 42"/>
                          <wps:spPr>
                            <a:xfrm>
                              <a:off x="435063"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3" name="Shape 43"/>
                          <wps:spPr>
                            <a:xfrm>
                              <a:off x="514077"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4" name="Shape 44"/>
                          <wps:spPr>
                            <a:xfrm>
                              <a:off x="527303"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Political factors</w:t>
                                </w:r>
                              </w:p>
                            </w:txbxContent>
                          </wps:txbx>
                          <wps:bodyPr anchorCtr="0" anchor="ctr" bIns="30475" lIns="30475" spcFirstLastPara="1" rIns="30475" wrap="square" tIns="30475">
                            <a:noAutofit/>
                          </wps:bodyPr>
                        </wps:wsp>
                        <wps:wsp>
                          <wps:cNvSpPr/>
                          <wps:cNvPr id="45" name="Shape 45"/>
                          <wps:spPr>
                            <a:xfrm>
                              <a:off x="491"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6" name="Shape 46"/>
                          <wps:spPr>
                            <a:xfrm>
                              <a:off x="79504"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7" name="Shape 47"/>
                          <wps:spPr>
                            <a:xfrm>
                              <a:off x="92730"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Public funding</w:t>
                                </w:r>
                              </w:p>
                            </w:txbxContent>
                          </wps:txbx>
                          <wps:bodyPr anchorCtr="0" anchor="ctr" bIns="30475" lIns="30475" spcFirstLastPara="1" rIns="30475" wrap="square" tIns="30475">
                            <a:noAutofit/>
                          </wps:bodyPr>
                        </wps:wsp>
                        <wps:wsp>
                          <wps:cNvSpPr/>
                          <wps:cNvPr id="48" name="Shape 48"/>
                          <wps:spPr>
                            <a:xfrm>
                              <a:off x="869636"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9" name="Shape 49"/>
                          <wps:spPr>
                            <a:xfrm>
                              <a:off x="948649"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0" name="Shape 50"/>
                          <wps:spPr>
                            <a:xfrm>
                              <a:off x="961875"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Availability of Foreign student</w:t>
                                </w:r>
                              </w:p>
                            </w:txbxContent>
                          </wps:txbx>
                          <wps:bodyPr anchorCtr="0" anchor="ctr" bIns="30475" lIns="30475" spcFirstLastPara="1" rIns="30475" wrap="square" tIns="30475">
                            <a:noAutofit/>
                          </wps:bodyPr>
                        </wps:wsp>
                        <wps:wsp>
                          <wps:cNvSpPr/>
                          <wps:cNvPr id="51" name="Shape 51"/>
                          <wps:spPr>
                            <a:xfrm>
                              <a:off x="2173353"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2" name="Shape 52"/>
                          <wps:spPr>
                            <a:xfrm>
                              <a:off x="2252367"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3" name="Shape 53"/>
                          <wps:spPr>
                            <a:xfrm>
                              <a:off x="2265593"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Economic factors</w:t>
                                </w:r>
                              </w:p>
                            </w:txbxContent>
                          </wps:txbx>
                          <wps:bodyPr anchorCtr="0" anchor="ctr" bIns="30475" lIns="30475" spcFirstLastPara="1" rIns="30475" wrap="square" tIns="30475">
                            <a:noAutofit/>
                          </wps:bodyPr>
                        </wps:wsp>
                        <wps:wsp>
                          <wps:cNvSpPr/>
                          <wps:cNvPr id="54" name="Shape 54"/>
                          <wps:spPr>
                            <a:xfrm>
                              <a:off x="1738781"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5" name="Shape 55"/>
                          <wps:spPr>
                            <a:xfrm>
                              <a:off x="1817794"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6" name="Shape 56"/>
                          <wps:spPr>
                            <a:xfrm>
                              <a:off x="1831020"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Student debt</w:t>
                                </w:r>
                              </w:p>
                            </w:txbxContent>
                          </wps:txbx>
                          <wps:bodyPr anchorCtr="0" anchor="ctr" bIns="30475" lIns="30475" spcFirstLastPara="1" rIns="30475" wrap="square" tIns="30475">
                            <a:noAutofit/>
                          </wps:bodyPr>
                        </wps:wsp>
                        <wps:wsp>
                          <wps:cNvSpPr/>
                          <wps:cNvPr id="57" name="Shape 57"/>
                          <wps:spPr>
                            <a:xfrm>
                              <a:off x="2607926"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8" name="Shape 58"/>
                          <wps:spPr>
                            <a:xfrm>
                              <a:off x="2686939"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9" name="Shape 59"/>
                          <wps:spPr>
                            <a:xfrm>
                              <a:off x="2700165"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Weak job market</w:t>
                                </w:r>
                              </w:p>
                            </w:txbxContent>
                          </wps:txbx>
                          <wps:bodyPr anchorCtr="0" anchor="ctr" bIns="30475" lIns="30475" spcFirstLastPara="1" rIns="30475" wrap="square" tIns="30475">
                            <a:noAutofit/>
                          </wps:bodyPr>
                        </wps:wsp>
                        <wps:wsp>
                          <wps:cNvSpPr/>
                          <wps:cNvPr id="60" name="Shape 60"/>
                          <wps:spPr>
                            <a:xfrm>
                              <a:off x="3042498"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1" name="Shape 61"/>
                          <wps:spPr>
                            <a:xfrm>
                              <a:off x="3121512"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2" name="Shape 62"/>
                          <wps:spPr>
                            <a:xfrm>
                              <a:off x="3134738"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Sociocultural factors</w:t>
                                </w:r>
                              </w:p>
                            </w:txbxContent>
                          </wps:txbx>
                          <wps:bodyPr anchorCtr="0" anchor="ctr" bIns="30475" lIns="30475" spcFirstLastPara="1" rIns="30475" wrap="square" tIns="30475">
                            <a:noAutofit/>
                          </wps:bodyPr>
                        </wps:wsp>
                        <wps:wsp>
                          <wps:cNvSpPr/>
                          <wps:cNvPr id="63" name="Shape 63"/>
                          <wps:spPr>
                            <a:xfrm>
                              <a:off x="3911643"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4" name="Shape 64"/>
                          <wps:spPr>
                            <a:xfrm>
                              <a:off x="3990657"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5" name="Shape 65"/>
                          <wps:spPr>
                            <a:xfrm>
                              <a:off x="4003883"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Technologiocal factors</w:t>
                                </w:r>
                              </w:p>
                            </w:txbxContent>
                          </wps:txbx>
                          <wps:bodyPr anchorCtr="0" anchor="ctr" bIns="30475" lIns="30475" spcFirstLastPara="1" rIns="30475" wrap="square" tIns="30475">
                            <a:noAutofit/>
                          </wps:bodyPr>
                        </wps:wsp>
                        <wps:wsp>
                          <wps:cNvSpPr/>
                          <wps:cNvPr id="66" name="Shape 66"/>
                          <wps:spPr>
                            <a:xfrm>
                              <a:off x="3477071"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7" name="Shape 67"/>
                          <wps:spPr>
                            <a:xfrm>
                              <a:off x="3556084"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8" name="Shape 68"/>
                          <wps:spPr>
                            <a:xfrm>
                              <a:off x="3569310"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Online alternatives</w:t>
                                </w:r>
                              </w:p>
                            </w:txbxContent>
                          </wps:txbx>
                          <wps:bodyPr anchorCtr="0" anchor="ctr" bIns="30475" lIns="30475" spcFirstLastPara="1" rIns="30475" wrap="square" tIns="30475">
                            <a:noAutofit/>
                          </wps:bodyPr>
                        </wps:wsp>
                        <wps:wsp>
                          <wps:cNvSpPr/>
                          <wps:cNvPr id="69" name="Shape 69"/>
                          <wps:spPr>
                            <a:xfrm>
                              <a:off x="4346216" y="1997253"/>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0" name="Shape 70"/>
                          <wps:spPr>
                            <a:xfrm>
                              <a:off x="4425229" y="2072316"/>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1" name="Shape 71"/>
                          <wps:spPr>
                            <a:xfrm>
                              <a:off x="4438455" y="2085542"/>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Augmented learning</w:t>
                                </w:r>
                              </w:p>
                            </w:txbxContent>
                          </wps:txbx>
                          <wps:bodyPr anchorCtr="0" anchor="ctr" bIns="30475" lIns="30475" spcFirstLastPara="1" rIns="30475" wrap="square" tIns="30475">
                            <a:noAutofit/>
                          </wps:bodyPr>
                        </wps:wsp>
                        <wps:wsp>
                          <wps:cNvSpPr/>
                          <wps:cNvPr id="72" name="Shape 72"/>
                          <wps:spPr>
                            <a:xfrm>
                              <a:off x="4780788"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3" name="Shape 73"/>
                          <wps:spPr>
                            <a:xfrm>
                              <a:off x="4859802"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4" name="Shape 74"/>
                          <wps:spPr>
                            <a:xfrm>
                              <a:off x="4873028"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Environmental  factors</w:t>
                                </w:r>
                              </w:p>
                            </w:txbxContent>
                          </wps:txbx>
                          <wps:bodyPr anchorCtr="0" anchor="ctr" bIns="30475" lIns="30475" spcFirstLastPara="1" rIns="30475" wrap="square" tIns="30475">
                            <a:noAutofit/>
                          </wps:bodyPr>
                        </wps:wsp>
                        <wps:wsp>
                          <wps:cNvSpPr/>
                          <wps:cNvPr id="75" name="Shape 75"/>
                          <wps:spPr>
                            <a:xfrm>
                              <a:off x="5649933" y="1338876"/>
                              <a:ext cx="711118" cy="451560"/>
                            </a:xfrm>
                            <a:prstGeom prst="roundRect">
                              <a:avLst>
                                <a:gd fmla="val 10000" name="adj"/>
                              </a:avLst>
                            </a:prstGeom>
                            <a:solidFill>
                              <a:schemeClr val="accent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6" name="Shape 76"/>
                          <wps:spPr>
                            <a:xfrm>
                              <a:off x="5728946" y="1413939"/>
                              <a:ext cx="711118" cy="451560"/>
                            </a:xfrm>
                            <a:prstGeom prst="roundRect">
                              <a:avLst>
                                <a:gd fmla="val 10000" name="adj"/>
                              </a:avLst>
                            </a:prstGeom>
                            <a:solidFill>
                              <a:schemeClr val="lt1">
                                <a:alpha val="89803"/>
                              </a:schemeClr>
                            </a:solidFill>
                            <a:ln cap="flat" cmpd="sng" w="25400">
                              <a:solidFill>
                                <a:schemeClr val="accen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7" name="Shape 77"/>
                          <wps:spPr>
                            <a:xfrm>
                              <a:off x="5742172" y="1427165"/>
                              <a:ext cx="684666" cy="42510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16"/>
                                    <w:vertAlign w:val="baseline"/>
                                  </w:rPr>
                                  <w:t xml:space="preserve">Legal factors</w:t>
                                </w:r>
                              </w:p>
                            </w:txbxContent>
                          </wps:txbx>
                          <wps:bodyPr anchorCtr="0" anchor="ctr" bIns="30475" lIns="30475" spcFirstLastPara="1" rIns="30475" wrap="square" tIns="30475">
                            <a:noAutofit/>
                          </wps:bodyPr>
                        </wps:wsp>
                      </wpg:grpSp>
                    </wpg:wgp>
                  </a:graphicData>
                </a:graphic>
              </wp:inline>
            </w:drawing>
          </mc:Choice>
          <mc:Fallback>
            <w:drawing>
              <wp:inline distB="0" distT="0" distL="0" distR="0">
                <wp:extent cx="6440557" cy="3204376"/>
                <wp:effectExtent b="0" l="0" r="0" t="0"/>
                <wp:docPr id="5"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6440557" cy="3204376"/>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6">
      <w:pPr>
        <w:jc w:val="center"/>
        <w:rPr>
          <w:b w:val="1"/>
        </w:rPr>
      </w:pPr>
      <w:r w:rsidDel="00000000" w:rsidR="00000000" w:rsidRPr="00000000">
        <w:rPr>
          <w:rtl w:val="0"/>
        </w:rPr>
        <w:t xml:space="preserve">Figure 2: PESTEL Analysis of the Higher Education sector in the UK (Brawidjojo, 2021)</w:t>
      </w: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Political Factors </w:t>
      </w:r>
    </w:p>
    <w:p w:rsidR="00000000" w:rsidDel="00000000" w:rsidP="00000000" w:rsidRDefault="00000000" w:rsidRPr="00000000" w14:paraId="00000038">
      <w:pPr>
        <w:rPr/>
      </w:pPr>
      <w:r w:rsidDel="00000000" w:rsidR="00000000" w:rsidRPr="00000000">
        <w:rPr>
          <w:rtl w:val="0"/>
        </w:rPr>
        <w:t xml:space="preserve">The political factors related to the Higher Education sector in the United Kingdom include public funding and the availability of foreign students. The impact of these global factors on UWTSD is shown as follows. Nearly all the Universities located in the United Kingdom get some extent of funds from the UK's government for which the students can get their admissions at a slightly lower cost. This surely affects UWTSD positively by ensuring a greater flow of students towards it who want to get admitted to UWTSD. This was about the past scenario. The present scenario is quite a bit different. The matter of concern for UWTSD nowadays is that the UK government has now reduced the amount of public funding flowing into the Higher Education sector of the United Kingdom to a greater extent (Newton, 2016). This can negatively impact UWTSD by threatening it to have a lower student base because of the rise in the educational costs of international as well as local students. The availability of foreign students in the Higher Education sector of the United Kingdom largely determines the base of students who hold the desire to receive higher education from the universities located in the UK. The UK has always been an attractive place for international students for pursuing degrees in higher education. Nearly 40% of students at universities in the UK are from outside the United Kingdom (Brawidjojo, 2021). Thus, it is quite clear that UWTSD is not likely to get sufficient students to keep its functions running if it does not get an adequate number of foreign students due to political disagreements.</w:t>
      </w:r>
    </w:p>
    <w:p w:rsidR="00000000" w:rsidDel="00000000" w:rsidP="00000000" w:rsidRDefault="00000000" w:rsidRPr="00000000" w14:paraId="00000039">
      <w:pPr>
        <w:rPr>
          <w:b w:val="1"/>
        </w:rPr>
      </w:pPr>
      <w:r w:rsidDel="00000000" w:rsidR="00000000" w:rsidRPr="00000000">
        <w:rPr>
          <w:b w:val="1"/>
          <w:rtl w:val="0"/>
        </w:rPr>
        <w:t xml:space="preserve">Economic Factors</w:t>
      </w:r>
    </w:p>
    <w:p w:rsidR="00000000" w:rsidDel="00000000" w:rsidP="00000000" w:rsidRDefault="00000000" w:rsidRPr="00000000" w14:paraId="0000003A">
      <w:pPr>
        <w:rPr/>
      </w:pPr>
      <w:r w:rsidDel="00000000" w:rsidR="00000000" w:rsidRPr="00000000">
        <w:rPr>
          <w:rtl w:val="0"/>
        </w:rPr>
        <w:t xml:space="preserve">The economic factors affecting the Higher Education sector of the UK include Student debt and the weak job market in the United Kingdom. The following highlights these factors in detail. Students often tend to borrow a large sum of money at the very beginning of their Higher Educational career. Only a few of them can repay these debts. As a result, both the supply and demand of student debt have reduced due to these worse scenarios. The demand has reduced because the students don't want to start their careers with indebtedness which might hamper their reputation in their future professional careers as well (Martin, 2015). Thus, UWTSD gets negatively affected as it gets fewer students due to the reduced attractiveness of international students towards higher education. This is quite unfortunate for international students that they merely get a chance to get a job in the United Kingdom after the completion of their higher studies. Thus, of the less attractiveness of the UK job market, many international students choose to study in other countries like Australia or USA which facilitate both the opportunity to study and join the job field thereafter (Levin, Qi, Sohn and Edelstein, 2016). As a result, UWTSD is less likely to get those students who want to join the workforce abroad after the completion of their Higher Education.</w:t>
      </w:r>
    </w:p>
    <w:p w:rsidR="00000000" w:rsidDel="00000000" w:rsidP="00000000" w:rsidRDefault="00000000" w:rsidRPr="00000000" w14:paraId="0000003B">
      <w:pPr>
        <w:rPr>
          <w:b w:val="1"/>
        </w:rPr>
      </w:pPr>
      <w:r w:rsidDel="00000000" w:rsidR="00000000" w:rsidRPr="00000000">
        <w:rPr>
          <w:b w:val="1"/>
          <w:rtl w:val="0"/>
        </w:rPr>
        <w:t xml:space="preserve">Sociocultural Factors</w:t>
      </w:r>
    </w:p>
    <w:p w:rsidR="00000000" w:rsidDel="00000000" w:rsidP="00000000" w:rsidRDefault="00000000" w:rsidRPr="00000000" w14:paraId="0000003C">
      <w:pPr>
        <w:rPr/>
      </w:pPr>
      <w:r w:rsidDel="00000000" w:rsidR="00000000" w:rsidRPr="00000000">
        <w:rPr>
          <w:rtl w:val="0"/>
        </w:rPr>
        <w:t xml:space="preserve">The socio-cultural factors include habits, attitudes, lifestyles, values, social classes, etc. that guide the decisions of people to receive higher education. Nowadays people are more inclined to earn money for which they feed it quite unnecessary to spend lots of money in receiving higher education instead of investing that time and money in doing productive activities with a view to earning money (Gumport, 2017). This is because the cost of living has risen up to a greater extent after the spread of the COVID-19 pandemic and the world has been still experiencing its impacts. Thus, the cost of living has been on the increase in almost all the countries of the world. Thus, in order to maintain these increasing costs, students tend to join the workforce just after completing the minimum educational level required for having a job. As a result, just like the other educational institutions in the UK, UWTSD is also experiencing a reduction in the number of students registered.</w:t>
      </w:r>
    </w:p>
    <w:p w:rsidR="00000000" w:rsidDel="00000000" w:rsidP="00000000" w:rsidRDefault="00000000" w:rsidRPr="00000000" w14:paraId="0000003D">
      <w:pPr>
        <w:rPr>
          <w:b w:val="1"/>
        </w:rPr>
      </w:pPr>
      <w:r w:rsidDel="00000000" w:rsidR="00000000" w:rsidRPr="00000000">
        <w:rPr>
          <w:b w:val="1"/>
          <w:rtl w:val="0"/>
        </w:rPr>
        <w:t xml:space="preserve">Technological Factors</w:t>
      </w:r>
    </w:p>
    <w:p w:rsidR="00000000" w:rsidDel="00000000" w:rsidP="00000000" w:rsidRDefault="00000000" w:rsidRPr="00000000" w14:paraId="0000003E">
      <w:pPr>
        <w:rPr/>
      </w:pPr>
      <w:r w:rsidDel="00000000" w:rsidR="00000000" w:rsidRPr="00000000">
        <w:rPr>
          <w:rtl w:val="0"/>
        </w:rPr>
        <w:t xml:space="preserve">The technological factors affecting the Higher Education sector in the United Kingdom include online alternatives and augmented learning. The following shows the details. The availability of online alternatives has thrown negative impacts on the institutions like UWTSD providing Higher Education operating under the Higher Education sector of the UK. The day is not very far when students of all countries will get the opportunity to access all the learning tools, methods, and materials for free (Zwaan, 2017). This will make those international students indifferent to receiving higher education from UWTSD after incurring heavy expenditures as they will be able to do so for free. The inclusion of technology in the learning processes and methods used in Higher Education can make more attractive to international students. The inclusion of concepts like Virtual Reality in the learning process in Higher Education by UWTSD can make it more interesting to international students which can enhance the flow of foreign students into the Higher Education sector of the United Kingdom (Johnston, 2019). </w:t>
      </w:r>
    </w:p>
    <w:p w:rsidR="00000000" w:rsidDel="00000000" w:rsidP="00000000" w:rsidRDefault="00000000" w:rsidRPr="00000000" w14:paraId="0000003F">
      <w:pPr>
        <w:rPr>
          <w:b w:val="1"/>
        </w:rPr>
      </w:pPr>
      <w:r w:rsidDel="00000000" w:rsidR="00000000" w:rsidRPr="00000000">
        <w:rPr>
          <w:b w:val="1"/>
          <w:rtl w:val="0"/>
        </w:rPr>
        <w:t xml:space="preserve">Environmental Factors</w:t>
      </w:r>
    </w:p>
    <w:p w:rsidR="00000000" w:rsidDel="00000000" w:rsidP="00000000" w:rsidRDefault="00000000" w:rsidRPr="00000000" w14:paraId="00000040">
      <w:pPr>
        <w:rPr/>
      </w:pPr>
      <w:r w:rsidDel="00000000" w:rsidR="00000000" w:rsidRPr="00000000">
        <w:rPr>
          <w:rtl w:val="0"/>
        </w:rPr>
        <w:t xml:space="preserve">Environmental factors affecting the Higher Education sector of the UK include the uncertainties and changes in the global environment for which international students find it difficult to go for higher studies. The best example of this includes the recent pandemic of COVID 19. As lockdowns were strictly maintained throughout the regions of the globe, UWTSD had to stop its operations (Simonson and Orellana, 2020). Even when it started, it did not have foreign students coming to the University for pursuing a higher education degree.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spacing w:line="276" w:lineRule="auto"/>
        <w:jc w:val="left"/>
        <w:rPr>
          <w:b w:val="1"/>
        </w:rPr>
      </w:pPr>
      <w:r w:rsidDel="00000000" w:rsidR="00000000" w:rsidRPr="00000000">
        <w:rPr>
          <w:b w:val="1"/>
          <w:rtl w:val="0"/>
        </w:rPr>
        <w:t xml:space="preserve">Legal Factors</w:t>
      </w:r>
    </w:p>
    <w:p w:rsidR="00000000" w:rsidDel="00000000" w:rsidP="00000000" w:rsidRDefault="00000000" w:rsidRPr="00000000" w14:paraId="00000043">
      <w:pPr>
        <w:rPr/>
      </w:pPr>
      <w:r w:rsidDel="00000000" w:rsidR="00000000" w:rsidRPr="00000000">
        <w:rPr>
          <w:rtl w:val="0"/>
        </w:rPr>
        <w:t xml:space="preserve">Different laws and regulations affect the universities like UWTSD in the UK either in positive or negative ways. For instance, the formation of the Subsidy Control Bill as a Law by the government of the UK requires it to have the flexibility and remove bureaucratic issues in terms of specific activities like R&amp;D activities of the Universities by allowing them flexible and quick grants that obviously pleasant news for UWTSD.  Again, the implementation of the Freedom of Speech Act has created negativities as disputes have risen between students and academics (Whitchurch, 2018).</w:t>
      </w:r>
    </w:p>
    <w:p w:rsidR="00000000" w:rsidDel="00000000" w:rsidP="00000000" w:rsidRDefault="00000000" w:rsidRPr="00000000" w14:paraId="00000044">
      <w:pPr>
        <w:pStyle w:val="Heading2"/>
        <w:rPr/>
      </w:pPr>
      <w:bookmarkStart w:colFirst="0" w:colLast="0" w:name="_heading=h.2et92p0" w:id="4"/>
      <w:bookmarkEnd w:id="4"/>
      <w:r w:rsidDel="00000000" w:rsidR="00000000" w:rsidRPr="00000000">
        <w:rPr>
          <w:rtl w:val="0"/>
        </w:rPr>
        <w:t xml:space="preserve">Porter's Five Forces Model for the Higher Education sector of the UK</w:t>
      </w:r>
    </w:p>
    <w:p w:rsidR="00000000" w:rsidDel="00000000" w:rsidP="00000000" w:rsidRDefault="00000000" w:rsidRPr="00000000" w14:paraId="00000045">
      <w:pPr>
        <w:rPr/>
      </w:pPr>
      <w:r w:rsidDel="00000000" w:rsidR="00000000" w:rsidRPr="00000000">
        <w:rPr>
          <w:rtl w:val="0"/>
        </w:rPr>
        <w:t xml:space="preserve">Porter's five forces model of the UWTSD has been provided below:</w:t>
      </w:r>
    </w:p>
    <w:p w:rsidR="00000000" w:rsidDel="00000000" w:rsidP="00000000" w:rsidRDefault="00000000" w:rsidRPr="00000000" w14:paraId="00000046">
      <w:pPr>
        <w:jc w:val="center"/>
        <w:rPr/>
      </w:pPr>
      <w:r w:rsidDel="00000000" w:rsidR="00000000" w:rsidRPr="00000000">
        <w:rPr/>
        <mc:AlternateContent>
          <mc:Choice Requires="wpg">
            <w:drawing>
              <wp:inline distB="0" distT="0" distL="0" distR="0">
                <wp:extent cx="4150581" cy="3124862"/>
                <wp:effectExtent b="0" l="0" r="0" t="0"/>
                <wp:docPr id="4" name=""/>
                <a:graphic>
                  <a:graphicData uri="http://schemas.microsoft.com/office/word/2010/wordprocessingGroup">
                    <wpg:wgp>
                      <wpg:cNvGrpSpPr/>
                      <wpg:grpSpPr>
                        <a:xfrm>
                          <a:off x="0" y="0"/>
                          <a:ext cx="4150581" cy="3124862"/>
                          <a:chOff x="0" y="0"/>
                          <a:chExt cx="4150575" cy="3153475"/>
                        </a:xfrm>
                      </wpg:grpSpPr>
                      <wpg:grpSp>
                        <wpg:cNvGrpSpPr/>
                        <wpg:grpSpPr>
                          <a:xfrm>
                            <a:off x="0" y="-15911"/>
                            <a:ext cx="4150575" cy="3156683"/>
                            <a:chOff x="0" y="-15911"/>
                            <a:chExt cx="4150575" cy="3156683"/>
                          </a:xfrm>
                        </wpg:grpSpPr>
                        <wps:wsp>
                          <wps:cNvSpPr/>
                          <wps:cNvPr id="3" name="Shape 3"/>
                          <wps:spPr>
                            <a:xfrm>
                              <a:off x="0" y="0"/>
                              <a:ext cx="4150575" cy="31248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1658406" y="1187414"/>
                              <a:ext cx="923970" cy="923970"/>
                            </a:xfrm>
                            <a:prstGeom prst="ellipse">
                              <a:avLst/>
                            </a:prstGeom>
                            <a:solidFill>
                              <a:srgbClr val="C00000"/>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1793718" y="1322726"/>
                              <a:ext cx="653346" cy="65334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6"/>
                                    <w:vertAlign w:val="baseline"/>
                                  </w:rPr>
                                  <w:t xml:space="preserve">Porter's Five Forces Model</w:t>
                                </w:r>
                              </w:p>
                            </w:txbxContent>
                          </wps:txbx>
                          <wps:bodyPr anchorCtr="0" anchor="ctr" bIns="8250" lIns="8250" spcFirstLastPara="1" rIns="8250" wrap="square" tIns="8250">
                            <a:noAutofit/>
                          </wps:bodyPr>
                        </wps:wsp>
                        <wps:wsp>
                          <wps:cNvSpPr/>
                          <wps:cNvPr id="6" name="Shape 6"/>
                          <wps:spPr>
                            <a:xfrm rot="-5400000">
                              <a:off x="1980714" y="1027701"/>
                              <a:ext cx="279355" cy="40070"/>
                            </a:xfrm>
                            <a:custGeom>
                              <a:rect b="b" l="l" r="r" t="t"/>
                              <a:pathLst>
                                <a:path extrusionOk="0" h="120000" w="120000">
                                  <a:moveTo>
                                    <a:pt x="0" y="60000"/>
                                  </a:moveTo>
                                  <a:lnTo>
                                    <a:pt x="120000" y="60000"/>
                                  </a:lnTo>
                                </a:path>
                              </a:pathLst>
                            </a:cu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rot="-5400000">
                              <a:off x="2113407" y="1040752"/>
                              <a:ext cx="13967" cy="1396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8" name="Shape 8"/>
                          <wps:spPr>
                            <a:xfrm>
                              <a:off x="1658406" y="-15911"/>
                              <a:ext cx="923970" cy="923970"/>
                            </a:xfrm>
                            <a:prstGeom prst="ellipse">
                              <a:avLst/>
                            </a:prstGeom>
                            <a:solidFill>
                              <a:srgbClr val="00B0F0"/>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1793718" y="119401"/>
                              <a:ext cx="653346" cy="65334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High Entrant Threat of New Universities</w:t>
                                </w:r>
                              </w:p>
                            </w:txbxContent>
                          </wps:txbx>
                          <wps:bodyPr anchorCtr="0" anchor="ctr" bIns="6350" lIns="6350" spcFirstLastPara="1" rIns="6350" wrap="square" tIns="6350">
                            <a:noAutofit/>
                          </wps:bodyPr>
                        </wps:wsp>
                        <wps:wsp>
                          <wps:cNvSpPr/>
                          <wps:cNvPr id="10" name="Shape 10"/>
                          <wps:spPr>
                            <a:xfrm rot="-1080000">
                              <a:off x="2552929" y="1443440"/>
                              <a:ext cx="279355" cy="40070"/>
                            </a:xfrm>
                            <a:custGeom>
                              <a:rect b="b" l="l" r="r" t="t"/>
                              <a:pathLst>
                                <a:path extrusionOk="0" h="120000" w="120000">
                                  <a:moveTo>
                                    <a:pt x="0" y="60000"/>
                                  </a:moveTo>
                                  <a:lnTo>
                                    <a:pt x="120000" y="60000"/>
                                  </a:lnTo>
                                </a:path>
                              </a:pathLst>
                            </a:cu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rot="-1080000">
                              <a:off x="2685623" y="1456491"/>
                              <a:ext cx="13967" cy="1396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12" name="Shape 12"/>
                          <wps:spPr>
                            <a:xfrm>
                              <a:off x="2802837" y="815566"/>
                              <a:ext cx="923970" cy="923970"/>
                            </a:xfrm>
                            <a:prstGeom prst="ellipse">
                              <a:avLst/>
                            </a:prstGeom>
                            <a:solidFill>
                              <a:srgbClr val="5AB463"/>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2938149" y="950878"/>
                              <a:ext cx="653346" cy="65334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Bargaining Power of the Buyers' (Students) is High </w:t>
                                </w:r>
                              </w:p>
                            </w:txbxContent>
                          </wps:txbx>
                          <wps:bodyPr anchorCtr="0" anchor="ctr" bIns="6350" lIns="6350" spcFirstLastPara="1" rIns="6350" wrap="square" tIns="6350">
                            <a:noAutofit/>
                          </wps:bodyPr>
                        </wps:wsp>
                        <wps:wsp>
                          <wps:cNvSpPr/>
                          <wps:cNvPr id="14" name="Shape 14"/>
                          <wps:spPr>
                            <a:xfrm rot="3240000">
                              <a:off x="2345256" y="2094741"/>
                              <a:ext cx="226502" cy="40070"/>
                            </a:xfrm>
                            <a:custGeom>
                              <a:rect b="b" l="l" r="r" t="t"/>
                              <a:pathLst>
                                <a:path extrusionOk="0" h="120000" w="120000">
                                  <a:moveTo>
                                    <a:pt x="0" y="60000"/>
                                  </a:moveTo>
                                  <a:lnTo>
                                    <a:pt x="120000" y="60000"/>
                                  </a:lnTo>
                                </a:path>
                              </a:pathLst>
                            </a:cu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rot="3240000">
                              <a:off x="2452844" y="2109113"/>
                              <a:ext cx="11325" cy="1132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16" name="Shape 16"/>
                          <wps:spPr>
                            <a:xfrm>
                              <a:off x="2318438" y="2105048"/>
                              <a:ext cx="1018502" cy="1035724"/>
                            </a:xfrm>
                            <a:prstGeom prst="ellipse">
                              <a:avLst/>
                            </a:prstGeom>
                            <a:solidFill>
                              <a:srgbClr val="E36C09"/>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2467594" y="2256726"/>
                              <a:ext cx="720190" cy="732368"/>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Moderate Substitution Threat of For-Profit University and Online Degrees</w:t>
                                </w:r>
                              </w:p>
                            </w:txbxContent>
                          </wps:txbx>
                          <wps:bodyPr anchorCtr="0" anchor="ctr" bIns="6350" lIns="6350" spcFirstLastPara="1" rIns="6350" wrap="square" tIns="6350">
                            <a:noAutofit/>
                          </wps:bodyPr>
                        </wps:wsp>
                        <wps:wsp>
                          <wps:cNvSpPr/>
                          <wps:cNvPr id="18" name="Shape 18"/>
                          <wps:spPr>
                            <a:xfrm rot="7560000">
                              <a:off x="1659729" y="2099477"/>
                              <a:ext cx="238211" cy="40070"/>
                            </a:xfrm>
                            <a:custGeom>
                              <a:rect b="b" l="l" r="r" t="t"/>
                              <a:pathLst>
                                <a:path extrusionOk="0" h="120000" w="120000">
                                  <a:moveTo>
                                    <a:pt x="0" y="60000"/>
                                  </a:moveTo>
                                  <a:lnTo>
                                    <a:pt x="120000" y="60000"/>
                                  </a:lnTo>
                                </a:path>
                              </a:pathLst>
                            </a:cu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rot="-3240000">
                              <a:off x="1772879" y="2113557"/>
                              <a:ext cx="11910" cy="1191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20" name="Shape 20"/>
                          <wps:spPr>
                            <a:xfrm>
                              <a:off x="928430" y="2109141"/>
                              <a:ext cx="969328" cy="1027538"/>
                            </a:xfrm>
                            <a:prstGeom prst="ellipse">
                              <a:avLst/>
                            </a:prstGeom>
                            <a:solidFill>
                              <a:srgbClr val="938953"/>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1070385" y="2259620"/>
                              <a:ext cx="685418" cy="7265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Higher Degree of Rivalrty due to Increasing  Number of Universities</w:t>
                                </w:r>
                              </w:p>
                            </w:txbxContent>
                          </wps:txbx>
                          <wps:bodyPr anchorCtr="0" anchor="ctr" bIns="6350" lIns="6350" spcFirstLastPara="1" rIns="6350" wrap="square" tIns="6350">
                            <a:noAutofit/>
                          </wps:bodyPr>
                        </wps:wsp>
                        <wps:wsp>
                          <wps:cNvSpPr/>
                          <wps:cNvPr id="22" name="Shape 22"/>
                          <wps:spPr>
                            <a:xfrm rot="-9720000">
                              <a:off x="1489377" y="1456250"/>
                              <a:ext cx="196447" cy="40070"/>
                            </a:xfrm>
                            <a:custGeom>
                              <a:rect b="b" l="l" r="r" t="t"/>
                              <a:pathLst>
                                <a:path extrusionOk="0" h="120000" w="120000">
                                  <a:moveTo>
                                    <a:pt x="0" y="60000"/>
                                  </a:moveTo>
                                  <a:lnTo>
                                    <a:pt x="120000" y="60000"/>
                                  </a:lnTo>
                                </a:path>
                              </a:pathLst>
                            </a:cu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3" name="Shape 23"/>
                          <wps:spPr>
                            <a:xfrm rot="1080000">
                              <a:off x="1582690" y="1471374"/>
                              <a:ext cx="9822" cy="982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12700" spcFirstLastPara="1" rIns="12700" wrap="square" tIns="0">
                            <a:noAutofit/>
                          </wps:bodyPr>
                        </wps:wsp>
                        <wps:wsp>
                          <wps:cNvSpPr/>
                          <wps:cNvPr id="24" name="Shape 24"/>
                          <wps:spPr>
                            <a:xfrm>
                              <a:off x="423772" y="789912"/>
                              <a:ext cx="1104376" cy="975278"/>
                            </a:xfrm>
                            <a:prstGeom prst="ellipse">
                              <a:avLst/>
                            </a:prstGeom>
                            <a:solidFill>
                              <a:srgbClr val="7030A0"/>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5" name="Shape 25"/>
                          <wps:spPr>
                            <a:xfrm>
                              <a:off x="585504" y="932738"/>
                              <a:ext cx="780912" cy="68962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Bargaining Power of the Suppliers' (Universities) is Relatively Low</w:t>
                                </w:r>
                              </w:p>
                            </w:txbxContent>
                          </wps:txbx>
                          <wps:bodyPr anchorCtr="0" anchor="ctr" bIns="6350" lIns="6350" spcFirstLastPara="1" rIns="6350" wrap="square" tIns="6350">
                            <a:noAutofit/>
                          </wps:bodyPr>
                        </wps:wsp>
                      </wpg:grpSp>
                    </wpg:wgp>
                  </a:graphicData>
                </a:graphic>
              </wp:inline>
            </w:drawing>
          </mc:Choice>
          <mc:Fallback>
            <w:drawing>
              <wp:inline distB="0" distT="0" distL="0" distR="0">
                <wp:extent cx="4150581" cy="3124862"/>
                <wp:effectExtent b="0" l="0" r="0" t="0"/>
                <wp:docPr id="4"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4150581" cy="3124862"/>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7">
      <w:pPr>
        <w:jc w:val="center"/>
        <w:rPr/>
      </w:pPr>
      <w:r w:rsidDel="00000000" w:rsidR="00000000" w:rsidRPr="00000000">
        <w:rPr>
          <w:rtl w:val="0"/>
        </w:rPr>
        <w:t xml:space="preserve">Figure 3: Porter's Five Forces Model for UWTSD (</w:t>
      </w:r>
      <w:r w:rsidDel="00000000" w:rsidR="00000000" w:rsidRPr="00000000">
        <w:rPr>
          <w:color w:val="222222"/>
          <w:highlight w:val="white"/>
          <w:rtl w:val="0"/>
        </w:rPr>
        <w:t xml:space="preserve">Aydin, 2017)</w:t>
      </w:r>
      <w:r w:rsidDel="00000000" w:rsidR="00000000" w:rsidRPr="00000000">
        <w:rPr>
          <w:rtl w:val="0"/>
        </w:rPr>
      </w:r>
    </w:p>
    <w:p w:rsidR="00000000" w:rsidDel="00000000" w:rsidP="00000000" w:rsidRDefault="00000000" w:rsidRPr="00000000" w14:paraId="00000048">
      <w:pPr>
        <w:rPr/>
      </w:pPr>
      <w:r w:rsidDel="00000000" w:rsidR="00000000" w:rsidRPr="00000000">
        <w:br w:type="page"/>
      </w: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New Entrant Threat</w:t>
      </w:r>
    </w:p>
    <w:p w:rsidR="00000000" w:rsidDel="00000000" w:rsidP="00000000" w:rsidRDefault="00000000" w:rsidRPr="00000000" w14:paraId="0000004A">
      <w:pPr>
        <w:rPr/>
      </w:pPr>
      <w:r w:rsidDel="00000000" w:rsidR="00000000" w:rsidRPr="00000000">
        <w:rPr>
          <w:rtl w:val="0"/>
        </w:rPr>
        <w:t xml:space="preserve">There have always been a significant number of educational institutions of higher learning in operation in the UK. On the other hand, there is a consistent growth in the number of new universities that are opening their doors to provide educational opportunities for students. Because of this, there has been the potential for the formation of brand-new educational institutions in the United Kingdom. In the event that new institutions are formed, it is possible that UWTSD will not receive the same number of students as it already does (</w:t>
      </w:r>
      <w:r w:rsidDel="00000000" w:rsidR="00000000" w:rsidRPr="00000000">
        <w:rPr>
          <w:color w:val="222222"/>
          <w:highlight w:val="white"/>
          <w:rtl w:val="0"/>
        </w:rPr>
        <w:t xml:space="preserve">Aydin, 2017)</w:t>
      </w:r>
      <w:r w:rsidDel="00000000" w:rsidR="00000000" w:rsidRPr="00000000">
        <w:rPr>
          <w:rtl w:val="0"/>
        </w:rPr>
        <w:t xml:space="preserve">. Students who are currently enrolled in the United Kingdom have access to a wide variety of foreign educational institutions located all over the world with the aim of furthering their education. When compared to the cost of education in many other regions of the world, the expense of education in the United Kingdom is significantly greater. Because of this, a significant number of students are interested in pursuing their higher education in other nations. If the vast majority of students decide to pursue their higher education in other countries, this may also result in a decline in the number of students attending UWTSD.</w:t>
      </w:r>
    </w:p>
    <w:p w:rsidR="00000000" w:rsidDel="00000000" w:rsidP="00000000" w:rsidRDefault="00000000" w:rsidRPr="00000000" w14:paraId="0000004B">
      <w:pPr>
        <w:rPr>
          <w:b w:val="1"/>
        </w:rPr>
      </w:pPr>
      <w:r w:rsidDel="00000000" w:rsidR="00000000" w:rsidRPr="00000000">
        <w:rPr>
          <w:b w:val="1"/>
          <w:rtl w:val="0"/>
        </w:rPr>
        <w:t xml:space="preserve">Buyers’ Bargaining Power</w:t>
      </w:r>
    </w:p>
    <w:p w:rsidR="00000000" w:rsidDel="00000000" w:rsidP="00000000" w:rsidRDefault="00000000" w:rsidRPr="00000000" w14:paraId="0000004C">
      <w:pPr>
        <w:rPr/>
      </w:pPr>
      <w:r w:rsidDel="00000000" w:rsidR="00000000" w:rsidRPr="00000000">
        <w:rPr>
          <w:rtl w:val="0"/>
        </w:rPr>
        <w:t xml:space="preserve">The students and their parents are the buyers in terms of porter's five forces model. Choosing a University for higher education depends on several factors such as the cost of education, the income of the students and families, the location of the university, ranking of the university, education quality of the university, etc. Based on these components, the students can pick a University from a wide range of sources (</w:t>
      </w:r>
      <w:r w:rsidDel="00000000" w:rsidR="00000000" w:rsidRPr="00000000">
        <w:rPr>
          <w:color w:val="222222"/>
          <w:highlight w:val="white"/>
          <w:rtl w:val="0"/>
        </w:rPr>
        <w:t xml:space="preserve">Dobbs, 2014)</w:t>
      </w:r>
      <w:r w:rsidDel="00000000" w:rsidR="00000000" w:rsidRPr="00000000">
        <w:rPr>
          <w:rtl w:val="0"/>
        </w:rPr>
        <w:t xml:space="preserve">. As discussed earlier, apart from the universities in the UK, the students can also pick universities outside the UK. So there has been a lot of options in front of them from which they can choose a particular University. Due to having a lot of options in front of the students, the bargaining power of the students is relatively high because if a University charges a higher cost of education from the students, the students can choose another University from which they can complete their higher education at a relatively lower cost. That is why the bargaining power of UWTSD has been lower just like the other universities operating in the UK.</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b w:val="1"/>
          <w:rtl w:val="0"/>
        </w:rPr>
        <w:t xml:space="preserve">Suppliers bargaining Power</w:t>
      </w:r>
    </w:p>
    <w:p w:rsidR="00000000" w:rsidDel="00000000" w:rsidP="00000000" w:rsidRDefault="00000000" w:rsidRPr="00000000" w14:paraId="00000050">
      <w:pPr>
        <w:rPr/>
      </w:pPr>
      <w:r w:rsidDel="00000000" w:rsidR="00000000" w:rsidRPr="00000000">
        <w:rPr>
          <w:rtl w:val="0"/>
        </w:rPr>
        <w:t xml:space="preserve">In the context of Porter's five forces model, the educational institutions that offer degrees to students are considered the suppliers. As was just mentioned, there have always been a significant number of universities both inside and outside of the United Kingdom that is operational. Because of this, the students have the potential to have more bargaining power than the universities. Because of this dynamic, the suppliers in the higher education industry have a rather weak position when it comes to bargaining leverage. On the other hand, there are a few educational institutions that not only offer students a high-quality education but also maintain higher-ranking positions. As a result of their higher rankings and superior educational quality, these colleges have more negotiating leverage than their counterparts, giving them the ability to secure more favorable terms. Since its founding, UWTSD has consistently been recognized as one of the most prestigious and prominent universities in the United Kingdom. When viewed from this perspective, the university's bargaining strength is superior to that of the other universities in the UK that are now operating.</w:t>
      </w:r>
    </w:p>
    <w:p w:rsidR="00000000" w:rsidDel="00000000" w:rsidP="00000000" w:rsidRDefault="00000000" w:rsidRPr="00000000" w14:paraId="00000051">
      <w:pPr>
        <w:rPr>
          <w:b w:val="1"/>
        </w:rPr>
      </w:pPr>
      <w:r w:rsidDel="00000000" w:rsidR="00000000" w:rsidRPr="00000000">
        <w:rPr>
          <w:b w:val="1"/>
          <w:rtl w:val="0"/>
        </w:rPr>
        <w:t xml:space="preserve">Rivalry Degree</w:t>
      </w:r>
    </w:p>
    <w:p w:rsidR="00000000" w:rsidDel="00000000" w:rsidP="00000000" w:rsidRDefault="00000000" w:rsidRPr="00000000" w14:paraId="00000052">
      <w:pPr>
        <w:rPr/>
      </w:pPr>
      <w:r w:rsidDel="00000000" w:rsidR="00000000" w:rsidRPr="00000000">
        <w:rPr>
          <w:rtl w:val="0"/>
        </w:rPr>
        <w:t xml:space="preserve">There have been a good number of universities operating in the UK. The universities also provide almost identical courses and other facilities to the students. Because of that, the degree of rivalry in the higher education sector in the UK has been quite high. All the universities operating in the UK want to provide quality education to students so that students choose the university for the purpose of higher education (</w:t>
      </w:r>
      <w:r w:rsidDel="00000000" w:rsidR="00000000" w:rsidRPr="00000000">
        <w:rPr>
          <w:color w:val="222222"/>
          <w:highlight w:val="white"/>
          <w:rtl w:val="0"/>
        </w:rPr>
        <w:t xml:space="preserve">Lewis, 2017)</w:t>
      </w:r>
      <w:r w:rsidDel="00000000" w:rsidR="00000000" w:rsidRPr="00000000">
        <w:rPr>
          <w:rtl w:val="0"/>
        </w:rPr>
        <w:t xml:space="preserve">. The universities also want to pick the best students so that their reputation increases. UWTSD also has to deal with rivalry because of the increasing number of universities operating in the UK.  The university also wants to provide better educational facilities to the students to enhance its reputation.</w:t>
      </w:r>
    </w:p>
    <w:p w:rsidR="00000000" w:rsidDel="00000000" w:rsidP="00000000" w:rsidRDefault="00000000" w:rsidRPr="00000000" w14:paraId="00000053">
      <w:pPr>
        <w:rPr>
          <w:b w:val="1"/>
        </w:rPr>
      </w:pPr>
      <w:r w:rsidDel="00000000" w:rsidR="00000000" w:rsidRPr="00000000">
        <w:rPr>
          <w:b w:val="1"/>
          <w:rtl w:val="0"/>
        </w:rPr>
        <w:t xml:space="preserve">Substitution Threat</w:t>
      </w:r>
    </w:p>
    <w:p w:rsidR="00000000" w:rsidDel="00000000" w:rsidP="00000000" w:rsidRDefault="00000000" w:rsidRPr="00000000" w14:paraId="00000054">
      <w:pPr>
        <w:rPr/>
      </w:pPr>
      <w:r w:rsidDel="00000000" w:rsidR="00000000" w:rsidRPr="00000000">
        <w:rPr>
          <w:rtl w:val="0"/>
        </w:rPr>
        <w:t xml:space="preserve">There has been no direct substitution threat to the universities that provide higher education to students. So, there has not been a huge substitution threat for UWTSD. However, there are some minor substitution threats that exist in this sector. Different universities throughout the world provide online degree opportunities to students (</w:t>
      </w:r>
      <w:r w:rsidDel="00000000" w:rsidR="00000000" w:rsidRPr="00000000">
        <w:rPr>
          <w:color w:val="222222"/>
          <w:highlight w:val="white"/>
          <w:rtl w:val="0"/>
        </w:rPr>
        <w:t xml:space="preserve">Pringle, and Huisman, 2011)</w:t>
      </w:r>
      <w:r w:rsidDel="00000000" w:rsidR="00000000" w:rsidRPr="00000000">
        <w:rPr>
          <w:rtl w:val="0"/>
        </w:rPr>
        <w:t xml:space="preserve">. Students can enroll themselves in an online degree course instead of admitting themselves to regular on-campus courses. There are also some for-profit universities that provide programs related to career-oriented. Students can also admit themselves to profit universities to get an education that is career oriented to get a better career. UWTSD also faces this minor substitution threat in this industry.</w:t>
      </w:r>
    </w:p>
    <w:p w:rsidR="00000000" w:rsidDel="00000000" w:rsidP="00000000" w:rsidRDefault="00000000" w:rsidRPr="00000000" w14:paraId="00000055">
      <w:pPr>
        <w:pStyle w:val="Heading1"/>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56">
      <w:pPr>
        <w:rPr/>
      </w:pPr>
      <w:r w:rsidDel="00000000" w:rsidR="00000000" w:rsidRPr="00000000">
        <w:rPr>
          <w:rtl w:val="0"/>
        </w:rPr>
        <w:t xml:space="preserve">After conducting Porter's Five Forces Analysis, it has been found that the threat of new entrants in the UK Higher Education sector is higher as the number of educational institutions is continuously on the increase for which UWTSD is facing a high level of competition. The same is applicable in terms of rivalry. In terms of the bargaining power of the buyers, the students have a wider scope of options to choose the desired University among a large number of universities in different cities of the UK. For the same reason, the bargaining power of the universities is low. Finally, the threat of substitutes does not exist for the UK Higher Education sector but it does for UWTSD because of the growing number of universities in the UK. Finally, in terms of the PESTLE Analysis, a number of global factors like public funding, availability of foreign students, student debt, weak job market, the willingness of students to study, online alternatives, augmented learning, environmental issues like COVID 19 and laws and regulations have been found out affecting UWTSD.</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1"/>
        <w:rPr/>
      </w:pPr>
      <w:bookmarkStart w:colFirst="0" w:colLast="0" w:name="_heading=h.3dy6vkm" w:id="6"/>
      <w:bookmarkEnd w:id="6"/>
      <w:r w:rsidDel="00000000" w:rsidR="00000000" w:rsidRPr="00000000">
        <w:rPr>
          <w:rtl w:val="0"/>
        </w:rPr>
        <w:t xml:space="preserve">References</w:t>
      </w:r>
    </w:p>
    <w:p w:rsidR="00000000" w:rsidDel="00000000" w:rsidP="00000000" w:rsidRDefault="00000000" w:rsidRPr="00000000" w14:paraId="00000060">
      <w:pPr>
        <w:rPr/>
      </w:pPr>
      <w:r w:rsidDel="00000000" w:rsidR="00000000" w:rsidRPr="00000000">
        <w:rPr>
          <w:highlight w:val="white"/>
          <w:rtl w:val="0"/>
        </w:rPr>
        <w:t xml:space="preserve">Aydin, O.T., 2017. Assessing the Environmental Conditions of Higher Education: In a Theoretical Approach Using Porter's Five Forces Model. </w:t>
      </w:r>
      <w:r w:rsidDel="00000000" w:rsidR="00000000" w:rsidRPr="00000000">
        <w:rPr>
          <w:i w:val="1"/>
          <w:highlight w:val="white"/>
          <w:rtl w:val="0"/>
        </w:rPr>
        <w:t xml:space="preserve">Journal of Higher Education &amp; Science/Yüksekögretim ve Bilim Dergisi</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(2).</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Brawidjojo, E., 2021. Foreign students in the UK. </w:t>
      </w:r>
      <w:r w:rsidDel="00000000" w:rsidR="00000000" w:rsidRPr="00000000">
        <w:rPr>
          <w:i w:val="1"/>
          <w:rtl w:val="0"/>
        </w:rPr>
        <w:t xml:space="preserve">BMJ</w:t>
      </w:r>
      <w:r w:rsidDel="00000000" w:rsidR="00000000" w:rsidRPr="00000000">
        <w:rPr>
          <w:rtl w:val="0"/>
        </w:rPr>
        <w:t xml:space="preserve">, 334(Suppl S6), p.0706254b.</w:t>
      </w:r>
    </w:p>
    <w:p w:rsidR="00000000" w:rsidDel="00000000" w:rsidP="00000000" w:rsidRDefault="00000000" w:rsidRPr="00000000" w14:paraId="00000062">
      <w:pPr>
        <w:rPr>
          <w:highlight w:val="white"/>
        </w:rPr>
      </w:pPr>
      <w:r w:rsidDel="00000000" w:rsidR="00000000" w:rsidRPr="00000000">
        <w:rPr>
          <w:highlight w:val="white"/>
          <w:rtl w:val="0"/>
        </w:rPr>
        <w:t xml:space="preserve">Dobbs, M.E., 2014. Guidelines for applying Porter's five forces framework: a set of industry analysis templates. </w:t>
      </w:r>
      <w:r w:rsidDel="00000000" w:rsidR="00000000" w:rsidRPr="00000000">
        <w:rPr>
          <w:i w:val="1"/>
          <w:highlight w:val="white"/>
          <w:rtl w:val="0"/>
        </w:rPr>
        <w:t xml:space="preserve">Competitiveness review</w:t>
      </w:r>
      <w:r w:rsidDel="00000000" w:rsidR="00000000" w:rsidRPr="00000000">
        <w:rPr>
          <w:highlight w:val="white"/>
          <w:rtl w:val="0"/>
        </w:rPr>
        <w:t xml:space="preserve">.</w:t>
      </w:r>
    </w:p>
    <w:p w:rsidR="00000000" w:rsidDel="00000000" w:rsidP="00000000" w:rsidRDefault="00000000" w:rsidRPr="00000000" w14:paraId="00000063">
      <w:pPr>
        <w:rPr/>
      </w:pPr>
      <w:r w:rsidDel="00000000" w:rsidR="00000000" w:rsidRPr="00000000">
        <w:rPr>
          <w:rtl w:val="0"/>
        </w:rPr>
        <w:t xml:space="preserve">Gumport, P., 2017. </w:t>
      </w:r>
      <w:r w:rsidDel="00000000" w:rsidR="00000000" w:rsidRPr="00000000">
        <w:rPr>
          <w:i w:val="1"/>
          <w:rtl w:val="0"/>
        </w:rPr>
        <w:t xml:space="preserve">Sociology of Higher Education</w:t>
      </w:r>
      <w:r w:rsidDel="00000000" w:rsidR="00000000" w:rsidRPr="00000000">
        <w:rPr>
          <w:rtl w:val="0"/>
        </w:rPr>
        <w:t xml:space="preserve">. Baltimore: The Johns Hopkins University Press.</w:t>
      </w:r>
    </w:p>
    <w:p w:rsidR="00000000" w:rsidDel="00000000" w:rsidP="00000000" w:rsidRDefault="00000000" w:rsidRPr="00000000" w14:paraId="00000064">
      <w:pPr>
        <w:rPr/>
      </w:pPr>
      <w:r w:rsidDel="00000000" w:rsidR="00000000" w:rsidRPr="00000000">
        <w:rPr>
          <w:rtl w:val="0"/>
        </w:rPr>
        <w:t xml:space="preserve">Johnston, J., 2019. </w:t>
      </w:r>
      <w:r w:rsidDel="00000000" w:rsidR="00000000" w:rsidRPr="00000000">
        <w:rPr>
          <w:i w:val="1"/>
          <w:rtl w:val="0"/>
        </w:rPr>
        <w:t xml:space="preserve">Behavior research and technology in higher education</w:t>
      </w:r>
      <w:r w:rsidDel="00000000" w:rsidR="00000000" w:rsidRPr="00000000">
        <w:rPr>
          <w:rtl w:val="0"/>
        </w:rPr>
        <w:t xml:space="preserve">. Springfield, Ill.: Charles Thomas.</w:t>
      </w:r>
    </w:p>
    <w:p w:rsidR="00000000" w:rsidDel="00000000" w:rsidP="00000000" w:rsidRDefault="00000000" w:rsidRPr="00000000" w14:paraId="00000065">
      <w:pPr>
        <w:rPr/>
      </w:pPr>
      <w:r w:rsidDel="00000000" w:rsidR="00000000" w:rsidRPr="00000000">
        <w:rPr>
          <w:rtl w:val="0"/>
        </w:rPr>
        <w:t xml:space="preserve">Levin, B., Qi, J., Sohn, J. and Edelstein, H., 2016. </w:t>
      </w:r>
      <w:r w:rsidDel="00000000" w:rsidR="00000000" w:rsidRPr="00000000">
        <w:rPr>
          <w:i w:val="1"/>
          <w:rtl w:val="0"/>
        </w:rPr>
        <w:t xml:space="preserve">The impact of research in education</w:t>
      </w:r>
      <w:r w:rsidDel="00000000" w:rsidR="00000000" w:rsidRPr="00000000">
        <w:rPr>
          <w:rtl w:val="0"/>
        </w:rPr>
        <w:t xml:space="preserve">. Bristol: Policy Press.</w:t>
      </w:r>
    </w:p>
    <w:p w:rsidR="00000000" w:rsidDel="00000000" w:rsidP="00000000" w:rsidRDefault="00000000" w:rsidRPr="00000000" w14:paraId="00000066">
      <w:pPr>
        <w:rPr>
          <w:highlight w:val="white"/>
        </w:rPr>
      </w:pPr>
      <w:r w:rsidDel="00000000" w:rsidR="00000000" w:rsidRPr="00000000">
        <w:rPr>
          <w:highlight w:val="white"/>
          <w:rtl w:val="0"/>
        </w:rPr>
        <w:t xml:space="preserve">Lewis, R., 2017. Porter's Five Forces of competitive advantage.</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t xml:space="preserve">Martin, C., 2015. Should Students Have to Borrow? Autonomy, Wellbeing and Student Debt. </w:t>
      </w:r>
      <w:r w:rsidDel="00000000" w:rsidR="00000000" w:rsidRPr="00000000">
        <w:rPr>
          <w:i w:val="1"/>
          <w:rtl w:val="0"/>
        </w:rPr>
        <w:t xml:space="preserve">Journal of Philosophy of Education</w:t>
      </w:r>
      <w:r w:rsidDel="00000000" w:rsidR="00000000" w:rsidRPr="00000000">
        <w:rPr>
          <w:rtl w:val="0"/>
        </w:rPr>
        <w:t xml:space="preserve">, 50(3), pp.351-370.</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Newton, K., 2016. </w:t>
      </w:r>
      <w:r w:rsidDel="00000000" w:rsidR="00000000" w:rsidRPr="00000000">
        <w:rPr>
          <w:i w:val="1"/>
          <w:rtl w:val="0"/>
        </w:rPr>
        <w:t xml:space="preserve">Urban political economy</w:t>
      </w:r>
      <w:r w:rsidDel="00000000" w:rsidR="00000000" w:rsidRPr="00000000">
        <w:rPr>
          <w:rtl w:val="0"/>
        </w:rPr>
        <w:t xml:space="preserve">. London: Bloomsbury.</w:t>
      </w:r>
    </w:p>
    <w:p w:rsidR="00000000" w:rsidDel="00000000" w:rsidP="00000000" w:rsidRDefault="00000000" w:rsidRPr="00000000" w14:paraId="00000069">
      <w:pPr>
        <w:rPr>
          <w:highlight w:val="white"/>
        </w:rPr>
      </w:pPr>
      <w:r w:rsidDel="00000000" w:rsidR="00000000" w:rsidRPr="00000000">
        <w:rPr>
          <w:highlight w:val="white"/>
          <w:rtl w:val="0"/>
        </w:rPr>
        <w:t xml:space="preserve">Pringle, J. and Huisman, J., 2011. Understanding Universities in Ontario, Canada: An Industry Analysis Using Porter's Five Forces Framework. </w:t>
      </w:r>
      <w:r w:rsidDel="00000000" w:rsidR="00000000" w:rsidRPr="00000000">
        <w:rPr>
          <w:i w:val="1"/>
          <w:highlight w:val="white"/>
          <w:rtl w:val="0"/>
        </w:rPr>
        <w:t xml:space="preserve">Canadian Journal of Higher Education</w:t>
      </w:r>
      <w:r w:rsidDel="00000000" w:rsidR="00000000" w:rsidRPr="00000000">
        <w:rPr>
          <w:highlight w:val="white"/>
          <w:rtl w:val="0"/>
        </w:rPr>
        <w:t xml:space="preserve">, </w:t>
      </w:r>
      <w:r w:rsidDel="00000000" w:rsidR="00000000" w:rsidRPr="00000000">
        <w:rPr>
          <w:i w:val="1"/>
          <w:highlight w:val="white"/>
          <w:rtl w:val="0"/>
        </w:rPr>
        <w:t xml:space="preserve">41</w:t>
      </w:r>
      <w:r w:rsidDel="00000000" w:rsidR="00000000" w:rsidRPr="00000000">
        <w:rPr>
          <w:highlight w:val="white"/>
          <w:rtl w:val="0"/>
        </w:rPr>
        <w:t xml:space="preserve">(3), pp.36-58.</w:t>
      </w:r>
    </w:p>
    <w:p w:rsidR="00000000" w:rsidDel="00000000" w:rsidP="00000000" w:rsidRDefault="00000000" w:rsidRPr="00000000" w14:paraId="0000006A">
      <w:pPr>
        <w:rPr/>
      </w:pPr>
      <w:r w:rsidDel="00000000" w:rsidR="00000000" w:rsidRPr="00000000">
        <w:rPr>
          <w:rtl w:val="0"/>
        </w:rPr>
        <w:t xml:space="preserve">Simonson, M. and Orellana, A., 2020. </w:t>
      </w:r>
      <w:r w:rsidDel="00000000" w:rsidR="00000000" w:rsidRPr="00000000">
        <w:rPr>
          <w:i w:val="1"/>
          <w:rtl w:val="0"/>
        </w:rPr>
        <w:t xml:space="preserve">Quarterly Review of Distance Education</w:t>
      </w:r>
      <w:r w:rsidDel="00000000" w:rsidR="00000000" w:rsidRPr="00000000">
        <w:rPr>
          <w:rtl w:val="0"/>
        </w:rPr>
        <w:t xml:space="preserve">. Charlotte, NC: Information Age Publishing, Incorporated.</w:t>
      </w:r>
    </w:p>
    <w:p w:rsidR="00000000" w:rsidDel="00000000" w:rsidP="00000000" w:rsidRDefault="00000000" w:rsidRPr="00000000" w14:paraId="0000006B">
      <w:pPr>
        <w:rPr>
          <w:color w:val="000000"/>
          <w:highlight w:val="white"/>
        </w:rPr>
      </w:pPr>
      <w:r w:rsidDel="00000000" w:rsidR="00000000" w:rsidRPr="00000000">
        <w:rPr>
          <w:highlight w:val="white"/>
          <w:rtl w:val="0"/>
        </w:rPr>
        <w:t xml:space="preserve">Statista, 2022. </w:t>
      </w:r>
      <w:r w:rsidDel="00000000" w:rsidR="00000000" w:rsidRPr="00000000">
        <w:rPr>
          <w:color w:val="000000"/>
          <w:highlight w:val="white"/>
          <w:rtl w:val="0"/>
        </w:rPr>
        <w:t xml:space="preserve">Available at: </w:t>
      </w:r>
      <w:hyperlink r:id="rId11">
        <w:r w:rsidDel="00000000" w:rsidR="00000000" w:rsidRPr="00000000">
          <w:rPr>
            <w:color w:val="000000"/>
            <w:highlight w:val="white"/>
            <w:u w:val="none"/>
            <w:rtl w:val="0"/>
          </w:rPr>
          <w:t xml:space="preserve">https://www.statista.com/</w:t>
        </w:r>
      </w:hyperlink>
      <w:r w:rsidDel="00000000" w:rsidR="00000000" w:rsidRPr="00000000">
        <w:rPr>
          <w:rtl w:val="0"/>
        </w:rPr>
      </w:r>
    </w:p>
    <w:p w:rsidR="00000000" w:rsidDel="00000000" w:rsidP="00000000" w:rsidRDefault="00000000" w:rsidRPr="00000000" w14:paraId="0000006C">
      <w:pPr>
        <w:rPr/>
      </w:pPr>
      <w:r w:rsidDel="00000000" w:rsidR="00000000" w:rsidRPr="00000000">
        <w:rPr>
          <w:highlight w:val="white"/>
          <w:rtl w:val="0"/>
        </w:rPr>
        <w:t xml:space="preserve">Universities UK, 2014. International students in higher education: The UK and its competition.</w:t>
      </w: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Whitchurch, C., 2018. </w:t>
      </w:r>
      <w:r w:rsidDel="00000000" w:rsidR="00000000" w:rsidRPr="00000000">
        <w:rPr>
          <w:i w:val="1"/>
          <w:rtl w:val="0"/>
        </w:rPr>
        <w:t xml:space="preserve">Professional managers in UK higher education</w:t>
      </w:r>
      <w:r w:rsidDel="00000000" w:rsidR="00000000" w:rsidRPr="00000000">
        <w:rPr>
          <w:rtl w:val="0"/>
        </w:rPr>
        <w:t xml:space="preserve">. London: Leadership Foundation for Higher Education.</w:t>
      </w:r>
    </w:p>
    <w:p w:rsidR="00000000" w:rsidDel="00000000" w:rsidP="00000000" w:rsidRDefault="00000000" w:rsidRPr="00000000" w14:paraId="0000006E">
      <w:pPr>
        <w:rPr/>
      </w:pPr>
      <w:r w:rsidDel="00000000" w:rsidR="00000000" w:rsidRPr="00000000">
        <w:rPr>
          <w:rtl w:val="0"/>
        </w:rPr>
        <w:t xml:space="preserve">Zwaan, B., 2017. </w:t>
      </w:r>
      <w:r w:rsidDel="00000000" w:rsidR="00000000" w:rsidRPr="00000000">
        <w:rPr>
          <w:i w:val="1"/>
          <w:rtl w:val="0"/>
        </w:rPr>
        <w:t xml:space="preserve">Higher Education in 2040</w:t>
      </w:r>
      <w:r w:rsidDel="00000000" w:rsidR="00000000" w:rsidRPr="00000000">
        <w:rPr>
          <w:rtl w:val="0"/>
        </w:rPr>
        <w:t xml:space="preserve">. Amsterdam [Netherlands]: Amsterdam University Press.</w:t>
      </w:r>
    </w:p>
    <w:sectPr>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32"/>
      <w:szCs w:val="32"/>
    </w:rPr>
  </w:style>
  <w:style w:type="paragraph" w:styleId="Heading2">
    <w:name w:val="heading 2"/>
    <w:basedOn w:val="Normal"/>
    <w:next w:val="Normal"/>
    <w:pPr>
      <w:keepNext w:val="1"/>
      <w:keepLines w:val="1"/>
      <w:spacing w:after="0" w:before="200" w:lineRule="auto"/>
    </w:pPr>
    <w:rPr>
      <w:b w:val="1"/>
      <w:color w:val="00000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94C74"/>
    <w:pPr>
      <w:spacing w:line="360" w:lineRule="auto"/>
      <w:jc w:val="both"/>
    </w:pPr>
    <w:rPr>
      <w:rFonts w:ascii="Times New Roman" w:cs="Vrinda" w:hAnsi="Times New Roman"/>
      <w:sz w:val="24"/>
      <w:lang w:val="en-GB"/>
    </w:rPr>
  </w:style>
  <w:style w:type="paragraph" w:styleId="Heading1">
    <w:name w:val="heading 1"/>
    <w:basedOn w:val="Normal"/>
    <w:next w:val="Normal"/>
    <w:link w:val="Heading1Char"/>
    <w:uiPriority w:val="9"/>
    <w:qFormat w:val="1"/>
    <w:rsid w:val="00C1595D"/>
    <w:pPr>
      <w:keepNext w:val="1"/>
      <w:keepLines w:val="1"/>
      <w:spacing w:after="0" w:before="480"/>
      <w:outlineLvl w:val="0"/>
    </w:pPr>
    <w:rPr>
      <w:rFonts w:cstheme="majorBidi" w:eastAsiaTheme="majorEastAsia"/>
      <w:b w:val="1"/>
      <w:bCs w:val="1"/>
      <w:sz w:val="32"/>
      <w:szCs w:val="35"/>
    </w:rPr>
  </w:style>
  <w:style w:type="paragraph" w:styleId="Heading2">
    <w:name w:val="heading 2"/>
    <w:basedOn w:val="Normal"/>
    <w:next w:val="Normal"/>
    <w:link w:val="Heading2Char"/>
    <w:uiPriority w:val="9"/>
    <w:unhideWhenUsed w:val="1"/>
    <w:qFormat w:val="1"/>
    <w:rsid w:val="00DD0487"/>
    <w:pPr>
      <w:keepNext w:val="1"/>
      <w:keepLines w:val="1"/>
      <w:spacing w:after="0" w:before="200"/>
      <w:outlineLvl w:val="1"/>
    </w:pPr>
    <w:rPr>
      <w:rFonts w:cstheme="majorBidi" w:eastAsiaTheme="majorEastAsia"/>
      <w:b w:val="1"/>
      <w:bCs w:val="1"/>
      <w:color w:val="000000" w:themeColor="text1"/>
      <w:sz w:val="28"/>
      <w:szCs w:val="33"/>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unhideWhenUsed w:val="1"/>
    <w:rsid w:val="003D7109"/>
    <w:pPr>
      <w:spacing w:after="100" w:afterAutospacing="1" w:before="100" w:beforeAutospacing="1" w:line="240" w:lineRule="auto"/>
    </w:pPr>
    <w:rPr>
      <w:rFonts w:cs="Times New Roman" w:eastAsia="Times New Roman"/>
      <w:szCs w:val="24"/>
      <w:lang w:val="en-US"/>
    </w:rPr>
  </w:style>
  <w:style w:type="paragraph" w:styleId="BalloonText">
    <w:name w:val="Balloon Text"/>
    <w:basedOn w:val="Normal"/>
    <w:link w:val="BalloonTextChar"/>
    <w:uiPriority w:val="99"/>
    <w:semiHidden w:val="1"/>
    <w:unhideWhenUsed w:val="1"/>
    <w:rsid w:val="003D7109"/>
    <w:pPr>
      <w:spacing w:after="0" w:line="240" w:lineRule="auto"/>
    </w:pPr>
    <w:rPr>
      <w:rFonts w:ascii="Tahoma" w:cs="Tahoma" w:hAnsi="Tahoma"/>
      <w:sz w:val="16"/>
      <w:szCs w:val="20"/>
    </w:rPr>
  </w:style>
  <w:style w:type="character" w:styleId="BalloonTextChar" w:customStyle="1">
    <w:name w:val="Balloon Text Char"/>
    <w:basedOn w:val="DefaultParagraphFont"/>
    <w:link w:val="BalloonText"/>
    <w:uiPriority w:val="99"/>
    <w:semiHidden w:val="1"/>
    <w:rsid w:val="003D7109"/>
    <w:rPr>
      <w:rFonts w:ascii="Tahoma" w:cs="Tahoma" w:hAnsi="Tahoma"/>
      <w:sz w:val="16"/>
      <w:szCs w:val="20"/>
      <w:lang w:val="en-GB"/>
    </w:rPr>
  </w:style>
  <w:style w:type="character" w:styleId="Hyperlink">
    <w:name w:val="Hyperlink"/>
    <w:basedOn w:val="DefaultParagraphFont"/>
    <w:uiPriority w:val="99"/>
    <w:unhideWhenUsed w:val="1"/>
    <w:rsid w:val="00BE2D25"/>
    <w:rPr>
      <w:color w:val="0000ff" w:themeColor="hyperlink"/>
      <w:u w:val="single"/>
    </w:rPr>
  </w:style>
  <w:style w:type="paragraph" w:styleId="Caption">
    <w:name w:val="caption"/>
    <w:basedOn w:val="Normal"/>
    <w:next w:val="Normal"/>
    <w:uiPriority w:val="35"/>
    <w:unhideWhenUsed w:val="1"/>
    <w:qFormat w:val="1"/>
    <w:rsid w:val="00BE2D25"/>
    <w:pPr>
      <w:spacing w:line="240" w:lineRule="auto"/>
    </w:pPr>
    <w:rPr>
      <w:b w:val="1"/>
      <w:bCs w:val="1"/>
      <w:color w:val="4f81bd" w:themeColor="accent1"/>
      <w:sz w:val="18"/>
      <w:szCs w:val="22"/>
    </w:rPr>
  </w:style>
  <w:style w:type="character" w:styleId="Heading1Char" w:customStyle="1">
    <w:name w:val="Heading 1 Char"/>
    <w:basedOn w:val="DefaultParagraphFont"/>
    <w:link w:val="Heading1"/>
    <w:uiPriority w:val="9"/>
    <w:rsid w:val="00C1595D"/>
    <w:rPr>
      <w:rFonts w:ascii="Times New Roman" w:hAnsi="Times New Roman" w:cstheme="majorBidi" w:eastAsiaTheme="majorEastAsia"/>
      <w:b w:val="1"/>
      <w:bCs w:val="1"/>
      <w:sz w:val="32"/>
      <w:szCs w:val="35"/>
      <w:lang w:val="en-GB"/>
    </w:rPr>
  </w:style>
  <w:style w:type="paragraph" w:styleId="NoSpacing">
    <w:name w:val="No Spacing"/>
    <w:uiPriority w:val="1"/>
    <w:qFormat w:val="1"/>
    <w:rsid w:val="00511911"/>
    <w:pPr>
      <w:spacing w:after="0" w:line="240" w:lineRule="auto"/>
      <w:jc w:val="both"/>
    </w:pPr>
    <w:rPr>
      <w:rFonts w:ascii="Times New Roman" w:cs="Vrinda" w:hAnsi="Times New Roman"/>
      <w:sz w:val="24"/>
      <w:lang w:val="en-GB"/>
    </w:rPr>
  </w:style>
  <w:style w:type="character" w:styleId="Heading2Char" w:customStyle="1">
    <w:name w:val="Heading 2 Char"/>
    <w:basedOn w:val="DefaultParagraphFont"/>
    <w:link w:val="Heading2"/>
    <w:uiPriority w:val="9"/>
    <w:rsid w:val="00DD0487"/>
    <w:rPr>
      <w:rFonts w:ascii="Times New Roman" w:hAnsi="Times New Roman" w:cstheme="majorBidi" w:eastAsiaTheme="majorEastAsia"/>
      <w:b w:val="1"/>
      <w:bCs w:val="1"/>
      <w:color w:val="000000" w:themeColor="text1"/>
      <w:sz w:val="28"/>
      <w:szCs w:val="33"/>
      <w:lang w:val="en-GB"/>
    </w:rPr>
  </w:style>
  <w:style w:type="paragraph" w:styleId="Header">
    <w:name w:val="header"/>
    <w:basedOn w:val="Normal"/>
    <w:link w:val="HeaderChar"/>
    <w:uiPriority w:val="99"/>
    <w:unhideWhenUsed w:val="1"/>
    <w:rsid w:val="002E4CCE"/>
    <w:pPr>
      <w:tabs>
        <w:tab w:val="center" w:pos="4680"/>
        <w:tab w:val="right" w:pos="9360"/>
      </w:tabs>
      <w:spacing w:after="0" w:line="240" w:lineRule="auto"/>
    </w:pPr>
  </w:style>
  <w:style w:type="character" w:styleId="HeaderChar" w:customStyle="1">
    <w:name w:val="Header Char"/>
    <w:basedOn w:val="DefaultParagraphFont"/>
    <w:link w:val="Header"/>
    <w:uiPriority w:val="99"/>
    <w:rsid w:val="002E4CCE"/>
    <w:rPr>
      <w:rFonts w:ascii="Times New Roman" w:cs="Vrinda" w:hAnsi="Times New Roman"/>
      <w:sz w:val="24"/>
      <w:lang w:val="en-GB"/>
    </w:rPr>
  </w:style>
  <w:style w:type="paragraph" w:styleId="Footer">
    <w:name w:val="footer"/>
    <w:basedOn w:val="Normal"/>
    <w:link w:val="FooterChar"/>
    <w:uiPriority w:val="99"/>
    <w:unhideWhenUsed w:val="1"/>
    <w:rsid w:val="002E4CCE"/>
    <w:pPr>
      <w:tabs>
        <w:tab w:val="center" w:pos="4680"/>
        <w:tab w:val="right" w:pos="9360"/>
      </w:tabs>
      <w:spacing w:after="0" w:line="240" w:lineRule="auto"/>
    </w:pPr>
  </w:style>
  <w:style w:type="character" w:styleId="FooterChar" w:customStyle="1">
    <w:name w:val="Footer Char"/>
    <w:basedOn w:val="DefaultParagraphFont"/>
    <w:link w:val="Footer"/>
    <w:uiPriority w:val="99"/>
    <w:rsid w:val="002E4CCE"/>
    <w:rPr>
      <w:rFonts w:ascii="Times New Roman" w:cs="Vrinda" w:hAnsi="Times New Roman"/>
      <w:sz w:val="24"/>
      <w:lang w:val="en-GB"/>
    </w:rPr>
  </w:style>
  <w:style w:type="paragraph" w:styleId="TOCHeading">
    <w:name w:val="TOC Heading"/>
    <w:basedOn w:val="Heading1"/>
    <w:next w:val="Normal"/>
    <w:uiPriority w:val="39"/>
    <w:semiHidden w:val="1"/>
    <w:unhideWhenUsed w:val="1"/>
    <w:qFormat w:val="1"/>
    <w:rsid w:val="00BE1007"/>
    <w:pPr>
      <w:spacing w:line="276" w:lineRule="auto"/>
      <w:jc w:val="left"/>
      <w:outlineLvl w:val="9"/>
    </w:pPr>
    <w:rPr>
      <w:rFonts w:asciiTheme="majorHAnsi" w:hAnsiTheme="majorHAnsi"/>
      <w:color w:val="365f91" w:themeColor="accent1" w:themeShade="0000BF"/>
      <w:sz w:val="28"/>
      <w:szCs w:val="28"/>
      <w:lang w:bidi="ar-SA" w:eastAsia="ja-JP" w:val="en-US"/>
    </w:rPr>
  </w:style>
  <w:style w:type="paragraph" w:styleId="TOC1">
    <w:name w:val="toc 1"/>
    <w:basedOn w:val="Normal"/>
    <w:next w:val="Normal"/>
    <w:autoRedefine w:val="1"/>
    <w:uiPriority w:val="39"/>
    <w:unhideWhenUsed w:val="1"/>
    <w:rsid w:val="00BE1007"/>
    <w:pPr>
      <w:spacing w:after="100"/>
    </w:pPr>
  </w:style>
  <w:style w:type="paragraph" w:styleId="ListParagraph">
    <w:name w:val="List Paragraph"/>
    <w:basedOn w:val="Normal"/>
    <w:uiPriority w:val="34"/>
    <w:qFormat w:val="1"/>
    <w:rsid w:val="00DD0487"/>
    <w:pPr>
      <w:ind w:left="720"/>
      <w:contextualSpacing w:val="1"/>
    </w:pPr>
  </w:style>
  <w:style w:type="paragraph" w:styleId="TOC2">
    <w:name w:val="toc 2"/>
    <w:basedOn w:val="Normal"/>
    <w:next w:val="Normal"/>
    <w:autoRedefine w:val="1"/>
    <w:uiPriority w:val="39"/>
    <w:unhideWhenUsed w:val="1"/>
    <w:rsid w:val="00DD0487"/>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statista.com/" TargetMode="External"/><Relationship Id="rId10" Type="http://schemas.openxmlformats.org/officeDocument/2006/relationships/image" Target="media/image3.png"/><Relationship Id="rId12"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an8llrn1sISczwXGdfao5VCYA==">AMUW2mX3c1tOIa2eZu4gSz3vBVpV11B2THRKHyVtlOAtpoRTnGLdnCRGauChQ4x7zs9y2iQSc+0pCwxVFHde4AP+nt2a6+aGuzNxKydI8cjdqGSHGVOljxamE6A4c9VThjKc6ciszs1z/2SWILnG5lSnZftmGPCXVO6Evyy7bLiL4gBr42Cyv3Qj9xdI8MwFeIkXzXfEaPjrW5tUifeLHvoNqXKowDOffQ==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2022-10-21T10:51:00Z</dcterms:created>
</cp:coreProperties>
</file>