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7EC6" w:rsidRPr="00534A9F" w:rsidRDefault="00DD3889" w:rsidP="00945DC7">
      <w:pPr>
        <w:spacing w:after="0" w:line="240" w:lineRule="auto"/>
        <w:ind w:left="1701" w:hanging="1134"/>
        <w:rPr>
          <w:rFonts w:ascii="Times New Roman" w:hAnsi="Times New Roman"/>
          <w:sz w:val="28"/>
          <w:szCs w:val="28"/>
        </w:rPr>
      </w:pPr>
      <w:r>
        <w:rPr>
          <w:rFonts w:ascii="Times New Roman" w:hAnsi="Times New Roman"/>
          <w:sz w:val="28"/>
          <w:szCs w:val="28"/>
        </w:rPr>
        <w:t xml:space="preserve">2. </w:t>
      </w:r>
      <w:r w:rsidR="004C16AE" w:rsidRPr="00534A9F">
        <w:rPr>
          <w:rFonts w:ascii="Times New Roman" w:hAnsi="Times New Roman"/>
          <w:sz w:val="28"/>
          <w:szCs w:val="28"/>
        </w:rPr>
        <w:t xml:space="preserve">Online Materials on </w:t>
      </w:r>
      <w:r w:rsidR="00534A9F">
        <w:rPr>
          <w:rFonts w:ascii="Times New Roman" w:hAnsi="Times New Roman"/>
          <w:sz w:val="28"/>
          <w:szCs w:val="28"/>
        </w:rPr>
        <w:t>Celtic Religion</w:t>
      </w:r>
    </w:p>
    <w:p w:rsidR="00C676E9" w:rsidRPr="00534A9F" w:rsidRDefault="00C676E9" w:rsidP="00CE7725">
      <w:pPr>
        <w:spacing w:after="0" w:line="240" w:lineRule="auto"/>
        <w:ind w:left="567"/>
        <w:rPr>
          <w:rFonts w:ascii="Times New Roman" w:hAnsi="Times New Roman"/>
          <w:b/>
          <w:sz w:val="24"/>
          <w:szCs w:val="24"/>
        </w:rPr>
      </w:pPr>
    </w:p>
    <w:p w:rsidR="00C676E9" w:rsidRPr="00534A9F" w:rsidRDefault="00C676E9" w:rsidP="00CE7725">
      <w:pPr>
        <w:spacing w:after="0" w:line="240" w:lineRule="auto"/>
        <w:ind w:left="567"/>
        <w:rPr>
          <w:rFonts w:ascii="Times New Roman" w:hAnsi="Times New Roman"/>
          <w:b/>
          <w:sz w:val="24"/>
          <w:szCs w:val="24"/>
        </w:rPr>
      </w:pPr>
      <w:r w:rsidRPr="00534A9F">
        <w:rPr>
          <w:rFonts w:ascii="Times New Roman" w:hAnsi="Times New Roman"/>
          <w:b/>
          <w:sz w:val="24"/>
          <w:szCs w:val="24"/>
        </w:rPr>
        <w:t>Articles in journals are not necessarily listed in the catalogue by author. You need to look up the journal by title and find the volume in which it is published. If it is on JSTOR you can access it through ATHENS.</w:t>
      </w:r>
    </w:p>
    <w:p w:rsidR="009C7EC6" w:rsidRPr="00534A9F" w:rsidRDefault="009C7EC6" w:rsidP="00CE7725">
      <w:pPr>
        <w:spacing w:after="0" w:line="240" w:lineRule="auto"/>
        <w:ind w:left="567"/>
        <w:rPr>
          <w:rFonts w:ascii="Times New Roman" w:hAnsi="Times New Roman"/>
          <w:b/>
          <w:sz w:val="24"/>
          <w:szCs w:val="24"/>
        </w:rPr>
      </w:pPr>
    </w:p>
    <w:p w:rsidR="004C16AE" w:rsidRPr="00534A9F" w:rsidRDefault="004C16AE" w:rsidP="004C16AE">
      <w:pPr>
        <w:spacing w:after="0" w:line="240" w:lineRule="auto"/>
        <w:ind w:left="851" w:hanging="284"/>
        <w:rPr>
          <w:rFonts w:ascii="Times New Roman" w:hAnsi="Times New Roman"/>
          <w:sz w:val="24"/>
          <w:szCs w:val="24"/>
        </w:rPr>
      </w:pPr>
    </w:p>
    <w:p w:rsidR="009C7EC6" w:rsidRPr="00534A9F" w:rsidRDefault="009C7EC6" w:rsidP="00DD4093">
      <w:pPr>
        <w:spacing w:after="0" w:line="240" w:lineRule="auto"/>
        <w:ind w:left="851" w:hanging="284"/>
        <w:rPr>
          <w:rFonts w:ascii="Times New Roman" w:hAnsi="Times New Roman"/>
          <w:b/>
          <w:sz w:val="24"/>
          <w:szCs w:val="24"/>
        </w:rPr>
      </w:pPr>
    </w:p>
    <w:p w:rsidR="00534A9F" w:rsidRPr="00534A9F" w:rsidRDefault="00534A9F" w:rsidP="00534A9F">
      <w:pPr>
        <w:spacing w:after="0" w:line="240" w:lineRule="auto"/>
        <w:ind w:left="851" w:hanging="284"/>
        <w:rPr>
          <w:b/>
          <w:sz w:val="24"/>
          <w:szCs w:val="24"/>
        </w:rPr>
      </w:pPr>
      <w:proofErr w:type="spellStart"/>
      <w:r w:rsidRPr="00534A9F">
        <w:rPr>
          <w:rFonts w:ascii="Times New Roman" w:hAnsi="Times New Roman"/>
          <w:sz w:val="24"/>
          <w:szCs w:val="24"/>
          <w:lang w:eastAsia="en-GB"/>
        </w:rPr>
        <w:t>Bober</w:t>
      </w:r>
      <w:proofErr w:type="spellEnd"/>
      <w:r w:rsidRPr="00534A9F">
        <w:rPr>
          <w:rFonts w:ascii="Times New Roman" w:hAnsi="Times New Roman"/>
          <w:sz w:val="24"/>
          <w:szCs w:val="24"/>
          <w:lang w:eastAsia="en-GB"/>
        </w:rPr>
        <w:t>, Phyllis Fray, ‘</w:t>
      </w:r>
      <w:proofErr w:type="spellStart"/>
      <w:r w:rsidRPr="00534A9F">
        <w:rPr>
          <w:rFonts w:ascii="Times New Roman" w:hAnsi="Times New Roman"/>
          <w:sz w:val="24"/>
          <w:szCs w:val="24"/>
          <w:lang w:eastAsia="en-GB"/>
        </w:rPr>
        <w:t>Cernunnos</w:t>
      </w:r>
      <w:proofErr w:type="spellEnd"/>
      <w:r w:rsidRPr="00534A9F">
        <w:rPr>
          <w:rFonts w:ascii="Times New Roman" w:hAnsi="Times New Roman"/>
          <w:sz w:val="24"/>
          <w:szCs w:val="24"/>
          <w:lang w:eastAsia="en-GB"/>
        </w:rPr>
        <w:t>: Origin and Transformation of a Celtic Divinity</w:t>
      </w:r>
      <w:r w:rsidRPr="00534A9F">
        <w:rPr>
          <w:rFonts w:ascii="Times New Roman" w:hAnsi="Times New Roman"/>
          <w:sz w:val="24"/>
          <w:szCs w:val="24"/>
        </w:rPr>
        <w:t>’</w:t>
      </w:r>
      <w:r w:rsidRPr="00534A9F">
        <w:rPr>
          <w:rFonts w:ascii="Times New Roman" w:hAnsi="Times New Roman"/>
          <w:sz w:val="24"/>
          <w:szCs w:val="24"/>
          <w:lang w:eastAsia="en-GB"/>
        </w:rPr>
        <w:t xml:space="preserve">, </w:t>
      </w:r>
      <w:r w:rsidRPr="00534A9F">
        <w:rPr>
          <w:rFonts w:ascii="Times New Roman" w:hAnsi="Times New Roman"/>
          <w:i/>
          <w:iCs/>
          <w:sz w:val="24"/>
          <w:szCs w:val="24"/>
          <w:lang w:eastAsia="en-GB"/>
        </w:rPr>
        <w:t>American Journal of Archaeology</w:t>
      </w:r>
      <w:r w:rsidRPr="00534A9F">
        <w:rPr>
          <w:rFonts w:ascii="Times New Roman" w:hAnsi="Times New Roman"/>
          <w:sz w:val="24"/>
          <w:szCs w:val="24"/>
          <w:lang w:eastAsia="en-GB"/>
        </w:rPr>
        <w:t xml:space="preserve">, Vol. 55, No. 1 (Jan., 1951), pp. 13-51 </w:t>
      </w:r>
      <w:proofErr w:type="gramStart"/>
      <w:r w:rsidRPr="00534A9F">
        <w:rPr>
          <w:rFonts w:ascii="Times New Roman" w:hAnsi="Times New Roman"/>
          <w:b/>
          <w:sz w:val="24"/>
          <w:szCs w:val="24"/>
          <w:lang w:eastAsia="en-GB"/>
        </w:rPr>
        <w:t>On</w:t>
      </w:r>
      <w:proofErr w:type="gramEnd"/>
      <w:r w:rsidRPr="00534A9F">
        <w:rPr>
          <w:rFonts w:ascii="Times New Roman" w:hAnsi="Times New Roman"/>
          <w:b/>
          <w:sz w:val="24"/>
          <w:szCs w:val="24"/>
          <w:lang w:eastAsia="en-GB"/>
        </w:rPr>
        <w:t xml:space="preserve"> JSTOR</w:t>
      </w:r>
    </w:p>
    <w:p w:rsidR="00534A9F" w:rsidRPr="00534A9F" w:rsidRDefault="00534A9F" w:rsidP="00534A9F">
      <w:pPr>
        <w:spacing w:after="0" w:line="240" w:lineRule="auto"/>
        <w:ind w:left="851" w:hanging="284"/>
        <w:rPr>
          <w:rFonts w:ascii="Times New Roman" w:hAnsi="Times New Roman"/>
          <w:sz w:val="24"/>
          <w:szCs w:val="24"/>
          <w:lang w:eastAsia="en-GB"/>
        </w:rPr>
      </w:pPr>
      <w:r w:rsidRPr="00534A9F">
        <w:rPr>
          <w:rFonts w:ascii="Times New Roman" w:hAnsi="Times New Roman"/>
          <w:sz w:val="24"/>
          <w:szCs w:val="24"/>
          <w:lang w:eastAsia="en-GB"/>
        </w:rPr>
        <w:t xml:space="preserve">Green, Miranda, ‘God in Man's Image: Thoughts on the Genesis and Affiliations of Some Romano-British Cult-Imagery’, </w:t>
      </w:r>
      <w:r w:rsidRPr="00534A9F">
        <w:rPr>
          <w:rFonts w:ascii="Times New Roman" w:hAnsi="Times New Roman"/>
          <w:i/>
          <w:iCs/>
          <w:sz w:val="24"/>
          <w:szCs w:val="24"/>
          <w:lang w:eastAsia="en-GB"/>
        </w:rPr>
        <w:t>Britannia</w:t>
      </w:r>
      <w:r w:rsidRPr="00534A9F">
        <w:rPr>
          <w:rFonts w:ascii="Times New Roman" w:hAnsi="Times New Roman"/>
          <w:sz w:val="24"/>
          <w:szCs w:val="24"/>
          <w:lang w:eastAsia="en-GB"/>
        </w:rPr>
        <w:t xml:space="preserve"> 29 (1998), pp. 17-30 </w:t>
      </w:r>
      <w:proofErr w:type="gramStart"/>
      <w:r w:rsidRPr="00534A9F">
        <w:rPr>
          <w:rFonts w:ascii="Times New Roman" w:hAnsi="Times New Roman"/>
          <w:b/>
          <w:sz w:val="24"/>
          <w:szCs w:val="24"/>
          <w:lang w:eastAsia="en-GB"/>
        </w:rPr>
        <w:t>On</w:t>
      </w:r>
      <w:proofErr w:type="gramEnd"/>
      <w:r w:rsidRPr="00534A9F">
        <w:rPr>
          <w:rFonts w:ascii="Times New Roman" w:hAnsi="Times New Roman"/>
          <w:b/>
          <w:sz w:val="24"/>
          <w:szCs w:val="24"/>
          <w:lang w:eastAsia="en-GB"/>
        </w:rPr>
        <w:t xml:space="preserve"> JSTOR</w:t>
      </w:r>
    </w:p>
    <w:p w:rsidR="00534A9F" w:rsidRPr="00534A9F" w:rsidRDefault="00534A9F" w:rsidP="00534A9F">
      <w:pPr>
        <w:spacing w:after="0"/>
        <w:ind w:left="851" w:hanging="284"/>
        <w:rPr>
          <w:rFonts w:ascii="Times New Roman" w:hAnsi="Times New Roman"/>
          <w:sz w:val="24"/>
          <w:szCs w:val="24"/>
        </w:rPr>
      </w:pPr>
      <w:r w:rsidRPr="00534A9F">
        <w:rPr>
          <w:rFonts w:ascii="Times New Roman" w:hAnsi="Times New Roman"/>
          <w:sz w:val="24"/>
          <w:szCs w:val="24"/>
        </w:rPr>
        <w:t xml:space="preserve">Nash, Daphne, ‘Reconstructing </w:t>
      </w:r>
      <w:proofErr w:type="spellStart"/>
      <w:r w:rsidRPr="00534A9F">
        <w:rPr>
          <w:rFonts w:ascii="Times New Roman" w:hAnsi="Times New Roman"/>
          <w:sz w:val="24"/>
          <w:szCs w:val="24"/>
        </w:rPr>
        <w:t>Poseidonios</w:t>
      </w:r>
      <w:proofErr w:type="spellEnd"/>
      <w:r w:rsidRPr="00534A9F">
        <w:rPr>
          <w:rFonts w:ascii="Times New Roman" w:hAnsi="Times New Roman"/>
          <w:sz w:val="24"/>
          <w:szCs w:val="24"/>
        </w:rPr>
        <w:t xml:space="preserve">’ Celtic Ethnography: some Considerations’, </w:t>
      </w:r>
      <w:proofErr w:type="gramStart"/>
      <w:r w:rsidRPr="00534A9F">
        <w:rPr>
          <w:rFonts w:ascii="Times New Roman" w:hAnsi="Times New Roman"/>
          <w:i/>
          <w:sz w:val="24"/>
          <w:szCs w:val="24"/>
        </w:rPr>
        <w:t xml:space="preserve">Britannia </w:t>
      </w:r>
      <w:r w:rsidRPr="00534A9F">
        <w:rPr>
          <w:rFonts w:ascii="Times New Roman" w:hAnsi="Times New Roman"/>
          <w:sz w:val="24"/>
          <w:szCs w:val="24"/>
        </w:rPr>
        <w:t xml:space="preserve"> 7</w:t>
      </w:r>
      <w:proofErr w:type="gramEnd"/>
      <w:r w:rsidRPr="00534A9F">
        <w:rPr>
          <w:rFonts w:ascii="Times New Roman" w:hAnsi="Times New Roman"/>
          <w:sz w:val="24"/>
          <w:szCs w:val="24"/>
        </w:rPr>
        <w:t xml:space="preserve"> (1976), pp. 111-126 </w:t>
      </w:r>
      <w:r w:rsidRPr="00534A9F">
        <w:rPr>
          <w:rFonts w:ascii="Times New Roman" w:hAnsi="Times New Roman"/>
          <w:b/>
          <w:sz w:val="24"/>
          <w:szCs w:val="24"/>
          <w:lang w:eastAsia="en-GB"/>
        </w:rPr>
        <w:t>On JSTOR</w:t>
      </w:r>
      <w:r w:rsidRPr="00534A9F">
        <w:rPr>
          <w:rFonts w:ascii="Times New Roman" w:hAnsi="Times New Roman"/>
          <w:sz w:val="24"/>
          <w:szCs w:val="24"/>
        </w:rPr>
        <w:t xml:space="preserve"> </w:t>
      </w:r>
    </w:p>
    <w:p w:rsidR="00534A9F" w:rsidRPr="00534A9F" w:rsidRDefault="00534A9F" w:rsidP="00534A9F">
      <w:pPr>
        <w:spacing w:after="0"/>
        <w:ind w:left="851" w:hanging="284"/>
        <w:rPr>
          <w:rFonts w:ascii="Times New Roman" w:hAnsi="Times New Roman"/>
          <w:sz w:val="24"/>
          <w:szCs w:val="24"/>
        </w:rPr>
      </w:pPr>
      <w:r w:rsidRPr="00534A9F">
        <w:rPr>
          <w:rFonts w:ascii="Times New Roman" w:hAnsi="Times New Roman"/>
          <w:sz w:val="24"/>
          <w:szCs w:val="24"/>
        </w:rPr>
        <w:t>Webster, Jane, ‘“</w:t>
      </w:r>
      <w:proofErr w:type="spellStart"/>
      <w:r w:rsidRPr="00534A9F">
        <w:rPr>
          <w:rFonts w:ascii="Times New Roman" w:hAnsi="Times New Roman"/>
          <w:sz w:val="24"/>
          <w:szCs w:val="24"/>
        </w:rPr>
        <w:t>Interpretatio</w:t>
      </w:r>
      <w:proofErr w:type="spellEnd"/>
      <w:r w:rsidRPr="00534A9F">
        <w:rPr>
          <w:rFonts w:ascii="Times New Roman" w:hAnsi="Times New Roman"/>
          <w:sz w:val="24"/>
          <w:szCs w:val="24"/>
        </w:rPr>
        <w:t xml:space="preserve">”: Roman Word Power and the Celtic Gods’, </w:t>
      </w:r>
      <w:r w:rsidRPr="00534A9F">
        <w:rPr>
          <w:rFonts w:ascii="Times New Roman" w:hAnsi="Times New Roman"/>
          <w:i/>
          <w:iCs/>
          <w:sz w:val="24"/>
          <w:szCs w:val="24"/>
        </w:rPr>
        <w:t>Britannia</w:t>
      </w:r>
      <w:r w:rsidRPr="00534A9F">
        <w:rPr>
          <w:rFonts w:ascii="Times New Roman" w:hAnsi="Times New Roman"/>
          <w:sz w:val="24"/>
          <w:szCs w:val="24"/>
        </w:rPr>
        <w:t xml:space="preserve"> 26, (1995), pp. 153-161 </w:t>
      </w:r>
      <w:proofErr w:type="gramStart"/>
      <w:r w:rsidRPr="00534A9F">
        <w:rPr>
          <w:rFonts w:ascii="Times New Roman" w:hAnsi="Times New Roman"/>
          <w:b/>
          <w:sz w:val="24"/>
          <w:szCs w:val="24"/>
          <w:lang w:eastAsia="en-GB"/>
        </w:rPr>
        <w:t>On</w:t>
      </w:r>
      <w:proofErr w:type="gramEnd"/>
      <w:r w:rsidRPr="00534A9F">
        <w:rPr>
          <w:rFonts w:ascii="Times New Roman" w:hAnsi="Times New Roman"/>
          <w:b/>
          <w:sz w:val="24"/>
          <w:szCs w:val="24"/>
          <w:lang w:eastAsia="en-GB"/>
        </w:rPr>
        <w:t xml:space="preserve"> JSTOR</w:t>
      </w:r>
      <w:r w:rsidRPr="00534A9F">
        <w:rPr>
          <w:rFonts w:ascii="Times New Roman" w:hAnsi="Times New Roman"/>
          <w:sz w:val="24"/>
          <w:szCs w:val="24"/>
        </w:rPr>
        <w:t xml:space="preserve"> </w:t>
      </w:r>
    </w:p>
    <w:p w:rsidR="00534A9F" w:rsidRPr="00534A9F" w:rsidRDefault="00534A9F" w:rsidP="00534A9F">
      <w:pPr>
        <w:spacing w:after="0" w:line="240" w:lineRule="auto"/>
        <w:ind w:left="851" w:hanging="284"/>
        <w:rPr>
          <w:rFonts w:ascii="Times New Roman" w:hAnsi="Times New Roman"/>
          <w:sz w:val="24"/>
          <w:szCs w:val="24"/>
          <w:lang w:eastAsia="en-GB"/>
        </w:rPr>
      </w:pPr>
      <w:r w:rsidRPr="00534A9F">
        <w:rPr>
          <w:rFonts w:ascii="Times New Roman" w:hAnsi="Times New Roman"/>
          <w:sz w:val="24"/>
          <w:szCs w:val="24"/>
          <w:lang w:eastAsia="en-GB"/>
        </w:rPr>
        <w:t xml:space="preserve">Webster, Jane, ‘Necessary Comparisons: A Post-Colonial Approach to Religious Syncretism in the Roman Provinces’, </w:t>
      </w:r>
      <w:r w:rsidRPr="00534A9F">
        <w:rPr>
          <w:rFonts w:ascii="Times New Roman" w:hAnsi="Times New Roman"/>
          <w:i/>
          <w:iCs/>
          <w:sz w:val="24"/>
          <w:szCs w:val="24"/>
          <w:lang w:eastAsia="en-GB"/>
        </w:rPr>
        <w:t>World Archaeology</w:t>
      </w:r>
      <w:r w:rsidRPr="00534A9F">
        <w:rPr>
          <w:rFonts w:ascii="Times New Roman" w:hAnsi="Times New Roman"/>
          <w:sz w:val="24"/>
          <w:szCs w:val="24"/>
          <w:lang w:eastAsia="en-GB"/>
        </w:rPr>
        <w:t xml:space="preserve"> 28 (1997), pp. 324-338 </w:t>
      </w:r>
      <w:proofErr w:type="gramStart"/>
      <w:r w:rsidRPr="00534A9F">
        <w:rPr>
          <w:rFonts w:ascii="Times New Roman" w:hAnsi="Times New Roman"/>
          <w:b/>
          <w:sz w:val="24"/>
          <w:szCs w:val="24"/>
          <w:lang w:eastAsia="en-GB"/>
        </w:rPr>
        <w:t>On</w:t>
      </w:r>
      <w:proofErr w:type="gramEnd"/>
      <w:r w:rsidRPr="00534A9F">
        <w:rPr>
          <w:rFonts w:ascii="Times New Roman" w:hAnsi="Times New Roman"/>
          <w:b/>
          <w:sz w:val="24"/>
          <w:szCs w:val="24"/>
          <w:lang w:eastAsia="en-GB"/>
        </w:rPr>
        <w:t xml:space="preserve"> JSTOR</w:t>
      </w:r>
    </w:p>
    <w:p w:rsidR="00534A9F" w:rsidRDefault="00534A9F" w:rsidP="00534A9F">
      <w:pPr>
        <w:spacing w:after="0" w:line="240" w:lineRule="auto"/>
        <w:ind w:left="851" w:hanging="284"/>
        <w:rPr>
          <w:rFonts w:ascii="Times New Roman" w:hAnsi="Times New Roman"/>
          <w:b/>
          <w:sz w:val="24"/>
          <w:szCs w:val="24"/>
        </w:rPr>
      </w:pPr>
      <w:r w:rsidRPr="00534A9F">
        <w:rPr>
          <w:rFonts w:ascii="Times New Roman" w:hAnsi="Times New Roman"/>
          <w:sz w:val="24"/>
          <w:szCs w:val="24"/>
        </w:rPr>
        <w:t>Webster, Jane, ‘</w:t>
      </w:r>
      <w:proofErr w:type="spellStart"/>
      <w:r w:rsidRPr="00534A9F">
        <w:rPr>
          <w:rFonts w:ascii="Times New Roman" w:hAnsi="Times New Roman"/>
          <w:sz w:val="24"/>
          <w:szCs w:val="24"/>
        </w:rPr>
        <w:t>Creolizing</w:t>
      </w:r>
      <w:proofErr w:type="spellEnd"/>
      <w:r w:rsidRPr="00534A9F">
        <w:rPr>
          <w:rFonts w:ascii="Times New Roman" w:hAnsi="Times New Roman"/>
          <w:sz w:val="24"/>
          <w:szCs w:val="24"/>
        </w:rPr>
        <w:t xml:space="preserve"> the Roman Provinces’, </w:t>
      </w:r>
      <w:r w:rsidRPr="00534A9F">
        <w:rPr>
          <w:rFonts w:ascii="Times New Roman" w:hAnsi="Times New Roman"/>
          <w:i/>
          <w:iCs/>
          <w:sz w:val="24"/>
          <w:szCs w:val="24"/>
        </w:rPr>
        <w:t>American Journal of Archaeology</w:t>
      </w:r>
      <w:r w:rsidRPr="00534A9F">
        <w:rPr>
          <w:rFonts w:ascii="Times New Roman" w:hAnsi="Times New Roman"/>
          <w:sz w:val="24"/>
          <w:szCs w:val="24"/>
        </w:rPr>
        <w:t xml:space="preserve"> 105 (2001), pp. 209-225 </w:t>
      </w:r>
      <w:proofErr w:type="gramStart"/>
      <w:r w:rsidRPr="00534A9F">
        <w:rPr>
          <w:rFonts w:ascii="Times New Roman" w:hAnsi="Times New Roman"/>
          <w:b/>
          <w:sz w:val="24"/>
          <w:szCs w:val="24"/>
        </w:rPr>
        <w:t>On</w:t>
      </w:r>
      <w:proofErr w:type="gramEnd"/>
      <w:r w:rsidRPr="00534A9F">
        <w:rPr>
          <w:rFonts w:ascii="Times New Roman" w:hAnsi="Times New Roman"/>
          <w:b/>
          <w:sz w:val="24"/>
          <w:szCs w:val="24"/>
        </w:rPr>
        <w:t xml:space="preserve"> JSTOR</w:t>
      </w:r>
    </w:p>
    <w:p w:rsidR="00534A9F" w:rsidRPr="00534A9F" w:rsidRDefault="00534A9F" w:rsidP="00534A9F">
      <w:pPr>
        <w:spacing w:after="0" w:line="240" w:lineRule="auto"/>
        <w:ind w:left="851" w:hanging="284"/>
        <w:rPr>
          <w:rFonts w:ascii="Times New Roman" w:hAnsi="Times New Roman"/>
          <w:b/>
          <w:sz w:val="24"/>
          <w:szCs w:val="24"/>
        </w:rPr>
      </w:pPr>
      <w:r w:rsidRPr="00534A9F">
        <w:rPr>
          <w:rFonts w:ascii="Times New Roman" w:hAnsi="Times New Roman"/>
          <w:sz w:val="24"/>
          <w:szCs w:val="24"/>
        </w:rPr>
        <w:t>Wooding, Jonathan, ‘</w:t>
      </w:r>
      <w:proofErr w:type="spellStart"/>
      <w:r w:rsidRPr="00534A9F">
        <w:rPr>
          <w:rFonts w:ascii="Times New Roman" w:hAnsi="Times New Roman"/>
          <w:sz w:val="24"/>
          <w:szCs w:val="24"/>
        </w:rPr>
        <w:t>Reapproaching</w:t>
      </w:r>
      <w:proofErr w:type="spellEnd"/>
      <w:r w:rsidRPr="00534A9F">
        <w:rPr>
          <w:rFonts w:ascii="Times New Roman" w:hAnsi="Times New Roman"/>
          <w:sz w:val="24"/>
          <w:szCs w:val="24"/>
        </w:rPr>
        <w:t xml:space="preserve"> the Pagan Celtic Past – Anti-</w:t>
      </w:r>
      <w:proofErr w:type="spellStart"/>
      <w:r w:rsidRPr="00534A9F">
        <w:rPr>
          <w:rFonts w:ascii="Times New Roman" w:hAnsi="Times New Roman"/>
          <w:sz w:val="24"/>
          <w:szCs w:val="24"/>
        </w:rPr>
        <w:t>Nativism</w:t>
      </w:r>
      <w:proofErr w:type="spellEnd"/>
      <w:r w:rsidRPr="00534A9F">
        <w:rPr>
          <w:rFonts w:ascii="Times New Roman" w:hAnsi="Times New Roman"/>
          <w:sz w:val="24"/>
          <w:szCs w:val="24"/>
        </w:rPr>
        <w:t xml:space="preserve">, Asterisk Reality and the Late-Antiquity Paradigm’, </w:t>
      </w:r>
      <w:proofErr w:type="spellStart"/>
      <w:r w:rsidRPr="00534A9F">
        <w:rPr>
          <w:rFonts w:ascii="Times New Roman" w:hAnsi="Times New Roman"/>
          <w:i/>
          <w:sz w:val="24"/>
          <w:szCs w:val="24"/>
        </w:rPr>
        <w:t>Studia</w:t>
      </w:r>
      <w:proofErr w:type="spellEnd"/>
      <w:r w:rsidRPr="00534A9F">
        <w:rPr>
          <w:rFonts w:ascii="Times New Roman" w:hAnsi="Times New Roman"/>
          <w:i/>
          <w:sz w:val="24"/>
          <w:szCs w:val="24"/>
        </w:rPr>
        <w:t xml:space="preserve"> </w:t>
      </w:r>
      <w:proofErr w:type="spellStart"/>
      <w:r w:rsidRPr="00534A9F">
        <w:rPr>
          <w:rFonts w:ascii="Times New Roman" w:hAnsi="Times New Roman"/>
          <w:i/>
          <w:sz w:val="24"/>
          <w:szCs w:val="24"/>
        </w:rPr>
        <w:t>Celtica</w:t>
      </w:r>
      <w:proofErr w:type="spellEnd"/>
      <w:r w:rsidRPr="00534A9F">
        <w:rPr>
          <w:rFonts w:ascii="Times New Roman" w:hAnsi="Times New Roman"/>
          <w:i/>
          <w:sz w:val="24"/>
          <w:szCs w:val="24"/>
        </w:rPr>
        <w:t xml:space="preserve"> </w:t>
      </w:r>
      <w:proofErr w:type="spellStart"/>
      <w:r w:rsidRPr="00534A9F">
        <w:rPr>
          <w:rFonts w:ascii="Times New Roman" w:hAnsi="Times New Roman"/>
          <w:i/>
          <w:sz w:val="24"/>
          <w:szCs w:val="24"/>
        </w:rPr>
        <w:t>Fennica</w:t>
      </w:r>
      <w:proofErr w:type="spellEnd"/>
      <w:r w:rsidRPr="00534A9F">
        <w:rPr>
          <w:rFonts w:ascii="Times New Roman" w:hAnsi="Times New Roman"/>
          <w:i/>
          <w:sz w:val="24"/>
          <w:szCs w:val="24"/>
        </w:rPr>
        <w:t xml:space="preserve"> – Finnish Journal of Celtic Studies </w:t>
      </w:r>
      <w:r w:rsidRPr="00534A9F">
        <w:rPr>
          <w:rFonts w:ascii="Times New Roman" w:hAnsi="Times New Roman"/>
          <w:sz w:val="24"/>
          <w:szCs w:val="24"/>
        </w:rPr>
        <w:t xml:space="preserve">6 (2009), 63-76 </w:t>
      </w:r>
      <w:r w:rsidRPr="00534A9F">
        <w:rPr>
          <w:rFonts w:ascii="Times New Roman" w:hAnsi="Times New Roman"/>
          <w:b/>
          <w:sz w:val="24"/>
          <w:szCs w:val="24"/>
        </w:rPr>
        <w:t xml:space="preserve">This is available directly online at: </w:t>
      </w:r>
      <w:hyperlink r:id="rId5" w:history="1">
        <w:r w:rsidRPr="00534A9F">
          <w:rPr>
            <w:rStyle w:val="Hyperlink"/>
            <w:rFonts w:ascii="Times New Roman" w:hAnsi="Times New Roman"/>
            <w:i/>
            <w:iCs/>
            <w:sz w:val="24"/>
            <w:szCs w:val="24"/>
            <w:lang w:eastAsia="en-GB"/>
          </w:rPr>
          <w:t>www.sfks.org/SC_VI_2009_24112010.pdf</w:t>
        </w:r>
      </w:hyperlink>
    </w:p>
    <w:p w:rsidR="00534A9F" w:rsidRPr="00534A9F" w:rsidRDefault="00534A9F" w:rsidP="00CE7725">
      <w:pPr>
        <w:spacing w:after="0" w:line="240" w:lineRule="auto"/>
        <w:ind w:left="851" w:hanging="284"/>
        <w:rPr>
          <w:rFonts w:ascii="Times New Roman" w:hAnsi="Times New Roman"/>
          <w:sz w:val="24"/>
          <w:szCs w:val="24"/>
        </w:rPr>
      </w:pPr>
    </w:p>
    <w:p w:rsidR="0005665B" w:rsidRPr="00534A9F" w:rsidRDefault="004C16AE" w:rsidP="00CE7725">
      <w:pPr>
        <w:spacing w:after="0" w:line="240" w:lineRule="auto"/>
        <w:ind w:left="851" w:hanging="284"/>
        <w:rPr>
          <w:rFonts w:ascii="Times New Roman" w:hAnsi="Times New Roman"/>
          <w:b/>
          <w:snapToGrid w:val="0"/>
          <w:sz w:val="24"/>
          <w:szCs w:val="24"/>
        </w:rPr>
      </w:pPr>
      <w:r w:rsidRPr="00534A9F">
        <w:rPr>
          <w:rFonts w:ascii="Times New Roman" w:hAnsi="Times New Roman"/>
          <w:b/>
          <w:sz w:val="24"/>
          <w:szCs w:val="24"/>
        </w:rPr>
        <w:t>Most Clas</w:t>
      </w:r>
      <w:r w:rsidR="00DD3889">
        <w:rPr>
          <w:rFonts w:ascii="Times New Roman" w:hAnsi="Times New Roman"/>
          <w:b/>
          <w:sz w:val="24"/>
          <w:szCs w:val="24"/>
        </w:rPr>
        <w:t>sical Sources are available in t</w:t>
      </w:r>
      <w:r w:rsidRPr="00534A9F">
        <w:rPr>
          <w:rFonts w:ascii="Times New Roman" w:hAnsi="Times New Roman"/>
          <w:b/>
          <w:sz w:val="24"/>
          <w:szCs w:val="24"/>
        </w:rPr>
        <w:t>ranslation online and you are invited to check any classical writer by looking up one of a number of translations</w:t>
      </w:r>
    </w:p>
    <w:p w:rsidR="009C7EC6" w:rsidRPr="00534A9F" w:rsidRDefault="009C7EC6">
      <w:pPr>
        <w:rPr>
          <w:rFonts w:ascii="Times New Roman" w:hAnsi="Times New Roman"/>
          <w:sz w:val="24"/>
          <w:szCs w:val="24"/>
        </w:rPr>
      </w:pPr>
    </w:p>
    <w:sectPr w:rsidR="009C7EC6" w:rsidRPr="00534A9F" w:rsidSect="00B37880">
      <w:pgSz w:w="11905" w:h="16837"/>
      <w:pgMar w:top="1440" w:right="1797" w:bottom="1440" w:left="1797" w:header="720" w:footer="1134"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077365"/>
    <w:multiLevelType w:val="multilevel"/>
    <w:tmpl w:val="EF067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0"/>
  <w:displayVerticalDrawingGridEvery w:val="2"/>
  <w:characterSpacingControl w:val="doNotCompress"/>
  <w:compat/>
  <w:rsids>
    <w:rsidRoot w:val="00945DC7"/>
    <w:rsid w:val="0005665B"/>
    <w:rsid w:val="000927E6"/>
    <w:rsid w:val="00104A16"/>
    <w:rsid w:val="00152946"/>
    <w:rsid w:val="0017062A"/>
    <w:rsid w:val="00173A2B"/>
    <w:rsid w:val="001F3961"/>
    <w:rsid w:val="002041DD"/>
    <w:rsid w:val="002325FD"/>
    <w:rsid w:val="004C16AE"/>
    <w:rsid w:val="00534A9F"/>
    <w:rsid w:val="00581318"/>
    <w:rsid w:val="007E19D8"/>
    <w:rsid w:val="008156BF"/>
    <w:rsid w:val="00867397"/>
    <w:rsid w:val="008706B5"/>
    <w:rsid w:val="0088341C"/>
    <w:rsid w:val="00945DC7"/>
    <w:rsid w:val="009C7EC6"/>
    <w:rsid w:val="00B37880"/>
    <w:rsid w:val="00BC0C9C"/>
    <w:rsid w:val="00C676E9"/>
    <w:rsid w:val="00CA165F"/>
    <w:rsid w:val="00CE7725"/>
    <w:rsid w:val="00DB7343"/>
    <w:rsid w:val="00DC63E2"/>
    <w:rsid w:val="00DD3889"/>
    <w:rsid w:val="00DD4093"/>
    <w:rsid w:val="00E56066"/>
    <w:rsid w:val="00EA2D18"/>
    <w:rsid w:val="00EC7CA0"/>
    <w:rsid w:val="00F336A8"/>
    <w:rsid w:val="00F4118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DC7"/>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1318"/>
    <w:rPr>
      <w:rFonts w:cs="Times New Roman"/>
      <w:color w:val="0000FF"/>
      <w:u w:val="single"/>
    </w:rPr>
  </w:style>
  <w:style w:type="character" w:customStyle="1" w:styleId="st1">
    <w:name w:val="st1"/>
    <w:basedOn w:val="DefaultParagraphFont"/>
    <w:rsid w:val="0005665B"/>
  </w:style>
  <w:style w:type="character" w:styleId="HTMLCite">
    <w:name w:val="HTML Cite"/>
    <w:basedOn w:val="DefaultParagraphFont"/>
    <w:uiPriority w:val="99"/>
    <w:semiHidden/>
    <w:unhideWhenUsed/>
    <w:rsid w:val="004C16AE"/>
    <w:rPr>
      <w:i/>
      <w:iCs/>
    </w:rPr>
  </w:style>
</w:styles>
</file>

<file path=word/webSettings.xml><?xml version="1.0" encoding="utf-8"?>
<w:webSettings xmlns:r="http://schemas.openxmlformats.org/officeDocument/2006/relationships" xmlns:w="http://schemas.openxmlformats.org/wordprocessingml/2006/main">
  <w:divs>
    <w:div w:id="32198445">
      <w:bodyDiv w:val="1"/>
      <w:marLeft w:val="0"/>
      <w:marRight w:val="0"/>
      <w:marTop w:val="0"/>
      <w:marBottom w:val="0"/>
      <w:divBdr>
        <w:top w:val="none" w:sz="0" w:space="0" w:color="auto"/>
        <w:left w:val="none" w:sz="0" w:space="0" w:color="auto"/>
        <w:bottom w:val="none" w:sz="0" w:space="0" w:color="auto"/>
        <w:right w:val="none" w:sz="0" w:space="0" w:color="auto"/>
      </w:divBdr>
      <w:divsChild>
        <w:div w:id="643195761">
          <w:marLeft w:val="0"/>
          <w:marRight w:val="0"/>
          <w:marTop w:val="0"/>
          <w:marBottom w:val="0"/>
          <w:divBdr>
            <w:top w:val="none" w:sz="0" w:space="0" w:color="auto"/>
            <w:left w:val="none" w:sz="0" w:space="0" w:color="auto"/>
            <w:bottom w:val="none" w:sz="0" w:space="0" w:color="auto"/>
            <w:right w:val="none" w:sz="0" w:space="0" w:color="auto"/>
          </w:divBdr>
          <w:divsChild>
            <w:div w:id="565456356">
              <w:marLeft w:val="0"/>
              <w:marRight w:val="0"/>
              <w:marTop w:val="0"/>
              <w:marBottom w:val="0"/>
              <w:divBdr>
                <w:top w:val="none" w:sz="0" w:space="0" w:color="auto"/>
                <w:left w:val="none" w:sz="0" w:space="0" w:color="auto"/>
                <w:bottom w:val="none" w:sz="0" w:space="0" w:color="auto"/>
                <w:right w:val="none" w:sz="0" w:space="0" w:color="auto"/>
              </w:divBdr>
              <w:divsChild>
                <w:div w:id="1631126836">
                  <w:marLeft w:val="0"/>
                  <w:marRight w:val="0"/>
                  <w:marTop w:val="0"/>
                  <w:marBottom w:val="0"/>
                  <w:divBdr>
                    <w:top w:val="none" w:sz="0" w:space="0" w:color="auto"/>
                    <w:left w:val="none" w:sz="0" w:space="0" w:color="auto"/>
                    <w:bottom w:val="none" w:sz="0" w:space="0" w:color="auto"/>
                    <w:right w:val="none" w:sz="0" w:space="0" w:color="auto"/>
                  </w:divBdr>
                  <w:divsChild>
                    <w:div w:id="1426809055">
                      <w:marLeft w:val="0"/>
                      <w:marRight w:val="0"/>
                      <w:marTop w:val="0"/>
                      <w:marBottom w:val="0"/>
                      <w:divBdr>
                        <w:top w:val="none" w:sz="0" w:space="0" w:color="auto"/>
                        <w:left w:val="none" w:sz="0" w:space="0" w:color="auto"/>
                        <w:bottom w:val="none" w:sz="0" w:space="0" w:color="auto"/>
                        <w:right w:val="none" w:sz="0" w:space="0" w:color="auto"/>
                      </w:divBdr>
                      <w:divsChild>
                        <w:div w:id="669674639">
                          <w:marLeft w:val="0"/>
                          <w:marRight w:val="0"/>
                          <w:marTop w:val="315"/>
                          <w:marBottom w:val="0"/>
                          <w:divBdr>
                            <w:top w:val="none" w:sz="0" w:space="0" w:color="auto"/>
                            <w:left w:val="none" w:sz="0" w:space="0" w:color="auto"/>
                            <w:bottom w:val="none" w:sz="0" w:space="0" w:color="auto"/>
                            <w:right w:val="none" w:sz="0" w:space="0" w:color="auto"/>
                          </w:divBdr>
                          <w:divsChild>
                            <w:div w:id="448936198">
                              <w:marLeft w:val="1980"/>
                              <w:marRight w:val="3810"/>
                              <w:marTop w:val="0"/>
                              <w:marBottom w:val="0"/>
                              <w:divBdr>
                                <w:top w:val="none" w:sz="0" w:space="0" w:color="auto"/>
                                <w:left w:val="none" w:sz="0" w:space="0" w:color="auto"/>
                                <w:bottom w:val="none" w:sz="0" w:space="0" w:color="auto"/>
                                <w:right w:val="none" w:sz="0" w:space="0" w:color="auto"/>
                              </w:divBdr>
                              <w:divsChild>
                                <w:div w:id="12150128">
                                  <w:marLeft w:val="0"/>
                                  <w:marRight w:val="0"/>
                                  <w:marTop w:val="0"/>
                                  <w:marBottom w:val="0"/>
                                  <w:divBdr>
                                    <w:top w:val="none" w:sz="0" w:space="0" w:color="auto"/>
                                    <w:left w:val="none" w:sz="0" w:space="0" w:color="auto"/>
                                    <w:bottom w:val="none" w:sz="0" w:space="0" w:color="auto"/>
                                    <w:right w:val="none" w:sz="0" w:space="0" w:color="auto"/>
                                  </w:divBdr>
                                  <w:divsChild>
                                    <w:div w:id="1526823314">
                                      <w:marLeft w:val="0"/>
                                      <w:marRight w:val="0"/>
                                      <w:marTop w:val="0"/>
                                      <w:marBottom w:val="0"/>
                                      <w:divBdr>
                                        <w:top w:val="none" w:sz="0" w:space="0" w:color="auto"/>
                                        <w:left w:val="none" w:sz="0" w:space="0" w:color="auto"/>
                                        <w:bottom w:val="none" w:sz="0" w:space="0" w:color="auto"/>
                                        <w:right w:val="none" w:sz="0" w:space="0" w:color="auto"/>
                                      </w:divBdr>
                                      <w:divsChild>
                                        <w:div w:id="1807238054">
                                          <w:marLeft w:val="0"/>
                                          <w:marRight w:val="0"/>
                                          <w:marTop w:val="0"/>
                                          <w:marBottom w:val="0"/>
                                          <w:divBdr>
                                            <w:top w:val="none" w:sz="0" w:space="0" w:color="auto"/>
                                            <w:left w:val="none" w:sz="0" w:space="0" w:color="auto"/>
                                            <w:bottom w:val="none" w:sz="0" w:space="0" w:color="auto"/>
                                            <w:right w:val="none" w:sz="0" w:space="0" w:color="auto"/>
                                          </w:divBdr>
                                          <w:divsChild>
                                            <w:div w:id="412163971">
                                              <w:marLeft w:val="0"/>
                                              <w:marRight w:val="0"/>
                                              <w:marTop w:val="0"/>
                                              <w:marBottom w:val="0"/>
                                              <w:divBdr>
                                                <w:top w:val="none" w:sz="0" w:space="0" w:color="auto"/>
                                                <w:left w:val="none" w:sz="0" w:space="0" w:color="auto"/>
                                                <w:bottom w:val="none" w:sz="0" w:space="0" w:color="auto"/>
                                                <w:right w:val="none" w:sz="0" w:space="0" w:color="auto"/>
                                              </w:divBdr>
                                              <w:divsChild>
                                                <w:div w:id="823661139">
                                                  <w:marLeft w:val="0"/>
                                                  <w:marRight w:val="0"/>
                                                  <w:marTop w:val="0"/>
                                                  <w:marBottom w:val="0"/>
                                                  <w:divBdr>
                                                    <w:top w:val="none" w:sz="0" w:space="0" w:color="auto"/>
                                                    <w:left w:val="none" w:sz="0" w:space="0" w:color="auto"/>
                                                    <w:bottom w:val="none" w:sz="0" w:space="0" w:color="auto"/>
                                                    <w:right w:val="none" w:sz="0" w:space="0" w:color="auto"/>
                                                  </w:divBdr>
                                                  <w:divsChild>
                                                    <w:div w:id="210634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fks.org/SC_VI_2009_24112010.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223</Words>
  <Characters>1364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Wooding</dc:creator>
  <cp:lastModifiedBy>Jonathan Wooding</cp:lastModifiedBy>
  <cp:revision>4</cp:revision>
  <dcterms:created xsi:type="dcterms:W3CDTF">2012-10-17T16:32:00Z</dcterms:created>
  <dcterms:modified xsi:type="dcterms:W3CDTF">2012-10-17T16:36:00Z</dcterms:modified>
</cp:coreProperties>
</file>