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4.xml" ContentType="application/vnd.openxmlformats-officedocument.themeOverride+xml"/>
  <Override PartName="/word/theme/themeOverride5.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rPr>
      </w:pPr>
    </w:p>
    <w:p>
      <w:pPr>
        <w:spacing w:line="360" w:lineRule="auto"/>
        <w:jc w:val="center"/>
        <w:rPr>
          <w:rFonts w:ascii="Times New Roman" w:hAnsi="Times New Roman" w:cs="Times New Roman"/>
          <w:b/>
        </w:rPr>
      </w:pPr>
    </w:p>
    <w:p>
      <w:pPr>
        <w:spacing w:line="360" w:lineRule="auto"/>
        <w:jc w:val="center"/>
        <w:rPr>
          <w:rFonts w:ascii="Times New Roman" w:hAnsi="Times New Roman" w:cs="Times New Roman"/>
          <w:b/>
        </w:rPr>
      </w:pPr>
    </w:p>
    <w:p>
      <w:pPr>
        <w:spacing w:line="360" w:lineRule="auto"/>
        <w:jc w:val="center"/>
        <w:rPr>
          <w:rFonts w:ascii="Times New Roman" w:hAnsi="Times New Roman" w:cs="Times New Roman"/>
          <w:b/>
        </w:rPr>
      </w:pPr>
    </w:p>
    <w:p>
      <w:pPr>
        <w:spacing w:line="360" w:lineRule="auto"/>
        <w:jc w:val="center"/>
        <w:rPr>
          <w:rFonts w:ascii="Times New Roman" w:hAnsi="Times New Roman" w:cs="Times New Roman"/>
          <w:b/>
        </w:rPr>
      </w:pPr>
    </w:p>
    <w:p>
      <w:pPr>
        <w:spacing w:line="360" w:lineRule="auto"/>
        <w:jc w:val="center"/>
        <w:rPr>
          <w:rFonts w:ascii="Times New Roman" w:hAnsi="Times New Roman" w:cs="Times New Roman"/>
          <w:b/>
        </w:rPr>
      </w:pPr>
    </w:p>
    <w:p>
      <w:pPr>
        <w:spacing w:line="360" w:lineRule="auto"/>
        <w:ind w:firstLine="2871" w:firstLineChars="1300"/>
        <w:jc w:val="both"/>
        <w:rPr>
          <w:rFonts w:ascii="Times New Roman" w:hAnsi="Times New Roman" w:cs="Times New Roman"/>
          <w:b/>
        </w:rPr>
      </w:pPr>
      <w:r>
        <w:rPr>
          <w:rFonts w:ascii="Times New Roman" w:hAnsi="Times New Roman" w:cs="Times New Roman"/>
          <w:b/>
        </w:rPr>
        <w:t>Service Quality at The Five Guys Restaurant.</w:t>
      </w: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ind w:firstLine="3740" w:firstLineChars="1700"/>
        <w:rPr>
          <w:rFonts w:hint="eastAsia" w:ascii="Times New Roman" w:hAnsi="Times New Roman" w:cs="Times New Roman"/>
          <w:lang w:val="en-US" w:eastAsia="zh-CN"/>
        </w:rPr>
      </w:pPr>
      <w:r>
        <w:rPr>
          <w:rFonts w:hint="eastAsia" w:ascii="Times New Roman" w:hAnsi="Times New Roman" w:cs="Times New Roman"/>
          <w:lang w:val="en-US" w:eastAsia="zh-CN"/>
        </w:rPr>
        <w:t>Ao Senhao   1800262</w:t>
      </w: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eastAsia" w:ascii="Times New Roman" w:hAnsi="Times New Roman" w:cs="Times New Roman"/>
          <w:lang w:val="en-US" w:eastAsia="zh-CN"/>
        </w:rPr>
      </w:pPr>
    </w:p>
    <w:p>
      <w:pPr>
        <w:rPr>
          <w:rFonts w:hint="default" w:ascii="Times New Roman" w:hAnsi="Times New Roman" w:cs="Times New Roman"/>
          <w:lang w:val="en-US" w:eastAsia="zh-CN"/>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30"/>
          <w:szCs w:val="30"/>
          <w:lang w:val="en-US" w:eastAsia="en-US" w:bidi="ar-SA"/>
        </w:rPr>
      </w:pPr>
      <w:r>
        <w:rPr>
          <w:rFonts w:hint="default" w:ascii="Times New Roman" w:hAnsi="Times New Roman" w:eastAsia="宋体" w:cs="Times New Roman"/>
          <w:sz w:val="30"/>
          <w:szCs w:val="30"/>
          <w:lang w:val="en-US" w:eastAsia="en-US" w:bidi="ar-SA"/>
        </w:rPr>
        <w:t>contents</w:t>
      </w:r>
    </w:p>
    <w:sdt>
      <w:sdtPr>
        <w:rPr>
          <w:rFonts w:hint="default" w:ascii="Times New Roman" w:hAnsi="Times New Roman" w:eastAsia="宋体" w:cs="Times New Roman"/>
          <w:sz w:val="21"/>
          <w:szCs w:val="22"/>
          <w:lang w:val="en-US" w:eastAsia="en-US" w:bidi="ar-SA"/>
        </w:rPr>
        <w:id w:val="147480032"/>
        <w15:color w:val="DBDBDB"/>
        <w:docPartObj>
          <w:docPartGallery w:val="Table of Contents"/>
          <w:docPartUnique/>
        </w:docPartObj>
      </w:sdtPr>
      <w:sdtEndPr>
        <w:rPr>
          <w:rFonts w:ascii="Times New Roman" w:hAnsi="Times New Roman" w:eastAsia="宋体" w:cs="Times New Roman"/>
          <w:sz w:val="22"/>
          <w:szCs w:val="22"/>
          <w:lang w:val="en-US" w:eastAsia="en-US"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1"/>
              <w:szCs w:val="22"/>
              <w:lang w:val="en-US" w:eastAsia="en-US" w:bidi="ar-SA"/>
            </w:rPr>
          </w:pPr>
        </w:p>
        <w:p>
          <w:pPr>
            <w:pStyle w:val="9"/>
            <w:tabs>
              <w:tab w:val="right" w:leader="dot" w:pos="9360"/>
            </w:tabs>
            <w:rPr>
              <w:rFonts w:hint="default" w:ascii="Times New Roman" w:hAnsi="Times New Roman" w:cs="Times New Roman"/>
            </w:rPr>
          </w:pPr>
          <w:r>
            <w:rPr>
              <w:rFonts w:hint="default" w:ascii="Times New Roman" w:hAnsi="Times New Roman" w:cs="Times New Roman"/>
              <w:b/>
            </w:rPr>
            <w:fldChar w:fldCharType="begin"/>
          </w:r>
          <w:r>
            <w:rPr>
              <w:rFonts w:hint="default" w:ascii="Times New Roman" w:hAnsi="Times New Roman" w:cs="Times New Roman"/>
              <w:b/>
            </w:rPr>
            <w:instrText xml:space="preserve">TOC \o "1-3" \h \u </w:instrText>
          </w:r>
          <w:r>
            <w:rPr>
              <w:rFonts w:hint="default" w:ascii="Times New Roman" w:hAnsi="Times New Roman" w:cs="Times New Roman"/>
              <w:b/>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_Toc5248 </w:instrText>
          </w:r>
          <w:r>
            <w:rPr>
              <w:rFonts w:hint="default" w:ascii="Times New Roman" w:hAnsi="Times New Roman" w:cs="Times New Roman"/>
            </w:rPr>
            <w:fldChar w:fldCharType="separate"/>
          </w:r>
          <w:r>
            <w:rPr>
              <w:rFonts w:hint="default" w:ascii="Times New Roman" w:hAnsi="Times New Roman" w:cs="Times New Roman"/>
            </w:rPr>
            <w:t>1.0. Introduction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_Toc5248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0"/>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_Toc26239 </w:instrText>
          </w:r>
          <w:r>
            <w:rPr>
              <w:rFonts w:hint="default" w:ascii="Times New Roman" w:hAnsi="Times New Roman" w:cs="Times New Roman"/>
            </w:rPr>
            <w:fldChar w:fldCharType="separate"/>
          </w:r>
          <w:r>
            <w:rPr>
              <w:rFonts w:hint="default" w:ascii="Times New Roman" w:hAnsi="Times New Roman" w:cs="Times New Roman"/>
            </w:rPr>
            <w:t>1.1. Background</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_Toc26239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0"/>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_Toc19178 </w:instrText>
          </w:r>
          <w:r>
            <w:rPr>
              <w:rFonts w:hint="default" w:ascii="Times New Roman" w:hAnsi="Times New Roman" w:cs="Times New Roman"/>
            </w:rPr>
            <w:fldChar w:fldCharType="separate"/>
          </w:r>
          <w:r>
            <w:rPr>
              <w:rFonts w:hint="default" w:ascii="Times New Roman" w:hAnsi="Times New Roman" w:cs="Times New Roman"/>
            </w:rPr>
            <w:t>1.2. Company description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_Toc19178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0"/>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_Toc19234 </w:instrText>
          </w:r>
          <w:r>
            <w:rPr>
              <w:rFonts w:hint="default" w:ascii="Times New Roman" w:hAnsi="Times New Roman" w:cs="Times New Roman"/>
            </w:rPr>
            <w:fldChar w:fldCharType="separate"/>
          </w:r>
          <w:r>
            <w:rPr>
              <w:rFonts w:hint="default" w:ascii="Times New Roman" w:hAnsi="Times New Roman" w:cs="Times New Roman"/>
            </w:rPr>
            <w:t>1.3. Project aims and Objectives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_Toc19234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_Toc19453 </w:instrText>
          </w:r>
          <w:r>
            <w:rPr>
              <w:rFonts w:hint="default" w:ascii="Times New Roman" w:hAnsi="Times New Roman" w:cs="Times New Roman"/>
            </w:rPr>
            <w:fldChar w:fldCharType="separate"/>
          </w:r>
          <w:r>
            <w:rPr>
              <w:rFonts w:hint="default" w:ascii="Times New Roman" w:hAnsi="Times New Roman" w:cs="Times New Roman"/>
            </w:rPr>
            <w:t>1.3.1. The Project Aim</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_Toc19453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_Toc26389 </w:instrText>
          </w:r>
          <w:r>
            <w:rPr>
              <w:rFonts w:hint="default" w:ascii="Times New Roman" w:hAnsi="Times New Roman" w:cs="Times New Roman"/>
            </w:rPr>
            <w:fldChar w:fldCharType="separate"/>
          </w:r>
          <w:r>
            <w:rPr>
              <w:rFonts w:hint="default" w:ascii="Times New Roman" w:hAnsi="Times New Roman" w:cs="Times New Roman"/>
            </w:rPr>
            <w:t>1.3.2. Project Objectives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_Toc26389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9"/>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_Toc5703 </w:instrText>
          </w:r>
          <w:r>
            <w:rPr>
              <w:rFonts w:hint="default" w:ascii="Times New Roman" w:hAnsi="Times New Roman" w:cs="Times New Roman"/>
            </w:rPr>
            <w:fldChar w:fldCharType="separate"/>
          </w:r>
          <w:r>
            <w:rPr>
              <w:rFonts w:hint="default" w:ascii="Times New Roman" w:hAnsi="Times New Roman" w:cs="Times New Roman"/>
            </w:rPr>
            <w:t>2.0. Findings and Critical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_Toc5703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0"/>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_Toc15092 </w:instrText>
          </w:r>
          <w:r>
            <w:rPr>
              <w:rFonts w:hint="default" w:ascii="Times New Roman" w:hAnsi="Times New Roman" w:cs="Times New Roman"/>
            </w:rPr>
            <w:fldChar w:fldCharType="separate"/>
          </w:r>
          <w:r>
            <w:rPr>
              <w:rFonts w:hint="default" w:ascii="Times New Roman" w:hAnsi="Times New Roman" w:cs="Times New Roman"/>
            </w:rPr>
            <w:t>2.1. Phase one: Situational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_Toc15092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_Toc23311 </w:instrText>
          </w:r>
          <w:r>
            <w:rPr>
              <w:rFonts w:hint="default" w:ascii="Times New Roman" w:hAnsi="Times New Roman" w:cs="Times New Roman"/>
            </w:rPr>
            <w:fldChar w:fldCharType="separate"/>
          </w:r>
          <w:r>
            <w:rPr>
              <w:rFonts w:hint="default" w:ascii="Times New Roman" w:hAnsi="Times New Roman" w:cs="Times New Roman"/>
            </w:rPr>
            <w:t>2.1.1. SWOT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_Toc23311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_Toc8583 </w:instrText>
          </w:r>
          <w:r>
            <w:rPr>
              <w:rFonts w:hint="default" w:ascii="Times New Roman" w:hAnsi="Times New Roman" w:cs="Times New Roman"/>
            </w:rPr>
            <w:fldChar w:fldCharType="separate"/>
          </w:r>
          <w:r>
            <w:rPr>
              <w:rFonts w:hint="default" w:ascii="Times New Roman" w:hAnsi="Times New Roman" w:cs="Times New Roman"/>
            </w:rPr>
            <w:t>2.1.2. PESTLE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_Toc8583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0"/>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_Toc9783 </w:instrText>
          </w:r>
          <w:r>
            <w:rPr>
              <w:rFonts w:hint="default" w:ascii="Times New Roman" w:hAnsi="Times New Roman" w:cs="Times New Roman"/>
            </w:rPr>
            <w:fldChar w:fldCharType="separate"/>
          </w:r>
          <w:r>
            <w:rPr>
              <w:rFonts w:hint="default" w:ascii="Times New Roman" w:hAnsi="Times New Roman" w:cs="Times New Roman"/>
            </w:rPr>
            <w:t>2.2. Phase Two: The current key drivers and performance of fast food industry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_Toc9783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_Toc27280 </w:instrText>
          </w:r>
          <w:r>
            <w:rPr>
              <w:rFonts w:hint="default" w:ascii="Times New Roman" w:hAnsi="Times New Roman" w:cs="Times New Roman"/>
            </w:rPr>
            <w:fldChar w:fldCharType="separate"/>
          </w:r>
          <w:r>
            <w:rPr>
              <w:rFonts w:hint="default" w:ascii="Times New Roman" w:hAnsi="Times New Roman" w:cs="Times New Roman"/>
            </w:rPr>
            <w:t>2.2.1. Key Drivers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_Toc27280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_Toc22068 </w:instrText>
          </w:r>
          <w:r>
            <w:rPr>
              <w:rFonts w:hint="default" w:ascii="Times New Roman" w:hAnsi="Times New Roman" w:cs="Times New Roman"/>
            </w:rPr>
            <w:fldChar w:fldCharType="separate"/>
          </w:r>
          <w:r>
            <w:rPr>
              <w:rFonts w:hint="default" w:ascii="Times New Roman" w:hAnsi="Times New Roman" w:cs="Times New Roman"/>
            </w:rPr>
            <w:t>2.2.2. Current Performance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_Toc22068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rPr>
            <w:fldChar w:fldCharType="end"/>
          </w:r>
        </w:p>
        <w:p>
          <w:pPr>
            <w:pStyle w:val="10"/>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_Toc6510 </w:instrText>
          </w:r>
          <w:r>
            <w:rPr>
              <w:rFonts w:hint="default" w:ascii="Times New Roman" w:hAnsi="Times New Roman" w:cs="Times New Roman"/>
            </w:rPr>
            <w:fldChar w:fldCharType="separate"/>
          </w:r>
          <w:r>
            <w:rPr>
              <w:rFonts w:hint="default" w:ascii="Times New Roman" w:hAnsi="Times New Roman" w:cs="Times New Roman"/>
            </w:rPr>
            <w:t>2.3. Phase Three research: Primary study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_Toc6510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_Toc27840 </w:instrText>
          </w:r>
          <w:r>
            <w:rPr>
              <w:rFonts w:hint="default" w:ascii="Times New Roman" w:hAnsi="Times New Roman" w:cs="Times New Roman"/>
            </w:rPr>
            <w:fldChar w:fldCharType="separate"/>
          </w:r>
          <w:r>
            <w:rPr>
              <w:rFonts w:hint="default" w:ascii="Times New Roman" w:hAnsi="Times New Roman" w:cs="Times New Roman"/>
            </w:rPr>
            <w:t>2.3.1. Methodology</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_Toc27840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rPr>
            <w:fldChar w:fldCharType="end"/>
          </w:r>
        </w:p>
        <w:p>
          <w:pPr>
            <w:pStyle w:val="6"/>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_Toc19831 </w:instrText>
          </w:r>
          <w:r>
            <w:rPr>
              <w:rFonts w:hint="default" w:ascii="Times New Roman" w:hAnsi="Times New Roman" w:cs="Times New Roman"/>
            </w:rPr>
            <w:fldChar w:fldCharType="separate"/>
          </w:r>
          <w:r>
            <w:rPr>
              <w:rFonts w:hint="default" w:ascii="Times New Roman" w:hAnsi="Times New Roman" w:cs="Times New Roman"/>
            </w:rPr>
            <w:t>2.3.2. Findings and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_Toc19831 </w:instrText>
          </w:r>
          <w:r>
            <w:rPr>
              <w:rFonts w:hint="default" w:ascii="Times New Roman" w:hAnsi="Times New Roman" w:cs="Times New Roman"/>
            </w:rPr>
            <w:fldChar w:fldCharType="separate"/>
          </w:r>
          <w:r>
            <w:rPr>
              <w:rFonts w:hint="default" w:ascii="Times New Roman" w:hAnsi="Times New Roman" w:cs="Times New Roman"/>
            </w:rPr>
            <w:t>9</w:t>
          </w:r>
          <w:r>
            <w:rPr>
              <w:rFonts w:hint="default" w:ascii="Times New Roman" w:hAnsi="Times New Roman" w:cs="Times New Roman"/>
            </w:rPr>
            <w:fldChar w:fldCharType="end"/>
          </w:r>
          <w:r>
            <w:rPr>
              <w:rFonts w:hint="default" w:ascii="Times New Roman" w:hAnsi="Times New Roman" w:cs="Times New Roman"/>
            </w:rPr>
            <w:fldChar w:fldCharType="end"/>
          </w:r>
        </w:p>
        <w:p>
          <w:pPr>
            <w:pStyle w:val="9"/>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_Toc17977 </w:instrText>
          </w:r>
          <w:r>
            <w:rPr>
              <w:rFonts w:hint="default" w:ascii="Times New Roman" w:hAnsi="Times New Roman" w:cs="Times New Roman"/>
            </w:rPr>
            <w:fldChar w:fldCharType="separate"/>
          </w:r>
          <w:r>
            <w:rPr>
              <w:rFonts w:hint="default" w:ascii="Times New Roman" w:hAnsi="Times New Roman" w:cs="Times New Roman"/>
            </w:rPr>
            <w:t>3.0. Conclusions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_Toc17977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rPr>
            <w:fldChar w:fldCharType="end"/>
          </w:r>
        </w:p>
        <w:p>
          <w:pPr>
            <w:pStyle w:val="9"/>
            <w:tabs>
              <w:tab w:val="right" w:leader="dot" w:pos="9360"/>
            </w:tabs>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_Toc19056 </w:instrText>
          </w:r>
          <w:r>
            <w:rPr>
              <w:rFonts w:hint="default" w:ascii="Times New Roman" w:hAnsi="Times New Roman" w:cs="Times New Roman"/>
            </w:rPr>
            <w:fldChar w:fldCharType="separate"/>
          </w:r>
          <w:r>
            <w:rPr>
              <w:rFonts w:hint="default" w:ascii="Times New Roman" w:hAnsi="Times New Roman" w:cs="Times New Roman"/>
            </w:rPr>
            <w:t>4.0. Strategic Recommendations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_Toc19056 </w:instrText>
          </w:r>
          <w:r>
            <w:rPr>
              <w:rFonts w:hint="default" w:ascii="Times New Roman" w:hAnsi="Times New Roman" w:cs="Times New Roman"/>
            </w:rPr>
            <w:fldChar w:fldCharType="separate"/>
          </w:r>
          <w:r>
            <w:rPr>
              <w:rFonts w:hint="default" w:ascii="Times New Roman" w:hAnsi="Times New Roman" w:cs="Times New Roman"/>
            </w:rPr>
            <w:t>14</w:t>
          </w:r>
          <w:r>
            <w:rPr>
              <w:rFonts w:hint="default" w:ascii="Times New Roman" w:hAnsi="Times New Roman" w:cs="Times New Roman"/>
            </w:rPr>
            <w:fldChar w:fldCharType="end"/>
          </w:r>
          <w:r>
            <w:rPr>
              <w:rFonts w:hint="default" w:ascii="Times New Roman" w:hAnsi="Times New Roman" w:cs="Times New Roman"/>
            </w:rPr>
            <w:fldChar w:fldCharType="end"/>
          </w:r>
        </w:p>
        <w:p>
          <w:pPr>
            <w:spacing w:line="360" w:lineRule="auto"/>
            <w:jc w:val="both"/>
            <w:rPr>
              <w:rFonts w:ascii="Times New Roman" w:hAnsi="Times New Roman" w:cs="Times New Roman"/>
              <w:b/>
            </w:rPr>
          </w:pPr>
          <w:r>
            <w:rPr>
              <w:rFonts w:hint="default" w:ascii="Times New Roman" w:hAnsi="Times New Roman" w:cs="Times New Roman"/>
            </w:rPr>
            <w:fldChar w:fldCharType="end"/>
          </w:r>
        </w:p>
      </w:sdtContent>
    </w:sdt>
    <w:p>
      <w:pPr>
        <w:spacing w:line="360" w:lineRule="auto"/>
        <w:jc w:val="both"/>
        <w:rPr>
          <w:rFonts w:ascii="Times New Roman" w:hAnsi="Times New Roman" w:cs="Times New Roman"/>
          <w:b/>
        </w:rPr>
      </w:pPr>
    </w:p>
    <w:p>
      <w:pPr>
        <w:spacing w:line="360" w:lineRule="auto"/>
        <w:jc w:val="both"/>
        <w:rPr>
          <w:rFonts w:ascii="Times New Roman" w:hAnsi="Times New Roman" w:cs="Times New Roman"/>
          <w:b/>
        </w:rPr>
      </w:pPr>
    </w:p>
    <w:p>
      <w:pPr>
        <w:spacing w:line="360" w:lineRule="auto"/>
        <w:jc w:val="both"/>
        <w:rPr>
          <w:rFonts w:ascii="Times New Roman" w:hAnsi="Times New Roman" w:cs="Times New Roman"/>
          <w:b/>
        </w:rPr>
      </w:pPr>
    </w:p>
    <w:p>
      <w:pPr>
        <w:spacing w:line="360" w:lineRule="auto"/>
        <w:jc w:val="both"/>
        <w:rPr>
          <w:rFonts w:ascii="Times New Roman" w:hAnsi="Times New Roman" w:cs="Times New Roman"/>
          <w:b/>
        </w:rPr>
      </w:pPr>
      <w:bookmarkStart w:id="25" w:name="_GoBack"/>
      <w:bookmarkEnd w:id="25"/>
    </w:p>
    <w:p>
      <w:pPr>
        <w:spacing w:line="360" w:lineRule="auto"/>
        <w:jc w:val="both"/>
        <w:rPr>
          <w:rFonts w:ascii="Times New Roman" w:hAnsi="Times New Roman" w:cs="Times New Roman"/>
          <w:b/>
        </w:rPr>
      </w:pPr>
    </w:p>
    <w:p>
      <w:pPr>
        <w:spacing w:line="360" w:lineRule="auto"/>
        <w:jc w:val="both"/>
        <w:rPr>
          <w:rFonts w:ascii="Times New Roman" w:hAnsi="Times New Roman" w:cs="Times New Roman"/>
          <w:b/>
        </w:rPr>
      </w:pPr>
    </w:p>
    <w:p>
      <w:pPr>
        <w:spacing w:line="360" w:lineRule="auto"/>
        <w:jc w:val="both"/>
        <w:rPr>
          <w:rFonts w:ascii="Times New Roman" w:hAnsi="Times New Roman" w:cs="Times New Roman"/>
          <w:b/>
        </w:rPr>
      </w:pPr>
    </w:p>
    <w:p>
      <w:pPr>
        <w:spacing w:line="360" w:lineRule="auto"/>
        <w:jc w:val="both"/>
        <w:rPr>
          <w:rFonts w:ascii="Times New Roman" w:hAnsi="Times New Roman" w:cs="Times New Roman"/>
          <w:b/>
        </w:rPr>
      </w:pPr>
    </w:p>
    <w:p>
      <w:pPr>
        <w:spacing w:line="360" w:lineRule="auto"/>
        <w:jc w:val="both"/>
        <w:rPr>
          <w:rFonts w:ascii="Times New Roman" w:hAnsi="Times New Roman" w:cs="Times New Roman"/>
          <w:b/>
        </w:rPr>
      </w:pPr>
      <w:r>
        <w:rPr>
          <w:rFonts w:ascii="Times New Roman" w:hAnsi="Times New Roman" w:cs="Times New Roman"/>
          <w:b/>
        </w:rPr>
        <w:t>Executive Summary</w:t>
      </w:r>
    </w:p>
    <w:p>
      <w:pPr>
        <w:spacing w:line="360" w:lineRule="auto"/>
        <w:jc w:val="both"/>
        <w:rPr>
          <w:rFonts w:ascii="Times New Roman" w:hAnsi="Times New Roman" w:cs="Times New Roman"/>
          <w:lang w:val="en-GB"/>
        </w:rPr>
      </w:pPr>
      <w:r>
        <w:rPr>
          <w:rFonts w:ascii="Times New Roman" w:hAnsi="Times New Roman" w:cs="Times New Roman"/>
          <w:lang w:val="en-GB"/>
        </w:rPr>
        <w:t>The main aim of the project is to find out whether there are any service quality problems at The Five Guys and to provide suggestions for improvement, to enhance customer satisfaction and repeat purchase intentions. The study first began with a situational analysis in which it was found that the Five Guys restaurant had a good reputation, a range of products and perceived good location. Additionally, it was also found that the UK market environment was getting difficult with poor economic, social, political and technological conditions. These were majorly as a result of Brexit. However, technology was driving both demand and competition in the market. The second phase of the analysis should that there were several key drivers of performance in the market that were important in helping the Five Guys in the market. The current performance was good with industry demand being the highest and expected to increase in the future. The third phase of the analysis should that customers were not satisfied with the company and pointed out problems such as service, staff and facilities. Furthermore, it was found that although they would visit, many would not recommend the company. Some recommendations were suggested to enhance the performance of the company in the future.</w:t>
      </w:r>
    </w:p>
    <w:p>
      <w:pPr>
        <w:spacing w:line="360" w:lineRule="auto"/>
        <w:jc w:val="both"/>
        <w:rPr>
          <w:rFonts w:ascii="Times New Roman" w:hAnsi="Times New Roman" w:cs="Times New Roman"/>
        </w:rPr>
      </w:pPr>
    </w:p>
    <w:p>
      <w:pPr>
        <w:spacing w:line="360" w:lineRule="auto"/>
        <w:jc w:val="both"/>
        <w:rPr>
          <w:rFonts w:ascii="Times New Roman" w:hAnsi="Times New Roman" w:cs="Times New Roman"/>
        </w:rPr>
      </w:pPr>
    </w:p>
    <w:p>
      <w:pPr>
        <w:rPr>
          <w:rFonts w:ascii="Times New Roman" w:hAnsi="Times New Roman" w:cs="Times New Roman"/>
        </w:rPr>
      </w:pPr>
      <w:r>
        <w:rPr>
          <w:rFonts w:ascii="Times New Roman" w:hAnsi="Times New Roman" w:cs="Times New Roman"/>
        </w:rPr>
        <w:br w:type="page"/>
      </w:r>
    </w:p>
    <w:p>
      <w:pPr>
        <w:pStyle w:val="2"/>
        <w:numPr>
          <w:ilvl w:val="0"/>
          <w:numId w:val="1"/>
        </w:numPr>
      </w:pPr>
      <w:bookmarkStart w:id="0" w:name="_Toc5248"/>
      <w:r>
        <w:t>Introduction</w:t>
      </w:r>
      <w:bookmarkEnd w:id="0"/>
      <w:r>
        <w:t xml:space="preserve"> </w:t>
      </w:r>
    </w:p>
    <w:p>
      <w:pPr>
        <w:pStyle w:val="3"/>
        <w:numPr>
          <w:ilvl w:val="1"/>
          <w:numId w:val="1"/>
        </w:numPr>
      </w:pPr>
      <w:bookmarkStart w:id="1" w:name="_Toc26239"/>
      <w:r>
        <w:t>Background</w:t>
      </w:r>
      <w:bookmarkEnd w:id="1"/>
    </w:p>
    <w:p>
      <w:pPr>
        <w:spacing w:line="360" w:lineRule="auto"/>
        <w:jc w:val="both"/>
        <w:rPr>
          <w:rFonts w:ascii="Times New Roman" w:hAnsi="Times New Roman" w:cs="Times New Roman"/>
        </w:rPr>
      </w:pPr>
      <w:r>
        <w:rPr>
          <w:rFonts w:ascii="Times New Roman" w:hAnsi="Times New Roman" w:cs="Times New Roman"/>
        </w:rPr>
        <w:t xml:space="preserve">The fast food restaurant industry has been growing exponentially in the UK despite the difficult conditions being experienced in the wider economy. Brexit and the on-going negotiations regarding the UK’s exit. Many factors have contributed to this growth including the growth of technology and mobile ordering apps that have made things easier for customers in the market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{"citationItems":[{"id":"ITEM-1","itemData":{"DOI":"10.1108/MSQ-03-2014-0042","ISSN":"09604529","abstract":"Purpose – The purpose of this conceptual paper is to analyse the implications generated by a service perspective. Design/methodology/approach – A conceptual analysis of two approaches to understanding service perspectives, service logic (SL) and service-dominant logic (SDL), reveals direct and indirect marketing implications. Findings – The SDL is based on a metaphorical view of co-creation and value co-creation, in which the firm, customers and other actors participate in the process that leads to value for customers. The approach is firm-driven; the service provider drives value creation. The managerial implications are not service perspective-based, and co-creation may be imprisoned by its metaphor. In contrast, SL takes an analytical approach, with co-creation concepts that can significantly reinvent marketing from a service perspective. Value gets created in customer processes, and value creation is customer driven. Ten managerial SL principles derived from these analyses offer theoretical and practical conclusions with the potential to reinvent marketing. Research limitations/implications – The SDL can direct researchers’ and managers’ views towards complex value-generation processes. The SL can analyse this process on a managerial level, to derive customer-centric, service perspective-based opportunities to reinvent marketing. Practical implications – The analysis and principles help marketing break free from offering only value propositions and become an organisation-wide responsibility. Firms must organise service-influenced marketing and create a customer focus among all employees, beyond conventional marketing. Originality/value – A service perspective on business has key managerial implications and enables researchers and managers to find new, customer-centric, service-influenced marketing approaches.","author":[{"dropping-particle":"","family":"Grönroos","given":"Christian","non-dropping-particle":"","parse-names":false,"suffix":""},{"dropping-particle":"","family":"Gummerus","given":"Johanna","non-dropping-particle":"","parse-names":false,"suffix":""}],"container-title":"Managing Service Quality","id":"ITEM-1","issued":{"date-parts":[["2014"]]},"title":"The service revolution and its marketing implications: Service logic vs service-dominant logic","type":"article-journal"},"uris":["http://www.mendeley.com/documents/?uuid=48382845-8723-4b2b-9f33-eb82e1d7cff9"]}],"mendeley":{"formattedCitation":"(Grönroos &amp; Gummerus, 2014)","plainTextFormattedCitation":"(Grönroos &amp; Gummerus, 2014)","previouslyFormattedCitation":"(Grönroos and Gummerus, 2014)"},"properties":{"noteIndex":0},"schema":"https://github.com/citation-style-language/schema/raw/master/csl-citation.json"}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(Grönroos &amp; Gummerus, 2014)</w:t>
      </w:r>
      <w:r>
        <w:rPr>
          <w:rFonts w:ascii="Times New Roman" w:hAnsi="Times New Roman" w:cs="Times New Roman"/>
        </w:rPr>
        <w:fldChar w:fldCharType="end"/>
      </w:r>
      <w:r>
        <w:rPr>
          <w:rFonts w:ascii="Times New Roman" w:hAnsi="Times New Roman" w:cs="Times New Roman"/>
        </w:rPr>
        <w:t>. However, consumers continue to have more choice as a result of the growth of these technologies and hence the need to ensure that customers are satisfied to avoid problems switching.</w:t>
      </w:r>
    </w:p>
    <w:p>
      <w:pPr>
        <w:spacing w:line="360" w:lineRule="auto"/>
        <w:jc w:val="both"/>
        <w:rPr>
          <w:rFonts w:ascii="Times New Roman" w:hAnsi="Times New Roman" w:cs="Times New Roman"/>
        </w:rPr>
      </w:pPr>
      <w:r>
        <w:rPr>
          <w:rFonts w:ascii="Times New Roman" w:hAnsi="Times New Roman" w:cs="Times New Roman"/>
        </w:rPr>
        <w:t xml:space="preserve">In doing this, the issue of service quality has become imperative in the industry. Providing high quality service to customers is perceived as one of the most important challenges that organizations are facing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{"citationItems":[{"id":"ITEM-1","itemData":{"DOI":"10.1108/09604520410546806","ISSN":"09604529","abstract":"Service quality researchers to date have paid scant attention to the issue of the dimensions of service quality. Much of the earlier work accepted the content measured by the SERVQUAL instrument. Following the argument that SERVQUAL only reflects the service delivery process, the study empirically examines the European perspective (i.e. GrÃnroos' model) suggesting that service quality consists of three dimensions, technical, functional and image, and that image functions as a filter in service quality perception. The results from a cell phone service sample revealed that GrÃnroos' model is a more appropriate representation of service quality than the American perspective with its limited concentration on the dimension of functional quality. ABSTRACT FROM AUTHOR Copyright of Managing Service Quality is the property of Emerald and its content may not be copied or emailed to multiple sites or posted to a listserv without the copyright holder's express written permission. However, users may print, download, or email articles for individual use. This abstract may be abridged. No warranty is given about the accuracy of the copy. Users should refer to the original published version of the material for the full abstract. (Copyright applies to all Abstracts)","author":[{"dropping-particle":"Du","family":"Kang","given":"Gi","non-dropping-particle":"","parse-names":false,"suffix":""},{"dropping-particle":"","family":"James","given":"Jeffrey","non-dropping-particle":"","parse-names":false,"suffix":""}],"container-title":"Managing Service Quality: An International Journal","id":"ITEM-1","issued":{"date-parts":[["2004"]]},"title":"Service quality dimensions: An examination of Grönroos's service quality model","type":"article-journal"},"uris":["http://www.mendeley.com/documents/?uuid=fa1bc128-1f00-4daf-bb4e-d6c9daa43947"]}],"mendeley":{"formattedCitation":"(Kang &amp; James, 2004)","plainTextFormattedCitation":"(Kang &amp; James, 2004)","previouslyFormattedCitation":"(Kang and James, 2004)"},"properties":{"noteIndex":0},"schema":"https://github.com/citation-style-language/schema/raw/master/csl-citation.json"}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(Kang &amp; James, 2004)</w:t>
      </w:r>
      <w:r>
        <w:rPr>
          <w:rFonts w:ascii="Times New Roman" w:hAnsi="Times New Roman" w:cs="Times New Roman"/>
        </w:rPr>
        <w:fldChar w:fldCharType="end"/>
      </w:r>
      <w:r>
        <w:rPr>
          <w:rFonts w:ascii="Times New Roman" w:hAnsi="Times New Roman" w:cs="Times New Roman"/>
        </w:rPr>
        <w:t xml:space="preserve">. No firm can survive unless it can attract and keep a sufficient number of satisfied customers in the market. Successful performance of firms is dependent on the creation of distinctive value in services they offer in an effective way for a majority of the customers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{"citationItems":[{"id":"ITEM-1","itemData":{"DOI":"10.1080/14783360802622805","ISSN":"14783363","abstract":"Quality experts believe that, ?measuring customer satisfaction at an educational establishment might be regarded by educators as one of the greatest challenges of the quality movement? (Cloutier  and second, measuring customer quality perceptions. An examination of representative historical applications of quality techniques was conducted as well as identification of the differences and similarities surrounding quality improvement efforts in each of three service areas typically found in higher education: academic, administrative, and auxiliary functions. While recognising these higher education areas differ from the typical business environment, positive research findings on the application of quality techniques for these areas were discovered.\\nQuality experts believe that, ?measuring customer satisfaction at an educational establishment might be regarded by educators as one of the greatest challenges of the quality movement? (Cloutier  and second, measuring customer quality perceptions. An examination of representative historical applications of quality techniques was conducted as well as identification of the differences and similarities surrounding quality improvement efforts in each of three service areas typically found in higher education: academic, administrative, and auxiliary functions. While recognising these higher education areas differ from the typical business environment, positive research findings on the application of quality techniques for these areas were discovered.","author":[{"dropping-particle":"","family":"Quinn","given":"Anita","non-dropping-particle":"","parse-names":false,"suffix":""},{"dropping-particle":"","family":"Lemay","given":"Gina","non-dropping-particle":"","parse-names":false,"suffix":""},{"dropping-particle":"","family":"Larsen","given":"Peter","non-dropping-particle":"","parse-names":false,"suffix":""},{"dropping-particle":"","family":"Johnson","given":"Dana M.","non-dropping-particle":"","parse-names":false,"suffix":""}],"container-title":"Total Quality Management and Business Excellence","id":"ITEM-1","issued":{"date-parts":[["2009"]]},"title":"Service quality in higher education","type":"article-journal"},"uris":["http://www.mendeley.com/documents/?uuid=0a573c76-431f-4de4-b2d1-d4b97b8918bc"]}],"mendeley":{"formattedCitation":"(Quinn, Lemay, Larsen, &amp; Johnson, 2009)","plainTextFormattedCitation":"(Quinn, Lemay, Larsen, &amp; Johnson, 2009)","previouslyFormattedCitation":"(Quinn et al., 2009)"},"properties":{"noteIndex":0},"schema":"https://github.com/citation-style-language/schema/raw/master/csl-citation.json"}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(Quinn, Lemay, Larsen, &amp; Johnson, 2009)</w:t>
      </w:r>
      <w:r>
        <w:rPr>
          <w:rFonts w:ascii="Times New Roman" w:hAnsi="Times New Roman" w:cs="Times New Roman"/>
        </w:rPr>
        <w:fldChar w:fldCharType="end"/>
      </w:r>
      <w:r>
        <w:rPr>
          <w:rFonts w:ascii="Times New Roman" w:hAnsi="Times New Roman" w:cs="Times New Roman"/>
        </w:rPr>
        <w:t>. This has made the perceived product and service quality become key and one of the most important drivers of competitive advantage for brands in the market.</w:t>
      </w:r>
    </w:p>
    <w:p>
      <w:pPr>
        <w:spacing w:line="360" w:lineRule="auto"/>
        <w:jc w:val="both"/>
        <w:rPr>
          <w:rFonts w:ascii="Times New Roman" w:hAnsi="Times New Roman" w:cs="Times New Roman"/>
        </w:rPr>
      </w:pPr>
      <w:r>
        <w:rPr>
          <w:rFonts w:ascii="Times New Roman" w:hAnsi="Times New Roman" w:cs="Times New Roman"/>
        </w:rPr>
        <w:t xml:space="preserve">Customer satisfaction in general is perceived as one of the most factors that determine the firm’s success and increased efficiency. In delivering quality service, organizations are seeking to enhance customer satisfaction and hence their interest is in closing the gap between expectations and reality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{"citationItems":[{"id":"ITEM-1","itemData":{"DOI":"10.1080/14783360802622805","ISSN":"14783363","abstract":"Quality experts believe that, ?measuring customer satisfaction at an educational establishment might be regarded by educators as one of the greatest challenges of the quality movement? (Cloutier  and second, measuring customer quality perceptions. An examination of representative historical applications of quality techniques was conducted as well as identification of the differences and similarities surrounding quality improvement efforts in each of three service areas typically found in higher education: academic, administrative, and auxiliary functions. While recognising these higher education areas differ from the typical business environment, positive research findings on the application of quality techniques for these areas were discovered.\\nQuality experts believe that, ?measuring customer satisfaction at an educational establishment might be regarded by educators as one of the greatest challenges of the quality movement? (Cloutier  and second, measuring customer quality perceptions. An examination of representative historical applications of quality techniques was conducted as well as identification of the differences and similarities surrounding quality improvement efforts in each of three service areas typically found in higher education: academic, administrative, and auxiliary functions. While recognising these higher education areas differ from the typical business environment, positive research findings on the application of quality techniques for these areas were discovered.","author":[{"dropping-particle":"","family":"Quinn","given":"Anita","non-dropping-particle":"","parse-names":false,"suffix":""},{"dropping-particle":"","family":"Lemay","given":"Gina","non-dropping-particle":"","parse-names":false,"suffix":""},{"dropping-particle":"","family":"Larsen","given":"Peter","non-dropping-particle":"","parse-names":false,"suffix":""},{"dropping-particle":"","family":"Johnson","given":"Dana M.","non-dropping-particle":"","parse-names":false,"suffix":""}],"container-title":"Total Quality Management and Business Excellence","id":"ITEM-1","issued":{"date-parts":[["2009"]]},"title":"Service quality in higher education","type":"article-journal"},"uris":["http://www.mendeley.com/documents/?uuid=0a573c76-431f-4de4-b2d1-d4b97b8918bc"]}],"mendeley":{"formattedCitation":"(Quinn et al., 2009)","plainTextFormattedCitation":"(Quinn et al., 2009)","previouslyFormattedCitation":"(Quinn et al., 2009)"},"properties":{"noteIndex":0},"schema":"https://github.com/citation-style-language/schema/raw/master/csl-citation.json"}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(Quinn et al., 2009)</w:t>
      </w:r>
      <w:r>
        <w:rPr>
          <w:rFonts w:ascii="Times New Roman" w:hAnsi="Times New Roman" w:cs="Times New Roman"/>
        </w:rPr>
        <w:fldChar w:fldCharType="end"/>
      </w:r>
      <w:r>
        <w:rPr>
          <w:rFonts w:ascii="Times New Roman" w:hAnsi="Times New Roman" w:cs="Times New Roman"/>
        </w:rPr>
        <w:t xml:space="preserve">. For many organizations, this is possible and many approaches have been proposed on how to accomplish this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{"citationItems":[{"id":"ITEM-1","itemData":{"DOI":"10.1080/14783360802622805","ISSN":"14783363","abstract":"Quality experts believe that, ?measuring customer satisfaction at an educational establishment might be regarded by educators as one of the greatest challenges of the quality movement? (Cloutier  and second, measuring customer quality perceptions. An examination of representative historical applications of quality techniques was conducted as well as identification of the differences and similarities surrounding quality improvement efforts in each of three service areas typically found in higher education: academic, administrative, and auxiliary functions. While recognising these higher education areas differ from the typical business environment, positive research findings on the application of quality techniques for these areas were discovered.\\nQuality experts believe that, ?measuring customer satisfaction at an educational establishment might be regarded by educators as one of the greatest challenges of the quality movement? (Cloutier  and second, measuring customer quality perceptions. An examination of representative historical applications of quality techniques was conducted as well as identification of the differences and similarities surrounding quality improvement efforts in each of three service areas typically found in higher education: academic, administrative, and auxiliary functions. While recognising these higher education areas differ from the typical business environment, positive research findings on the application of quality techniques for these areas were discovered.","author":[{"dropping-particle":"","family":"Quinn","given":"Anita","non-dropping-particle":"","parse-names":false,"suffix":""},{"dropping-particle":"","family":"Lemay","given":"Gina","non-dropping-particle":"","parse-names":false,"suffix":""},{"dropping-particle":"","family":"Larsen","given":"Peter","non-dropping-particle":"","parse-names":false,"suffix":""},{"dropping-particle":"","family":"Johnson","given":"Dana M.","non-dropping-particle":"","parse-names":false,"suffix":""}],"container-title":"Total Quality Management and Business Excellence","id":"ITEM-1","issued":{"date-parts":[["2009"]]},"title":"Service quality in higher education","type":"article-journal"},"uris":["http://www.mendeley.com/documents/?uuid=0a573c76-431f-4de4-b2d1-d4b97b8918bc"]}],"mendeley":{"formattedCitation":"(Quinn et al., 2009)","plainTextFormattedCitation":"(Quinn et al., 2009)","previouslyFormattedCitation":"(Quinn et al., 2009)"},"properties":{"noteIndex":0},"schema":"https://github.com/citation-style-language/schema/raw/master/csl-citation.json"}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(Quinn et al., 2009)</w:t>
      </w:r>
      <w:r>
        <w:rPr>
          <w:rFonts w:ascii="Times New Roman" w:hAnsi="Times New Roman" w:cs="Times New Roman"/>
        </w:rPr>
        <w:fldChar w:fldCharType="end"/>
      </w:r>
      <w:r>
        <w:rPr>
          <w:rFonts w:ascii="Times New Roman" w:hAnsi="Times New Roman" w:cs="Times New Roman"/>
        </w:rPr>
        <w:t xml:space="preserve">. However, some firms ignore customer complaints and issues experienced during the service process an element that impacts negatively on their evaluation of the services that they receive at the firm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{"citationItems":[{"id":"ITEM-1","itemData":{"DOI":"10.1016/j.jsis.2010.05.001","ISSN":"09638687","abstract":"Increased organizational dependence on information systems drives management attention towards improving information systems' quality. A recent survey shows that \"Improve IT quality\" is one of the top concerns facing IT executives. As IT quality is a multidimensional measure, it is important to determine what aspects of IT quality are critical to organizations to help Chief Information Officers (CIOs) to devise effective IT quality improvement strategies. In this research, we model the relationship between information systems' (IS) quality and organizational impact. We hypothesize greater organizational impact in situations in which system quality, information quality and service quality are high. We also hypothesize a positive relationship between system quality and information quality. We test our hypotheses using survey data. Our structural equation model exhibits a good fit with the observed data. Our results show that IS service quality is the most influential variable in this model (followed by information quality and system quality), thus highlighting the importance of IS service quality for organizational performance. This paper contributes theoretically to IS success models through the system quality-to-information quality and IS quality-to-organizational impact links. Implications of our results for practice and research are discussed. © 2010 Elsevier B.V. All rights reserved.","author":[{"dropping-particle":"","family":"Gorla","given":"Narasimhaiah","non-dropping-particle":"","parse-names":false,"suffix":""},{"dropping-particle":"","family":"Somers","given":"Toni M.","non-dropping-particle":"","parse-names":false,"suffix":""},{"dropping-particle":"","family":"Wong","given":"Betty","non-dropping-particle":"","parse-names":false,"suffix":""}],"container-title":"Journal of Strategic Information Systems","id":"ITEM-1","issued":{"date-parts":[["2010"]]},"title":"Organizational impact of system quality, information quality, and service quality","type":"article-journal"},"uris":["http://www.mendeley.com/documents/?uuid=7baf9b8d-cac9-4373-8254-822f326f254d"]}],"mendeley":{"formattedCitation":"(Gorla, Somers, &amp; Wong, 2010)","plainTextFormattedCitation":"(Gorla, Somers, &amp; Wong, 2010)","previouslyFormattedCitation":"(Gorla, Somers and Wong, 2010)"},"properties":{"noteIndex":0},"schema":"https://github.com/citation-style-language/schema/raw/master/csl-citation.json"}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(Gorla, Somers, &amp; Wong, 2010)</w:t>
      </w:r>
      <w:r>
        <w:rPr>
          <w:rFonts w:ascii="Times New Roman" w:hAnsi="Times New Roman" w:cs="Times New Roman"/>
        </w:rPr>
        <w:fldChar w:fldCharType="end"/>
      </w:r>
      <w:r>
        <w:rPr>
          <w:rFonts w:ascii="Times New Roman" w:hAnsi="Times New Roman" w:cs="Times New Roman"/>
        </w:rPr>
        <w:t>. Along this perspective understanding and solving service quality problems will result in improvements in firm performance.</w:t>
      </w:r>
    </w:p>
    <w:p>
      <w:pPr>
        <w:pStyle w:val="3"/>
        <w:numPr>
          <w:ilvl w:val="1"/>
          <w:numId w:val="1"/>
        </w:numPr>
      </w:pPr>
      <w:bookmarkStart w:id="2" w:name="_Toc19178"/>
      <w:r>
        <w:t>Company description</w:t>
      </w:r>
      <w:bookmarkEnd w:id="2"/>
    </w:p>
    <w:p>
      <w:pPr>
        <w:spacing w:line="360" w:lineRule="auto"/>
        <w:jc w:val="both"/>
        <w:rPr>
          <w:rFonts w:ascii="Times New Roman" w:hAnsi="Times New Roman" w:cs="Times New Roman"/>
          <w:lang w:val="en-GB"/>
        </w:rPr>
      </w:pPr>
      <w:r>
        <w:rPr>
          <w:rFonts w:ascii="Times New Roman" w:hAnsi="Times New Roman" w:cs="Times New Roman"/>
          <w:lang w:val="en-GB"/>
        </w:rPr>
        <w:t xml:space="preserve">The Five Guys is a leading fast food restaurant in Swansea city. The restaurant is majorly known for its tasty burgers and chips. The organization has been in existence for a long period of time serving a significant number of people in the area. While the restaurant provides some of the best fast food products and ability to customize orders, there are complaints regarding the quality of service that is received due to poor operations set-up at the facilities. Complaints about plastic service, long periods of processing food, loud music, poor atmosphere, and no waiter service are among the problems that customers face at the facility. This is not in line with the firm’s premium price of food which is expected to go with high quality service. Poor service quality at any restaurant has a negative effect on the performance of the organization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{"citationItems":[{"id":"ITEM-1","itemData":{"abstract":"Purpose – This paper seeks to examine the effectiveness of internal processes of service quality recovery for an international airline. Design/methodology/approach – An action research methodology was adopted. The research involved: a review of available service quality literature; the identification of causes of failure/errors within the host company; the development of key lessons and management guidelines. Findings – It is argued that, for service recovery to be effective, it must be external (to the customer) as well as internal (to the organisation). The need to incorporate employees and not overlook their significance, power and influence on the delivery of quality service is highlighted. Through comparison with another airline the findings re-assert that service quality excellence can only be achieved through employee satisfaction, commitment and loyalty as a result of senior management commitment, focus and drive. Research limitations/implications – The methodology applied was appropriate, generating data to facilitate discussion and from which to draw specific conclusions. A perceived limitation is the single case approach; however, Remenyi argues that this can be enough to add to the body of knowledge. For further investigation, there is an ongoing opportunity for future research in the area of service quality, failure and recovery, as well as the service quality gaps within the airline. Practical implications – Key lessons and management guidelines for improving service quality are presented. Originality/value – The paper describes how an international airline has tangible service quality failure and recovery systems in place, but fails to capitalise on the data and information generated.","author":[{"dropping-particle":"","family":"Mekhail Mustak","given":"Elina Jaakkola and Aino Halinen","non-dropping-particle":"","parse-names":false,"suffix":""}],"container-title":"Managing Service Quality","id":"ITEM-1","issued":{"date-parts":[["2013"]]},"title":"Managing Service Quality : An International Journal Article information :","type":"article-journal"},"uris":["http://www.mendeley.com/documents/?uuid=d66a1860-07fd-4bff-9fec-dd81535e6ae7"]}],"mendeley":{"formattedCitation":"(Mekhail Mustak, 2013)","plainTextFormattedCitation":"(Mekhail Mustak, 2013)","previouslyFormattedCitation":"(Mekhail Mustak, 2013)"},"properties":{"noteIndex":0},"schema":"https://github.com/citation-style-language/schema/raw/master/csl-citation.json"}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(Mekhail Mustak, 2013)</w:t>
      </w:r>
      <w:r>
        <w:rPr>
          <w:rFonts w:ascii="Times New Roman" w:hAnsi="Times New Roman" w:cs="Times New Roman"/>
        </w:rPr>
        <w:fldChar w:fldCharType="end"/>
      </w:r>
      <w:r>
        <w:rPr>
          <w:rFonts w:ascii="Times New Roman" w:hAnsi="Times New Roman" w:cs="Times New Roman"/>
          <w:lang w:val="en-GB"/>
        </w:rPr>
        <w:t xml:space="preserve">. It has a negative impact on customer satisfaction and repeat purchase intentions and hence the need for the restaurant to change its service strategy to avoid the negative implications associated with such practices in the restaurant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{"citationItems":[{"id":"ITEM-1","itemData":{"DOI":"10.1108/09596111211206141","ISBN":"0956423981","ISSN":"09596119","PMID":"42012058","abstract":"Purpose - The purpose of this study is to propose an integrated model that examines the impact of three elements of foodservice quality dimensions (physical environment, food, and service) on restaurant image, customer perceived value, customer satisfaction, and behavioral intentions. Design/methodology/approach - Data were collected from customers at an authentic upscale Chinese restaurant located in a Southeastern state in the USA via a self-administered questionnaire. Anderson and Gerbing's two-step approach was used to assess the measurement and structural models. Findings - Structural equation modeling shows that the quality of the physical environment, food, and service were significant determinants of restaurant image. Also, the quality of the physical environment and food were significant predictors of customer perceived value. The restaurant image was also found to be a significant antecedent of customer perceived value. In addition, the results reinforced that customer perceived value is indeed a significant determinant of customer satisfaction, and customer satisfaction is a significant predictor of behavioral intentions. Research limitations/implications - The proposed model and study findings will greatly help researchers and practitioners understand the complex relationships among foodservice quality (physical environment, food, and service), restaurant image, customer perceived value, customer satisfaction, and behavioral intentions in the restaurant industry. Originality/value - This study is the first to develop an integrated model that explicitly accounts for the influence of three restaurant service quality factors on restaurant image and customer perceived value. Using structural equation modeling, this study empirically confirms that the model with the causality from quality, in particular three dimensions of foodservice quality in this study, to restaurant image is superior to the one with causality from image to quality in the context of restaurant.","author":[{"dropping-particle":"","family":"Ryu","given":"Kisang","non-dropping-particle":"","parse-names":false,"suffix":""},{"dropping-particle":"","family":"Lee","given":"Hye Rin","non-dropping-particle":"","parse-names":false,"suffix":""},{"dropping-particle":"","family":"Kim","given":"Woon Gon","non-dropping-particle":"","parse-names":false,"suffix":""}],"container-title":"International Journal of Contemporary Hospitality Management","id":"ITEM-1","issued":{"date-parts":[["2012"]]},"title":"The influence of the quality of the physical environment, food, and service on restaurant image, customer perceived value, customer satisfaction, and behavioral intentions","type":"article-journal"},"uris":["http://www.mendeley.com/documents/?uuid=aae4366e-53b6-44ac-bcba-1b53e242f666","http://www.mendeley.com/documents/?uuid=3fd43a13-dd64-4c0c-b712-00396a6b5d12"]}],"mendeley":{"formattedCitation":"(Ryu, Lee, &amp; Kim, 2012)","plainTextFormattedCitation":"(Ryu, Lee, &amp; Kim, 2012)","previouslyFormattedCitation":"(Ryu, Lee and Kim, 2012)"},"properties":{"noteIndex":0},"schema":"https://github.com/citation-style-language/schema/raw/master/csl-citation.json"}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(Ryu, Lee, &amp; Kim, 2012)</w:t>
      </w:r>
      <w:r>
        <w:rPr>
          <w:rFonts w:ascii="Times New Roman" w:hAnsi="Times New Roman" w:cs="Times New Roman"/>
        </w:rPr>
        <w:fldChar w:fldCharType="end"/>
      </w:r>
      <w:r>
        <w:rPr>
          <w:rFonts w:ascii="Times New Roman" w:hAnsi="Times New Roman" w:cs="Times New Roman"/>
          <w:lang w:val="en-GB"/>
        </w:rPr>
        <w:t>.</w:t>
      </w:r>
    </w:p>
    <w:p>
      <w:pPr>
        <w:pStyle w:val="3"/>
        <w:numPr>
          <w:ilvl w:val="1"/>
          <w:numId w:val="1"/>
        </w:numPr>
      </w:pPr>
      <w:bookmarkStart w:id="3" w:name="_Toc19234"/>
      <w:r>
        <w:t>Project aims and Objectives</w:t>
      </w:r>
      <w:bookmarkEnd w:id="3"/>
    </w:p>
    <w:p>
      <w:pPr>
        <w:pStyle w:val="4"/>
        <w:numPr>
          <w:ilvl w:val="2"/>
          <w:numId w:val="1"/>
        </w:numPr>
      </w:pPr>
      <w:bookmarkStart w:id="4" w:name="_Toc19453"/>
      <w:r>
        <w:t>The Project Aim</w:t>
      </w:r>
      <w:bookmarkEnd w:id="4"/>
    </w:p>
    <w:p>
      <w:pPr>
        <w:spacing w:line="360" w:lineRule="auto"/>
        <w:jc w:val="both"/>
        <w:rPr>
          <w:rFonts w:ascii="Times New Roman" w:hAnsi="Times New Roman" w:cs="Times New Roman"/>
          <w:lang w:val="en-GB"/>
        </w:rPr>
      </w:pPr>
      <w:r>
        <w:rPr>
          <w:rFonts w:ascii="Times New Roman" w:hAnsi="Times New Roman" w:cs="Times New Roman"/>
          <w:lang w:val="en-GB"/>
        </w:rPr>
        <w:t>The main aim of the project is to find out whether there are any service quality problems at The Five Guys and to provide suggestions for improvement, to enhance customer satisfaction and repeat purchase intentions.</w:t>
      </w:r>
    </w:p>
    <w:p>
      <w:pPr>
        <w:pStyle w:val="4"/>
        <w:numPr>
          <w:ilvl w:val="2"/>
          <w:numId w:val="1"/>
        </w:numPr>
      </w:pPr>
      <w:bookmarkStart w:id="5" w:name="_Toc1718391"/>
      <w:bookmarkStart w:id="6" w:name="_Toc26389"/>
      <w:r>
        <w:t>Project Objectives</w:t>
      </w:r>
      <w:bookmarkEnd w:id="5"/>
      <w:bookmarkEnd w:id="6"/>
    </w:p>
    <w:p>
      <w:pPr>
        <w:spacing w:line="360" w:lineRule="auto"/>
        <w:jc w:val="both"/>
        <w:rPr>
          <w:rFonts w:ascii="Times New Roman" w:hAnsi="Times New Roman" w:cs="Times New Roman"/>
          <w:lang w:val="en-GB"/>
        </w:rPr>
      </w:pPr>
      <w:r>
        <w:rPr>
          <w:rFonts w:ascii="Times New Roman" w:hAnsi="Times New Roman" w:cs="Times New Roman"/>
          <w:lang w:val="en-GB"/>
        </w:rPr>
        <w:t>The key project objectives include the following.</w:t>
      </w:r>
    </w:p>
    <w:p>
      <w:pPr>
        <w:spacing w:line="360" w:lineRule="auto"/>
        <w:jc w:val="both"/>
        <w:rPr>
          <w:rFonts w:ascii="Times New Roman" w:hAnsi="Times New Roman" w:cs="Times New Roman"/>
          <w:lang w:val="en-GB"/>
        </w:rPr>
      </w:pPr>
      <w:r>
        <w:rPr>
          <w:rFonts w:ascii="Times New Roman" w:hAnsi="Times New Roman" w:cs="Times New Roman"/>
          <w:lang w:val="en-GB"/>
        </w:rPr>
        <w:t>To conduct a situational analysis to understand the current landscape in the fast food industry in the UK.</w:t>
      </w:r>
    </w:p>
    <w:p>
      <w:pPr>
        <w:spacing w:line="360" w:lineRule="auto"/>
        <w:jc w:val="both"/>
        <w:rPr>
          <w:rFonts w:ascii="Times New Roman" w:hAnsi="Times New Roman" w:cs="Times New Roman"/>
          <w:lang w:val="en-GB"/>
        </w:rPr>
      </w:pPr>
      <w:r>
        <w:rPr>
          <w:rFonts w:ascii="Times New Roman" w:hAnsi="Times New Roman" w:cs="Times New Roman"/>
          <w:lang w:val="en-GB"/>
        </w:rPr>
        <w:t>To understand the current key drivers of fast food industry performance in the fast food industry in the UK.</w:t>
      </w:r>
    </w:p>
    <w:p>
      <w:pPr>
        <w:spacing w:line="360" w:lineRule="auto"/>
        <w:jc w:val="both"/>
        <w:rPr>
          <w:rFonts w:ascii="Times New Roman" w:hAnsi="Times New Roman" w:cs="Times New Roman"/>
          <w:lang w:val="en-GB"/>
        </w:rPr>
      </w:pPr>
      <w:r>
        <w:rPr>
          <w:rFonts w:ascii="Times New Roman" w:hAnsi="Times New Roman" w:cs="Times New Roman"/>
          <w:lang w:val="en-GB"/>
        </w:rPr>
        <w:t>To explore whether there are any service quality problems at the five guys restaurant in the UK</w:t>
      </w:r>
    </w:p>
    <w:p>
      <w:pPr>
        <w:spacing w:line="360" w:lineRule="auto"/>
        <w:jc w:val="both"/>
        <w:rPr>
          <w:rFonts w:ascii="Times New Roman" w:hAnsi="Times New Roman" w:cs="Times New Roman"/>
          <w:lang w:val="en-GB"/>
        </w:rPr>
      </w:pPr>
      <w:r>
        <w:rPr>
          <w:rFonts w:ascii="Times New Roman" w:hAnsi="Times New Roman" w:cs="Times New Roman"/>
          <w:lang w:val="en-GB"/>
        </w:rPr>
        <w:t>To identify the main causes of service quality problems at the five guys restaurant in the UK from consumer reviews.</w:t>
      </w:r>
    </w:p>
    <w:p>
      <w:pPr>
        <w:spacing w:line="360" w:lineRule="auto"/>
        <w:jc w:val="both"/>
        <w:rPr>
          <w:rFonts w:ascii="Times New Roman" w:hAnsi="Times New Roman" w:cs="Times New Roman"/>
          <w:lang w:val="en-GB"/>
        </w:rPr>
      </w:pPr>
      <w:r>
        <w:rPr>
          <w:rFonts w:ascii="Times New Roman" w:hAnsi="Times New Roman" w:cs="Times New Roman"/>
          <w:lang w:val="en-GB"/>
        </w:rPr>
        <w:t>To provide suggestions and recommendations on how to improve service quality at the restaurant to enhance customer satisfaction.</w:t>
      </w:r>
    </w:p>
    <w:p>
      <w:pPr>
        <w:spacing w:line="360" w:lineRule="auto"/>
        <w:jc w:val="both"/>
        <w:rPr>
          <w:rFonts w:ascii="Times New Roman" w:hAnsi="Times New Roman" w:cs="Times New Roman"/>
        </w:rPr>
      </w:pPr>
    </w:p>
    <w:p>
      <w:pPr>
        <w:pStyle w:val="2"/>
        <w:numPr>
          <w:ilvl w:val="0"/>
          <w:numId w:val="1"/>
        </w:numPr>
      </w:pPr>
      <w:bookmarkStart w:id="7" w:name="_Toc5703"/>
      <w:r>
        <w:t>Findings and Critical Analysis</w:t>
      </w:r>
      <w:bookmarkEnd w:id="7"/>
    </w:p>
    <w:p>
      <w:pPr>
        <w:pStyle w:val="3"/>
        <w:numPr>
          <w:ilvl w:val="1"/>
          <w:numId w:val="1"/>
        </w:numPr>
      </w:pPr>
      <w:bookmarkStart w:id="8" w:name="_Toc15092"/>
      <w:r>
        <w:t>Phase one: Situational analysis</w:t>
      </w:r>
      <w:bookmarkEnd w:id="8"/>
    </w:p>
    <w:p>
      <w:pPr>
        <w:pStyle w:val="4"/>
        <w:numPr>
          <w:ilvl w:val="2"/>
          <w:numId w:val="1"/>
        </w:numPr>
      </w:pPr>
      <w:bookmarkStart w:id="9" w:name="_Toc23311"/>
      <w:r>
        <w:t>SWOT Analysis</w:t>
      </w:r>
      <w:bookmarkEnd w:id="9"/>
    </w:p>
    <w:p>
      <w:pPr>
        <w:spacing w:line="360" w:lineRule="auto"/>
        <w:jc w:val="both"/>
        <w:rPr>
          <w:rFonts w:ascii="Times New Roman" w:hAnsi="Times New Roman" w:cs="Times New Roman"/>
        </w:rPr>
      </w:pPr>
      <w:r>
        <w:rPr>
          <w:rFonts w:ascii="Times New Roman" w:hAnsi="Times New Roman" w:cs="Times New Roman"/>
        </w:rPr>
        <w:t xml:space="preserve">The SWOT analysis model allows for a critical analysis of the company’s strengths, weaknesses, opportunities and threats. Appendix one shows the SWOT analysis for The Five guys restaurant. In summary, the firm’s strengths lie in its range of food products, perceived good reputation and image in the UK, and perceived quality of services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{"citationItems":[{"id":"ITEM-1","itemData":{"DOI":"10.1108/MSQ-03-2014-0042","ISSN":"09604529","abstract":"Purpose – The purpose of this conceptual paper is to analyse the implications generated by a service perspective. Design/methodology/approach – A conceptual analysis of two approaches to understanding service perspectives, service logic (SL) and service-dominant logic (SDL), reveals direct and indirect marketing implications. Findings – The SDL is based on a metaphorical view of co-creation and value co-creation, in which the firm, customers and other actors participate in the process that leads to value for customers. The approach is firm-driven; the service provider drives value creation. The managerial implications are not service perspective-based, and co-creation may be imprisoned by its metaphor. In contrast, SL takes an analytical approach, with co-creation concepts that can significantly reinvent marketing from a service perspective. Value gets created in customer processes, and value creation is customer driven. Ten managerial SL principles derived from these analyses offer theoretical and practical conclusions with the potential to reinvent marketing. Research limitations/implications – The SDL can direct researchers’ and managers’ views towards complex value-generation processes. The SL can analyse this process on a managerial level, to derive customer-centric, service perspective-based opportunities to reinvent marketing. Practical implications – The analysis and principles help marketing break free from offering only value propositions and become an organisation-wide responsibility. Firms must organise service-influenced marketing and create a customer focus among all employees, beyond conventional marketing. Originality/value – A service perspective on business has key managerial implications and enables researchers and managers to find new, customer-centric, service-influenced marketing approaches.","author":[{"dropping-particle":"","family":"Grönroos","given":"Christian","non-dropping-particle":"","parse-names":false,"suffix":""},{"dropping-particle":"","family":"Gummerus","given":"Johanna","non-dropping-particle":"","parse-names":false,"suffix":""}],"container-title":"Managing Service Quality","id":"ITEM-1","issued":{"date-parts":[["2014"]]},"title":"The service revolution and its marketing implications: Service logic vs service-dominant logic","type":"article-journal"},"uris":["http://www.mendeley.com/documents/?uuid=48382845-8723-4b2b-9f33-eb82e1d7cff9"]}],"mendeley":{"formattedCitation":"(Grönroos &amp; Gummerus, 2014)","plainTextFormattedCitation":"(Grönroos &amp; Gummerus, 2014)","previouslyFormattedCitation":"(Grönroos and Gummerus, 2014)"},"properties":{"noteIndex":0},"schema":"https://github.com/citation-style-language/schema/raw/master/csl-citation.json"}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(Grönroos &amp; Gummerus, 2014)</w:t>
      </w:r>
      <w:r>
        <w:rPr>
          <w:rFonts w:ascii="Times New Roman" w:hAnsi="Times New Roman" w:cs="Times New Roman"/>
        </w:rPr>
        <w:fldChar w:fldCharType="end"/>
      </w:r>
      <w:r>
        <w:rPr>
          <w:rFonts w:ascii="Times New Roman" w:hAnsi="Times New Roman" w:cs="Times New Roman"/>
        </w:rPr>
        <w:t xml:space="preserve">. However, a key weakness at the firm is geographic concentration with the firm only having a few branches in Swansea that expose it to geographic shocks. In terms of opportunities, the firm should seek to use online delivery services and partnerships with other companies to enhance performance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{"citationItems":[{"id":"ITEM-1","itemData":{"DOI":"10.2307/249687","ISSN":"02767783","abstract":"The IS function now includes a significant service component. However, commonly used measures of IS effectiveness focus on the products, rather than the services, of the IS function. Thus, there is the danger that IS researchers will mismeasure IS effectiveness if they do not include in their assessment package a measure of IS service quality. SERVQUAL, an instrument developed by the marketing area, is offered as a possible measure of IS service quality. SERVQUAL measures service dimensions of tangibles, reliability, responsiveness, assurance, and empathy. The suitability of SERVQUAL was assessed in three different types of organizations in three countries. After examination of content validity, reliability, convergent validity, nomological validity, and discriminant validity, the study concludes that SERVQUAL is an appropriate instrument for researchers seeking a measure of IS service quality. CR - Copyright &amp;#169; 1995 Management Information Systems Research Center, University of Minnesota","author":[{"dropping-particle":"","family":"Pitt","given":"Leyland F.","non-dropping-particle":"","parse-names":false,"suffix":""},{"dropping-particle":"","family":"Watson","given":"Richard T.","non-dropping-particle":"","parse-names":false,"suffix":""},{"dropping-particle":"","family":"Kavan","given":"C. Bruce","non-dropping-particle":"","parse-names":false,"suffix":""}],"container-title":"MIS Quarterly","id":"ITEM-1","issued":{"date-parts":[["2006"]]},"title":"Service Quality: A Measure of Information Systems Effectiveness","type":"article-journal"},"uris":["http://www.mendeley.com/documents/?uuid=b3ceb7cc-95d9-41f2-89db-1235a3064731"]}],"mendeley":{"formattedCitation":"(Pitt, Watson, &amp; Kavan, 2006)","plainTextFormattedCitation":"(Pitt, Watson, &amp; Kavan, 2006)","previouslyFormattedCitation":"(Pitt, Watson and Kavan, 2006)"},"properties":{"noteIndex":0},"schema":"https://github.com/citation-style-language/schema/raw/master/csl-citation.json"}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(Pitt, Watson, &amp; Kavan, 2006)</w:t>
      </w:r>
      <w:r>
        <w:rPr>
          <w:rFonts w:ascii="Times New Roman" w:hAnsi="Times New Roman" w:cs="Times New Roman"/>
        </w:rPr>
        <w:fldChar w:fldCharType="end"/>
      </w:r>
      <w:r>
        <w:rPr>
          <w:rFonts w:ascii="Times New Roman" w:hAnsi="Times New Roman" w:cs="Times New Roman"/>
        </w:rPr>
        <w:t xml:space="preserve">. Threats in the market such as the poor economic and political environment could have a negative effect on the performance of the firm in the long term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{"citationItems":[{"id":"ITEM-1","itemData":{"DOI":"10.1016/j.jsis.2010.05.001","ISSN":"09638687","abstract":"Increased organizational dependence on information systems drives management attention towards improving information systems' quality. A recent survey shows that \"Improve IT quality\" is one of the top concerns facing IT executives. As IT quality is a multidimensional measure, it is important to determine what aspects of IT quality are critical to organizations to help Chief Information Officers (CIOs) to devise effective IT quality improvement strategies. In this research, we model the relationship between information systems' (IS) quality and organizational impact. We hypothesize greater organizational impact in situations in which system quality, information quality and service quality are high. We also hypothesize a positive relationship between system quality and information quality. We test our hypotheses using survey data. Our structural equation model exhibits a good fit with the observed data. Our results show that IS service quality is the most influential variable in this model (followed by information quality and system quality), thus highlighting the importance of IS service quality for organizational performance. This paper contributes theoretically to IS success models through the system quality-to-information quality and IS quality-to-organizational impact links. Implications of our results for practice and research are discussed. © 2010 Elsevier B.V. All rights reserved.","author":[{"dropping-particle":"","family":"Gorla","given":"Narasimhaiah","non-dropping-particle":"","parse-names":false,"suffix":""},{"dropping-particle":"","family":"Somers","given":"Toni M.","non-dropping-particle":"","parse-names":false,"suffix":""},{"dropping-particle":"","family":"Wong","given":"Betty","non-dropping-particle":"","parse-names":false,"suffix":""}],"container-title":"Journal of Strategic Information Systems","id":"ITEM-1","issued":{"date-parts":[["2010"]]},"title":"Organizational impact of system quality, information quality, and service quality","type":"article-journal"},"uris":["http://www.mendeley.com/documents/?uuid=7baf9b8d-cac9-4373-8254-822f326f254d"]}],"mendeley":{"formattedCitation":"(Gorla et al., 2010)","plainTextFormattedCitation":"(Gorla et al., 2010)","previouslyFormattedCitation":"(Gorla, Somers and Wong, 2010)"},"properties":{"noteIndex":0},"schema":"https://github.com/citation-style-language/schema/raw/master/csl-citation.json"}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(Gorla et al., 2010)</w:t>
      </w:r>
      <w:r>
        <w:rPr>
          <w:rFonts w:ascii="Times New Roman" w:hAnsi="Times New Roman" w:cs="Times New Roman"/>
        </w:rPr>
        <w:fldChar w:fldCharType="end"/>
      </w:r>
      <w:r>
        <w:rPr>
          <w:rFonts w:ascii="Times New Roman" w:hAnsi="Times New Roman" w:cs="Times New Roman"/>
        </w:rPr>
        <w:t>. Other issues such as the growing health consciousness and competition need to be considered because of the perceived negative effect on the firm.</w:t>
      </w:r>
    </w:p>
    <w:p>
      <w:pPr>
        <w:pStyle w:val="4"/>
        <w:numPr>
          <w:ilvl w:val="2"/>
          <w:numId w:val="1"/>
        </w:numPr>
      </w:pPr>
      <w:bookmarkStart w:id="10" w:name="_Toc8583"/>
      <w:r>
        <w:t>PESTLE Analysis</w:t>
      </w:r>
      <w:bookmarkEnd w:id="10"/>
    </w:p>
    <w:p/>
    <w:p>
      <w:pPr>
        <w:spacing w:line="360" w:lineRule="auto"/>
        <w:jc w:val="both"/>
        <w:rPr>
          <w:rFonts w:ascii="Times New Roman" w:hAnsi="Times New Roman" w:cs="Times New Roman"/>
        </w:rPr>
      </w:pPr>
      <w:r>
        <w:rPr>
          <w:rFonts w:ascii="Times New Roman" w:hAnsi="Times New Roman" w:cs="Times New Roman"/>
        </w:rPr>
        <w:t xml:space="preserve">The PESTLE analysis model provides an important starting point for companies to understand the influence of the macro environment on the performance of the company. Appendix 2 shows an analysis of the macro environment in the UK and the key factors that are influencing the Five Guys restaurant in the market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{"citationItems":[{"id":"ITEM-1","itemData":{"DOI":"10.1108/09604521111146243","ISSN":"09604529","abstract":"Purpose - Previous research on the relationship between service environments and customer emotions and service outcomes has focused on the physical environment. Among studies exploring the social environment, the emphasis has been on service employees, ignoring the impact of other customers. Recent research has further called for the need to include displayed emotion within the social environment. Therefore, this study aims to develop and test a more comprehensive model that focuses on the relationship between the social environment (employee displayed emotion and customer climate) and the physical environment (ambient and design factors) and resulting customer emotion and service - Based on past research, a theoretical framework was developed to propose the links between social/physical environments and customer emotion/perceptions. Extant research from various academic fields, including environmental psychology, was reviewed, deriving 11 hypotheses. Data collected from fashion apparel retailers, using both observation and customer survey methods, was examined through structural equation modeling (SEM). Findings - Results show that both social and physical environments have a positive influence on customer emotion and satisfaction, which in turn affect behavioral intentions. The physical environment exhibited more influence on customer emotion and satisfaction than social environment. Research limitations/implications - This research explains how both social and physical environments affect customer emotion and perceptions. Future research directions are discussed, with an emphasis on incorporating customer characteristics, industry attributes, and cultural variables to better understand the influence of service environments in different service settings. Practical implications - Social and physical environments influence customer emotional states within the service delivery context, which in turn affect customer service evaluations. Therefore, both social and physical service environments should be emphasized by service firms. Originality/value - This research represents an early attempt to develop a more comprehensive model explaining how both social and physical environments affect customer emotion and perceptions. This study also represents the first empirical study of service environment research to include employee displayed emotion as part of the social environment.","author":[{"dropping-particle":"","family":"Lin","given":"Jiun Sheng Chris","non-dropping-particle":"","parse-names":false,"suffix":""},{"dropping-particle":"","family":"Liang","given":"Haw Yi","non-dropping-particle":"","parse-names":false,"suffix":""}],"container-title":"Managing Service Quality","id":"ITEM-1","issued":{"date-parts":[["2011"]]},"title":"The influence of service environments on customer emotion and service outcomes","type":"article"},"uris":["http://www.mendeley.com/documents/?uuid=fd7ef160-01eb-40cd-ad2b-50f683b70747"]}],"mendeley":{"formattedCitation":"(Lin &amp; Liang, 2011)","plainTextFormattedCitation":"(Lin &amp; Liang, 2011)","previouslyFormattedCitation":"(Lin and Liang, 2011)"},"properties":{"noteIndex":0},"schema":"https://github.com/citation-style-language/schema/raw/master/csl-citation.json"}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(Lin &amp; Liang, 2011)</w:t>
      </w:r>
      <w:r>
        <w:rPr>
          <w:rFonts w:ascii="Times New Roman" w:hAnsi="Times New Roman" w:cs="Times New Roman"/>
        </w:rPr>
        <w:fldChar w:fldCharType="end"/>
      </w:r>
      <w:r>
        <w:rPr>
          <w:rFonts w:ascii="Times New Roman" w:hAnsi="Times New Roman" w:cs="Times New Roman"/>
        </w:rPr>
        <w:t xml:space="preserve">. In summary, Brexit has created a political problem with many firms still uncertain on the state of their businesses in the market. Secondly, from the economic perspective, growing inflation, slowing economic growth and the effects of Brexit are having a toll on many firms, leading a drop-in consumer confidence and hence discretionary purchase that affects fast food purchase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{"citationItems":[{"id":"ITEM-1","itemData":{"DOI":"10.1016/j.jsis.2010.05.001","ISSN":"09638687","abstract":"Increased organizational dependence on information systems drives management attention towards improving information systems' quality. A recent survey shows that \"Improve IT quality\" is one of the top concerns facing IT executives. As IT quality is a multidimensional measure, it is important to determine what aspects of IT quality are critical to organizations to help Chief Information Officers (CIOs) to devise effective IT quality improvement strategies. In this research, we model the relationship between information systems' (IS) quality and organizational impact. We hypothesize greater organizational impact in situations in which system quality, information quality and service quality are high. We also hypothesize a positive relationship between system quality and information quality. We test our hypotheses using survey data. Our structural equation model exhibits a good fit with the observed data. Our results show that IS service quality is the most influential variable in this model (followed by information quality and system quality), thus highlighting the importance of IS service quality for organizational performance. This paper contributes theoretically to IS success models through the system quality-to-information quality and IS quality-to-organizational impact links. Implications of our results for practice and research are discussed. © 2010 Elsevier B.V. All rights reserved.","author":[{"dropping-particle":"","family":"Gorla","given":"Narasimhaiah","non-dropping-particle":"","parse-names":false,"suffix":""},{"dropping-particle":"","family":"Somers","given":"Toni M.","non-dropping-particle":"","parse-names":false,"suffix":""},{"dropping-particle":"","family":"Wong","given":"Betty","non-dropping-particle":"","parse-names":false,"suffix":""}],"container-title":"Journal of Strategic Information Systems","id":"ITEM-1","issued":{"date-parts":[["2010"]]},"title":"Organizational impact of system quality, information quality, and service quality","type":"article-journal"},"uris":["http://www.mendeley.com/documents/?uuid=7baf9b8d-cac9-4373-8254-822f326f254d"]}],"mendeley":{"formattedCitation":"(Gorla et al., 2010)","plainTextFormattedCitation":"(Gorla et al., 2010)","previouslyFormattedCitation":"(Gorla, Somers and Wong, 2010)"},"properties":{"noteIndex":0},"schema":"https://github.com/citation-style-language/schema/raw/master/csl-citation.json"}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(Gorla et al., 2010)</w:t>
      </w:r>
      <w:r>
        <w:rPr>
          <w:rFonts w:ascii="Times New Roman" w:hAnsi="Times New Roman" w:cs="Times New Roman"/>
        </w:rPr>
        <w:fldChar w:fldCharType="end"/>
      </w:r>
      <w:r>
        <w:rPr>
          <w:rFonts w:ascii="Times New Roman" w:hAnsi="Times New Roman" w:cs="Times New Roman"/>
        </w:rPr>
        <w:t xml:space="preserve">. Third, the movement towards health consciousness, the aging population and demand for healthy products is driving down demand for the fast foods in the market. Fourth, technology is shaping the industry with the growth of online ordering and internet shopping affecting how customers make purchases regarding to food </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{"citationItems":[{"id":"ITEM-1","itemData":{"DOI":"10.2307/249687","ISSN":"02767783","abstract":"The IS function now includes a significant service component. However, commonly used measures of IS effectiveness focus on the products, rather than the services, of the IS function. Thus, there is the danger that IS researchers will mismeasure IS effectiveness if they do not include in their assessment package a measure of IS service quality. SERVQUAL, an instrument developed by the marketing area, is offered as a possible measure of IS service quality. SERVQUAL measures service dimensions of tangibles, reliability, responsiveness, assurance, and empathy. The suitability of SERVQUAL was assessed in three different types of organizations in three countries. After examination of content validity, reliability, convergent validity, nomological validity, and discriminant validity, the study concludes that SERVQUAL is an appropriate instrument for researchers seeking a measure of IS service quality. CR - Copyright &amp;#169; 1995 Management Information Systems Research Center, University of Minnesota","author":[{"dropping-particle":"","family":"Pitt","given":"Leyland F.","non-dropping-particle":"","parse-names":false,"suffix":""},{"dropping-particle":"","family":"Watson","given":"Richard T.","non-dropping-particle":"","parse-names":false,"suffix":""},{"dropping-particle":"","family":"Kavan","given":"C. Bruce","non-dropping-particle":"","parse-names":false,"suffix":""}],"container-title":"MIS Quarterly","id":"ITEM-1","issued":{"date-parts":[["2006"]]},"title":"Service Quality: A Measure of Information Systems Effectiveness","type":"article-journal"},"uris":["http://www.mendeley.com/documents/?uuid=b3ceb7cc-95d9-41f2-89db-1235a3064731"]}],"mendeley":{"formattedCitation":"(Pitt et al., 2006)","plainTextFormattedCitation":"(Pitt et al., 2006)","previouslyFormattedCitation":"(Pitt, Watson and Kavan, 2006)"},"properties":{"noteIndex":0},"schema":"https://github.com/citation-style-language/schema/raw/master/csl-citation.json"}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(Pitt et al., 2006)</w:t>
      </w:r>
      <w:r>
        <w:rPr>
          <w:rFonts w:ascii="Times New Roman" w:hAnsi="Times New Roman" w:cs="Times New Roman"/>
        </w:rPr>
        <w:fldChar w:fldCharType="end"/>
      </w:r>
      <w:r>
        <w:rPr>
          <w:rFonts w:ascii="Times New Roman" w:hAnsi="Times New Roman" w:cs="Times New Roman"/>
        </w:rPr>
        <w:t>. Technology is becoming both a blessing and a curse. Fifth is the issue of the environment. With the growing need for environmental conservation, policies and practices that reduce environment degradation are being suggested. Lastly, on the legal front, the UK is ranked among the best countries to start and run a business</w:t>
      </w:r>
      <w:r>
        <w:rPr>
          <w:rFonts w:ascii="Times New Roman" w:hAnsi="Times New Roman" w:cs="Times New Roman"/>
        </w:rPr>
        <w:fldChar w:fldCharType="begin" w:fldLock="1"/>
      </w:r>
      <w:r>
        <w:rPr>
          <w:rFonts w:ascii="Times New Roman" w:hAnsi="Times New Roman" w:cs="Times New Roman"/>
        </w:rPr>
        <w:instrText xml:space="preserve">ADDIN CSL_CITATION {"citationItems":[{"id":"ITEM-1","itemData":{"DOI":"10.1016/j.ijpe.2011.10.014","ISSN":"09255273","abstract":"This paper is about service productivity and perceived service quality. Both a high service productivity and a high customer perceived quality are two main drivers of good performances in service companies and they simultaneously occur as a consequence of a synergy of several drivers such as employees competences and motivation, organizational efficiency, technical devices availability, information technologies employment, etc. In scientific literature a trade-off between productivity and perceived service quality is asserted and several cases derived both by market observations and academic research could bear such trade-off out. But, is it possible to state that, under some circumstances, such a trade-off between productivity and perceived service quality could be avoided? And if yes, why such certified substitution should not work? In this paper, in order to trace some theoretical answer to the above questions, a managerial model based both on service science and production economics will be proposed. The model aims to find out some key causes that allow to explain the foundations of the mentioned trade-off and the potential conditions for its overcoming; moreover, such model will be employed in order to integrate services productivity function with new variables and to provide some managerial guidelines for improving service management. © 2011 Elsevier B.V. All Rights Reserved.","author":[{"dropping-particle":"","family":"Calabrese","given":"Armando","non-dropping-particle":"","parse-names":false,"suffix":""}],"container-title":"International Journal of Production Economics","id":"ITEM-1","issued":{"date-parts":[["2012"]]},"title":"Service productivity and service quality: A necessary trade-off?","type":"article-journal"},"uris":["http://www.mendeley.com/documents/?uuid=64ebe2e3-e8fa-4f95-b62b-ec0032117ea1"]}],"mendeley":{"formattedCitation":"(Calabrese, 2012)","plainTextFormattedCitation":"(Calabrese, 2012)","previouslyFormattedCitation":"(Calabrese, 2012)"},"properties":{"noteIndex":0},"schema":"https://github.com/citation-style-language/schema/raw/master/csl-citation.json"}</w:instrText>
      </w:r>
      <w:r>
        <w:rPr>
          <w:rFonts w:ascii="Times New Roman" w:hAnsi="Times New Roman" w:cs="Times New Roman"/>
        </w:rPr>
        <w:fldChar w:fldCharType="separate"/>
      </w:r>
      <w:r>
        <w:rPr>
          <w:rFonts w:ascii="Times New Roman" w:hAnsi="Times New Roman" w:cs="Times New Roman"/>
        </w:rPr>
        <w:t>(Calabrese, 2012)</w:t>
      </w:r>
      <w:r>
        <w:rPr>
          <w:rFonts w:ascii="Times New Roman" w:hAnsi="Times New Roman" w:cs="Times New Roman"/>
        </w:rPr>
        <w:fldChar w:fldCharType="end"/>
      </w:r>
      <w:r>
        <w:rPr>
          <w:rFonts w:ascii="Times New Roman" w:hAnsi="Times New Roman" w:cs="Times New Roman"/>
        </w:rPr>
        <w:t>. This good legal environment helps to support the growth of fast foods in the market.</w:t>
      </w:r>
    </w:p>
    <w:p>
      <w:pPr>
        <w:pStyle w:val="3"/>
        <w:numPr>
          <w:ilvl w:val="1"/>
          <w:numId w:val="1"/>
        </w:numPr>
      </w:pPr>
      <w:bookmarkStart w:id="11" w:name="_Toc9783"/>
      <w:r>
        <w:t>Phase Two: The current key drivers and performance of fast food industry</w:t>
      </w:r>
      <w:bookmarkEnd w:id="11"/>
      <w:r>
        <w:t xml:space="preserve"> </w:t>
      </w:r>
    </w:p>
    <w:p>
      <w:pPr>
        <w:pStyle w:val="4"/>
        <w:numPr>
          <w:ilvl w:val="2"/>
          <w:numId w:val="1"/>
        </w:numPr>
      </w:pPr>
      <w:bookmarkStart w:id="12" w:name="_Toc27280"/>
      <w:r>
        <w:t>Key Drivers</w:t>
      </w:r>
      <w:bookmarkEnd w:id="12"/>
    </w:p>
    <w:p>
      <w:pPr>
        <w:spacing w:line="360" w:lineRule="auto"/>
        <w:jc w:val="both"/>
        <w:rPr>
          <w:rFonts w:ascii="Times New Roman" w:hAnsi="Times New Roman" w:cs="Times New Roman"/>
          <w:lang w:val="en-GB"/>
        </w:rPr>
      </w:pPr>
    </w:p>
    <w:p>
      <w:pPr>
        <w:spacing w:line="360" w:lineRule="auto"/>
        <w:jc w:val="both"/>
        <w:rPr>
          <w:rFonts w:ascii="Times New Roman" w:hAnsi="Times New Roman" w:cs="Times New Roman"/>
          <w:lang w:val="en-GB"/>
        </w:rPr>
      </w:pPr>
      <w:r>
        <w:rPr>
          <w:rFonts w:ascii="Times New Roman" w:hAnsi="Times New Roman" w:cs="Times New Roman"/>
          <w:lang w:val="en-GB"/>
        </w:rPr>
        <w:t xml:space="preserve">There are many key drivers of industry performance in the fast food industry in the UK. First is the growth in household expenditure on food and non-alcoholic beverages in the UK.  Market research reports suggest that industry revenue growth is sensitive to consumer spending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{"citationItems":[{"id":"ITEM-1","itemData":{"DOI":"10.1108/09596111211206141","ISBN":"0956423981","ISSN":"09596119","PMID":"42012058","abstract":"Purpose - The purpose of this study is to propose an integrated model that examines the impact of three elements of foodservice quality dimensions (physical environment, food, and service) on restaurant image, customer perceived value, customer satisfaction, and behavioral intentions. Design/methodology/approach - Data were collected from customers at an authentic upscale Chinese restaurant located in a Southeastern state in the USA via a self-administered questionnaire. Anderson and Gerbing's two-step approach was used to assess the measurement and structural models. Findings - Structural equation modeling shows that the quality of the physical environment, food, and service were significant determinants of restaurant image. Also, the quality of the physical environment and food were significant predictors of customer perceived value. The restaurant image was also found to be a significant antecedent of customer perceived value. In addition, the results reinforced that customer perceived value is indeed a significant determinant of customer satisfaction, and customer satisfaction is a significant predictor of behavioral intentions. Research limitations/implications - The proposed model and study findings will greatly help researchers and practitioners understand the complex relationships among foodservice quality (physical environment, food, and service), restaurant image, customer perceived value, customer satisfaction, and behavioral intentions in the restaurant industry. Originality/value - This study is the first to develop an integrated model that explicitly accounts for the influence of three restaurant service quality factors on restaurant image and customer perceived value. Using structural equation modeling, this study empirically confirms that the model with the causality from quality, in particular three dimensions of foodservice quality in this study, to restaurant image is superior to the one with causality from image to quality in the context of restaurant.","author":[{"dropping-particle":"","family":"Ryu","given":"Kisang","non-dropping-particle":"","parse-names":false,"suffix":""},{"dropping-particle":"","family":"Lee","given":"Hye Rin","non-dropping-particle":"","parse-names":false,"suffix":""},{"dropping-particle":"","family":"Kim","given":"Woon Gon","non-dropping-particle":"","parse-names":false,"suffix":""}],"container-title":"International Journal of Contemporary Hospitality Management","id":"ITEM-1","issued":{"date-parts":[["2012"]]},"title":"The influence of the quality of the physical environment, food, and service on restaurant image, customer perceived value, customer satisfaction, and behavioral intentions","type":"article-journal"},"uris":["http://www.mendeley.com/documents/?uuid=3fd43a13-dd64-4c0c-b712-00396a6b5d12"]}],"mendeley":{"formattedCitation":"(Ryu et al., 2012)","plainTextFormattedCitation":"(Ryu et al., 2012)","previouslyFormattedCitation":"(Ryu, Lee and Kim, 2012)"},"properties":{"noteIndex":0},"schema":"https://github.com/citation-style-language/schema/raw/master/csl-citation.json"}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(Ryu et al., 2012)</w:t>
      </w:r>
      <w:r>
        <w:rPr>
          <w:rFonts w:ascii="Times New Roman" w:hAnsi="Times New Roman" w:cs="Times New Roman"/>
          <w:lang w:val="en-GB"/>
        </w:rPr>
        <w:fldChar w:fldCharType="end"/>
      </w:r>
      <w:r>
        <w:rPr>
          <w:rFonts w:ascii="Times New Roman" w:hAnsi="Times New Roman" w:cs="Times New Roman"/>
          <w:lang w:val="en-GB"/>
        </w:rPr>
        <w:t xml:space="preserve">. Thus, when household expenditure on food and alcoholic beverages falls consumers tend to be less likely to spend on discretionary food purchases such as fast foods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{"citationItems":[{"id":"ITEM-1","itemData":{"DOI":"10.7763/ijtef.2010.v1.8","ISSN":"2010023X","abstract":"This study tries to identify the most important dimension and to examine the level of service quality, expectation and perception of the external customers towards the Malaysian public services. Ten SERVQUAL instrument was distributed to each 300 public organizations throughout Malaysia. From 992 copies of usable questionnaire, the overall service quality is quite good. It is found that tangible is the most important dimension. It also has the lowest scores of perception. On the other hand, service quality gap is neither the lowest nor the highest. Finally, these external customers have the highest expectation on the reliability of the Malaysian public service.","author":[{"dropping-particle":"","family":"Ilhaamie","given":"A. G. A.","non-dropping-particle":"","parse-names":false,"suffix":""}],"container-title":"International Journal of Trade, Economics and Finance","id":"ITEM-1","issued":{"date-parts":[["2013"]]},"title":"Service Quality in Malaysian Public Service: Some Findings","type":"article-journal"},"uris":["http://www.mendeley.com/documents/?uuid=dc543af8-2fc0-439d-856c-4ab3f4b8c2c1"]}],"mendeley":{"formattedCitation":"(Ilhaamie, 2013)","plainTextFormattedCitation":"(Ilhaamie, 2013)","previouslyFormattedCitation":"(Ilhaamie, 2013)"},"properties":{"noteIndex":0},"schema":"https://github.com/citation-style-language/schema/raw/master/csl-citation.json"}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(Ilhaamie, 2013)</w:t>
      </w:r>
      <w:r>
        <w:rPr>
          <w:rFonts w:ascii="Times New Roman" w:hAnsi="Times New Roman" w:cs="Times New Roman"/>
          <w:lang w:val="en-GB"/>
        </w:rPr>
        <w:fldChar w:fldCharType="end"/>
      </w:r>
      <w:r>
        <w:rPr>
          <w:rFonts w:ascii="Times New Roman" w:hAnsi="Times New Roman" w:cs="Times New Roman"/>
          <w:lang w:val="en-GB"/>
        </w:rPr>
        <w:t>. In the context of the UK, household expenditure on food and non-alcoholic beverages is expected to rise slightly in 2019 and 2020. This will have a net positive effect on the ability of consumers to purchase fast foods in the industry.</w:t>
      </w:r>
    </w:p>
    <w:p>
      <w:pPr>
        <w:spacing w:line="360" w:lineRule="auto"/>
        <w:jc w:val="both"/>
        <w:rPr>
          <w:rFonts w:ascii="Times New Roman" w:hAnsi="Times New Roman" w:cs="Times New Roman"/>
          <w:lang w:val="en-GB"/>
        </w:rPr>
      </w:pPr>
      <w:r>
        <w:rPr>
          <w:rFonts w:ascii="Times New Roman" w:hAnsi="Times New Roman" w:cs="Times New Roman"/>
          <w:lang w:val="en-GB"/>
        </w:rPr>
        <w:t xml:space="preserve">The second factor is the average weekly hours of work. A key driver of fast food purchase is the need for convenience. Fast foods provide convenience required by consumers in the market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{"citationItems":[{"id":"ITEM-1","itemData":{"DOI":"10.6007/ijarbss.v1i2.35","ISSN":"2222-6990","abstract":"Service quality and customer satisfaction are very important concepts that companies must understand if they want to remain competitive and grow. In today’s competitive environment delivering high quality service is the key for a sustainable competitive advantage. Customer satisfaction does have a positive effect on an organization’s profitability. Satisfied customers form the foundation of any successful business as customer satisfaction leads to repeat purchase, brand loyalty, and positive word of mouth. The aim of this research was to apply the ACSI model in the context of service quality in the Macedonian mobile telecommunication industry in order to describe how customers perceive service quality and whether they are satisfied with services offered by T-Mobile, ONE, and VIP (three mobile telecom players). A structured questionnaire was developed from the ACSI model and was randomly distributed to the users of the three mobile operators to determine their satisfaction with service quality delivery in the Macedonian mobile telecommunication market. From the analysis carried out, it was found out that the overall service quality perceived by the customers was not satisfactory, that expectations were higher than perceptions. Customers were not satisfied with service. The results and findings will provide extra information concerning customers’ needs, wants and their satisfaction. It will also contribute to research since this study sets the ground for further research in measuring service quality in the service industries in Macedonia.","author":[{"dropping-particle":"","family":"Angelova","given":"Biljana","non-dropping-particle":"","parse-names":false,"suffix":""},{"dropping-particle":"","family":"Zekiri","given":"Jusuf","non-dropping-particle":"","parse-names":false,"suffix":""}],"container-title":"International Journal of Academic Research in Business and Social Sciences","id":"ITEM-1","issued":{"date-parts":[["2011"]]},"title":"Measuring Customer Satisfaction with Service Quality Using American Customer Satisfaction Model (ACSI Model)","type":"article-journal"},"uris":["http://www.mendeley.com/documents/?uuid=862306ff-5b7e-4d02-b6d3-3b2a421107a6"]}],"mendeley":{"formattedCitation":"(Angelova &amp; Zekiri, 2011)","plainTextFormattedCitation":"(Angelova &amp; Zekiri, 2011)","previouslyFormattedCitation":"(Angelova and Zekiri, 2011)"},"properties":{"noteIndex":0},"schema":"https://github.com/citation-style-language/schema/raw/master/csl-citation.json"}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(Angelova &amp; Zekiri, 2011)</w:t>
      </w:r>
      <w:r>
        <w:rPr>
          <w:rFonts w:ascii="Times New Roman" w:hAnsi="Times New Roman" w:cs="Times New Roman"/>
          <w:lang w:val="en-GB"/>
        </w:rPr>
        <w:fldChar w:fldCharType="end"/>
      </w:r>
      <w:r>
        <w:rPr>
          <w:rFonts w:ascii="Times New Roman" w:hAnsi="Times New Roman" w:cs="Times New Roman"/>
          <w:lang w:val="en-GB"/>
        </w:rPr>
        <w:t xml:space="preserve">. Consumers with busier schedules who work more hours are more likely to eat at fast food restaurants or order takeaway foods than engaging in cooking activities at home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{"citationItems":[{"id":"ITEM-1","itemData":{"ISBN":"9117442265","abstract":"Service firms like other organizations are realizing the significance of customer-centered philosophies and are turning to quality management approaches to help managing their businesses. This paper has started with the concept of service quality and has demonstrated the model of service quality gaps. SERVQUAL as an effective approach has been studied and its role in the analysis of the difference between customer expectations and perceptions has been highlighted with support of an example. Outcomes of the study outline the fact that although SERQUAL could close one of the important service quality gaps associated with external customer services, it could be extended to close other major gaps and therefore, it could be developed in order to be applied for internal customers, i.e. employees and service providers.","author":[{"dropping-particle":"","family":"Dr. Arash shahin","given":"","non-dropping-particle":"","parse-names":false,"suffix":""}],"container-title":"International Journal of Engineering Science and Technology","id":"ITEM-1","issued":{"date-parts":[["2010"]]},"title":"SERVQUAL and model of service quality gaps: A framework for determining and prioritizing critical factors in Delivering quality services","type":"article-journal"},"uris":["http://www.mendeley.com/documents/?uuid=38be6114-9e6b-4ae4-b3f7-822482522a79"]}],"mendeley":{"formattedCitation":"(Dr. Arash shahin, 2010)","plainTextFormattedCitation":"(Dr. Arash shahin, 2010)","previouslyFormattedCitation":"(Dr. Arash shahin, 2010)"},"properties":{"noteIndex":0},"schema":"https://github.com/citation-style-language/schema/raw/master/csl-citation.json"}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(Dr. Arash shahin, 2010)</w:t>
      </w:r>
      <w:r>
        <w:rPr>
          <w:rFonts w:ascii="Times New Roman" w:hAnsi="Times New Roman" w:cs="Times New Roman"/>
          <w:lang w:val="en-GB"/>
        </w:rPr>
        <w:fldChar w:fldCharType="end"/>
      </w:r>
      <w:r>
        <w:rPr>
          <w:rFonts w:ascii="Times New Roman" w:hAnsi="Times New Roman" w:cs="Times New Roman"/>
          <w:lang w:val="en-GB"/>
        </w:rPr>
        <w:t>. Reports indicate that the average weekly hours of work is expected to rise slightly from an already high level in 2018 which is an opportunity for many firms in the industry to enhance profitability. Therefore, fast food restaurants have the ability to improve revenues driven by the growth weekly hours of work.</w:t>
      </w:r>
    </w:p>
    <w:p>
      <w:pPr>
        <w:spacing w:line="360" w:lineRule="auto"/>
        <w:jc w:val="both"/>
        <w:rPr>
          <w:rFonts w:ascii="Times New Roman" w:hAnsi="Times New Roman" w:cs="Times New Roman"/>
          <w:lang w:val="en-GB"/>
        </w:rPr>
      </w:pPr>
      <w:r>
        <w:rPr>
          <w:rFonts w:ascii="Times New Roman" w:hAnsi="Times New Roman" w:cs="Times New Roman"/>
          <w:lang w:val="en-GB"/>
        </w:rPr>
        <w:t xml:space="preserve">The third factor that has also been explored in market research and other studies is the issue of health consciousness. Many studies have pointed to a growing number of health-conscious consumers in the UK market and across the world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{"citationItems":[{"id":"ITEM-1","itemData":{"DOI":"10.1108/02656711011014302","ISSN":"0265671X","abstract":"Purpose: The purpose of the paper is to analyse empirically the causal relationships between quality management, service quality and business success in German logistics companies. Design/methodology/approach: The paper develops a measurement instrument of logistics service quality by combining conceptual approaches from service marketing with quality indicators from operations management. This measure is verified through factor analysis on a sample of 229 German logistics providers. Relationships between logistics service quality, quality management and business success are investigated in a structural equation model. Findings: The results support measuring logistics service quality by the three dimensions: service potential, process and outcome. The effect of quality management on these constructs is confirmed. Likewise, the positive effect of service quality on business success is confirmed, with the notable exception of outcome quality. Research limitations/implications: This research only involves German logistics service providers. Further studies in other countries are needed to generalise the results. Practical implications: Logistics service providers should devote more attention to quality management than they currently do. To enhance quality, they should focus their efforts on service potential and the service process. The paper offers them a way to measure these quality dimensions. Originality/value: Research into logistics services has so far been mostly descriptive. The present study is the first to validate empirically a measure of logistics service quality and relate it to other phenomena. The relationship between quality management, service quality and business success found by structural modelling helps to understand the role of quality in logistics services. © Emerald Group Publishing Limited.","author":[{"dropping-particle":"","family":"Kersten","given":"Wolfgang","non-dropping-particle":"","parse-names":false,"suffix":""},{"dropping-particle":"","family":"Koch","given":"Jan","non-dropping-particle":"","parse-names":false,"suffix":""}],"container-title":"International Journal of Quality and Reliability Management","id":"ITEM-1","issued":{"date-parts":[["2010"]]},"title":"The effect of quality management on the service quality and business success of logistics service providers","type":"article-journal"},"uris":["http://www.mendeley.com/documents/?uuid=abe69a40-43ea-4847-8997-829449b553bf"]}],"mendeley":{"formattedCitation":"(Kersten &amp; Koch, 2010)","plainTextFormattedCitation":"(Kersten &amp; Koch, 2010)","previouslyFormattedCitation":"(Kersten and Koch, 2010)"},"properties":{"noteIndex":0},"schema":"https://github.com/citation-style-language/schema/raw/master/csl-citation.json"}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(Kersten &amp; Koch, 2010)</w:t>
      </w:r>
      <w:r>
        <w:rPr>
          <w:rFonts w:ascii="Times New Roman" w:hAnsi="Times New Roman" w:cs="Times New Roman"/>
          <w:lang w:val="en-GB"/>
        </w:rPr>
        <w:fldChar w:fldCharType="end"/>
      </w:r>
      <w:r>
        <w:rPr>
          <w:rFonts w:ascii="Times New Roman" w:hAnsi="Times New Roman" w:cs="Times New Roman"/>
          <w:lang w:val="en-GB"/>
        </w:rPr>
        <w:t xml:space="preserve">. Over the last 5 years, consumers have become more health aware and this has helped to reduce the demand for high calorie fast foods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{"citationItems":[{"id":"ITEM-1","itemData":{"DOI":"10.1108/09604521111146243","ISSN":"09604529","abstract":"Purpose - Previous research on the relationship between service environments and customer emotions and service outcomes has focused on the physical environment. Among studies exploring the social environment, the emphasis has been on service employees, ignoring the impact of other customers. Recent research has further called for the need to include displayed emotion within the social environment. Therefore, this study aims to develop and test a more comprehensive model that focuses on the relationship between the social environment (employee displayed emotion and customer climate) and the physical environment (ambient and design factors) and resulting customer emotion and service - Based on past research, a theoretical framework was developed to propose the links between social/physical environments and customer emotion/perceptions. Extant research from various academic fields, including environmental psychology, was reviewed, deriving 11 hypotheses. Data collected from fashion apparel retailers, using both observation and customer survey methods, was examined through structural equation modeling (SEM). Findings - Results show that both social and physical environments have a positive influence on customer emotion and satisfaction, which in turn affect behavioral intentions. The physical environment exhibited more influence on customer emotion and satisfaction than social environment. Research limitations/implications - This research explains how both social and physical environments affect customer emotion and perceptions. Future research directions are discussed, with an emphasis on incorporating customer characteristics, industry attributes, and cultural variables to better understand the influence of service environments in different service settings. Practical implications - Social and physical environments influence customer emotional states within the service delivery context, which in turn affect customer service evaluations. Therefore, both social and physical service environments should be emphasized by service firms. Originality/value - This research represents an early attempt to develop a more comprehensive model explaining how both social and physical environments affect customer emotion and perceptions. This study also represents the first empirical study of service environment research to include employee displayed emotion as part of the social environment.","author":[{"dropping-particle":"","family":"Lin","given":"Jiun Sheng Chris","non-dropping-particle":"","parse-names":false,"suffix":""},{"dropping-particle":"","family":"Liang","given":"Haw Yi","non-dropping-particle":"","parse-names":false,"suffix":""}],"container-title":"Managing Service Quality","id":"ITEM-1","issued":{"date-parts":[["2011"]]},"title":"The influence of service environments on customer emotion and service outcomes","type":"article"},"uris":["http://www.mendeley.com/documents/?uuid=fd7ef160-01eb-40cd-ad2b-50f683b70747"]}],"mendeley":{"formattedCitation":"(Lin &amp; Liang, 2011)","plainTextFormattedCitation":"(Lin &amp; Liang, 2011)","previouslyFormattedCitation":"(Lin and Liang, 2011)"},"properties":{"noteIndex":0},"schema":"https://github.com/citation-style-language/schema/raw/master/csl-citation.json"}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(Lin &amp; Liang, 2011)</w:t>
      </w:r>
      <w:r>
        <w:rPr>
          <w:rFonts w:ascii="Times New Roman" w:hAnsi="Times New Roman" w:cs="Times New Roman"/>
          <w:lang w:val="en-GB"/>
        </w:rPr>
        <w:fldChar w:fldCharType="end"/>
      </w:r>
      <w:r>
        <w:rPr>
          <w:rFonts w:ascii="Times New Roman" w:hAnsi="Times New Roman" w:cs="Times New Roman"/>
          <w:lang w:val="en-GB"/>
        </w:rPr>
        <w:t xml:space="preserve">. While this has resulted in some operators to introduce healthier options, the wider industry has suffered as consumers in the market have turned away from high calorie foods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{"citationItems":[{"id":"ITEM-1","itemData":{"DOI":"10.1017/CBO9781107415324.004","ISBN":"0802713653","ISSN":"2231-4172","PMID":"4856431","abstract":"It is obvious that customers are important stakeholders in organizations and their satisfaction is a priority to management. Customer satisfaction has been a subject of great interest to organizations and researchers alike. In recent years, organizations are obliged to render more services in addition to their offers. The quality of service has become an aspect of customer satisfaction. It has been proven by some researchers that service quality is related to customer satisfaction. Others used service quality dimensions to evaluate service quality. What about the relationship between customer satisfaction and service quality dimensions; the relationship between service quality and its dimensions? Purpose: The main purpose of this study is to examine the relationship between customer satisfaction and service quality in service sectors with respect to the service quality dimensions. Method: Convenience sampling technique was used to collect quantitative data from customers of Umeå University, ICA and Forex to get their satisfaction levels and meaning of service quality which were substituted in the SERVQUAL model. Chi- square test was used to test the hypotheses separately and in a group.Findings: The study showed distinctive results for the relationship between service quality dimensions and service quality/customer satisfaction. ICA and Forex had significant relationship between service quality and customer satisfaction; but Umeå University had no significant relationship between service quality and customer satisfaction. Meanwhile the group result showed that: ´responsiveness`, empathy´ and ´reliability´ were significantly related to service quality; ´reliability` and `empathy`, were significantly related to customer satisfaction but `responsiveness` was not significantly related to customer satisfaction; meanwhile service quality was significantly related to customer satisfaction. Implication/Contribution: The findings imply that service quality is not the only factors that could lead to customer satisfaction in service sectors; that service quality dimension varies in the different service sectors. The findings suggest that to provide quality service in order to satisfy customers, organizations in this kind of service sectors need to improve on the dimensions of service quality. Also, to provide total satisfaction to customers, the service sectors need to improve on the other factors that were given as reasons for satisfaction. This study contributes…","author":[{"dropping-particle":"","family":"Agbor","given":"Jenet Manyi","non-dropping-particle":"","parse-names":false,"suffix":""}],"container-title":"MIddle Eastern Finance and Economics","id":"ITEM-1","issued":{"date-parts":[["2011"]]},"title":"The Relationship between Customer Satisfaction and Service Quality: A study of three Service sectors in Umeå","type":"report"},"uris":["http://www.mendeley.com/documents/?uuid=1a305cda-f2e5-4593-8031-60eb56065edc"]}],"mendeley":{"formattedCitation":"(Agbor, 2011)","plainTextFormattedCitation":"(Agbor, 2011)","previouslyFormattedCitation":"(Agbor, 2011)"},"properties":{"noteIndex":0},"schema":"https://github.com/citation-style-language/schema/raw/master/csl-citation.json"}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(Agbor, 2011)</w:t>
      </w:r>
      <w:r>
        <w:rPr>
          <w:rFonts w:ascii="Times New Roman" w:hAnsi="Times New Roman" w:cs="Times New Roman"/>
          <w:lang w:val="en-GB"/>
        </w:rPr>
        <w:fldChar w:fldCharType="end"/>
      </w:r>
      <w:r>
        <w:rPr>
          <w:rFonts w:ascii="Times New Roman" w:hAnsi="Times New Roman" w:cs="Times New Roman"/>
          <w:lang w:val="en-GB"/>
        </w:rPr>
        <w:t>. The trend towards health consciousness is expected to increase during the coming years and this means that fast food providers have to innovate to enhance performance.</w:t>
      </w:r>
    </w:p>
    <w:p>
      <w:pPr>
        <w:spacing w:line="360" w:lineRule="auto"/>
        <w:jc w:val="both"/>
        <w:rPr>
          <w:rFonts w:ascii="Times New Roman" w:hAnsi="Times New Roman" w:cs="Times New Roman"/>
          <w:lang w:val="en-GB"/>
        </w:rPr>
      </w:pPr>
      <w:r>
        <w:rPr>
          <w:rFonts w:ascii="Times New Roman" w:hAnsi="Times New Roman" w:cs="Times New Roman"/>
          <w:lang w:val="en-GB"/>
        </w:rPr>
        <w:t xml:space="preserve">Another issue that is of importance is the consumer confidence index. Changes in the consumer confidence index have been found to have a direct impact on customers’ propensity to spend on different items especially discretionary items such as fast food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{"citationItems":[{"id":"ITEM-1","itemData":{"DOI":"10.1017/CBO9781107415324.004","ISBN":"0802713653","ISSN":"2231-4172","PMID":"4856431","abstract":"It is obvious that customers are important stakeholders in organizations and their satisfaction is a priority to management. Customer satisfaction has been a subject of great interest to organizations and researchers alike. In recent years, organizations are obliged to render more services in addition to their offers. The quality of service has become an aspect of customer satisfaction. It has been proven by some researchers that service quality is related to customer satisfaction. Others used service quality dimensions to evaluate service quality. What about the relationship between customer satisfaction and service quality dimensions; the relationship between service quality and its dimensions? Purpose: The main purpose of this study is to examine the relationship between customer satisfaction and service quality in service sectors with respect to the service quality dimensions. Method: Convenience sampling technique was used to collect quantitative data from customers of Umeå University, ICA and Forex to get their satisfaction levels and meaning of service quality which were substituted in the SERVQUAL model. Chi- square test was used to test the hypotheses separately and in a group.Findings: The study showed distinctive results for the relationship between service quality dimensions and service quality/customer satisfaction. ICA and Forex had significant relationship between service quality and customer satisfaction; but Umeå University had no significant relationship between service quality and customer satisfaction. Meanwhile the group result showed that: ´responsiveness`, empathy´ and ´reliability´ were significantly related to service quality; ´reliability` and `empathy`, were significantly related to customer satisfaction but `responsiveness` was not significantly related to customer satisfaction; meanwhile service quality was significantly related to customer satisfaction. Implication/Contribution: The findings imply that service quality is not the only factors that could lead to customer satisfaction in service sectors; that service quality dimension varies in the different service sectors. The findings suggest that to provide quality service in order to satisfy customers, organizations in this kind of service sectors need to improve on the dimensions of service quality. Also, to provide total satisfaction to customers, the service sectors need to improve on the other factors that were given as reasons for satisfaction. This study contributes…","author":[{"dropping-particle":"","family":"Agbor","given":"Jenet Manyi","non-dropping-particle":"","parse-names":false,"suffix":""}],"container-title":"MIddle Eastern Finance and Economics","id":"ITEM-1","issued":{"date-parts":[["2011"]]},"title":"The Relationship between Customer Satisfaction and Service Quality: A study of three Service sectors in Umeå","type":"report"},"uris":["http://www.mendeley.com/documents/?uuid=1a305cda-f2e5-4593-8031-60eb56065edc"]}],"mendeley":{"formattedCitation":"(Agbor, 2011)","plainTextFormattedCitation":"(Agbor, 2011)","previouslyFormattedCitation":"(Agbor, 2011)"},"properties":{"noteIndex":0},"schema":"https://github.com/citation-style-language/schema/raw/master/csl-citation.json"}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(Agbor, 2011)</w:t>
      </w:r>
      <w:r>
        <w:rPr>
          <w:rFonts w:ascii="Times New Roman" w:hAnsi="Times New Roman" w:cs="Times New Roman"/>
          <w:lang w:val="en-GB"/>
        </w:rPr>
        <w:fldChar w:fldCharType="end"/>
      </w:r>
      <w:r>
        <w:rPr>
          <w:rFonts w:ascii="Times New Roman" w:hAnsi="Times New Roman" w:cs="Times New Roman"/>
          <w:lang w:val="en-GB"/>
        </w:rPr>
        <w:t xml:space="preserve">. It is expected that in an adverse economic state, consumers will choose to save money instead of spending it on discretionary items such as food takeaways. Additionally, consumers are also seen trading down from full-service restaurants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{"citationItems":[{"id":"ITEM-1","itemData":{"abstract":"The techniques of measuring service quality and service quality dimensions have become a major area in marketing literature during the past few decades. Since the increasing importance of services, scholars and practitioners have been operating on the quality of services delivered. This study focused on the service quality models. The methodology of this study was to review the existing service quality models in chronologic order. In discussion part, the dimensions of the models were examined and three main groups that consist of service quality dimensions were obtained. They were associated with the three elements of services marketing mix (7P) such as physical environment, people, and process. It was advised that practitioners should pay attention the services marketing tools and 7P to increase the quality of their services offered. The limitation of this study was that the existing service quality models which have been developed until 2000s were reviewed since e-services practices have started to increase and e-service quality models have just begun to evolve in these years.","author":[{"dropping-particle":"","family":"Yarimoglu","given":"Emel Kursunluoglu","non-dropping-particle":"","parse-names":false,"suffix":""}],"container-title":"Journal of Marketing Management","id":"ITEM-1","issued":{"date-parts":[["2014"]]},"title":"A Review on Dimension of Service Quality Models","type":"article-journal"},"uris":["http://www.mendeley.com/documents/?uuid=1a7e2d27-0eba-4515-87be-cd18e397e67b"]}],"mendeley":{"formattedCitation":"(Yarimoglu, 2014)","plainTextFormattedCitation":"(Yarimoglu, 2014)","previouslyFormattedCitation":"(Yarimoglu, 2014)"},"properties":{"noteIndex":0},"schema":"https://github.com/citation-style-language/schema/raw/master/csl-citation.json"}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(Yarimoglu, 2014)</w:t>
      </w:r>
      <w:r>
        <w:rPr>
          <w:rFonts w:ascii="Times New Roman" w:hAnsi="Times New Roman" w:cs="Times New Roman"/>
          <w:lang w:val="en-GB"/>
        </w:rPr>
        <w:fldChar w:fldCharType="end"/>
      </w:r>
      <w:r>
        <w:rPr>
          <w:rFonts w:ascii="Times New Roman" w:hAnsi="Times New Roman" w:cs="Times New Roman"/>
          <w:lang w:val="en-GB"/>
        </w:rPr>
        <w:t>. The UK is experiencing uncertain economic environment especially driven by the issue of Brexit. Consumer confidence is expected to fall between 2018 and 2020. This has an important on the consumer spend on fast food items.</w:t>
      </w:r>
    </w:p>
    <w:p>
      <w:pPr>
        <w:spacing w:line="360" w:lineRule="auto"/>
        <w:jc w:val="both"/>
        <w:rPr>
          <w:rFonts w:ascii="Times New Roman" w:hAnsi="Times New Roman" w:cs="Times New Roman"/>
          <w:lang w:val="en-GB"/>
        </w:rPr>
      </w:pPr>
      <w:r>
        <w:rPr>
          <w:rFonts w:ascii="Times New Roman" w:hAnsi="Times New Roman" w:cs="Times New Roman"/>
          <w:lang w:val="en-GB"/>
        </w:rPr>
        <w:t xml:space="preserve">Lastly is the issue of demand from full-service restaurants. Firms in the fast food restaurant industry are subject to competition that emerges from full-service restaurants. Demand from these restaurants often act as a proxy for competition within the industry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{"citationItems":[{"id":"ITEM-1","itemData":{"DOI":"10.1016/j.ijpe.2011.10.014","ISSN":"09255273","abstract":"This paper is about service productivity and perceived service quality. Both a high service productivity and a high customer perceived quality are two main drivers of good performances in service companies and they simultaneously occur as a consequence of a synergy of several drivers such as employees competences and motivation, organizational efficiency, technical devices availability, information technologies employment, etc. In scientific literature a trade-off between productivity and perceived service quality is asserted and several cases derived both by market observations and academic research could bear such trade-off out. But, is it possible to state that, under some circumstances, such a trade-off between productivity and perceived service quality could be avoided? And if yes, why such certified substitution should not work? In this paper, in order to trace some theoretical answer to the above questions, a managerial model based both on service science and production economics will be proposed. The model aims to find out some key causes that allow to explain the foundations of the mentioned trade-off and the potential conditions for its overcoming; moreover, such model will be employed in order to integrate services productivity function with new variables and to provide some managerial guidelines for improving service management. © 2011 Elsevier B.V. All Rights Reserved.","author":[{"dropping-particle":"","family":"Calabrese","given":"Armando","non-dropping-particle":"","parse-names":false,"suffix":""}],"container-title":"International Journal of Production Economics","id":"ITEM-1","issued":{"date-parts":[["2012"]]},"title":"Service productivity and service quality: A necessary trade-off?","type":"article-journal"},"uris":["http://www.mendeley.com/documents/?uuid=64ebe2e3-e8fa-4f95-b62b-ec0032117ea1"]}],"mendeley":{"formattedCitation":"(Calabrese, 2012)","plainTextFormattedCitation":"(Calabrese, 2012)","previouslyFormattedCitation":"(Calabrese, 2012)"},"properties":{"noteIndex":0},"schema":"https://github.com/citation-style-language/schema/raw/master/csl-citation.json"}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(Calabrese, 2012)</w:t>
      </w:r>
      <w:r>
        <w:rPr>
          <w:rFonts w:ascii="Times New Roman" w:hAnsi="Times New Roman" w:cs="Times New Roman"/>
          <w:lang w:val="en-GB"/>
        </w:rPr>
        <w:fldChar w:fldCharType="end"/>
      </w:r>
      <w:r>
        <w:rPr>
          <w:rFonts w:ascii="Times New Roman" w:hAnsi="Times New Roman" w:cs="Times New Roman"/>
          <w:lang w:val="en-GB"/>
        </w:rPr>
        <w:t xml:space="preserve">. Along this perspective, the consumer demand in these restaurants has remained strong over the last five years. This has been due to the changing consumer tastes as well as the rising disposable income levels in the first half of 2018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{"citationItems":[{"id":"ITEM-1","itemData":{"abstract":"The techniques of measuring service quality and service quality dimensions have become a major area in marketing literature during the past few decades. Since the increasing importance of services, scholars and practitioners have been operating on the quality of services delivered. This study focused on the service quality models. The methodology of this study was to review the existing service quality models in chronologic order. In discussion part, the dimensions of the models were examined and three main groups that consist of service quality dimensions were obtained. They were associated with the three elements of services marketing mix (7P) such as physical environment, people, and process. It was advised that practitioners should pay attention the services marketing tools and 7P to increase the quality of their services offered. The limitation of this study was that the existing service quality models which have been developed until 2000s were reviewed since e-services practices have started to increase and e-service quality models have just begun to evolve in these years.","author":[{"dropping-particle":"","family":"Yarimoglu","given":"Emel Kursunluoglu","non-dropping-particle":"","parse-names":false,"suffix":""}],"container-title":"Journal of Marketing Management","id":"ITEM-1","issued":{"date-parts":[["2014"]]},"title":"A Review on Dimension of Service Quality Models","type":"article-journal"},"uris":["http://www.mendeley.com/documents/?uuid=1a7e2d27-0eba-4515-87be-cd18e397e67b"]}],"mendeley":{"formattedCitation":"(Yarimoglu, 2014)","plainTextFormattedCitation":"(Yarimoglu, 2014)","previouslyFormattedCitation":"(Yarimoglu, 2014)"},"properties":{"noteIndex":0},"schema":"https://github.com/citation-style-language/schema/raw/master/csl-citation.json"}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(Yarimoglu, 2014)</w:t>
      </w:r>
      <w:r>
        <w:rPr>
          <w:rFonts w:ascii="Times New Roman" w:hAnsi="Times New Roman" w:cs="Times New Roman"/>
          <w:lang w:val="en-GB"/>
        </w:rPr>
        <w:fldChar w:fldCharType="end"/>
      </w:r>
      <w:r>
        <w:rPr>
          <w:rFonts w:ascii="Times New Roman" w:hAnsi="Times New Roman" w:cs="Times New Roman"/>
          <w:lang w:val="en-GB"/>
        </w:rPr>
        <w:t>. Market research estimates that the demand from these restaurants is likely to increase in 2019 which is a threat to the industry revenues.</w:t>
      </w:r>
    </w:p>
    <w:p>
      <w:pPr>
        <w:pStyle w:val="4"/>
        <w:numPr>
          <w:ilvl w:val="2"/>
          <w:numId w:val="1"/>
        </w:numPr>
      </w:pPr>
      <w:bookmarkStart w:id="13" w:name="_Toc22068"/>
      <w:r>
        <w:t>Current Performance</w:t>
      </w:r>
      <w:bookmarkEnd w:id="13"/>
      <w:r>
        <w:t xml:space="preserve"> </w:t>
      </w:r>
    </w:p>
    <w:p>
      <w:pPr>
        <w:spacing w:line="360" w:lineRule="auto"/>
        <w:jc w:val="both"/>
        <w:rPr>
          <w:rFonts w:ascii="Times New Roman" w:hAnsi="Times New Roman" w:cs="Times New Roman"/>
          <w:lang w:val="en-GB"/>
        </w:rPr>
      </w:pPr>
      <w:r>
        <w:rPr>
          <w:rFonts w:ascii="Times New Roman" w:hAnsi="Times New Roman" w:cs="Times New Roman"/>
          <w:lang w:val="en-GB"/>
        </w:rPr>
        <w:t xml:space="preserve">In terms of current performance, the fast food industry has been growing at a steady rate in the last five years. The reason for this is the improving economic conditions, and the reducing levels of unemployment in the UK that have helped to boost disposable incomes and hence led to increased demand for convenient food in the industry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{"citationItems":[{"id":"ITEM-1","itemData":{"DOI":"10.1108/MSQ-09-2013-0187","ISSN":"09604529","abstract":"The purpose of this paper is to summarize and classify extant research and to better understand the past, present, and future state of the theory of value co-creation.","author":[{"dropping-particle":"","family":"Galvagno","given":"Marco","non-dropping-particle":"","parse-names":false,"suffix":""},{"dropping-particle":"","family":"Dalli","given":"Daniele","non-dropping-particle":"","parse-names":false,"suffix":""}],"container-title":"Managing Service Quality","id":"ITEM-1","issued":{"date-parts":[["2014"]]},"title":"Theory of value co-creation: A systematic literature review","type":"article-journal"},"uris":["http://www.mendeley.com/documents/?uuid=40989939-ea5d-4627-875d-00c37269811b"]}],"mendeley":{"formattedCitation":"(Galvagno &amp; Dalli, 2014)","plainTextFormattedCitation":"(Galvagno &amp; Dalli, 2014)","previouslyFormattedCitation":"(Galvagno and Dalli, 2014)"},"properties":{"noteIndex":0},"schema":"https://github.com/citation-style-language/schema/raw/master/csl-citation.json"}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(Galvagno &amp; Dalli, 2014)</w:t>
      </w:r>
      <w:r>
        <w:rPr>
          <w:rFonts w:ascii="Times New Roman" w:hAnsi="Times New Roman" w:cs="Times New Roman"/>
          <w:lang w:val="en-GB"/>
        </w:rPr>
        <w:fldChar w:fldCharType="end"/>
      </w:r>
      <w:r>
        <w:rPr>
          <w:rFonts w:ascii="Times New Roman" w:hAnsi="Times New Roman" w:cs="Times New Roman"/>
          <w:lang w:val="en-GB"/>
        </w:rPr>
        <w:t xml:space="preserve">. Additionally, studies have indicated that in recent years, the growing number of time poor consumers have focused on delivery services, with major companies in the market such as McDonalds now focused on offering food delivery services through their own- or third-party services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{"citationItems":[{"id":"ITEM-1","itemData":{"DOI":"10.1108/MSQ-03-2014-0042","ISSN":"09604529","abstract":"Purpose – The purpose of this conceptual paper is to analyse the implications generated by a service perspective. Design/methodology/approach – A conceptual analysis of two approaches to understanding service perspectives, service logic (SL) and service-dominant logic (SDL), reveals direct and indirect marketing implications. Findings – The SDL is based on a metaphorical view of co-creation and value co-creation, in which the firm, customers and other actors participate in the process that leads to value for customers. The approach is firm-driven; the service provider drives value creation. The managerial implications are not service perspective-based, and co-creation may be imprisoned by its metaphor. In contrast, SL takes an analytical approach, with co-creation concepts that can significantly reinvent marketing from a service perspective. Value gets created in customer processes, and value creation is customer driven. Ten managerial SL principles derived from these analyses offer theoretical and practical conclusions with the potential to reinvent marketing. Research limitations/implications – The SDL can direct researchers’ and managers’ views towards complex value-generation processes. The SL can analyse this process on a managerial level, to derive customer-centric, service perspective-based opportunities to reinvent marketing. Practical implications – The analysis and principles help marketing break free from offering only value propositions and become an organisation-wide responsibility. Firms must organise service-influenced marketing and create a customer focus among all employees, beyond conventional marketing. Originality/value – A service perspective on business has key managerial implications and enables researchers and managers to find new, customer-centric, service-influenced marketing approaches.","author":[{"dropping-particle":"","family":"Grönroos","given":"Christian","non-dropping-particle":"","parse-names":false,"suffix":""},{"dropping-particle":"","family":"Gummerus","given":"Johanna","non-dropping-particle":"","parse-names":false,"suffix":""}],"container-title":"Managing Service Quality","id":"ITEM-1","issued":{"date-parts":[["2014"]]},"title":"The service revolution and its marketing implications: Service logic vs service-dominant logic","type":"article-journal"},"uris":["http://www.mendeley.com/documents/?uuid=48382845-8723-4b2b-9f33-eb82e1d7cff9"]}],"mendeley":{"formattedCitation":"(Grönroos &amp; Gummerus, 2014)","plainTextFormattedCitation":"(Grönroos &amp; Gummerus, 2014)","previouslyFormattedCitation":"(Grönroos and Gummerus, 2014)"},"properties":{"noteIndex":0},"schema":"https://github.com/citation-style-language/schema/raw/master/csl-citation.json"}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(Grönroos &amp; Gummerus, 2014)</w:t>
      </w:r>
      <w:r>
        <w:rPr>
          <w:rFonts w:ascii="Times New Roman" w:hAnsi="Times New Roman" w:cs="Times New Roman"/>
          <w:lang w:val="en-GB"/>
        </w:rPr>
        <w:fldChar w:fldCharType="end"/>
      </w:r>
      <w:r>
        <w:rPr>
          <w:rFonts w:ascii="Times New Roman" w:hAnsi="Times New Roman" w:cs="Times New Roman"/>
          <w:lang w:val="en-GB"/>
        </w:rPr>
        <w:t>. Therefore, the growth of online ordering services in the last five years has made it possible to increase demand in the market and also opened up consumer expenditure in the process because of the convenience that comes with ordering.</w:t>
      </w:r>
    </w:p>
    <w:p>
      <w:pPr>
        <w:spacing w:line="360" w:lineRule="auto"/>
        <w:jc w:val="both"/>
        <w:rPr>
          <w:rFonts w:ascii="Times New Roman" w:hAnsi="Times New Roman" w:cs="Times New Roman"/>
          <w:lang w:val="en-GB"/>
        </w:rPr>
      </w:pPr>
      <w:r>
        <w:rPr>
          <w:rFonts w:ascii="Times New Roman" w:hAnsi="Times New Roman" w:cs="Times New Roman"/>
          <w:lang w:val="en-GB"/>
        </w:rPr>
        <w:t xml:space="preserve">While food ordering and delivery has been an important factor that has driven consumer expenditure, these sites have also led to price competition in the market between different restaurants. This is because consumers are now able to make price comparisons and select products that are of low price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{"citationItems":[{"id":"ITEM-1","itemData":{"DOI":"10.1108/MSQ-03-2014-0042","ISSN":"09604529","abstract":"Purpose – The purpose of this conceptual paper is to analyse the implications generated by a service perspective. Design/methodology/approach – A conceptual analysis of two approaches to understanding service perspectives, service logic (SL) and service-dominant logic (SDL), reveals direct and indirect marketing implications. Findings – The SDL is based on a metaphorical view of co-creation and value co-creation, in which the firm, customers and other actors participate in the process that leads to value for customers. The approach is firm-driven; the service provider drives value creation. The managerial implications are not service perspective-based, and co-creation may be imprisoned by its metaphor. In contrast, SL takes an analytical approach, with co-creation concepts that can significantly reinvent marketing from a service perspective. Value gets created in customer processes, and value creation is customer driven. Ten managerial SL principles derived from these analyses offer theoretical and practical conclusions with the potential to reinvent marketing. Research limitations/implications – The SDL can direct researchers’ and managers’ views towards complex value-generation processes. The SL can analyse this process on a managerial level, to derive customer-centric, service perspective-based opportunities to reinvent marketing. Practical implications – The analysis and principles help marketing break free from offering only value propositions and become an organisation-wide responsibility. Firms must organise service-influenced marketing and create a customer focus among all employees, beyond conventional marketing. Originality/value – A service perspective on business has key managerial implications and enables researchers and managers to find new, customer-centric, service-influenced marketing approaches.","author":[{"dropping-particle":"","family":"Grönroos","given":"Christian","non-dropping-particle":"","parse-names":false,"suffix":""},{"dropping-particle":"","family":"Gummerus","given":"Johanna","non-dropping-particle":"","parse-names":false,"suffix":""}],"container-title":"Managing Service Quality","id":"ITEM-1","issued":{"date-parts":[["2014"]]},"title":"The service revolution and its marketing implications: Service logic vs service-dominant logic","type":"article-journal"},"uris":["http://www.mendeley.com/documents/?uuid=48382845-8723-4b2b-9f33-eb82e1d7cff9"]}],"mendeley":{"formattedCitation":"(Grönroos &amp; Gummerus, 2014)","plainTextFormattedCitation":"(Grönroos &amp; Gummerus, 2014)","previouslyFormattedCitation":"(Grönroos and Gummerus, 2014)"},"properties":{"noteIndex":0},"schema":"https://github.com/citation-style-language/schema/raw/master/csl-citation.json"}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(Grönroos &amp; Gummerus, 2014)</w:t>
      </w:r>
      <w:r>
        <w:rPr>
          <w:rFonts w:ascii="Times New Roman" w:hAnsi="Times New Roman" w:cs="Times New Roman"/>
          <w:lang w:val="en-GB"/>
        </w:rPr>
        <w:fldChar w:fldCharType="end"/>
      </w:r>
      <w:r>
        <w:rPr>
          <w:rFonts w:ascii="Times New Roman" w:hAnsi="Times New Roman" w:cs="Times New Roman"/>
          <w:lang w:val="en-GB"/>
        </w:rPr>
        <w:t xml:space="preserve">. On the other hand, the growth of health consciousness over the same period is an issue that also continues to support growth in the market expanding menu offerings helping some of the companies to differentiate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{"citationItems":[{"id":"ITEM-1","itemData":{"DOI":"10.6007/ijarbss.v1i2.35","ISSN":"2222-6990","abstract":"Service quality and customer satisfaction are very important concepts that companies must understand if they want to remain competitive and grow. In today’s competitive environment delivering high quality service is the key for a sustainable competitive advantage. Customer satisfaction does have a positive effect on an organization’s profitability. Satisfied customers form the foundation of any successful business as customer satisfaction leads to repeat purchase, brand loyalty, and positive word of mouth. The aim of this research was to apply the ACSI model in the context of service quality in the Macedonian mobile telecommunication industry in order to describe how customers perceive service quality and whether they are satisfied with services offered by T-Mobile, ONE, and VIP (three mobile telecom players). A structured questionnaire was developed from the ACSI model and was randomly distributed to the users of the three mobile operators to determine their satisfaction with service quality delivery in the Macedonian mobile telecommunication market. From the analysis carried out, it was found out that the overall service quality perceived by the customers was not satisfactory, that expectations were higher than perceptions. Customers were not satisfied with service. The results and findings will provide extra information concerning customers’ needs, wants and their satisfaction. It will also contribute to research since this study sets the ground for further research in measuring service quality in the service industries in Macedonia.","author":[{"dropping-particle":"","family":"Angelova","given":"Biljana","non-dropping-particle":"","parse-names":false,"suffix":""},{"dropping-particle":"","family":"Zekiri","given":"Jusuf","non-dropping-particle":"","parse-names":false,"suffix":""}],"container-title":"International Journal of Academic Research in Business and Social Sciences","id":"ITEM-1","issued":{"date-parts":[["2011"]]},"title":"Measuring Customer Satisfaction with Service Quality Using American Customer Satisfaction Model (ACSI Model)","type":"article-journal"},"uris":["http://www.mendeley.com/documents/?uuid=862306ff-5b7e-4d02-b6d3-3b2a421107a6"]}],"mendeley":{"formattedCitation":"(Angelova &amp; Zekiri, 2011)","plainTextFormattedCitation":"(Angelova &amp; Zekiri, 2011)","previouslyFormattedCitation":"(Angelova and Zekiri, 2011)"},"properties":{"noteIndex":0},"schema":"https://github.com/citation-style-language/schema/raw/master/csl-citation.json"}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(Angelova &amp; Zekiri, 2011)</w:t>
      </w:r>
      <w:r>
        <w:rPr>
          <w:rFonts w:ascii="Times New Roman" w:hAnsi="Times New Roman" w:cs="Times New Roman"/>
          <w:lang w:val="en-GB"/>
        </w:rPr>
        <w:fldChar w:fldCharType="end"/>
      </w:r>
      <w:r>
        <w:rPr>
          <w:rFonts w:ascii="Times New Roman" w:hAnsi="Times New Roman" w:cs="Times New Roman"/>
          <w:lang w:val="en-GB"/>
        </w:rPr>
        <w:t>. Overall, industry revenue is expected to increase at a compound rate of 1.9% in the next five years from 2018 with industry revenues expected to reach 19 billion pounds.</w:t>
      </w:r>
    </w:p>
    <w:p>
      <w:pPr>
        <w:spacing w:line="360" w:lineRule="auto"/>
        <w:jc w:val="both"/>
        <w:rPr>
          <w:rFonts w:ascii="Times New Roman" w:hAnsi="Times New Roman" w:cs="Times New Roman"/>
          <w:lang w:val="en-GB"/>
        </w:rPr>
      </w:pPr>
      <w:r>
        <w:rPr>
          <w:rFonts w:ascii="Times New Roman" w:hAnsi="Times New Roman" w:cs="Times New Roman"/>
          <w:lang w:val="en-GB"/>
        </w:rPr>
        <w:t xml:space="preserve"> Another issue of importance is the growing franchise dominance in the industry that is also a factor that is contributing to the growth in performance. Market research reports indicate that profit margins have been constrained in the last 5 years. There has been an increase in competition because of the rising use of online delivery services by allowing consumers to compare menus and prices from different companies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{"citationItems":[{"id":"ITEM-1","itemData":{"DOI":"10.1016/j.jsis.2010.05.001","ISSN":"09638687","abstract":"Increased organizational dependence on information systems drives management attention towards improving information systems' quality. A recent survey shows that \"Improve IT quality\" is one of the top concerns facing IT executives. As IT quality is a multidimensional measure, it is important to determine what aspects of IT quality are critical to organizations to help Chief Information Officers (CIOs) to devise effective IT quality improvement strategies. In this research, we model the relationship between information systems' (IS) quality and organizational impact. We hypothesize greater organizational impact in situations in which system quality, information quality and service quality are high. We also hypothesize a positive relationship between system quality and information quality. We test our hypotheses using survey data. Our structural equation model exhibits a good fit with the observed data. Our results show that IS service quality is the most influential variable in this model (followed by information quality and system quality), thus highlighting the importance of IS service quality for organizational performance. This paper contributes theoretically to IS success models through the system quality-to-information quality and IS quality-to-organizational impact links. Implications of our results for practice and research are discussed. © 2010 Elsevier B.V. All rights reserved.","author":[{"dropping-particle":"","family":"Gorla","given":"Narasimhaiah","non-dropping-particle":"","parse-names":false,"suffix":""},{"dropping-particle":"","family":"Somers","given":"Toni M.","non-dropping-particle":"","parse-names":false,"suffix":""},{"dropping-particle":"","family":"Wong","given":"Betty","non-dropping-particle":"","parse-names":false,"suffix":""}],"container-title":"Journal of Strategic Information Systems","id":"ITEM-1","issued":{"date-parts":[["2010"]]},"title":"Organizational impact of system quality, information quality, and service quality","type":"article-journal"},"uris":["http://www.mendeley.com/documents/?uuid=7baf9b8d-cac9-4373-8254-822f326f254d"]}],"mendeley":{"formattedCitation":"(Gorla et al., 2010)","plainTextFormattedCitation":"(Gorla et al., 2010)","previouslyFormattedCitation":"(Gorla, Somers and Wong, 2010)"},"properties":{"noteIndex":0},"schema":"https://github.com/citation-style-language/schema/raw/master/csl-citation.json"}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(Gorla et al., 2010)</w:t>
      </w:r>
      <w:r>
        <w:rPr>
          <w:rFonts w:ascii="Times New Roman" w:hAnsi="Times New Roman" w:cs="Times New Roman"/>
          <w:lang w:val="en-GB"/>
        </w:rPr>
        <w:fldChar w:fldCharType="end"/>
      </w:r>
      <w:r>
        <w:rPr>
          <w:rFonts w:ascii="Times New Roman" w:hAnsi="Times New Roman" w:cs="Times New Roman"/>
          <w:lang w:val="en-GB"/>
        </w:rPr>
        <w:t xml:space="preserve">. It has become more important for companies to compete on prices so as to retain customers that would previously have stuck to a limited number of local takeaways. Among the key players, an important method for improving margins among firms have been the adoption of the franchise focused model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{"citationItems":[{"id":"ITEM-1","itemData":{"DOI":"10.1108/09604520810842849","ISSN":"09604529","abstract":"Purpose – The purpose of this paper is to identify and discuss the key conceptual and empirical issues that should be considered in the development of alternative industry-specific measurement scales of service quality (other than SERVQUAL). Design/methodology/approach – A total of 30 studies are selected from two well-known databases: Science direct and ABI inform. These studies are subjected to a comprehensive in-depth content analysis and theoretical discussion of the key conceptual and empirical issues to be considered in the development of service-quality measurement instruments. Findings – The study identifies deficiencies in some of the alternative service-quality measures; however, the identified deficiencies do not invalidate the essential usefulness of the scales. The study makes constructive suggestions for the development of future scales. Originality/value – This is the first work to describe and contrast a large number of service-quality measurement models, other than the well-known SERVQUAL instrument. The findings are of value to academics and practitioners alike.","author":[{"dropping-particle":"","family":"Ladhari","given":"Riadh","non-dropping-particle":"","parse-names":false,"suffix":""}],"container-title":"Managing Service Quality","id":"ITEM-1","issued":{"date-parts":[["2008"]]},"title":"Alternative measures of service quality: A review","type":"article"},"uris":["http://www.mendeley.com/documents/?uuid=0aa0caba-5d6b-40fc-819e-711f3df86a79"]}],"mendeley":{"formattedCitation":"(Ladhari, 2008)","plainTextFormattedCitation":"(Ladhari, 2008)","previouslyFormattedCitation":"(Ladhari, 2008)"},"properties":{"noteIndex":0},"schema":"https://github.com/citation-style-language/schema/raw/master/csl-citation.json"}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(Ladhari, 2008)</w:t>
      </w:r>
      <w:r>
        <w:rPr>
          <w:rFonts w:ascii="Times New Roman" w:hAnsi="Times New Roman" w:cs="Times New Roman"/>
          <w:lang w:val="en-GB"/>
        </w:rPr>
        <w:fldChar w:fldCharType="end"/>
      </w:r>
      <w:r>
        <w:rPr>
          <w:rFonts w:ascii="Times New Roman" w:hAnsi="Times New Roman" w:cs="Times New Roman"/>
          <w:lang w:val="en-GB"/>
        </w:rPr>
        <w:t xml:space="preserve">. Such a business model shields the major companies from some of the financial risks that are associated with operating individual stores and hence allowed the major operators in the market to improve their margins through franchise fees. Therefore, from this perspective, the ability of the </w:t>
      </w:r>
    </w:p>
    <w:p>
      <w:pPr>
        <w:pStyle w:val="3"/>
        <w:numPr>
          <w:ilvl w:val="1"/>
          <w:numId w:val="1"/>
        </w:numPr>
      </w:pPr>
      <w:bookmarkStart w:id="14" w:name="_Toc6510"/>
      <w:r>
        <w:t>Phase Three research: Primary study</w:t>
      </w:r>
      <w:bookmarkEnd w:id="14"/>
    </w:p>
    <w:p>
      <w:pPr>
        <w:pStyle w:val="4"/>
        <w:numPr>
          <w:ilvl w:val="2"/>
          <w:numId w:val="1"/>
        </w:numPr>
      </w:pPr>
      <w:bookmarkStart w:id="15" w:name="_Toc27840"/>
      <w:r>
        <w:t>Methodology</w:t>
      </w:r>
      <w:bookmarkEnd w:id="15"/>
    </w:p>
    <w:p>
      <w:pPr>
        <w:pStyle w:val="5"/>
        <w:numPr>
          <w:ilvl w:val="3"/>
          <w:numId w:val="1"/>
        </w:numPr>
      </w:pPr>
      <w:bookmarkStart w:id="16" w:name="_Toc1718402"/>
      <w:r>
        <w:t>Research Approach</w:t>
      </w:r>
      <w:bookmarkEnd w:id="16"/>
    </w:p>
    <w:p>
      <w:pPr>
        <w:spacing w:line="360" w:lineRule="auto"/>
        <w:jc w:val="both"/>
        <w:rPr>
          <w:rFonts w:ascii="Times New Roman" w:hAnsi="Times New Roman" w:cs="Times New Roman"/>
          <w:lang w:val="en-GB"/>
        </w:rPr>
      </w:pPr>
      <w:r>
        <w:rPr>
          <w:rFonts w:ascii="Times New Roman" w:hAnsi="Times New Roman" w:cs="Times New Roman"/>
          <w:lang w:val="en-GB"/>
        </w:rPr>
        <w:t xml:space="preserve">The study used a quantitative research approach. This approach seeks to explain and predict phenomena. The rationale for using this approach was to collect statistical data that would be analysed in order to understand the problem at the company, so as to develop the right strategy that will be used to solve the problems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{"citationItems":[{"id":"ITEM-1","itemData":{"DOI":"10.1007/978-3-030-04699-6_4","ISSN":"21937648","abstract":"This chapter explores how the scientific method is applicable to research studies in skeletal biology. It aims to provide the novice skeletal biologist with the necessary knowledge and tools to initiate and complete their own research project. It addresses the following: how the scientific method is applied to skeletal biology, how to develop a research question, and logistics of the subsequent project. The chapter first has several key concepts relevant for initiating scientific studies, including a discussion of what science can and cannot do. It then takes the reader step-by-step through the scientific method and gives examples relevant to skeletal biology. This is followed by a detailed discussion of ways in which research ideas can be generated.","author":[{"dropping-particle":"","family":"Walenta","given":"Magdalena","non-dropping-particle":"","parse-names":false,"suffix":""}],"container-title":"Second Language Learning and Teaching","id":"ITEM-1","issued":{"date-parts":[["2019"]]},"title":"Research method","type":"chapter"},"uris":["http://www.mendeley.com/documents/?uuid=2c0d241e-c19f-4e96-856f-a81d20d87cd5","http://www.mendeley.com/documents/?uuid=d3cd1c39-9de2-47e2-bec9-301f2e2ae279"]}],"mendeley":{"formattedCitation":"(Walenta, 2019)","plainTextFormattedCitation":"(Walenta, 2019)","previouslyFormattedCitation":"(Walenta, 2019)"},"properties":{"noteIndex":0},"schema":"https://github.com/citation-style-language/schema/raw/master/csl-citation.json"}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(Walenta, 2019)</w:t>
      </w:r>
      <w:r>
        <w:rPr>
          <w:rFonts w:ascii="Times New Roman" w:hAnsi="Times New Roman" w:cs="Times New Roman"/>
        </w:rPr>
        <w:fldChar w:fldCharType="end"/>
      </w:r>
      <w:r>
        <w:rPr>
          <w:rFonts w:ascii="Times New Roman" w:hAnsi="Times New Roman" w:cs="Times New Roman"/>
          <w:lang w:val="en-GB"/>
        </w:rPr>
        <w:t>. A quantitative approach allows for hypothesis testing, although this will not be done in the context of this study.</w:t>
      </w:r>
    </w:p>
    <w:p>
      <w:pPr>
        <w:pStyle w:val="5"/>
        <w:numPr>
          <w:ilvl w:val="3"/>
          <w:numId w:val="1"/>
        </w:numPr>
      </w:pPr>
      <w:bookmarkStart w:id="17" w:name="_Toc1718403"/>
      <w:r>
        <w:t>Research strategy</w:t>
      </w:r>
      <w:bookmarkEnd w:id="17"/>
    </w:p>
    <w:p>
      <w:pPr>
        <w:spacing w:line="360" w:lineRule="auto"/>
        <w:jc w:val="both"/>
        <w:rPr>
          <w:rFonts w:ascii="Times New Roman" w:hAnsi="Times New Roman" w:cs="Times New Roman"/>
          <w:lang w:val="en-GB"/>
        </w:rPr>
      </w:pPr>
      <w:r>
        <w:rPr>
          <w:rFonts w:ascii="Times New Roman" w:hAnsi="Times New Roman" w:cs="Times New Roman"/>
          <w:lang w:val="en-GB"/>
        </w:rPr>
        <w:t xml:space="preserve">This study adopted a survey research strategy for use in completing this study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{"citationItems":[{"id":"ITEM-1","itemData":{"DOI":"10.1097/ALN.0000000000002436","ISBN":"00664308","ISSN":"15281175","PMID":"15012463","abstract":"Survey research is prevalent among many professional fields. Both cost effective and time efficient, this method of research is commonly used for the purposes of gaining insight into the attitudes, thoughts, and opinions of populations. Additionally, because there are several types of survey research designs and data collection instruments, the researcher has the flexibility to determine which methods will work best for his or her particular study. However, regardless of the method, the researcher must carefully select an excising instrument or construct the data collection instrument, as this is the key to a successful survey research study. This article defines survey research, outlines the basic structure for conducting such research, identifies some of the major challenges surrounding survey research and provides some recommendations, and provides some insights into the shape of survey research in the future.","author":[{"dropping-particle":"","family":"Story","given":"David A.","non-dropping-particle":"","parse-names":false,"suffix":""},{"dropping-particle":"","family":"Tait","given":"Alan R.","non-dropping-particle":"","parse-names":false,"suffix":""}],"container-title":"Anesthesiology","id":"ITEM-1","issued":{"date-parts":[["2019"]]},"title":"Survey Research","type":"article-journal"},"uris":["http://www.mendeley.com/documents/?uuid=d70c362b-0ef7-47b6-9b0d-e207a0cccf5e","http://www.mendeley.com/documents/?uuid=3e0e7c93-accd-4c10-91d1-b059795da841"]}],"mendeley":{"formattedCitation":"(Story &amp; Tait, 2019)","plainTextFormattedCitation":"(Story &amp; Tait, 2019)","previouslyFormattedCitation":"(Story and Tait, 2019)"},"properties":{"noteIndex":0},"schema":"https://github.com/citation-style-language/schema/raw/master/csl-citation.json"}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(Story &amp; Tait, 2019)</w:t>
      </w:r>
      <w:r>
        <w:rPr>
          <w:rFonts w:ascii="Times New Roman" w:hAnsi="Times New Roman" w:cs="Times New Roman"/>
        </w:rPr>
        <w:fldChar w:fldCharType="end"/>
      </w:r>
      <w:r>
        <w:rPr>
          <w:rFonts w:ascii="Times New Roman" w:hAnsi="Times New Roman" w:cs="Times New Roman"/>
          <w:lang w:val="en-GB"/>
        </w:rPr>
        <w:t xml:space="preserve">. A survey is a strategy that allows the researcher to use a small portion of the population to explore a given problem and generalize the findings to a larger population. It was adopted because the study was quantitative in nature and hence the survey approach was consistent with the research approach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{"citationItems":[{"id":"ITEM-1","itemData":{"DOI":"10.1097/ALN.0000000000002436","ISBN":"00664308","ISSN":"15281175","PMID":"15012463","abstract":"Survey research is prevalent among many professional fields. Both cost effective and time efficient, this method of research is commonly used for the purposes of gaining insight into the attitudes, thoughts, and opinions of populations. Additionally, because there are several types of survey research designs and data collection instruments, the researcher has the flexibility to determine which methods will work best for his or her particular study. However, regardless of the method, the researcher must carefully select an excising instrument or construct the data collection instrument, as this is the key to a successful survey research study. This article defines survey research, outlines the basic structure for conducting such research, identifies some of the major challenges surrounding survey research and provides some recommendations, and provides some insights into the shape of survey research in the future.","author":[{"dropping-particle":"","family":"Story","given":"David A.","non-dropping-particle":"","parse-names":false,"suffix":""},{"dropping-particle":"","family":"Tait","given":"Alan R.","non-dropping-particle":"","parse-names":false,"suffix":""}],"container-title":"Anesthesiology","id":"ITEM-1","issued":{"date-parts":[["2019"]]},"title":"Survey Research","type":"article-journal"},"uris":["http://www.mendeley.com/documents/?uuid=3e0e7c93-accd-4c10-91d1-b059795da841","http://www.mendeley.com/documents/?uuid=d70c362b-0ef7-47b6-9b0d-e207a0cccf5e"]}],"mendeley":{"formattedCitation":"(Story &amp; Tait, 2019)","plainTextFormattedCitation":"(Story &amp; Tait, 2019)","previouslyFormattedCitation":"(Story and Tait, 2019)"},"properties":{"noteIndex":0},"schema":"https://github.com/citation-style-language/schema/raw/master/csl-citation.json"}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(Story &amp; Tait, 2019)</w:t>
      </w:r>
      <w:r>
        <w:rPr>
          <w:rFonts w:ascii="Times New Roman" w:hAnsi="Times New Roman" w:cs="Times New Roman"/>
        </w:rPr>
        <w:fldChar w:fldCharType="end"/>
      </w:r>
      <w:r>
        <w:rPr>
          <w:rFonts w:ascii="Times New Roman" w:hAnsi="Times New Roman" w:cs="Times New Roman"/>
          <w:lang w:val="en-GB"/>
        </w:rPr>
        <w:t>. Additionally, it will also help in generalizing the findings to all customers.</w:t>
      </w:r>
    </w:p>
    <w:p>
      <w:pPr>
        <w:pStyle w:val="5"/>
        <w:numPr>
          <w:ilvl w:val="3"/>
          <w:numId w:val="1"/>
        </w:numPr>
      </w:pPr>
      <w:bookmarkStart w:id="18" w:name="_Toc1718404"/>
      <w:r>
        <w:t>Population and Sampling</w:t>
      </w:r>
      <w:bookmarkEnd w:id="18"/>
    </w:p>
    <w:p>
      <w:pPr>
        <w:spacing w:line="360" w:lineRule="auto"/>
        <w:jc w:val="both"/>
        <w:rPr>
          <w:rFonts w:ascii="Times New Roman" w:hAnsi="Times New Roman" w:cs="Times New Roman"/>
          <w:lang w:val="en-GB"/>
        </w:rPr>
      </w:pPr>
      <w:r>
        <w:rPr>
          <w:rFonts w:ascii="Times New Roman" w:hAnsi="Times New Roman" w:cs="Times New Roman"/>
          <w:lang w:val="en-GB"/>
        </w:rPr>
        <w:t>In this study, the population comprised of customers who come at the Five Guys restaurant. The study used a sample of 50 customers who were randomly selected to take part in the study. This was due to budget and cost limitations that did not allow for a large study to be carried out.</w:t>
      </w:r>
    </w:p>
    <w:p>
      <w:pPr>
        <w:pStyle w:val="5"/>
        <w:numPr>
          <w:ilvl w:val="3"/>
          <w:numId w:val="1"/>
        </w:numPr>
      </w:pPr>
      <w:bookmarkStart w:id="19" w:name="_Toc1718405"/>
      <w:r>
        <w:t>Data Collection</w:t>
      </w:r>
      <w:bookmarkEnd w:id="19"/>
    </w:p>
    <w:p>
      <w:pPr>
        <w:spacing w:line="360" w:lineRule="auto"/>
        <w:jc w:val="both"/>
        <w:rPr>
          <w:rFonts w:ascii="Times New Roman" w:hAnsi="Times New Roman" w:cs="Times New Roman"/>
          <w:lang w:val="en-GB"/>
        </w:rPr>
      </w:pPr>
      <w:r>
        <w:rPr>
          <w:rFonts w:ascii="Times New Roman" w:hAnsi="Times New Roman" w:cs="Times New Roman"/>
          <w:lang w:val="en-GB"/>
        </w:rPr>
        <w:t>In this study, questionnaires with 10 questions were used. A closed ended questionnaire was preferred for ease of analysis. This is because it is easy to design and administer and has high return rates.</w:t>
      </w:r>
    </w:p>
    <w:p>
      <w:pPr>
        <w:pStyle w:val="5"/>
        <w:numPr>
          <w:ilvl w:val="3"/>
          <w:numId w:val="1"/>
        </w:numPr>
      </w:pPr>
      <w:bookmarkStart w:id="20" w:name="_Toc1718406"/>
      <w:r>
        <w:t>Data Analysis</w:t>
      </w:r>
      <w:bookmarkEnd w:id="20"/>
    </w:p>
    <w:p>
      <w:pPr>
        <w:spacing w:line="360" w:lineRule="auto"/>
        <w:jc w:val="both"/>
        <w:rPr>
          <w:rFonts w:ascii="Times New Roman" w:hAnsi="Times New Roman" w:cs="Times New Roman"/>
          <w:lang w:val="en-GB"/>
        </w:rPr>
      </w:pPr>
      <w:r>
        <w:rPr>
          <w:rFonts w:ascii="Times New Roman" w:hAnsi="Times New Roman" w:cs="Times New Roman"/>
          <w:lang w:val="en-GB"/>
        </w:rPr>
        <w:t xml:space="preserve">In this project, the quantitative approach was preferred. This is because the data collected was statistical in nature and hence a statistical data analysis approach is preferred </w:t>
      </w:r>
      <w:r>
        <w:rPr>
          <w:rFonts w:ascii="Times New Roman" w:hAnsi="Times New Roman" w:cs="Times New Roman"/>
          <w:lang w:val="en-GB"/>
        </w:rPr>
        <w:fldChar w:fldCharType="begin" w:fldLock="1"/>
      </w:r>
      <w:r>
        <w:rPr>
          <w:rFonts w:ascii="Times New Roman" w:hAnsi="Times New Roman" w:cs="Times New Roman"/>
          <w:lang w:val="en-GB"/>
        </w:rPr>
        <w:instrText xml:space="preserve">ADDIN CSL_CITATION {"citationItems":[{"id":"ITEM-1","itemData":{"DOI":"10.1007/978-3-319-02687-9_4","abstract":"Researchers organize their research by formulating and defining a research problem. This helps them focus the research process so that they can draw conclusions reflecting the real world in the best possible way.","author":[{"dropping-particle":"","family":"Sreejesh","given":"S.","non-dropping-particle":"","parse-names":false,"suffix":""},{"dropping-particle":"","family":"Mohapatra","given":"Sanjay","non-dropping-particle":"","parse-names":false,"suffix":""}],"container-title":"Mixed Method Research Design","id":"ITEM-1","issued":{"date-parts":[["2013"]]},"title":"Research Methodology","type":"chapter"},"uris":["http://www.mendeley.com/documents/?uuid=496da7f3-a16e-4865-b550-d969553b809b","http://www.mendeley.com/documents/?uuid=a6d1440f-7f24-47c6-98a7-283be219c2e7"]}],"mendeley":{"formattedCitation":"(Sreejesh &amp; Mohapatra, 2013)","plainTextFormattedCitation":"(Sreejesh &amp; Mohapatra, 2013)","previouslyFormattedCitation":"(Sreejesh and Mohapatra, 2013)"},"properties":{"noteIndex":0},"schema":"https://github.com/citation-style-language/schema/raw/master/csl-citation.json"}</w:instrText>
      </w:r>
      <w:r>
        <w:rPr>
          <w:rFonts w:ascii="Times New Roman" w:hAnsi="Times New Roman" w:cs="Times New Roman"/>
          <w:lang w:val="en-GB"/>
        </w:rPr>
        <w:fldChar w:fldCharType="separate"/>
      </w:r>
      <w:r>
        <w:rPr>
          <w:rFonts w:ascii="Times New Roman" w:hAnsi="Times New Roman" w:cs="Times New Roman"/>
          <w:lang w:val="en-GB"/>
        </w:rPr>
        <w:t>(Sreejesh &amp; Mohapatra, 2013)</w:t>
      </w:r>
      <w:r>
        <w:rPr>
          <w:rFonts w:ascii="Times New Roman" w:hAnsi="Times New Roman" w:cs="Times New Roman"/>
        </w:rPr>
        <w:fldChar w:fldCharType="end"/>
      </w:r>
      <w:r>
        <w:rPr>
          <w:rFonts w:ascii="Times New Roman" w:hAnsi="Times New Roman" w:cs="Times New Roman"/>
          <w:lang w:val="en-GB"/>
        </w:rPr>
        <w:t>. Data was presented in the form of tables, charts and figures so as to make sense of the data.</w:t>
      </w:r>
    </w:p>
    <w:p>
      <w:pPr>
        <w:spacing w:line="360" w:lineRule="auto"/>
        <w:jc w:val="both"/>
        <w:rPr>
          <w:rFonts w:ascii="Times New Roman" w:hAnsi="Times New Roman" w:cs="Times New Roman"/>
        </w:rPr>
      </w:pPr>
    </w:p>
    <w:p>
      <w:pPr>
        <w:pStyle w:val="4"/>
        <w:numPr>
          <w:ilvl w:val="2"/>
          <w:numId w:val="1"/>
        </w:numPr>
      </w:pPr>
      <w:r>
        <w:tab/>
      </w:r>
      <w:r>
        <w:tab/>
      </w:r>
      <w:bookmarkStart w:id="21" w:name="_Toc19831"/>
      <w:r>
        <w:t>Findings and Analysis</w:t>
      </w:r>
      <w:bookmarkEnd w:id="21"/>
    </w:p>
    <w:p>
      <w:pPr>
        <w:pStyle w:val="5"/>
        <w:numPr>
          <w:ilvl w:val="3"/>
          <w:numId w:val="1"/>
        </w:numPr>
      </w:pPr>
      <w:r>
        <w:t>Demographic profile of the customers</w:t>
      </w:r>
    </w:p>
    <w:tbl>
      <w:tblPr>
        <w:tblStyle w:val="12"/>
        <w:tblW w:w="64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4"/>
        <w:gridCol w:w="2687"/>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 w:hRule="atLeast"/>
        </w:trPr>
        <w:tc>
          <w:tcPr>
            <w:tcW w:w="2234" w:type="dxa"/>
            <w:noWrap/>
          </w:tcPr>
          <w:p>
            <w:pPr>
              <w:spacing w:after="0" w:line="360" w:lineRule="auto"/>
              <w:jc w:val="both"/>
              <w:rPr>
                <w:rFonts w:ascii="Times New Roman" w:hAnsi="Times New Roman" w:cs="Times New Roman"/>
                <w:b/>
                <w:bCs/>
              </w:rPr>
            </w:pPr>
            <w:r>
              <w:rPr>
                <w:rFonts w:ascii="Times New Roman" w:hAnsi="Times New Roman" w:cs="Times New Roman"/>
                <w:b/>
                <w:bCs/>
              </w:rPr>
              <w:t>Gender</w:t>
            </w:r>
          </w:p>
        </w:tc>
        <w:tc>
          <w:tcPr>
            <w:tcW w:w="2687" w:type="dxa"/>
            <w:noWrap/>
          </w:tcPr>
          <w:p>
            <w:pPr>
              <w:spacing w:after="0" w:line="360" w:lineRule="auto"/>
              <w:jc w:val="both"/>
              <w:rPr>
                <w:rFonts w:ascii="Times New Roman" w:hAnsi="Times New Roman" w:cs="Times New Roman"/>
                <w:b/>
                <w:bCs/>
              </w:rPr>
            </w:pPr>
            <w:r>
              <w:rPr>
                <w:rFonts w:ascii="Times New Roman" w:hAnsi="Times New Roman" w:cs="Times New Roman"/>
                <w:b/>
                <w:bCs/>
              </w:rPr>
              <w:t>Frequency Gender</w:t>
            </w:r>
          </w:p>
        </w:tc>
        <w:tc>
          <w:tcPr>
            <w:tcW w:w="1554" w:type="dxa"/>
            <w:noWrap/>
          </w:tcPr>
          <w:p>
            <w:pPr>
              <w:spacing w:after="0" w:line="360" w:lineRule="auto"/>
              <w:jc w:val="both"/>
              <w:rPr>
                <w:rFonts w:ascii="Times New Roman" w:hAnsi="Times New Roman" w:cs="Times New Roman"/>
                <w:b/>
                <w:bCs/>
              </w:rPr>
            </w:pPr>
            <w:r>
              <w:rPr>
                <w:rFonts w:ascii="Times New Roman" w:hAnsi="Times New Roman" w:cs="Times New Roman"/>
                <w:b/>
                <w:bCs/>
              </w:rPr>
              <w:t>Percentage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 w:hRule="atLeast"/>
        </w:trPr>
        <w:tc>
          <w:tcPr>
            <w:tcW w:w="2234" w:type="dxa"/>
            <w:noWrap/>
          </w:tcPr>
          <w:p>
            <w:pPr>
              <w:spacing w:after="0" w:line="360" w:lineRule="auto"/>
              <w:jc w:val="both"/>
              <w:rPr>
                <w:rFonts w:ascii="Times New Roman" w:hAnsi="Times New Roman" w:cs="Times New Roman"/>
              </w:rPr>
            </w:pPr>
            <w:r>
              <w:rPr>
                <w:rFonts w:ascii="Times New Roman" w:hAnsi="Times New Roman" w:cs="Times New Roman"/>
              </w:rPr>
              <w:t>Female</w:t>
            </w:r>
          </w:p>
        </w:tc>
        <w:tc>
          <w:tcPr>
            <w:tcW w:w="2687" w:type="dxa"/>
            <w:noWrap/>
          </w:tcPr>
          <w:p>
            <w:pPr>
              <w:spacing w:after="0" w:line="360" w:lineRule="auto"/>
              <w:jc w:val="both"/>
              <w:rPr>
                <w:rFonts w:ascii="Times New Roman" w:hAnsi="Times New Roman" w:cs="Times New Roman"/>
              </w:rPr>
            </w:pPr>
            <w:r>
              <w:rPr>
                <w:rFonts w:ascii="Times New Roman" w:hAnsi="Times New Roman" w:cs="Times New Roman"/>
              </w:rPr>
              <w:t>28</w:t>
            </w:r>
          </w:p>
        </w:tc>
        <w:tc>
          <w:tcPr>
            <w:tcW w:w="1554" w:type="dxa"/>
            <w:noWrap/>
          </w:tcPr>
          <w:p>
            <w:pPr>
              <w:spacing w:after="0" w:line="360" w:lineRule="auto"/>
              <w:jc w:val="both"/>
              <w:rPr>
                <w:rFonts w:ascii="Times New Roman" w:hAnsi="Times New Roman" w:cs="Times New Roman"/>
              </w:rPr>
            </w:pPr>
            <w:r>
              <w:rPr>
                <w:rFonts w:ascii="Times New Roman" w:hAnsi="Times New Roman" w:cs="Times New Roma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 w:hRule="atLeast"/>
        </w:trPr>
        <w:tc>
          <w:tcPr>
            <w:tcW w:w="2234" w:type="dxa"/>
            <w:noWrap/>
          </w:tcPr>
          <w:p>
            <w:pPr>
              <w:spacing w:after="0" w:line="360" w:lineRule="auto"/>
              <w:jc w:val="both"/>
              <w:rPr>
                <w:rFonts w:ascii="Times New Roman" w:hAnsi="Times New Roman" w:cs="Times New Roman"/>
              </w:rPr>
            </w:pPr>
            <w:r>
              <w:rPr>
                <w:rFonts w:ascii="Times New Roman" w:hAnsi="Times New Roman" w:cs="Times New Roman"/>
              </w:rPr>
              <w:t>Male</w:t>
            </w:r>
          </w:p>
        </w:tc>
        <w:tc>
          <w:tcPr>
            <w:tcW w:w="2687" w:type="dxa"/>
            <w:noWrap/>
          </w:tcPr>
          <w:p>
            <w:pPr>
              <w:spacing w:after="0" w:line="360" w:lineRule="auto"/>
              <w:jc w:val="both"/>
              <w:rPr>
                <w:rFonts w:ascii="Times New Roman" w:hAnsi="Times New Roman" w:cs="Times New Roman"/>
              </w:rPr>
            </w:pPr>
            <w:r>
              <w:rPr>
                <w:rFonts w:ascii="Times New Roman" w:hAnsi="Times New Roman" w:cs="Times New Roman"/>
              </w:rPr>
              <w:t>22</w:t>
            </w:r>
          </w:p>
        </w:tc>
        <w:tc>
          <w:tcPr>
            <w:tcW w:w="1554" w:type="dxa"/>
            <w:noWrap/>
          </w:tcPr>
          <w:p>
            <w:pPr>
              <w:spacing w:after="0" w:line="360" w:lineRule="auto"/>
              <w:jc w:val="both"/>
              <w:rPr>
                <w:rFonts w:ascii="Times New Roman" w:hAnsi="Times New Roman" w:cs="Times New Roman"/>
              </w:rPr>
            </w:pPr>
            <w:r>
              <w:rPr>
                <w:rFonts w:ascii="Times New Roman" w:hAnsi="Times New Roman" w:cs="Times New Roma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4" w:hRule="atLeast"/>
        </w:trPr>
        <w:tc>
          <w:tcPr>
            <w:tcW w:w="2234"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c>
          <w:tcPr>
            <w:tcW w:w="2687" w:type="dxa"/>
            <w:noWrap/>
          </w:tcPr>
          <w:p>
            <w:pPr>
              <w:spacing w:after="0" w:line="360" w:lineRule="auto"/>
              <w:jc w:val="both"/>
              <w:rPr>
                <w:rFonts w:ascii="Times New Roman" w:hAnsi="Times New Roman" w:cs="Times New Roman"/>
                <w:b/>
                <w:bCs/>
              </w:rPr>
            </w:pPr>
            <w:r>
              <w:rPr>
                <w:rFonts w:ascii="Times New Roman" w:hAnsi="Times New Roman" w:cs="Times New Roman"/>
                <w:b/>
                <w:bCs/>
              </w:rPr>
              <w:t>50</w:t>
            </w:r>
          </w:p>
        </w:tc>
        <w:tc>
          <w:tcPr>
            <w:tcW w:w="1554" w:type="dxa"/>
            <w:noWrap/>
          </w:tcPr>
          <w:p>
            <w:pPr>
              <w:spacing w:after="0" w:line="360" w:lineRule="auto"/>
              <w:jc w:val="both"/>
              <w:rPr>
                <w:rFonts w:ascii="Times New Roman" w:hAnsi="Times New Roman" w:cs="Times New Roman"/>
              </w:rPr>
            </w:pPr>
            <w:r>
              <w:rPr>
                <w:rFonts w:ascii="Times New Roman" w:hAnsi="Times New Roman" w:cs="Times New Roman"/>
              </w:rPr>
              <w:t>100</w:t>
            </w:r>
          </w:p>
        </w:tc>
      </w:tr>
    </w:tbl>
    <w:p>
      <w:pPr>
        <w:spacing w:line="360" w:lineRule="auto"/>
        <w:jc w:val="both"/>
        <w:rPr>
          <w:rFonts w:ascii="Times New Roman" w:hAnsi="Times New Roman" w:cs="Times New Roman"/>
        </w:rPr>
      </w:pPr>
      <w:r>
        <w:rPr>
          <w:rFonts w:ascii="Times New Roman" w:hAnsi="Times New Roman" w:cs="Times New Roman"/>
        </w:rPr>
        <w:t>Table 1</w:t>
      </w:r>
    </w:p>
    <w:p>
      <w:pPr>
        <w:spacing w:line="360" w:lineRule="auto"/>
        <w:jc w:val="both"/>
        <w:rPr>
          <w:rFonts w:ascii="Times New Roman" w:hAnsi="Times New Roman" w:cs="Times New Roman"/>
        </w:rPr>
      </w:pPr>
      <w:r>
        <w:rPr>
          <w:rFonts w:ascii="Times New Roman" w:hAnsi="Times New Roman" w:cs="Times New Roman"/>
        </w:rPr>
        <w:t>The above table indicates that there were 28 females and 22 males in the sample which represented 56% and 44% respectively. More females than males accepted to take part in the study.</w:t>
      </w:r>
    </w:p>
    <w:p>
      <w:pPr>
        <w:pStyle w:val="5"/>
        <w:numPr>
          <w:ilvl w:val="3"/>
          <w:numId w:val="1"/>
        </w:numPr>
      </w:pPr>
      <w:r>
        <w:t>Age of the participants</w:t>
      </w:r>
    </w:p>
    <w:tbl>
      <w:tblPr>
        <w:tblStyle w:val="12"/>
        <w:tblW w:w="6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4"/>
        <w:gridCol w:w="2397"/>
        <w:gridCol w:w="1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b/>
                <w:bCs/>
              </w:rPr>
            </w:pPr>
            <w:r>
              <w:rPr>
                <w:rFonts w:ascii="Times New Roman" w:hAnsi="Times New Roman" w:cs="Times New Roman"/>
                <w:b/>
                <w:bCs/>
              </w:rPr>
              <w:t>Age</w:t>
            </w:r>
          </w:p>
        </w:tc>
        <w:tc>
          <w:tcPr>
            <w:tcW w:w="2397" w:type="dxa"/>
            <w:noWrap/>
          </w:tcPr>
          <w:p>
            <w:pPr>
              <w:spacing w:after="0" w:line="360" w:lineRule="auto"/>
              <w:jc w:val="both"/>
              <w:rPr>
                <w:rFonts w:ascii="Times New Roman" w:hAnsi="Times New Roman" w:cs="Times New Roman"/>
                <w:b/>
                <w:bCs/>
              </w:rPr>
            </w:pPr>
            <w:r>
              <w:rPr>
                <w:rFonts w:ascii="Times New Roman" w:hAnsi="Times New Roman" w:cs="Times New Roman"/>
                <w:b/>
                <w:bCs/>
              </w:rPr>
              <w:t>Frequency</w:t>
            </w:r>
          </w:p>
        </w:tc>
        <w:tc>
          <w:tcPr>
            <w:tcW w:w="1770" w:type="dxa"/>
            <w:noWrap/>
          </w:tcPr>
          <w:p>
            <w:pPr>
              <w:spacing w:after="0" w:line="360" w:lineRule="auto"/>
              <w:jc w:val="both"/>
              <w:rPr>
                <w:rFonts w:ascii="Times New Roman" w:hAnsi="Times New Roman" w:cs="Times New Roman"/>
                <w:b/>
                <w:bCs/>
              </w:rPr>
            </w:pPr>
            <w:r>
              <w:rPr>
                <w:rFonts w:ascii="Times New Roman" w:hAnsi="Times New Roman" w:cs="Times New Roman"/>
                <w:b/>
                <w:bCs/>
              </w:rPr>
              <w:t>Percentage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20</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1</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21</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4</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22</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1</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23</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7</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24</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8</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25</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9</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26</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3</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27</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5</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28</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5</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29</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1</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30</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2</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31</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2</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rPr>
            </w:pPr>
            <w:r>
              <w:rPr>
                <w:rFonts w:ascii="Times New Roman" w:hAnsi="Times New Roman" w:cs="Times New Roman"/>
              </w:rPr>
              <w:t>32</w:t>
            </w:r>
          </w:p>
        </w:tc>
        <w:tc>
          <w:tcPr>
            <w:tcW w:w="2397" w:type="dxa"/>
            <w:noWrap/>
          </w:tcPr>
          <w:p>
            <w:pPr>
              <w:spacing w:after="0" w:line="360" w:lineRule="auto"/>
              <w:jc w:val="both"/>
              <w:rPr>
                <w:rFonts w:ascii="Times New Roman" w:hAnsi="Times New Roman" w:cs="Times New Roman"/>
              </w:rPr>
            </w:pPr>
            <w:r>
              <w:rPr>
                <w:rFonts w:ascii="Times New Roman" w:hAnsi="Times New Roman" w:cs="Times New Roman"/>
              </w:rPr>
              <w:t>2</w:t>
            </w:r>
          </w:p>
        </w:tc>
        <w:tc>
          <w:tcPr>
            <w:tcW w:w="1770" w:type="dxa"/>
            <w:noWrap/>
          </w:tcPr>
          <w:p>
            <w:pPr>
              <w:spacing w:after="0" w:line="360" w:lineRule="auto"/>
              <w:jc w:val="both"/>
              <w:rPr>
                <w:rFonts w:ascii="Times New Roman" w:hAnsi="Times New Roman" w:cs="Times New Roman"/>
              </w:rPr>
            </w:pPr>
            <w:r>
              <w:rPr>
                <w:rFonts w:ascii="Times New Roman" w:hAnsi="Times New Roman" w:cs="Times New Roma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trPr>
        <w:tc>
          <w:tcPr>
            <w:tcW w:w="2544"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c>
          <w:tcPr>
            <w:tcW w:w="2397" w:type="dxa"/>
            <w:noWrap/>
          </w:tcPr>
          <w:p>
            <w:pPr>
              <w:spacing w:after="0" w:line="360" w:lineRule="auto"/>
              <w:jc w:val="both"/>
              <w:rPr>
                <w:rFonts w:ascii="Times New Roman" w:hAnsi="Times New Roman" w:cs="Times New Roman"/>
                <w:b/>
                <w:bCs/>
              </w:rPr>
            </w:pPr>
            <w:r>
              <w:rPr>
                <w:rFonts w:ascii="Times New Roman" w:hAnsi="Times New Roman" w:cs="Times New Roman"/>
                <w:b/>
                <w:bCs/>
              </w:rPr>
              <w:t>50</w:t>
            </w:r>
          </w:p>
        </w:tc>
        <w:tc>
          <w:tcPr>
            <w:tcW w:w="1770" w:type="dxa"/>
            <w:noWrap/>
          </w:tcPr>
          <w:p>
            <w:pPr>
              <w:spacing w:after="0" w:line="360" w:lineRule="auto"/>
              <w:jc w:val="both"/>
              <w:rPr>
                <w:rFonts w:ascii="Times New Roman" w:hAnsi="Times New Roman" w:cs="Times New Roman"/>
                <w:b/>
                <w:bCs/>
              </w:rPr>
            </w:pPr>
          </w:p>
        </w:tc>
      </w:tr>
    </w:tbl>
    <w:p>
      <w:pPr>
        <w:spacing w:line="360" w:lineRule="auto"/>
        <w:jc w:val="both"/>
        <w:rPr>
          <w:rFonts w:ascii="Times New Roman" w:hAnsi="Times New Roman" w:cs="Times New Roman"/>
        </w:rPr>
      </w:pPr>
      <w:r>
        <w:rPr>
          <w:rFonts w:ascii="Times New Roman" w:hAnsi="Times New Roman" w:cs="Times New Roman"/>
        </w:rPr>
        <w:t>From the findings above, it can be seen that a majority of the participants were aged between 20 and 32 years of age. The age with the highest number of participants was 25 which made up 18% of the participants and 24 that made up 16% of the participants.</w:t>
      </w:r>
    </w:p>
    <w:p>
      <w:pPr>
        <w:pStyle w:val="5"/>
        <w:numPr>
          <w:ilvl w:val="3"/>
          <w:numId w:val="1"/>
        </w:numPr>
      </w:pPr>
      <w:r>
        <w:t>Frequency of visit by gender</w:t>
      </w:r>
    </w:p>
    <w:p>
      <w:pPr>
        <w:spacing w:line="360" w:lineRule="auto"/>
        <w:jc w:val="both"/>
        <w:rPr>
          <w:rFonts w:ascii="Times New Roman" w:hAnsi="Times New Roman" w:cs="Times New Roman"/>
        </w:rPr>
      </w:pPr>
      <w:r>
        <w:rPr>
          <w:rFonts w:ascii="Times New Roman" w:hAnsi="Times New Roman" w:cs="Times New Roman"/>
        </w:rPr>
        <w:t>This section examined the frequency of visiting the restaurant by gender of the participants. The findings are seen in the table below.</w:t>
      </w:r>
    </w:p>
    <w:tbl>
      <w:tblPr>
        <w:tblStyle w:val="12"/>
        <w:tblW w:w="89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720"/>
        <w:gridCol w:w="1120"/>
        <w:gridCol w:w="931"/>
        <w:gridCol w:w="931"/>
        <w:gridCol w:w="931"/>
        <w:gridCol w:w="1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160" w:type="dxa"/>
            <w:noWrap/>
          </w:tcPr>
          <w:p>
            <w:pPr>
              <w:spacing w:after="0" w:line="360" w:lineRule="auto"/>
              <w:jc w:val="both"/>
              <w:rPr>
                <w:rFonts w:ascii="Times New Roman" w:hAnsi="Times New Roman" w:cs="Times New Roman"/>
                <w:b/>
                <w:bCs/>
              </w:rPr>
            </w:pPr>
            <w:r>
              <w:rPr>
                <w:rFonts w:ascii="Times New Roman" w:hAnsi="Times New Roman" w:cs="Times New Roman"/>
                <w:b/>
                <w:bCs/>
              </w:rPr>
              <w:t>Row Labels</w:t>
            </w:r>
          </w:p>
        </w:tc>
        <w:tc>
          <w:tcPr>
            <w:tcW w:w="1720" w:type="dxa"/>
            <w:noWrap/>
          </w:tcPr>
          <w:p>
            <w:pPr>
              <w:spacing w:after="0" w:line="360" w:lineRule="auto"/>
              <w:jc w:val="both"/>
              <w:rPr>
                <w:rFonts w:ascii="Times New Roman" w:hAnsi="Times New Roman" w:cs="Times New Roman"/>
                <w:b/>
                <w:bCs/>
              </w:rPr>
            </w:pPr>
            <w:r>
              <w:rPr>
                <w:rFonts w:ascii="Times New Roman" w:hAnsi="Times New Roman" w:cs="Times New Roman"/>
                <w:b/>
                <w:bCs/>
              </w:rPr>
              <w:t>Don't know</w:t>
            </w:r>
          </w:p>
        </w:tc>
        <w:tc>
          <w:tcPr>
            <w:tcW w:w="1120" w:type="dxa"/>
            <w:noWrap/>
          </w:tcPr>
          <w:p>
            <w:pPr>
              <w:spacing w:after="0" w:line="360" w:lineRule="auto"/>
              <w:jc w:val="both"/>
              <w:rPr>
                <w:rFonts w:ascii="Times New Roman" w:hAnsi="Times New Roman" w:cs="Times New Roman"/>
                <w:b/>
                <w:bCs/>
              </w:rPr>
            </w:pPr>
            <w:r>
              <w:rPr>
                <w:rFonts w:ascii="Times New Roman" w:hAnsi="Times New Roman" w:cs="Times New Roman"/>
                <w:b/>
                <w:bCs/>
              </w:rPr>
              <w:t>Four Times</w:t>
            </w:r>
          </w:p>
        </w:tc>
        <w:tc>
          <w:tcPr>
            <w:tcW w:w="931" w:type="dxa"/>
            <w:noWrap/>
          </w:tcPr>
          <w:p>
            <w:pPr>
              <w:spacing w:after="0" w:line="360" w:lineRule="auto"/>
              <w:jc w:val="both"/>
              <w:rPr>
                <w:rFonts w:ascii="Times New Roman" w:hAnsi="Times New Roman" w:cs="Times New Roman"/>
                <w:b/>
                <w:bCs/>
              </w:rPr>
            </w:pPr>
            <w:r>
              <w:rPr>
                <w:rFonts w:ascii="Times New Roman" w:hAnsi="Times New Roman" w:cs="Times New Roman"/>
                <w:b/>
                <w:bCs/>
              </w:rPr>
              <w:t>Once</w:t>
            </w:r>
          </w:p>
        </w:tc>
        <w:tc>
          <w:tcPr>
            <w:tcW w:w="931" w:type="dxa"/>
            <w:noWrap/>
          </w:tcPr>
          <w:p>
            <w:pPr>
              <w:spacing w:after="0" w:line="360" w:lineRule="auto"/>
              <w:jc w:val="both"/>
              <w:rPr>
                <w:rFonts w:ascii="Times New Roman" w:hAnsi="Times New Roman" w:cs="Times New Roman"/>
                <w:b/>
                <w:bCs/>
              </w:rPr>
            </w:pPr>
            <w:r>
              <w:rPr>
                <w:rFonts w:ascii="Times New Roman" w:hAnsi="Times New Roman" w:cs="Times New Roman"/>
                <w:b/>
                <w:bCs/>
              </w:rPr>
              <w:t>Thrice</w:t>
            </w:r>
          </w:p>
        </w:tc>
        <w:tc>
          <w:tcPr>
            <w:tcW w:w="931" w:type="dxa"/>
            <w:noWrap/>
          </w:tcPr>
          <w:p>
            <w:pPr>
              <w:spacing w:after="0" w:line="360" w:lineRule="auto"/>
              <w:jc w:val="both"/>
              <w:rPr>
                <w:rFonts w:ascii="Times New Roman" w:hAnsi="Times New Roman" w:cs="Times New Roman"/>
                <w:b/>
                <w:bCs/>
              </w:rPr>
            </w:pPr>
            <w:r>
              <w:rPr>
                <w:rFonts w:ascii="Times New Roman" w:hAnsi="Times New Roman" w:cs="Times New Roman"/>
                <w:b/>
                <w:bCs/>
              </w:rPr>
              <w:t>Twice</w:t>
            </w:r>
          </w:p>
        </w:tc>
        <w:tc>
          <w:tcPr>
            <w:tcW w:w="1180"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160" w:type="dxa"/>
            <w:noWrap/>
          </w:tcPr>
          <w:p>
            <w:pPr>
              <w:spacing w:after="0" w:line="360" w:lineRule="auto"/>
              <w:jc w:val="both"/>
              <w:rPr>
                <w:rFonts w:ascii="Times New Roman" w:hAnsi="Times New Roman" w:cs="Times New Roman"/>
              </w:rPr>
            </w:pPr>
            <w:r>
              <w:rPr>
                <w:rFonts w:ascii="Times New Roman" w:hAnsi="Times New Roman" w:cs="Times New Roman"/>
              </w:rPr>
              <w:t>Female</w:t>
            </w:r>
          </w:p>
        </w:tc>
        <w:tc>
          <w:tcPr>
            <w:tcW w:w="1720" w:type="dxa"/>
            <w:noWrap/>
          </w:tcPr>
          <w:p>
            <w:pPr>
              <w:spacing w:after="0" w:line="360" w:lineRule="auto"/>
              <w:jc w:val="both"/>
              <w:rPr>
                <w:rFonts w:ascii="Times New Roman" w:hAnsi="Times New Roman" w:cs="Times New Roman"/>
              </w:rPr>
            </w:pPr>
            <w:r>
              <w:rPr>
                <w:rFonts w:ascii="Times New Roman" w:hAnsi="Times New Roman" w:cs="Times New Roman"/>
              </w:rPr>
              <w:t>22.00%</w:t>
            </w:r>
          </w:p>
        </w:tc>
        <w:tc>
          <w:tcPr>
            <w:tcW w:w="1120" w:type="dxa"/>
            <w:noWrap/>
          </w:tcPr>
          <w:p>
            <w:pPr>
              <w:spacing w:after="0" w:line="360" w:lineRule="auto"/>
              <w:jc w:val="both"/>
              <w:rPr>
                <w:rFonts w:ascii="Times New Roman" w:hAnsi="Times New Roman" w:cs="Times New Roman"/>
              </w:rPr>
            </w:pPr>
            <w:r>
              <w:rPr>
                <w:rFonts w:ascii="Times New Roman" w:hAnsi="Times New Roman" w:cs="Times New Roman"/>
              </w:rPr>
              <w:t>8.00%</w:t>
            </w:r>
          </w:p>
        </w:tc>
        <w:tc>
          <w:tcPr>
            <w:tcW w:w="931" w:type="dxa"/>
            <w:noWrap/>
          </w:tcPr>
          <w:p>
            <w:pPr>
              <w:spacing w:after="0" w:line="360" w:lineRule="auto"/>
              <w:jc w:val="both"/>
              <w:rPr>
                <w:rFonts w:ascii="Times New Roman" w:hAnsi="Times New Roman" w:cs="Times New Roman"/>
              </w:rPr>
            </w:pPr>
            <w:r>
              <w:rPr>
                <w:rFonts w:ascii="Times New Roman" w:hAnsi="Times New Roman" w:cs="Times New Roman"/>
              </w:rPr>
              <w:t>4.00%</w:t>
            </w:r>
          </w:p>
        </w:tc>
        <w:tc>
          <w:tcPr>
            <w:tcW w:w="931" w:type="dxa"/>
            <w:noWrap/>
          </w:tcPr>
          <w:p>
            <w:pPr>
              <w:spacing w:after="0" w:line="360" w:lineRule="auto"/>
              <w:jc w:val="both"/>
              <w:rPr>
                <w:rFonts w:ascii="Times New Roman" w:hAnsi="Times New Roman" w:cs="Times New Roman"/>
              </w:rPr>
            </w:pPr>
            <w:r>
              <w:rPr>
                <w:rFonts w:ascii="Times New Roman" w:hAnsi="Times New Roman" w:cs="Times New Roman"/>
              </w:rPr>
              <w:t>6.00%</w:t>
            </w:r>
          </w:p>
        </w:tc>
        <w:tc>
          <w:tcPr>
            <w:tcW w:w="931" w:type="dxa"/>
            <w:noWrap/>
          </w:tcPr>
          <w:p>
            <w:pPr>
              <w:spacing w:after="0" w:line="360" w:lineRule="auto"/>
              <w:jc w:val="both"/>
              <w:rPr>
                <w:rFonts w:ascii="Times New Roman" w:hAnsi="Times New Roman" w:cs="Times New Roman"/>
              </w:rPr>
            </w:pPr>
            <w:r>
              <w:rPr>
                <w:rFonts w:ascii="Times New Roman" w:hAnsi="Times New Roman" w:cs="Times New Roman"/>
              </w:rPr>
              <w:t>16.00%</w:t>
            </w:r>
          </w:p>
        </w:tc>
        <w:tc>
          <w:tcPr>
            <w:tcW w:w="1180" w:type="dxa"/>
            <w:noWrap/>
          </w:tcPr>
          <w:p>
            <w:pPr>
              <w:spacing w:after="0" w:line="360" w:lineRule="auto"/>
              <w:jc w:val="both"/>
              <w:rPr>
                <w:rFonts w:ascii="Times New Roman" w:hAnsi="Times New Roman" w:cs="Times New Roman"/>
              </w:rPr>
            </w:pPr>
            <w:r>
              <w:rPr>
                <w:rFonts w:ascii="Times New Roman" w:hAnsi="Times New Roman" w:cs="Times New Roman"/>
              </w:rPr>
              <w:t>56.00%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160" w:type="dxa"/>
            <w:noWrap/>
          </w:tcPr>
          <w:p>
            <w:pPr>
              <w:spacing w:after="0" w:line="360" w:lineRule="auto"/>
              <w:jc w:val="both"/>
              <w:rPr>
                <w:rFonts w:ascii="Times New Roman" w:hAnsi="Times New Roman" w:cs="Times New Roman"/>
              </w:rPr>
            </w:pPr>
            <w:r>
              <w:rPr>
                <w:rFonts w:ascii="Times New Roman" w:hAnsi="Times New Roman" w:cs="Times New Roman"/>
              </w:rPr>
              <w:t>Male</w:t>
            </w:r>
          </w:p>
        </w:tc>
        <w:tc>
          <w:tcPr>
            <w:tcW w:w="1720" w:type="dxa"/>
            <w:noWrap/>
          </w:tcPr>
          <w:p>
            <w:pPr>
              <w:spacing w:after="0" w:line="360" w:lineRule="auto"/>
              <w:jc w:val="both"/>
              <w:rPr>
                <w:rFonts w:ascii="Times New Roman" w:hAnsi="Times New Roman" w:cs="Times New Roman"/>
              </w:rPr>
            </w:pPr>
            <w:r>
              <w:rPr>
                <w:rFonts w:ascii="Times New Roman" w:hAnsi="Times New Roman" w:cs="Times New Roman"/>
              </w:rPr>
              <w:t>12.00%</w:t>
            </w:r>
          </w:p>
        </w:tc>
        <w:tc>
          <w:tcPr>
            <w:tcW w:w="1120" w:type="dxa"/>
            <w:noWrap/>
          </w:tcPr>
          <w:p>
            <w:pPr>
              <w:spacing w:after="0" w:line="360" w:lineRule="auto"/>
              <w:jc w:val="both"/>
              <w:rPr>
                <w:rFonts w:ascii="Times New Roman" w:hAnsi="Times New Roman" w:cs="Times New Roman"/>
              </w:rPr>
            </w:pPr>
            <w:r>
              <w:rPr>
                <w:rFonts w:ascii="Times New Roman" w:hAnsi="Times New Roman" w:cs="Times New Roman"/>
              </w:rPr>
              <w:t>6.00%</w:t>
            </w:r>
          </w:p>
        </w:tc>
        <w:tc>
          <w:tcPr>
            <w:tcW w:w="931" w:type="dxa"/>
            <w:noWrap/>
          </w:tcPr>
          <w:p>
            <w:pPr>
              <w:spacing w:after="0" w:line="360" w:lineRule="auto"/>
              <w:jc w:val="both"/>
              <w:rPr>
                <w:rFonts w:ascii="Times New Roman" w:hAnsi="Times New Roman" w:cs="Times New Roman"/>
              </w:rPr>
            </w:pPr>
            <w:r>
              <w:rPr>
                <w:rFonts w:ascii="Times New Roman" w:hAnsi="Times New Roman" w:cs="Times New Roman"/>
              </w:rPr>
              <w:t>8.00%</w:t>
            </w:r>
          </w:p>
        </w:tc>
        <w:tc>
          <w:tcPr>
            <w:tcW w:w="931" w:type="dxa"/>
            <w:noWrap/>
          </w:tcPr>
          <w:p>
            <w:pPr>
              <w:spacing w:after="0" w:line="360" w:lineRule="auto"/>
              <w:jc w:val="both"/>
              <w:rPr>
                <w:rFonts w:ascii="Times New Roman" w:hAnsi="Times New Roman" w:cs="Times New Roman"/>
              </w:rPr>
            </w:pPr>
            <w:r>
              <w:rPr>
                <w:rFonts w:ascii="Times New Roman" w:hAnsi="Times New Roman" w:cs="Times New Roman"/>
              </w:rPr>
              <w:t>6.00%</w:t>
            </w:r>
          </w:p>
        </w:tc>
        <w:tc>
          <w:tcPr>
            <w:tcW w:w="931" w:type="dxa"/>
            <w:noWrap/>
          </w:tcPr>
          <w:p>
            <w:pPr>
              <w:spacing w:after="0" w:line="360" w:lineRule="auto"/>
              <w:jc w:val="both"/>
              <w:rPr>
                <w:rFonts w:ascii="Times New Roman" w:hAnsi="Times New Roman" w:cs="Times New Roman"/>
              </w:rPr>
            </w:pPr>
            <w:r>
              <w:rPr>
                <w:rFonts w:ascii="Times New Roman" w:hAnsi="Times New Roman" w:cs="Times New Roman"/>
              </w:rPr>
              <w:t>12.00%</w:t>
            </w:r>
          </w:p>
        </w:tc>
        <w:tc>
          <w:tcPr>
            <w:tcW w:w="1180" w:type="dxa"/>
            <w:noWrap/>
          </w:tcPr>
          <w:p>
            <w:pPr>
              <w:spacing w:after="0" w:line="360" w:lineRule="auto"/>
              <w:jc w:val="both"/>
              <w:rPr>
                <w:rFonts w:ascii="Times New Roman" w:hAnsi="Times New Roman" w:cs="Times New Roman"/>
              </w:rPr>
            </w:pPr>
            <w:r>
              <w:rPr>
                <w:rFonts w:ascii="Times New Roman" w:hAnsi="Times New Roman" w:cs="Times New Roman"/>
              </w:rPr>
              <w:t>44.00%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160"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c>
          <w:tcPr>
            <w:tcW w:w="1720" w:type="dxa"/>
            <w:noWrap/>
          </w:tcPr>
          <w:p>
            <w:pPr>
              <w:spacing w:after="0" w:line="360" w:lineRule="auto"/>
              <w:jc w:val="both"/>
              <w:rPr>
                <w:rFonts w:ascii="Times New Roman" w:hAnsi="Times New Roman" w:cs="Times New Roman"/>
                <w:b/>
                <w:bCs/>
              </w:rPr>
            </w:pPr>
            <w:r>
              <w:rPr>
                <w:rFonts w:ascii="Times New Roman" w:hAnsi="Times New Roman" w:cs="Times New Roman"/>
                <w:b/>
                <w:bCs/>
              </w:rPr>
              <w:t>34.00%</w:t>
            </w:r>
          </w:p>
        </w:tc>
        <w:tc>
          <w:tcPr>
            <w:tcW w:w="1120" w:type="dxa"/>
            <w:noWrap/>
          </w:tcPr>
          <w:p>
            <w:pPr>
              <w:spacing w:after="0" w:line="360" w:lineRule="auto"/>
              <w:jc w:val="both"/>
              <w:rPr>
                <w:rFonts w:ascii="Times New Roman" w:hAnsi="Times New Roman" w:cs="Times New Roman"/>
                <w:b/>
                <w:bCs/>
              </w:rPr>
            </w:pPr>
            <w:r>
              <w:rPr>
                <w:rFonts w:ascii="Times New Roman" w:hAnsi="Times New Roman" w:cs="Times New Roman"/>
                <w:b/>
                <w:bCs/>
              </w:rPr>
              <w:t>14.00%</w:t>
            </w:r>
          </w:p>
        </w:tc>
        <w:tc>
          <w:tcPr>
            <w:tcW w:w="931" w:type="dxa"/>
            <w:noWrap/>
          </w:tcPr>
          <w:p>
            <w:pPr>
              <w:spacing w:after="0" w:line="360" w:lineRule="auto"/>
              <w:jc w:val="both"/>
              <w:rPr>
                <w:rFonts w:ascii="Times New Roman" w:hAnsi="Times New Roman" w:cs="Times New Roman"/>
                <w:b/>
                <w:bCs/>
              </w:rPr>
            </w:pPr>
            <w:r>
              <w:rPr>
                <w:rFonts w:ascii="Times New Roman" w:hAnsi="Times New Roman" w:cs="Times New Roman"/>
                <w:b/>
                <w:bCs/>
              </w:rPr>
              <w:t>12.00%</w:t>
            </w:r>
          </w:p>
        </w:tc>
        <w:tc>
          <w:tcPr>
            <w:tcW w:w="931" w:type="dxa"/>
            <w:noWrap/>
          </w:tcPr>
          <w:p>
            <w:pPr>
              <w:spacing w:after="0" w:line="360" w:lineRule="auto"/>
              <w:jc w:val="both"/>
              <w:rPr>
                <w:rFonts w:ascii="Times New Roman" w:hAnsi="Times New Roman" w:cs="Times New Roman"/>
                <w:b/>
                <w:bCs/>
              </w:rPr>
            </w:pPr>
            <w:r>
              <w:rPr>
                <w:rFonts w:ascii="Times New Roman" w:hAnsi="Times New Roman" w:cs="Times New Roman"/>
                <w:b/>
                <w:bCs/>
              </w:rPr>
              <w:t>12.00%</w:t>
            </w:r>
          </w:p>
        </w:tc>
        <w:tc>
          <w:tcPr>
            <w:tcW w:w="931" w:type="dxa"/>
            <w:noWrap/>
          </w:tcPr>
          <w:p>
            <w:pPr>
              <w:spacing w:after="0" w:line="360" w:lineRule="auto"/>
              <w:jc w:val="both"/>
              <w:rPr>
                <w:rFonts w:ascii="Times New Roman" w:hAnsi="Times New Roman" w:cs="Times New Roman"/>
                <w:b/>
                <w:bCs/>
              </w:rPr>
            </w:pPr>
            <w:r>
              <w:rPr>
                <w:rFonts w:ascii="Times New Roman" w:hAnsi="Times New Roman" w:cs="Times New Roman"/>
                <w:b/>
                <w:bCs/>
              </w:rPr>
              <w:t>28.00%</w:t>
            </w:r>
          </w:p>
        </w:tc>
        <w:tc>
          <w:tcPr>
            <w:tcW w:w="1180" w:type="dxa"/>
            <w:noWrap/>
          </w:tcPr>
          <w:p>
            <w:pPr>
              <w:spacing w:after="0" w:line="360" w:lineRule="auto"/>
              <w:jc w:val="both"/>
              <w:rPr>
                <w:rFonts w:ascii="Times New Roman" w:hAnsi="Times New Roman" w:cs="Times New Roman"/>
                <w:b/>
                <w:bCs/>
              </w:rPr>
            </w:pPr>
            <w:r>
              <w:rPr>
                <w:rFonts w:ascii="Times New Roman" w:hAnsi="Times New Roman" w:cs="Times New Roman"/>
                <w:b/>
                <w:bCs/>
              </w:rPr>
              <w:t>100.00%</w:t>
            </w:r>
          </w:p>
        </w:tc>
      </w:tr>
    </w:tbl>
    <w:p>
      <w:pPr>
        <w:spacing w:line="360" w:lineRule="auto"/>
        <w:jc w:val="both"/>
        <w:rPr>
          <w:rFonts w:ascii="Times New Roman" w:hAnsi="Times New Roman" w:cs="Times New Roman"/>
        </w:rPr>
      </w:pPr>
    </w:p>
    <w:p>
      <w:pPr>
        <w:spacing w:line="360" w:lineRule="auto"/>
        <w:jc w:val="both"/>
        <w:rPr>
          <w:rFonts w:ascii="Times New Roman" w:hAnsi="Times New Roman" w:cs="Times New Roman"/>
        </w:rPr>
      </w:pPr>
      <w:r>
        <w:rPr>
          <w:rFonts w:ascii="Times New Roman" w:hAnsi="Times New Roman" w:cs="Times New Roman"/>
        </w:rPr>
        <w:t>The findings indicate that 34% did not know how many times they visited the facility. 28% visited the facility twice a week, 12% thrice a week, 14%, four times a week and 12% once a week. A majority of the females (22%) did not know how many times they visited while 16% of the females indicated that they had visited the facility at least twice in a week compared to 12% of the males.</w:t>
      </w:r>
    </w:p>
    <w:p>
      <w:pPr>
        <w:pStyle w:val="5"/>
        <w:numPr>
          <w:ilvl w:val="3"/>
          <w:numId w:val="1"/>
        </w:numPr>
      </w:pPr>
      <w:r>
        <w:t>Level of satisfaction with services</w:t>
      </w:r>
    </w:p>
    <w:p>
      <w:pPr>
        <w:spacing w:line="360" w:lineRule="auto"/>
        <w:jc w:val="both"/>
        <w:rPr>
          <w:rFonts w:ascii="Times New Roman" w:hAnsi="Times New Roman" w:cs="Times New Roman"/>
        </w:rPr>
      </w:pPr>
      <w:r>
        <w:rPr>
          <w:rFonts w:ascii="Times New Roman" w:hAnsi="Times New Roman" w:cs="Times New Roman"/>
        </w:rPr>
        <w:t>The participants were asked about their level of satisfaction with services. The findings of the analysis are as indicated in the table below. The findings were compared by gender</w:t>
      </w:r>
    </w:p>
    <w:tbl>
      <w:tblPr>
        <w:tblStyle w:val="12"/>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9"/>
        <w:gridCol w:w="1314"/>
        <w:gridCol w:w="995"/>
        <w:gridCol w:w="1121"/>
        <w:gridCol w:w="1531"/>
        <w:gridCol w:w="1298"/>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00" w:hRule="atLeast"/>
        </w:trPr>
        <w:tc>
          <w:tcPr>
            <w:tcW w:w="2009" w:type="dxa"/>
            <w:noWrap/>
          </w:tcPr>
          <w:p>
            <w:pPr>
              <w:spacing w:after="0" w:line="360" w:lineRule="auto"/>
              <w:jc w:val="both"/>
              <w:rPr>
                <w:rFonts w:ascii="Times New Roman" w:hAnsi="Times New Roman" w:cs="Times New Roman"/>
                <w:b/>
                <w:bCs/>
              </w:rPr>
            </w:pPr>
          </w:p>
        </w:tc>
        <w:tc>
          <w:tcPr>
            <w:tcW w:w="1314" w:type="dxa"/>
            <w:noWrap/>
          </w:tcPr>
          <w:p>
            <w:pPr>
              <w:spacing w:after="0" w:line="360" w:lineRule="auto"/>
              <w:jc w:val="both"/>
              <w:rPr>
                <w:rFonts w:ascii="Times New Roman" w:hAnsi="Times New Roman" w:cs="Times New Roman"/>
                <w:b/>
                <w:bCs/>
              </w:rPr>
            </w:pPr>
          </w:p>
        </w:tc>
        <w:tc>
          <w:tcPr>
            <w:tcW w:w="995" w:type="dxa"/>
            <w:noWrap/>
          </w:tcPr>
          <w:p>
            <w:pPr>
              <w:spacing w:after="0" w:line="360" w:lineRule="auto"/>
              <w:jc w:val="both"/>
              <w:rPr>
                <w:rFonts w:ascii="Times New Roman" w:hAnsi="Times New Roman" w:cs="Times New Roman"/>
                <w:b/>
                <w:bCs/>
              </w:rPr>
            </w:pPr>
          </w:p>
        </w:tc>
        <w:tc>
          <w:tcPr>
            <w:tcW w:w="1121" w:type="dxa"/>
            <w:noWrap/>
          </w:tcPr>
          <w:p>
            <w:pPr>
              <w:spacing w:after="0" w:line="360" w:lineRule="auto"/>
              <w:jc w:val="both"/>
              <w:rPr>
                <w:rFonts w:ascii="Times New Roman" w:hAnsi="Times New Roman" w:cs="Times New Roman"/>
              </w:rPr>
            </w:pPr>
          </w:p>
        </w:tc>
        <w:tc>
          <w:tcPr>
            <w:tcW w:w="1531" w:type="dxa"/>
            <w:noWrap/>
          </w:tcPr>
          <w:p>
            <w:pPr>
              <w:spacing w:after="0" w:line="360" w:lineRule="auto"/>
              <w:jc w:val="both"/>
              <w:rPr>
                <w:rFonts w:ascii="Times New Roman" w:hAnsi="Times New Roman" w:cs="Times New Roman"/>
              </w:rPr>
            </w:pPr>
          </w:p>
        </w:tc>
        <w:tc>
          <w:tcPr>
            <w:tcW w:w="1298" w:type="dxa"/>
            <w:noWrap/>
          </w:tcPr>
          <w:p>
            <w:pPr>
              <w:spacing w:after="0" w:line="360" w:lineRule="auto"/>
              <w:jc w:val="both"/>
              <w:rPr>
                <w:rFonts w:ascii="Times New Roman" w:hAnsi="Times New Roman" w:cs="Times New Roman"/>
              </w:rPr>
            </w:pPr>
          </w:p>
        </w:tc>
        <w:tc>
          <w:tcPr>
            <w:tcW w:w="1082" w:type="dxa"/>
            <w:noWrap/>
          </w:tcPr>
          <w:p>
            <w:pPr>
              <w:spacing w:after="0" w:line="360" w:lineRule="auto"/>
              <w:jc w:val="both"/>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009" w:type="dxa"/>
            <w:noWrap/>
          </w:tcPr>
          <w:p>
            <w:pPr>
              <w:spacing w:after="0" w:line="360" w:lineRule="auto"/>
              <w:jc w:val="both"/>
              <w:rPr>
                <w:rFonts w:ascii="Times New Roman" w:hAnsi="Times New Roman" w:cs="Times New Roman"/>
                <w:b/>
                <w:bCs/>
              </w:rPr>
            </w:pPr>
            <w:r>
              <w:rPr>
                <w:rFonts w:ascii="Times New Roman" w:hAnsi="Times New Roman" w:cs="Times New Roman"/>
                <w:b/>
                <w:bCs/>
              </w:rPr>
              <w:t>Gender/satisfaction level</w:t>
            </w:r>
          </w:p>
        </w:tc>
        <w:tc>
          <w:tcPr>
            <w:tcW w:w="1314" w:type="dxa"/>
            <w:noWrap/>
          </w:tcPr>
          <w:p>
            <w:pPr>
              <w:spacing w:after="0" w:line="360" w:lineRule="auto"/>
              <w:jc w:val="both"/>
              <w:rPr>
                <w:rFonts w:ascii="Times New Roman" w:hAnsi="Times New Roman" w:cs="Times New Roman"/>
                <w:b/>
                <w:bCs/>
              </w:rPr>
            </w:pPr>
            <w:r>
              <w:rPr>
                <w:rFonts w:ascii="Times New Roman" w:hAnsi="Times New Roman" w:cs="Times New Roman"/>
                <w:b/>
                <w:bCs/>
              </w:rPr>
              <w:t>Dissatisfied</w:t>
            </w:r>
          </w:p>
        </w:tc>
        <w:tc>
          <w:tcPr>
            <w:tcW w:w="995" w:type="dxa"/>
            <w:noWrap/>
          </w:tcPr>
          <w:p>
            <w:pPr>
              <w:spacing w:after="0" w:line="360" w:lineRule="auto"/>
              <w:jc w:val="both"/>
              <w:rPr>
                <w:rFonts w:ascii="Times New Roman" w:hAnsi="Times New Roman" w:cs="Times New Roman"/>
                <w:b/>
                <w:bCs/>
              </w:rPr>
            </w:pPr>
            <w:r>
              <w:rPr>
                <w:rFonts w:ascii="Times New Roman" w:hAnsi="Times New Roman" w:cs="Times New Roman"/>
                <w:b/>
                <w:bCs/>
              </w:rPr>
              <w:t>Neutral</w:t>
            </w:r>
          </w:p>
        </w:tc>
        <w:tc>
          <w:tcPr>
            <w:tcW w:w="1121" w:type="dxa"/>
            <w:noWrap/>
          </w:tcPr>
          <w:p>
            <w:pPr>
              <w:spacing w:after="0" w:line="360" w:lineRule="auto"/>
              <w:jc w:val="both"/>
              <w:rPr>
                <w:rFonts w:ascii="Times New Roman" w:hAnsi="Times New Roman" w:cs="Times New Roman"/>
                <w:b/>
                <w:bCs/>
              </w:rPr>
            </w:pPr>
            <w:r>
              <w:rPr>
                <w:rFonts w:ascii="Times New Roman" w:hAnsi="Times New Roman" w:cs="Times New Roman"/>
                <w:b/>
                <w:bCs/>
              </w:rPr>
              <w:t>Satisfied</w:t>
            </w:r>
          </w:p>
        </w:tc>
        <w:tc>
          <w:tcPr>
            <w:tcW w:w="1531" w:type="dxa"/>
            <w:noWrap/>
          </w:tcPr>
          <w:p>
            <w:pPr>
              <w:spacing w:after="0" w:line="360" w:lineRule="auto"/>
              <w:jc w:val="both"/>
              <w:rPr>
                <w:rFonts w:ascii="Times New Roman" w:hAnsi="Times New Roman" w:cs="Times New Roman"/>
                <w:b/>
                <w:bCs/>
              </w:rPr>
            </w:pPr>
            <w:r>
              <w:rPr>
                <w:rFonts w:ascii="Times New Roman" w:hAnsi="Times New Roman" w:cs="Times New Roman"/>
                <w:b/>
                <w:bCs/>
              </w:rPr>
              <w:t>Very Dissatisfied</w:t>
            </w:r>
          </w:p>
        </w:tc>
        <w:tc>
          <w:tcPr>
            <w:tcW w:w="1298" w:type="dxa"/>
            <w:noWrap/>
          </w:tcPr>
          <w:p>
            <w:pPr>
              <w:spacing w:after="0" w:line="360" w:lineRule="auto"/>
              <w:jc w:val="both"/>
              <w:rPr>
                <w:rFonts w:ascii="Times New Roman" w:hAnsi="Times New Roman" w:cs="Times New Roman"/>
                <w:b/>
                <w:bCs/>
              </w:rPr>
            </w:pPr>
            <w:r>
              <w:rPr>
                <w:rFonts w:ascii="Times New Roman" w:hAnsi="Times New Roman" w:cs="Times New Roman"/>
                <w:b/>
                <w:bCs/>
              </w:rPr>
              <w:t>Very Satisfied</w:t>
            </w:r>
          </w:p>
        </w:tc>
        <w:tc>
          <w:tcPr>
            <w:tcW w:w="1082"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009" w:type="dxa"/>
            <w:noWrap/>
          </w:tcPr>
          <w:p>
            <w:pPr>
              <w:spacing w:after="0" w:line="360" w:lineRule="auto"/>
              <w:jc w:val="both"/>
              <w:rPr>
                <w:rFonts w:ascii="Times New Roman" w:hAnsi="Times New Roman" w:cs="Times New Roman"/>
              </w:rPr>
            </w:pPr>
            <w:r>
              <w:rPr>
                <w:rFonts w:ascii="Times New Roman" w:hAnsi="Times New Roman" w:cs="Times New Roman"/>
              </w:rPr>
              <w:t>Female</w:t>
            </w:r>
          </w:p>
        </w:tc>
        <w:tc>
          <w:tcPr>
            <w:tcW w:w="1314" w:type="dxa"/>
            <w:noWrap/>
          </w:tcPr>
          <w:p>
            <w:pPr>
              <w:spacing w:after="0" w:line="360" w:lineRule="auto"/>
              <w:jc w:val="both"/>
              <w:rPr>
                <w:rFonts w:ascii="Times New Roman" w:hAnsi="Times New Roman" w:cs="Times New Roman"/>
              </w:rPr>
            </w:pPr>
            <w:r>
              <w:rPr>
                <w:rFonts w:ascii="Times New Roman" w:hAnsi="Times New Roman" w:cs="Times New Roman"/>
              </w:rPr>
              <w:t>8.00%</w:t>
            </w:r>
          </w:p>
        </w:tc>
        <w:tc>
          <w:tcPr>
            <w:tcW w:w="995" w:type="dxa"/>
            <w:noWrap/>
          </w:tcPr>
          <w:p>
            <w:pPr>
              <w:spacing w:after="0" w:line="360" w:lineRule="auto"/>
              <w:jc w:val="both"/>
              <w:rPr>
                <w:rFonts w:ascii="Times New Roman" w:hAnsi="Times New Roman" w:cs="Times New Roman"/>
              </w:rPr>
            </w:pPr>
            <w:r>
              <w:rPr>
                <w:rFonts w:ascii="Times New Roman" w:hAnsi="Times New Roman" w:cs="Times New Roman"/>
              </w:rPr>
              <w:t>6.00%</w:t>
            </w:r>
          </w:p>
        </w:tc>
        <w:tc>
          <w:tcPr>
            <w:tcW w:w="1121" w:type="dxa"/>
            <w:noWrap/>
          </w:tcPr>
          <w:p>
            <w:pPr>
              <w:spacing w:after="0" w:line="360" w:lineRule="auto"/>
              <w:jc w:val="both"/>
              <w:rPr>
                <w:rFonts w:ascii="Times New Roman" w:hAnsi="Times New Roman" w:cs="Times New Roman"/>
              </w:rPr>
            </w:pPr>
            <w:r>
              <w:rPr>
                <w:rFonts w:ascii="Times New Roman" w:hAnsi="Times New Roman" w:cs="Times New Roman"/>
              </w:rPr>
              <w:t>16.00%</w:t>
            </w:r>
          </w:p>
        </w:tc>
        <w:tc>
          <w:tcPr>
            <w:tcW w:w="1531" w:type="dxa"/>
            <w:noWrap/>
          </w:tcPr>
          <w:p>
            <w:pPr>
              <w:spacing w:after="0" w:line="360" w:lineRule="auto"/>
              <w:jc w:val="both"/>
              <w:rPr>
                <w:rFonts w:ascii="Times New Roman" w:hAnsi="Times New Roman" w:cs="Times New Roman"/>
              </w:rPr>
            </w:pPr>
            <w:r>
              <w:rPr>
                <w:rFonts w:ascii="Times New Roman" w:hAnsi="Times New Roman" w:cs="Times New Roman"/>
              </w:rPr>
              <w:t>4.00%</w:t>
            </w:r>
          </w:p>
        </w:tc>
        <w:tc>
          <w:tcPr>
            <w:tcW w:w="1298" w:type="dxa"/>
            <w:noWrap/>
          </w:tcPr>
          <w:p>
            <w:pPr>
              <w:spacing w:after="0" w:line="360" w:lineRule="auto"/>
              <w:jc w:val="both"/>
              <w:rPr>
                <w:rFonts w:ascii="Times New Roman" w:hAnsi="Times New Roman" w:cs="Times New Roman"/>
              </w:rPr>
            </w:pPr>
            <w:r>
              <w:rPr>
                <w:rFonts w:ascii="Times New Roman" w:hAnsi="Times New Roman" w:cs="Times New Roman"/>
              </w:rPr>
              <w:t>22.00%</w:t>
            </w:r>
          </w:p>
        </w:tc>
        <w:tc>
          <w:tcPr>
            <w:tcW w:w="1082" w:type="dxa"/>
            <w:noWrap/>
          </w:tcPr>
          <w:p>
            <w:pPr>
              <w:spacing w:after="0" w:line="360" w:lineRule="auto"/>
              <w:jc w:val="both"/>
              <w:rPr>
                <w:rFonts w:ascii="Times New Roman" w:hAnsi="Times New Roman" w:cs="Times New Roman"/>
              </w:rPr>
            </w:pPr>
            <w:r>
              <w:rPr>
                <w:rFonts w:ascii="Times New Roman" w:hAnsi="Times New Roman" w:cs="Times New Roman"/>
              </w:rPr>
              <w:t>56.00%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009" w:type="dxa"/>
            <w:noWrap/>
          </w:tcPr>
          <w:p>
            <w:pPr>
              <w:spacing w:after="0" w:line="360" w:lineRule="auto"/>
              <w:jc w:val="both"/>
              <w:rPr>
                <w:rFonts w:ascii="Times New Roman" w:hAnsi="Times New Roman" w:cs="Times New Roman"/>
              </w:rPr>
            </w:pPr>
            <w:r>
              <w:rPr>
                <w:rFonts w:ascii="Times New Roman" w:hAnsi="Times New Roman" w:cs="Times New Roman"/>
              </w:rPr>
              <w:t>Male</w:t>
            </w:r>
          </w:p>
        </w:tc>
        <w:tc>
          <w:tcPr>
            <w:tcW w:w="1314" w:type="dxa"/>
            <w:noWrap/>
          </w:tcPr>
          <w:p>
            <w:pPr>
              <w:spacing w:after="0" w:line="360" w:lineRule="auto"/>
              <w:jc w:val="both"/>
              <w:rPr>
                <w:rFonts w:ascii="Times New Roman" w:hAnsi="Times New Roman" w:cs="Times New Roman"/>
              </w:rPr>
            </w:pPr>
            <w:r>
              <w:rPr>
                <w:rFonts w:ascii="Times New Roman" w:hAnsi="Times New Roman" w:cs="Times New Roman"/>
              </w:rPr>
              <w:t>14.00%</w:t>
            </w:r>
          </w:p>
        </w:tc>
        <w:tc>
          <w:tcPr>
            <w:tcW w:w="995" w:type="dxa"/>
            <w:noWrap/>
          </w:tcPr>
          <w:p>
            <w:pPr>
              <w:spacing w:after="0" w:line="360" w:lineRule="auto"/>
              <w:jc w:val="both"/>
              <w:rPr>
                <w:rFonts w:ascii="Times New Roman" w:hAnsi="Times New Roman" w:cs="Times New Roman"/>
              </w:rPr>
            </w:pPr>
            <w:r>
              <w:rPr>
                <w:rFonts w:ascii="Times New Roman" w:hAnsi="Times New Roman" w:cs="Times New Roman"/>
              </w:rPr>
              <w:t>4.00%</w:t>
            </w:r>
          </w:p>
        </w:tc>
        <w:tc>
          <w:tcPr>
            <w:tcW w:w="1121" w:type="dxa"/>
            <w:noWrap/>
          </w:tcPr>
          <w:p>
            <w:pPr>
              <w:spacing w:after="0" w:line="360" w:lineRule="auto"/>
              <w:jc w:val="both"/>
              <w:rPr>
                <w:rFonts w:ascii="Times New Roman" w:hAnsi="Times New Roman" w:cs="Times New Roman"/>
              </w:rPr>
            </w:pPr>
            <w:r>
              <w:rPr>
                <w:rFonts w:ascii="Times New Roman" w:hAnsi="Times New Roman" w:cs="Times New Roman"/>
              </w:rPr>
              <w:t>14.00%</w:t>
            </w:r>
          </w:p>
        </w:tc>
        <w:tc>
          <w:tcPr>
            <w:tcW w:w="1531" w:type="dxa"/>
            <w:noWrap/>
          </w:tcPr>
          <w:p>
            <w:pPr>
              <w:spacing w:after="0" w:line="360" w:lineRule="auto"/>
              <w:jc w:val="both"/>
              <w:rPr>
                <w:rFonts w:ascii="Times New Roman" w:hAnsi="Times New Roman" w:cs="Times New Roman"/>
              </w:rPr>
            </w:pPr>
            <w:r>
              <w:rPr>
                <w:rFonts w:ascii="Times New Roman" w:hAnsi="Times New Roman" w:cs="Times New Roman"/>
              </w:rPr>
              <w:t>4.00%</w:t>
            </w:r>
          </w:p>
        </w:tc>
        <w:tc>
          <w:tcPr>
            <w:tcW w:w="1298" w:type="dxa"/>
            <w:noWrap/>
          </w:tcPr>
          <w:p>
            <w:pPr>
              <w:spacing w:after="0" w:line="360" w:lineRule="auto"/>
              <w:jc w:val="both"/>
              <w:rPr>
                <w:rFonts w:ascii="Times New Roman" w:hAnsi="Times New Roman" w:cs="Times New Roman"/>
              </w:rPr>
            </w:pPr>
            <w:r>
              <w:rPr>
                <w:rFonts w:ascii="Times New Roman" w:hAnsi="Times New Roman" w:cs="Times New Roman"/>
              </w:rPr>
              <w:t>8.00%</w:t>
            </w:r>
          </w:p>
        </w:tc>
        <w:tc>
          <w:tcPr>
            <w:tcW w:w="1082" w:type="dxa"/>
            <w:noWrap/>
          </w:tcPr>
          <w:p>
            <w:pPr>
              <w:spacing w:after="0" w:line="360" w:lineRule="auto"/>
              <w:jc w:val="both"/>
              <w:rPr>
                <w:rFonts w:ascii="Times New Roman" w:hAnsi="Times New Roman" w:cs="Times New Roman"/>
              </w:rPr>
            </w:pPr>
            <w:r>
              <w:rPr>
                <w:rFonts w:ascii="Times New Roman" w:hAnsi="Times New Roman" w:cs="Times New Roman"/>
              </w:rPr>
              <w:t>44.00%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2009"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c>
          <w:tcPr>
            <w:tcW w:w="1314" w:type="dxa"/>
            <w:noWrap/>
          </w:tcPr>
          <w:p>
            <w:pPr>
              <w:spacing w:after="0" w:line="360" w:lineRule="auto"/>
              <w:jc w:val="both"/>
              <w:rPr>
                <w:rFonts w:ascii="Times New Roman" w:hAnsi="Times New Roman" w:cs="Times New Roman"/>
                <w:b/>
                <w:bCs/>
              </w:rPr>
            </w:pPr>
            <w:r>
              <w:rPr>
                <w:rFonts w:ascii="Times New Roman" w:hAnsi="Times New Roman" w:cs="Times New Roman"/>
                <w:b/>
                <w:bCs/>
              </w:rPr>
              <w:t>22.00%</w:t>
            </w:r>
          </w:p>
        </w:tc>
        <w:tc>
          <w:tcPr>
            <w:tcW w:w="995" w:type="dxa"/>
            <w:noWrap/>
          </w:tcPr>
          <w:p>
            <w:pPr>
              <w:spacing w:after="0" w:line="360" w:lineRule="auto"/>
              <w:jc w:val="both"/>
              <w:rPr>
                <w:rFonts w:ascii="Times New Roman" w:hAnsi="Times New Roman" w:cs="Times New Roman"/>
                <w:b/>
                <w:bCs/>
              </w:rPr>
            </w:pPr>
            <w:r>
              <w:rPr>
                <w:rFonts w:ascii="Times New Roman" w:hAnsi="Times New Roman" w:cs="Times New Roman"/>
                <w:b/>
                <w:bCs/>
              </w:rPr>
              <w:t>10.00%</w:t>
            </w:r>
          </w:p>
        </w:tc>
        <w:tc>
          <w:tcPr>
            <w:tcW w:w="1121" w:type="dxa"/>
            <w:noWrap/>
          </w:tcPr>
          <w:p>
            <w:pPr>
              <w:spacing w:after="0" w:line="360" w:lineRule="auto"/>
              <w:jc w:val="both"/>
              <w:rPr>
                <w:rFonts w:ascii="Times New Roman" w:hAnsi="Times New Roman" w:cs="Times New Roman"/>
                <w:b/>
                <w:bCs/>
              </w:rPr>
            </w:pPr>
            <w:r>
              <w:rPr>
                <w:rFonts w:ascii="Times New Roman" w:hAnsi="Times New Roman" w:cs="Times New Roman"/>
                <w:b/>
                <w:bCs/>
              </w:rPr>
              <w:t>30.00%</w:t>
            </w:r>
          </w:p>
        </w:tc>
        <w:tc>
          <w:tcPr>
            <w:tcW w:w="1531" w:type="dxa"/>
            <w:noWrap/>
          </w:tcPr>
          <w:p>
            <w:pPr>
              <w:spacing w:after="0" w:line="360" w:lineRule="auto"/>
              <w:jc w:val="both"/>
              <w:rPr>
                <w:rFonts w:ascii="Times New Roman" w:hAnsi="Times New Roman" w:cs="Times New Roman"/>
                <w:b/>
                <w:bCs/>
              </w:rPr>
            </w:pPr>
            <w:r>
              <w:rPr>
                <w:rFonts w:ascii="Times New Roman" w:hAnsi="Times New Roman" w:cs="Times New Roman"/>
                <w:b/>
                <w:bCs/>
              </w:rPr>
              <w:t>8.00%</w:t>
            </w:r>
          </w:p>
        </w:tc>
        <w:tc>
          <w:tcPr>
            <w:tcW w:w="1298" w:type="dxa"/>
            <w:noWrap/>
          </w:tcPr>
          <w:p>
            <w:pPr>
              <w:spacing w:after="0" w:line="360" w:lineRule="auto"/>
              <w:jc w:val="both"/>
              <w:rPr>
                <w:rFonts w:ascii="Times New Roman" w:hAnsi="Times New Roman" w:cs="Times New Roman"/>
                <w:b/>
                <w:bCs/>
              </w:rPr>
            </w:pPr>
            <w:r>
              <w:rPr>
                <w:rFonts w:ascii="Times New Roman" w:hAnsi="Times New Roman" w:cs="Times New Roman"/>
                <w:b/>
                <w:bCs/>
              </w:rPr>
              <w:t>30.00%</w:t>
            </w:r>
          </w:p>
        </w:tc>
        <w:tc>
          <w:tcPr>
            <w:tcW w:w="1082" w:type="dxa"/>
            <w:noWrap/>
          </w:tcPr>
          <w:p>
            <w:pPr>
              <w:spacing w:after="0" w:line="360" w:lineRule="auto"/>
              <w:jc w:val="both"/>
              <w:rPr>
                <w:rFonts w:ascii="Times New Roman" w:hAnsi="Times New Roman" w:cs="Times New Roman"/>
                <w:b/>
                <w:bCs/>
              </w:rPr>
            </w:pPr>
            <w:r>
              <w:rPr>
                <w:rFonts w:ascii="Times New Roman" w:hAnsi="Times New Roman" w:cs="Times New Roman"/>
                <w:b/>
                <w:bCs/>
              </w:rPr>
              <w:t>100.00%</w:t>
            </w:r>
          </w:p>
        </w:tc>
      </w:tr>
    </w:tbl>
    <w:p>
      <w:pPr>
        <w:spacing w:line="360" w:lineRule="auto"/>
        <w:jc w:val="both"/>
        <w:rPr>
          <w:rFonts w:ascii="Times New Roman" w:hAnsi="Times New Roman" w:cs="Times New Roman"/>
        </w:rPr>
      </w:pPr>
    </w:p>
    <w:p>
      <w:pPr>
        <w:spacing w:line="360" w:lineRule="auto"/>
        <w:jc w:val="both"/>
        <w:rPr>
          <w:rFonts w:ascii="Times New Roman" w:hAnsi="Times New Roman" w:cs="Times New Roman"/>
        </w:rPr>
      </w:pPr>
      <w:r>
        <w:rPr>
          <w:rFonts w:ascii="Times New Roman" w:hAnsi="Times New Roman" w:cs="Times New Roman"/>
        </w:rPr>
        <w:t>The findings in the table above show that 30% of the participants were very satisfied, 30% were also satisfied, 22% were Dissatisfied, 10% were Neutral and 8% very dissatisfied. Of those who were very satisfied, 22% were female while 8% were male. Of those who were satisfied, 16% were female and 14% were male. 14% of those were dissatisfied were males. Those more females than males reported being satisfied and more males than females reported being dissatisfied with the service.</w:t>
      </w:r>
    </w:p>
    <w:p>
      <w:pPr>
        <w:pStyle w:val="5"/>
        <w:numPr>
          <w:ilvl w:val="3"/>
          <w:numId w:val="1"/>
        </w:numPr>
      </w:pPr>
      <w:r>
        <w:t>Problem Areas</w:t>
      </w:r>
    </w:p>
    <w:p>
      <w:pPr>
        <w:spacing w:line="360" w:lineRule="auto"/>
        <w:jc w:val="both"/>
        <w:rPr>
          <w:rFonts w:ascii="Times New Roman" w:hAnsi="Times New Roman" w:cs="Times New Roman"/>
        </w:rPr>
      </w:pPr>
      <w:r>
        <w:rPr>
          <w:rFonts w:ascii="Times New Roman" w:hAnsi="Times New Roman" w:cs="Times New Roman"/>
        </w:rPr>
        <w:t>The study also sought to understand where the nature of the problem they had with the firm emanated from. The following table shows problems identified by gender.</w:t>
      </w:r>
    </w:p>
    <w:tbl>
      <w:tblPr>
        <w:tblStyle w:val="12"/>
        <w:tblW w:w="9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8"/>
        <w:gridCol w:w="2226"/>
        <w:gridCol w:w="1205"/>
        <w:gridCol w:w="1205"/>
        <w:gridCol w:w="1205"/>
        <w:gridCol w:w="1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trPr>
        <w:tc>
          <w:tcPr>
            <w:tcW w:w="2278" w:type="dxa"/>
            <w:vMerge w:val="restart"/>
            <w:noWrap/>
          </w:tcPr>
          <w:p>
            <w:pPr>
              <w:spacing w:after="0" w:line="360" w:lineRule="auto"/>
              <w:jc w:val="both"/>
              <w:rPr>
                <w:rFonts w:ascii="Times New Roman" w:hAnsi="Times New Roman" w:cs="Times New Roman"/>
                <w:b/>
                <w:bCs/>
              </w:rPr>
            </w:pPr>
            <w:r>
              <w:rPr>
                <w:rFonts w:ascii="Times New Roman" w:hAnsi="Times New Roman" w:cs="Times New Roman"/>
                <w:b/>
                <w:bCs/>
              </w:rPr>
              <w:t xml:space="preserve"> Problem/Gender</w:t>
            </w:r>
          </w:p>
        </w:tc>
        <w:tc>
          <w:tcPr>
            <w:tcW w:w="2226" w:type="dxa"/>
            <w:noWrap/>
          </w:tcPr>
          <w:p>
            <w:pPr>
              <w:spacing w:after="0" w:line="360" w:lineRule="auto"/>
              <w:jc w:val="both"/>
              <w:rPr>
                <w:rFonts w:ascii="Times New Roman" w:hAnsi="Times New Roman" w:cs="Times New Roman"/>
                <w:b/>
                <w:bCs/>
              </w:rPr>
            </w:pPr>
          </w:p>
        </w:tc>
        <w:tc>
          <w:tcPr>
            <w:tcW w:w="1205" w:type="dxa"/>
            <w:noWrap/>
          </w:tcPr>
          <w:p>
            <w:pPr>
              <w:spacing w:after="0" w:line="360" w:lineRule="auto"/>
              <w:jc w:val="both"/>
              <w:rPr>
                <w:rFonts w:ascii="Times New Roman" w:hAnsi="Times New Roman" w:cs="Times New Roman"/>
                <w:b/>
                <w:bCs/>
              </w:rPr>
            </w:pPr>
          </w:p>
        </w:tc>
        <w:tc>
          <w:tcPr>
            <w:tcW w:w="1205" w:type="dxa"/>
            <w:noWrap/>
          </w:tcPr>
          <w:p>
            <w:pPr>
              <w:spacing w:after="0" w:line="360" w:lineRule="auto"/>
              <w:jc w:val="both"/>
              <w:rPr>
                <w:rFonts w:ascii="Times New Roman" w:hAnsi="Times New Roman" w:cs="Times New Roman"/>
              </w:rPr>
            </w:pPr>
          </w:p>
        </w:tc>
        <w:tc>
          <w:tcPr>
            <w:tcW w:w="1205" w:type="dxa"/>
            <w:noWrap/>
          </w:tcPr>
          <w:p>
            <w:pPr>
              <w:spacing w:after="0" w:line="360" w:lineRule="auto"/>
              <w:jc w:val="both"/>
              <w:rPr>
                <w:rFonts w:ascii="Times New Roman" w:hAnsi="Times New Roman" w:cs="Times New Roman"/>
              </w:rPr>
            </w:pPr>
          </w:p>
        </w:tc>
        <w:tc>
          <w:tcPr>
            <w:tcW w:w="1527" w:type="dxa"/>
            <w:noWrap/>
          </w:tcPr>
          <w:p>
            <w:pPr>
              <w:spacing w:after="0" w:line="360" w:lineRule="auto"/>
              <w:jc w:val="both"/>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trPr>
        <w:tc>
          <w:tcPr>
            <w:tcW w:w="2278" w:type="dxa"/>
            <w:vMerge w:val="continue"/>
            <w:noWrap/>
          </w:tcPr>
          <w:p>
            <w:pPr>
              <w:spacing w:after="0" w:line="360" w:lineRule="auto"/>
              <w:jc w:val="both"/>
              <w:rPr>
                <w:rFonts w:ascii="Times New Roman" w:hAnsi="Times New Roman" w:cs="Times New Roman"/>
                <w:b/>
                <w:bCs/>
              </w:rPr>
            </w:pPr>
          </w:p>
        </w:tc>
        <w:tc>
          <w:tcPr>
            <w:tcW w:w="2226" w:type="dxa"/>
            <w:noWrap/>
          </w:tcPr>
          <w:p>
            <w:pPr>
              <w:spacing w:after="0" w:line="360" w:lineRule="auto"/>
              <w:jc w:val="both"/>
              <w:rPr>
                <w:rFonts w:ascii="Times New Roman" w:hAnsi="Times New Roman" w:cs="Times New Roman"/>
                <w:b/>
                <w:bCs/>
              </w:rPr>
            </w:pPr>
            <w:r>
              <w:rPr>
                <w:rFonts w:ascii="Times New Roman" w:hAnsi="Times New Roman" w:cs="Times New Roman"/>
                <w:b/>
                <w:bCs/>
              </w:rPr>
              <w:t>Environment</w:t>
            </w:r>
          </w:p>
        </w:tc>
        <w:tc>
          <w:tcPr>
            <w:tcW w:w="1205" w:type="dxa"/>
            <w:noWrap/>
          </w:tcPr>
          <w:p>
            <w:pPr>
              <w:spacing w:after="0" w:line="360" w:lineRule="auto"/>
              <w:jc w:val="both"/>
              <w:rPr>
                <w:rFonts w:ascii="Times New Roman" w:hAnsi="Times New Roman" w:cs="Times New Roman"/>
                <w:b/>
                <w:bCs/>
              </w:rPr>
            </w:pPr>
            <w:r>
              <w:rPr>
                <w:rFonts w:ascii="Times New Roman" w:hAnsi="Times New Roman" w:cs="Times New Roman"/>
                <w:b/>
                <w:bCs/>
              </w:rPr>
              <w:t>Food</w:t>
            </w:r>
          </w:p>
        </w:tc>
        <w:tc>
          <w:tcPr>
            <w:tcW w:w="1205" w:type="dxa"/>
            <w:noWrap/>
          </w:tcPr>
          <w:p>
            <w:pPr>
              <w:spacing w:after="0" w:line="360" w:lineRule="auto"/>
              <w:jc w:val="both"/>
              <w:rPr>
                <w:rFonts w:ascii="Times New Roman" w:hAnsi="Times New Roman" w:cs="Times New Roman"/>
                <w:b/>
                <w:bCs/>
              </w:rPr>
            </w:pPr>
            <w:r>
              <w:rPr>
                <w:rFonts w:ascii="Times New Roman" w:hAnsi="Times New Roman" w:cs="Times New Roman"/>
                <w:b/>
                <w:bCs/>
              </w:rPr>
              <w:t>Service</w:t>
            </w:r>
          </w:p>
        </w:tc>
        <w:tc>
          <w:tcPr>
            <w:tcW w:w="1205" w:type="dxa"/>
            <w:noWrap/>
          </w:tcPr>
          <w:p>
            <w:pPr>
              <w:spacing w:after="0" w:line="360" w:lineRule="auto"/>
              <w:jc w:val="both"/>
              <w:rPr>
                <w:rFonts w:ascii="Times New Roman" w:hAnsi="Times New Roman" w:cs="Times New Roman"/>
                <w:b/>
                <w:bCs/>
              </w:rPr>
            </w:pPr>
            <w:r>
              <w:rPr>
                <w:rFonts w:ascii="Times New Roman" w:hAnsi="Times New Roman" w:cs="Times New Roman"/>
                <w:b/>
                <w:bCs/>
              </w:rPr>
              <w:t>Staff</w:t>
            </w:r>
          </w:p>
        </w:tc>
        <w:tc>
          <w:tcPr>
            <w:tcW w:w="1527"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trPr>
        <w:tc>
          <w:tcPr>
            <w:tcW w:w="2278" w:type="dxa"/>
            <w:noWrap/>
          </w:tcPr>
          <w:p>
            <w:pPr>
              <w:spacing w:after="0" w:line="360" w:lineRule="auto"/>
              <w:jc w:val="both"/>
              <w:rPr>
                <w:rFonts w:ascii="Times New Roman" w:hAnsi="Times New Roman" w:cs="Times New Roman"/>
              </w:rPr>
            </w:pPr>
            <w:r>
              <w:rPr>
                <w:rFonts w:ascii="Times New Roman" w:hAnsi="Times New Roman" w:cs="Times New Roman"/>
              </w:rPr>
              <w:t>Female</w:t>
            </w:r>
          </w:p>
        </w:tc>
        <w:tc>
          <w:tcPr>
            <w:tcW w:w="2226" w:type="dxa"/>
            <w:noWrap/>
          </w:tcPr>
          <w:p>
            <w:pPr>
              <w:spacing w:after="0" w:line="360" w:lineRule="auto"/>
              <w:jc w:val="both"/>
              <w:rPr>
                <w:rFonts w:ascii="Times New Roman" w:hAnsi="Times New Roman" w:cs="Times New Roman"/>
              </w:rPr>
            </w:pPr>
            <w:r>
              <w:rPr>
                <w:rFonts w:ascii="Times New Roman" w:hAnsi="Times New Roman" w:cs="Times New Roman"/>
              </w:rPr>
              <w:t>4.00%</w:t>
            </w:r>
          </w:p>
        </w:tc>
        <w:tc>
          <w:tcPr>
            <w:tcW w:w="1205" w:type="dxa"/>
            <w:noWrap/>
          </w:tcPr>
          <w:p>
            <w:pPr>
              <w:spacing w:after="0" w:line="360" w:lineRule="auto"/>
              <w:jc w:val="both"/>
              <w:rPr>
                <w:rFonts w:ascii="Times New Roman" w:hAnsi="Times New Roman" w:cs="Times New Roman"/>
              </w:rPr>
            </w:pPr>
            <w:r>
              <w:rPr>
                <w:rFonts w:ascii="Times New Roman" w:hAnsi="Times New Roman" w:cs="Times New Roman"/>
              </w:rPr>
              <w:t>22.00%</w:t>
            </w:r>
          </w:p>
        </w:tc>
        <w:tc>
          <w:tcPr>
            <w:tcW w:w="1205" w:type="dxa"/>
            <w:noWrap/>
          </w:tcPr>
          <w:p>
            <w:pPr>
              <w:spacing w:after="0" w:line="360" w:lineRule="auto"/>
              <w:jc w:val="both"/>
              <w:rPr>
                <w:rFonts w:ascii="Times New Roman" w:hAnsi="Times New Roman" w:cs="Times New Roman"/>
              </w:rPr>
            </w:pPr>
            <w:r>
              <w:rPr>
                <w:rFonts w:ascii="Times New Roman" w:hAnsi="Times New Roman" w:cs="Times New Roman"/>
              </w:rPr>
              <w:t>14.00%</w:t>
            </w:r>
          </w:p>
        </w:tc>
        <w:tc>
          <w:tcPr>
            <w:tcW w:w="1205" w:type="dxa"/>
            <w:noWrap/>
          </w:tcPr>
          <w:p>
            <w:pPr>
              <w:spacing w:after="0" w:line="360" w:lineRule="auto"/>
              <w:jc w:val="both"/>
              <w:rPr>
                <w:rFonts w:ascii="Times New Roman" w:hAnsi="Times New Roman" w:cs="Times New Roman"/>
              </w:rPr>
            </w:pPr>
            <w:r>
              <w:rPr>
                <w:rFonts w:ascii="Times New Roman" w:hAnsi="Times New Roman" w:cs="Times New Roman"/>
              </w:rPr>
              <w:t>16.00%</w:t>
            </w:r>
          </w:p>
        </w:tc>
        <w:tc>
          <w:tcPr>
            <w:tcW w:w="1527" w:type="dxa"/>
            <w:noWrap/>
          </w:tcPr>
          <w:p>
            <w:pPr>
              <w:spacing w:after="0" w:line="360" w:lineRule="auto"/>
              <w:jc w:val="both"/>
              <w:rPr>
                <w:rFonts w:ascii="Times New Roman" w:hAnsi="Times New Roman" w:cs="Times New Roman"/>
              </w:rPr>
            </w:pPr>
            <w:r>
              <w:rPr>
                <w:rFonts w:ascii="Times New Roman" w:hAnsi="Times New Roman" w:cs="Times New Roman"/>
              </w:rPr>
              <w:t>56.00%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trPr>
        <w:tc>
          <w:tcPr>
            <w:tcW w:w="2278" w:type="dxa"/>
            <w:noWrap/>
          </w:tcPr>
          <w:p>
            <w:pPr>
              <w:spacing w:after="0" w:line="360" w:lineRule="auto"/>
              <w:jc w:val="both"/>
              <w:rPr>
                <w:rFonts w:ascii="Times New Roman" w:hAnsi="Times New Roman" w:cs="Times New Roman"/>
              </w:rPr>
            </w:pPr>
            <w:r>
              <w:rPr>
                <w:rFonts w:ascii="Times New Roman" w:hAnsi="Times New Roman" w:cs="Times New Roman"/>
              </w:rPr>
              <w:t>Male</w:t>
            </w:r>
          </w:p>
        </w:tc>
        <w:tc>
          <w:tcPr>
            <w:tcW w:w="2226" w:type="dxa"/>
            <w:noWrap/>
          </w:tcPr>
          <w:p>
            <w:pPr>
              <w:spacing w:after="0" w:line="360" w:lineRule="auto"/>
              <w:jc w:val="both"/>
              <w:rPr>
                <w:rFonts w:ascii="Times New Roman" w:hAnsi="Times New Roman" w:cs="Times New Roman"/>
              </w:rPr>
            </w:pPr>
            <w:r>
              <w:rPr>
                <w:rFonts w:ascii="Times New Roman" w:hAnsi="Times New Roman" w:cs="Times New Roman"/>
              </w:rPr>
              <w:t>10.00%</w:t>
            </w:r>
          </w:p>
        </w:tc>
        <w:tc>
          <w:tcPr>
            <w:tcW w:w="1205" w:type="dxa"/>
            <w:noWrap/>
          </w:tcPr>
          <w:p>
            <w:pPr>
              <w:spacing w:after="0" w:line="360" w:lineRule="auto"/>
              <w:jc w:val="both"/>
              <w:rPr>
                <w:rFonts w:ascii="Times New Roman" w:hAnsi="Times New Roman" w:cs="Times New Roman"/>
              </w:rPr>
            </w:pPr>
            <w:r>
              <w:rPr>
                <w:rFonts w:ascii="Times New Roman" w:hAnsi="Times New Roman" w:cs="Times New Roman"/>
              </w:rPr>
              <w:t>2.00%</w:t>
            </w:r>
          </w:p>
        </w:tc>
        <w:tc>
          <w:tcPr>
            <w:tcW w:w="1205" w:type="dxa"/>
            <w:noWrap/>
          </w:tcPr>
          <w:p>
            <w:pPr>
              <w:spacing w:after="0" w:line="360" w:lineRule="auto"/>
              <w:jc w:val="both"/>
              <w:rPr>
                <w:rFonts w:ascii="Times New Roman" w:hAnsi="Times New Roman" w:cs="Times New Roman"/>
              </w:rPr>
            </w:pPr>
            <w:r>
              <w:rPr>
                <w:rFonts w:ascii="Times New Roman" w:hAnsi="Times New Roman" w:cs="Times New Roman"/>
              </w:rPr>
              <w:t>18.00%</w:t>
            </w:r>
          </w:p>
        </w:tc>
        <w:tc>
          <w:tcPr>
            <w:tcW w:w="1205" w:type="dxa"/>
            <w:noWrap/>
          </w:tcPr>
          <w:p>
            <w:pPr>
              <w:spacing w:after="0" w:line="360" w:lineRule="auto"/>
              <w:jc w:val="both"/>
              <w:rPr>
                <w:rFonts w:ascii="Times New Roman" w:hAnsi="Times New Roman" w:cs="Times New Roman"/>
              </w:rPr>
            </w:pPr>
            <w:r>
              <w:rPr>
                <w:rFonts w:ascii="Times New Roman" w:hAnsi="Times New Roman" w:cs="Times New Roman"/>
              </w:rPr>
              <w:t>14.00%</w:t>
            </w:r>
          </w:p>
        </w:tc>
        <w:tc>
          <w:tcPr>
            <w:tcW w:w="1527" w:type="dxa"/>
            <w:noWrap/>
          </w:tcPr>
          <w:p>
            <w:pPr>
              <w:spacing w:after="0" w:line="360" w:lineRule="auto"/>
              <w:jc w:val="both"/>
              <w:rPr>
                <w:rFonts w:ascii="Times New Roman" w:hAnsi="Times New Roman" w:cs="Times New Roman"/>
              </w:rPr>
            </w:pPr>
            <w:r>
              <w:rPr>
                <w:rFonts w:ascii="Times New Roman" w:hAnsi="Times New Roman" w:cs="Times New Roman"/>
              </w:rPr>
              <w:t>44.00%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7" w:hRule="atLeast"/>
        </w:trPr>
        <w:tc>
          <w:tcPr>
            <w:tcW w:w="2278" w:type="dxa"/>
            <w:noWrap/>
          </w:tcPr>
          <w:p>
            <w:pPr>
              <w:spacing w:after="0" w:line="360" w:lineRule="auto"/>
              <w:jc w:val="both"/>
              <w:rPr>
                <w:rFonts w:ascii="Times New Roman" w:hAnsi="Times New Roman" w:cs="Times New Roman"/>
                <w:b/>
                <w:bCs/>
              </w:rPr>
            </w:pPr>
            <w:r>
              <w:rPr>
                <w:rFonts w:ascii="Times New Roman" w:hAnsi="Times New Roman" w:cs="Times New Roman"/>
                <w:b/>
                <w:bCs/>
              </w:rPr>
              <w:t>Grand Total</w:t>
            </w:r>
          </w:p>
        </w:tc>
        <w:tc>
          <w:tcPr>
            <w:tcW w:w="2226" w:type="dxa"/>
            <w:noWrap/>
          </w:tcPr>
          <w:p>
            <w:pPr>
              <w:spacing w:after="0" w:line="360" w:lineRule="auto"/>
              <w:jc w:val="both"/>
              <w:rPr>
                <w:rFonts w:ascii="Times New Roman" w:hAnsi="Times New Roman" w:cs="Times New Roman"/>
                <w:b/>
                <w:bCs/>
              </w:rPr>
            </w:pPr>
            <w:r>
              <w:rPr>
                <w:rFonts w:ascii="Times New Roman" w:hAnsi="Times New Roman" w:cs="Times New Roman"/>
                <w:b/>
                <w:bCs/>
              </w:rPr>
              <w:t>14.00%</w:t>
            </w:r>
          </w:p>
        </w:tc>
        <w:tc>
          <w:tcPr>
            <w:tcW w:w="1205" w:type="dxa"/>
            <w:noWrap/>
          </w:tcPr>
          <w:p>
            <w:pPr>
              <w:spacing w:after="0" w:line="360" w:lineRule="auto"/>
              <w:jc w:val="both"/>
              <w:rPr>
                <w:rFonts w:ascii="Times New Roman" w:hAnsi="Times New Roman" w:cs="Times New Roman"/>
                <w:b/>
                <w:bCs/>
              </w:rPr>
            </w:pPr>
            <w:r>
              <w:rPr>
                <w:rFonts w:ascii="Times New Roman" w:hAnsi="Times New Roman" w:cs="Times New Roman"/>
                <w:b/>
                <w:bCs/>
              </w:rPr>
              <w:t>24.00%</w:t>
            </w:r>
          </w:p>
        </w:tc>
        <w:tc>
          <w:tcPr>
            <w:tcW w:w="1205" w:type="dxa"/>
            <w:noWrap/>
          </w:tcPr>
          <w:p>
            <w:pPr>
              <w:spacing w:after="0" w:line="360" w:lineRule="auto"/>
              <w:jc w:val="both"/>
              <w:rPr>
                <w:rFonts w:ascii="Times New Roman" w:hAnsi="Times New Roman" w:cs="Times New Roman"/>
                <w:b/>
                <w:bCs/>
              </w:rPr>
            </w:pPr>
            <w:r>
              <w:rPr>
                <w:rFonts w:ascii="Times New Roman" w:hAnsi="Times New Roman" w:cs="Times New Roman"/>
                <w:b/>
                <w:bCs/>
              </w:rPr>
              <w:t>32.00%</w:t>
            </w:r>
          </w:p>
        </w:tc>
        <w:tc>
          <w:tcPr>
            <w:tcW w:w="1205" w:type="dxa"/>
            <w:noWrap/>
          </w:tcPr>
          <w:p>
            <w:pPr>
              <w:spacing w:after="0" w:line="360" w:lineRule="auto"/>
              <w:jc w:val="both"/>
              <w:rPr>
                <w:rFonts w:ascii="Times New Roman" w:hAnsi="Times New Roman" w:cs="Times New Roman"/>
                <w:b/>
                <w:bCs/>
              </w:rPr>
            </w:pPr>
            <w:r>
              <w:rPr>
                <w:rFonts w:ascii="Times New Roman" w:hAnsi="Times New Roman" w:cs="Times New Roman"/>
                <w:b/>
                <w:bCs/>
              </w:rPr>
              <w:t>30.00%</w:t>
            </w:r>
          </w:p>
        </w:tc>
        <w:tc>
          <w:tcPr>
            <w:tcW w:w="1527" w:type="dxa"/>
            <w:noWrap/>
          </w:tcPr>
          <w:p>
            <w:pPr>
              <w:spacing w:after="0" w:line="360" w:lineRule="auto"/>
              <w:jc w:val="both"/>
              <w:rPr>
                <w:rFonts w:ascii="Times New Roman" w:hAnsi="Times New Roman" w:cs="Times New Roman"/>
                <w:b/>
                <w:bCs/>
              </w:rPr>
            </w:pPr>
            <w:r>
              <w:rPr>
                <w:rFonts w:ascii="Times New Roman" w:hAnsi="Times New Roman" w:cs="Times New Roman"/>
                <w:b/>
                <w:bCs/>
              </w:rPr>
              <w:t>100.00%</w:t>
            </w:r>
          </w:p>
        </w:tc>
      </w:tr>
    </w:tbl>
    <w:p>
      <w:pPr>
        <w:spacing w:line="360" w:lineRule="auto"/>
        <w:jc w:val="both"/>
        <w:rPr>
          <w:rFonts w:ascii="Times New Roman" w:hAnsi="Times New Roman" w:cs="Times New Roman"/>
        </w:rPr>
      </w:pPr>
    </w:p>
    <w:p>
      <w:pPr>
        <w:spacing w:line="360" w:lineRule="auto"/>
        <w:jc w:val="both"/>
        <w:rPr>
          <w:rFonts w:ascii="Times New Roman" w:hAnsi="Times New Roman" w:cs="Times New Roman"/>
        </w:rPr>
      </w:pPr>
      <w:r>
        <w:rPr>
          <w:rFonts w:ascii="Times New Roman" w:hAnsi="Times New Roman" w:cs="Times New Roman"/>
        </w:rPr>
        <w:t>The findings indicated that 32% of the problems experienced by the customers came from the nature of services delivered, 30% from staff, 24% from food and 14% from the physical environment in the restaurant. More males than females reported their problems as emanating from the environment, more females than males reported their problems to come from food, more males reported their problem to emerge from service and staff.</w:t>
      </w:r>
    </w:p>
    <w:p>
      <w:pPr>
        <w:pStyle w:val="5"/>
        <w:numPr>
          <w:ilvl w:val="3"/>
          <w:numId w:val="1"/>
        </w:numPr>
      </w:pPr>
      <w:r>
        <w:t>Satisfaction with staff</w:t>
      </w:r>
    </w:p>
    <w:p>
      <w:pPr>
        <w:spacing w:line="360" w:lineRule="auto"/>
        <w:jc w:val="both"/>
        <w:rPr>
          <w:rFonts w:ascii="Times New Roman" w:hAnsi="Times New Roman" w:cs="Times New Roman"/>
        </w:rPr>
      </w:pPr>
      <w:bookmarkStart w:id="22" w:name="_Hlk8035122"/>
      <w:r>
        <w:rPr>
          <w:rFonts w:ascii="Times New Roman" w:hAnsi="Times New Roman" w:cs="Times New Roman"/>
        </w:rPr>
        <w:t>This section looked at the participants satisfaction with the staff at the staff. The findings are as shown below.</w:t>
      </w:r>
    </w:p>
    <w:bookmarkEnd w:id="22"/>
    <w:p>
      <w:pPr>
        <w:spacing w:line="360" w:lineRule="auto"/>
        <w:jc w:val="both"/>
        <w:rPr>
          <w:rFonts w:ascii="Times New Roman" w:hAnsi="Times New Roman" w:cs="Times New Roman"/>
        </w:rPr>
      </w:pPr>
      <w:r>
        <w:rPr>
          <w:lang w:eastAsia="zh-CN"/>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360" w:lineRule="auto"/>
        <w:jc w:val="both"/>
        <w:rPr>
          <w:rFonts w:ascii="Times New Roman" w:hAnsi="Times New Roman" w:cs="Times New Roman"/>
        </w:rPr>
      </w:pPr>
      <w:r>
        <w:rPr>
          <w:rFonts w:ascii="Times New Roman" w:hAnsi="Times New Roman" w:cs="Times New Roman"/>
        </w:rPr>
        <w:t>The findings indicate that 23 were very satisfied, 21 were very dissatisfied, 3 were satisfied and 4 were neutral. Based on this, it is not definitive whether the participants were satisfied or not with the staff members due to the small gap between those who were satisfied and those who were not satisfied.</w:t>
      </w:r>
    </w:p>
    <w:p>
      <w:pPr>
        <w:pStyle w:val="5"/>
        <w:numPr>
          <w:ilvl w:val="3"/>
          <w:numId w:val="1"/>
        </w:numPr>
      </w:pPr>
      <w:r>
        <w:t>Satisfaction with facilities</w:t>
      </w:r>
    </w:p>
    <w:p>
      <w:pPr>
        <w:spacing w:line="360" w:lineRule="auto"/>
        <w:jc w:val="both"/>
        <w:rPr>
          <w:rFonts w:ascii="Times New Roman" w:hAnsi="Times New Roman" w:cs="Times New Roman"/>
        </w:rPr>
      </w:pPr>
      <w:r>
        <w:rPr>
          <w:rFonts w:ascii="Times New Roman" w:hAnsi="Times New Roman" w:cs="Times New Roman"/>
        </w:rPr>
        <w:t>This section looked at the participants satisfaction with the staff at the facility. The findings are as shown below.</w:t>
      </w:r>
    </w:p>
    <w:p>
      <w:pPr>
        <w:spacing w:line="360" w:lineRule="auto"/>
        <w:jc w:val="both"/>
        <w:rPr>
          <w:rFonts w:ascii="Times New Roman" w:hAnsi="Times New Roman" w:cs="Times New Roman"/>
        </w:rPr>
      </w:pPr>
      <w:r>
        <w:rPr>
          <w:lang w:eastAsia="zh-CN"/>
        </w:rPr>
        <w:drawing>
          <wp:inline distT="0" distB="0" distL="0" distR="0">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360" w:lineRule="auto"/>
        <w:jc w:val="both"/>
        <w:rPr>
          <w:rFonts w:ascii="Times New Roman" w:hAnsi="Times New Roman" w:cs="Times New Roman"/>
        </w:rPr>
      </w:pPr>
      <w:r>
        <w:rPr>
          <w:rFonts w:ascii="Times New Roman" w:hAnsi="Times New Roman" w:cs="Times New Roman"/>
        </w:rPr>
        <w:t>The findings show that 40% of the participants were dissatisfied with facilities and only 34% were satisfied with the facilities. Those who were very satisfied were 16% and those who were very dissatisfied were 10%. Therefore, there was a general dissatisfaction with facilities at the restaurant.</w:t>
      </w:r>
    </w:p>
    <w:p>
      <w:pPr>
        <w:pStyle w:val="5"/>
        <w:numPr>
          <w:ilvl w:val="3"/>
          <w:numId w:val="1"/>
        </w:numPr>
      </w:pPr>
      <w:r>
        <w:t>Satisfaction with Product quality</w:t>
      </w:r>
    </w:p>
    <w:p>
      <w:pPr>
        <w:spacing w:line="360" w:lineRule="auto"/>
        <w:jc w:val="both"/>
        <w:rPr>
          <w:rFonts w:ascii="Times New Roman" w:hAnsi="Times New Roman" w:cs="Times New Roman"/>
        </w:rPr>
      </w:pPr>
      <w:r>
        <w:rPr>
          <w:rFonts w:ascii="Times New Roman" w:hAnsi="Times New Roman" w:cs="Times New Roman"/>
        </w:rPr>
        <w:t>This section examined participant satisfaction with product quality. The findings are as indicated below.</w:t>
      </w:r>
    </w:p>
    <w:p>
      <w:pPr>
        <w:spacing w:line="360" w:lineRule="auto"/>
        <w:jc w:val="both"/>
        <w:rPr>
          <w:rFonts w:ascii="Times New Roman" w:hAnsi="Times New Roman" w:cs="Times New Roman"/>
        </w:rPr>
      </w:pPr>
      <w:r>
        <w:rPr>
          <w:lang w:eastAsia="zh-CN"/>
        </w:rPr>
        <w:drawing>
          <wp:inline distT="0" distB="0" distL="0" distR="0">
            <wp:extent cx="5943600" cy="2546350"/>
            <wp:effectExtent l="0" t="0" r="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pPr>
        <w:spacing w:line="360" w:lineRule="auto"/>
        <w:jc w:val="both"/>
        <w:rPr>
          <w:rFonts w:ascii="Times New Roman" w:hAnsi="Times New Roman" w:cs="Times New Roman"/>
        </w:rPr>
      </w:pPr>
      <w:r>
        <w:rPr>
          <w:rFonts w:ascii="Times New Roman" w:hAnsi="Times New Roman" w:cs="Times New Roman"/>
        </w:rPr>
        <w:t>The findings show that about 38% of the participants were dissatisfied with the product quality compared to only 4% who were very satisfied. Therefore, many customers are dissatisfied with the quality of the products/food served at the facility.</w:t>
      </w:r>
    </w:p>
    <w:p>
      <w:pPr>
        <w:pStyle w:val="5"/>
        <w:numPr>
          <w:ilvl w:val="3"/>
          <w:numId w:val="1"/>
        </w:numPr>
      </w:pPr>
      <w:r>
        <w:t>Likelihood of Return</w:t>
      </w:r>
    </w:p>
    <w:p>
      <w:pPr>
        <w:spacing w:line="360" w:lineRule="auto"/>
        <w:jc w:val="both"/>
        <w:rPr>
          <w:rFonts w:ascii="Times New Roman" w:hAnsi="Times New Roman" w:cs="Times New Roman"/>
        </w:rPr>
      </w:pPr>
      <w:r>
        <w:rPr>
          <w:rFonts w:ascii="Times New Roman" w:hAnsi="Times New Roman" w:cs="Times New Roman"/>
        </w:rPr>
        <w:t>This section explored participants likelihood of return. The findings are shown below</w:t>
      </w:r>
    </w:p>
    <w:p>
      <w:pPr>
        <w:spacing w:line="360" w:lineRule="auto"/>
        <w:jc w:val="both"/>
        <w:rPr>
          <w:rFonts w:ascii="Times New Roman" w:hAnsi="Times New Roman" w:cs="Times New Roman"/>
        </w:rPr>
      </w:pPr>
      <w:r>
        <w:rPr>
          <w:lang w:eastAsia="zh-CN"/>
        </w:rPr>
        <w:drawing>
          <wp:inline distT="0" distB="0" distL="0" distR="0">
            <wp:extent cx="4619625" cy="3290570"/>
            <wp:effectExtent l="0" t="0" r="9525"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spacing w:line="360" w:lineRule="auto"/>
        <w:jc w:val="both"/>
        <w:rPr>
          <w:rFonts w:ascii="Times New Roman" w:hAnsi="Times New Roman" w:cs="Times New Roman"/>
        </w:rPr>
      </w:pPr>
      <w:r>
        <w:rPr>
          <w:rFonts w:ascii="Times New Roman" w:hAnsi="Times New Roman" w:cs="Times New Roman"/>
        </w:rPr>
        <w:t>The findings indicate that 46% would return (Yes), 20% would not return (No), 18% said maybe and 16% do not know. Thus, despite some level of dissatisfaction, it is clear that some of the participants would return to purchase from the organization.</w:t>
      </w:r>
    </w:p>
    <w:p>
      <w:pPr>
        <w:pStyle w:val="5"/>
        <w:numPr>
          <w:ilvl w:val="3"/>
          <w:numId w:val="1"/>
        </w:numPr>
      </w:pPr>
      <w:r>
        <w:t>Likelihood of recommendation</w:t>
      </w:r>
    </w:p>
    <w:p>
      <w:pPr>
        <w:spacing w:line="360" w:lineRule="auto"/>
        <w:jc w:val="both"/>
        <w:rPr>
          <w:rFonts w:ascii="Times New Roman" w:hAnsi="Times New Roman" w:cs="Times New Roman"/>
        </w:rPr>
      </w:pPr>
      <w:r>
        <w:rPr>
          <w:rFonts w:ascii="Times New Roman" w:hAnsi="Times New Roman" w:cs="Times New Roman"/>
        </w:rPr>
        <w:t>This section examined the likelihood of recommending the restaurant. The findings are indicated below.</w:t>
      </w:r>
    </w:p>
    <w:p>
      <w:pPr>
        <w:spacing w:line="360" w:lineRule="auto"/>
        <w:jc w:val="both"/>
        <w:rPr>
          <w:rFonts w:ascii="Times New Roman" w:hAnsi="Times New Roman" w:cs="Times New Roman"/>
        </w:rPr>
      </w:pPr>
      <w:r>
        <w:rPr>
          <w:lang w:eastAsia="zh-CN"/>
        </w:rPr>
        <w:drawing>
          <wp:inline distT="0" distB="0" distL="0" distR="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pPr>
        <w:spacing w:line="360" w:lineRule="auto"/>
        <w:jc w:val="both"/>
        <w:rPr>
          <w:rFonts w:ascii="Times New Roman" w:hAnsi="Times New Roman" w:cs="Times New Roman"/>
        </w:rPr>
      </w:pPr>
      <w:r>
        <w:rPr>
          <w:rFonts w:ascii="Times New Roman" w:hAnsi="Times New Roman" w:cs="Times New Roman"/>
        </w:rPr>
        <w:t>From the findings of the study, 44% would not recommend, 36% would recommend and 20% indicated maybe. Thus, a majority of the participants may not recommend the restaurant to others in the market.</w:t>
      </w:r>
    </w:p>
    <w:p>
      <w:pPr>
        <w:pStyle w:val="2"/>
        <w:numPr>
          <w:ilvl w:val="0"/>
          <w:numId w:val="1"/>
        </w:numPr>
      </w:pPr>
      <w:bookmarkStart w:id="23" w:name="_Toc17977"/>
      <w:r>
        <w:t>Conclusions</w:t>
      </w:r>
      <w:bookmarkEnd w:id="23"/>
      <w:r>
        <w:t xml:space="preserve"> </w:t>
      </w:r>
    </w:p>
    <w:p>
      <w:pPr>
        <w:spacing w:line="360" w:lineRule="auto"/>
        <w:jc w:val="both"/>
        <w:rPr>
          <w:rFonts w:ascii="Times New Roman" w:hAnsi="Times New Roman" w:cs="Times New Roman"/>
        </w:rPr>
      </w:pPr>
      <w:r>
        <w:rPr>
          <w:rFonts w:ascii="Times New Roman" w:hAnsi="Times New Roman" w:cs="Times New Roman"/>
        </w:rPr>
        <w:t>Many organizations are seeking to improve the quality of experiences that they offer their customers. In doing this, they have set up various kinds of processes and activities to enhance these experiences. However, in the context of the Five Guys restaurant, the quality of service delivery at the facility is very poor and is majorly driven by the nature of service and staff. Secondly, a significant number of customers also point to problems related to product quality and facilities. Given these problems, it becomes difficult for customers to engage in repeat purchase or even recommend the organization to others. While overall customers said they would revisit, the difference between those who will return and those who will not is low which means that the restaurant is likely to lose out on customers. There are some recommendations to improve performance as indicated below.</w:t>
      </w:r>
    </w:p>
    <w:p>
      <w:pPr>
        <w:pStyle w:val="2"/>
        <w:numPr>
          <w:ilvl w:val="0"/>
          <w:numId w:val="1"/>
        </w:numPr>
      </w:pPr>
      <w:bookmarkStart w:id="24" w:name="_Toc19056"/>
      <w:r>
        <w:t>Strategic Recommendations</w:t>
      </w:r>
      <w:bookmarkEnd w:id="24"/>
    </w:p>
    <w:p>
      <w:pPr>
        <w:spacing w:line="360" w:lineRule="auto"/>
        <w:jc w:val="both"/>
        <w:rPr>
          <w:rFonts w:ascii="Times New Roman" w:hAnsi="Times New Roman" w:cs="Times New Roman"/>
        </w:rPr>
      </w:pPr>
      <w:r>
        <w:rPr>
          <w:rFonts w:ascii="Times New Roman" w:hAnsi="Times New Roman" w:cs="Times New Roman"/>
        </w:rPr>
        <w:t>The first recommendation is that the firm needs to start by improving product quality so as to enhance customer satisfaction. The focus on product quality may need to begin with an evaluation of the current products to understand problems that customers are facing with them. This will then result in new product changes that enhance customer satisfaction.</w:t>
      </w:r>
    </w:p>
    <w:p>
      <w:pPr>
        <w:spacing w:line="360" w:lineRule="auto"/>
        <w:jc w:val="both"/>
        <w:rPr>
          <w:rFonts w:ascii="Times New Roman" w:hAnsi="Times New Roman" w:cs="Times New Roman"/>
        </w:rPr>
      </w:pPr>
      <w:r>
        <w:rPr>
          <w:rFonts w:ascii="Times New Roman" w:hAnsi="Times New Roman" w:cs="Times New Roman"/>
        </w:rPr>
        <w:t xml:space="preserve">The second element that would be important for the firm is a focus on improving service quality. Service quality can be improved through staff training. This is an activity that can be conducted by the firm and this should be done by focusing on the key processes and procedures within the organization so that the staff is equipped with the right skills and competencies. This will have a positive overall effect on customer satisfaction and repeat purchase. Training along service delivery, service reliability and etiquette can help improve overall levels of satisfaction. </w:t>
      </w:r>
    </w:p>
    <w:p>
      <w:pPr>
        <w:spacing w:line="360" w:lineRule="auto"/>
        <w:jc w:val="both"/>
        <w:rPr>
          <w:rFonts w:ascii="Times New Roman" w:hAnsi="Times New Roman" w:cs="Times New Roman"/>
        </w:rPr>
      </w:pPr>
      <w:r>
        <w:rPr>
          <w:rFonts w:ascii="Times New Roman" w:hAnsi="Times New Roman" w:cs="Times New Roman"/>
        </w:rPr>
        <w:t>The third recommendation is for the organization to strive to improve customer experiences in the market, an element that has the potential to enhance the performance of the company. This means understanding customers, products and services and the entire customer journey. This has the potential to impact positively on the performance of the organization.</w:t>
      </w:r>
    </w:p>
    <w:p>
      <w:pPr>
        <w:rPr>
          <w:rFonts w:ascii="Times New Roman" w:hAnsi="Times New Roman" w:cs="Times New Roman"/>
        </w:rPr>
      </w:pPr>
      <w:r>
        <w:rPr>
          <w:rFonts w:ascii="Times New Roman" w:hAnsi="Times New Roman" w:cs="Times New Roman"/>
        </w:rPr>
        <w:br w:type="page"/>
      </w:r>
    </w:p>
    <w:p>
      <w:pPr>
        <w:spacing w:line="360" w:lineRule="auto"/>
        <w:rPr>
          <w:rFonts w:ascii="Times New Roman" w:hAnsi="Times New Roman" w:cs="Times New Roman"/>
          <w:sz w:val="24"/>
          <w:szCs w:val="24"/>
        </w:rPr>
      </w:pPr>
      <w:r>
        <w:rPr>
          <w:rFonts w:ascii="Times New Roman" w:hAnsi="Times New Roman" w:cs="Times New Roman"/>
          <w:sz w:val="24"/>
          <w:szCs w:val="24"/>
        </w:rPr>
        <w:t>References</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Agbor, J. M. (2011). </w:t>
      </w:r>
      <w:r>
        <w:rPr>
          <w:rFonts w:ascii="Times New Roman" w:hAnsi="Times New Roman" w:cs="Times New Roman"/>
          <w:i/>
          <w:iCs/>
          <w:sz w:val="24"/>
          <w:szCs w:val="24"/>
        </w:rPr>
        <w:t>The Relationship between Customer Satisfaction and Service Quality: A study of three Service sectors in Umeå</w:t>
      </w:r>
      <w:r>
        <w:rPr>
          <w:rFonts w:ascii="Times New Roman" w:hAnsi="Times New Roman" w:cs="Times New Roman"/>
          <w:sz w:val="24"/>
          <w:szCs w:val="24"/>
        </w:rPr>
        <w:t xml:space="preserve">. </w:t>
      </w:r>
      <w:r>
        <w:rPr>
          <w:rFonts w:ascii="Times New Roman" w:hAnsi="Times New Roman" w:cs="Times New Roman"/>
          <w:i/>
          <w:iCs/>
          <w:sz w:val="24"/>
          <w:szCs w:val="24"/>
        </w:rPr>
        <w:t>MIddle Eastern Finance and Economics</w:t>
      </w:r>
      <w:r>
        <w:rPr>
          <w:rFonts w:ascii="Times New Roman" w:hAnsi="Times New Roman" w:cs="Times New Roman"/>
          <w:sz w:val="24"/>
          <w:szCs w:val="24"/>
        </w:rPr>
        <w:t>. https://doi.org/10.1017/CBO9781107415324.004</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Angelova, B., &amp; Zekiri, J. (2011). Measuring Customer Satisfaction with Service Quality Using American Customer Satisfaction Model (ACSI Model). </w:t>
      </w:r>
      <w:r>
        <w:rPr>
          <w:rFonts w:ascii="Times New Roman" w:hAnsi="Times New Roman" w:cs="Times New Roman"/>
          <w:i/>
          <w:iCs/>
          <w:sz w:val="24"/>
          <w:szCs w:val="24"/>
        </w:rPr>
        <w:t>International Journal of Academic Research in Business and Social Sciences</w:t>
      </w:r>
      <w:r>
        <w:rPr>
          <w:rFonts w:ascii="Times New Roman" w:hAnsi="Times New Roman" w:cs="Times New Roman"/>
          <w:sz w:val="24"/>
          <w:szCs w:val="24"/>
        </w:rPr>
        <w:t>. https://doi.org/10.6007/ijarbss.v1i2.35</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Calabrese, A. (2012). Service productivity and service quality: A necessary trade-off? </w:t>
      </w:r>
      <w:r>
        <w:rPr>
          <w:rFonts w:ascii="Times New Roman" w:hAnsi="Times New Roman" w:cs="Times New Roman"/>
          <w:i/>
          <w:iCs/>
          <w:sz w:val="24"/>
          <w:szCs w:val="24"/>
        </w:rPr>
        <w:t>International Journal of Production Economics</w:t>
      </w:r>
      <w:r>
        <w:rPr>
          <w:rFonts w:ascii="Times New Roman" w:hAnsi="Times New Roman" w:cs="Times New Roman"/>
          <w:sz w:val="24"/>
          <w:szCs w:val="24"/>
        </w:rPr>
        <w:t>. https://doi.org/10.1016/j.ijpe.2011.10.014</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Dr. Arash shahin. (2010). SERVQUAL and model of service quality gaps: A framework for determining and prioritizing critical factors in Delivering quality services. </w:t>
      </w:r>
      <w:r>
        <w:rPr>
          <w:rFonts w:ascii="Times New Roman" w:hAnsi="Times New Roman" w:cs="Times New Roman"/>
          <w:i/>
          <w:iCs/>
          <w:sz w:val="24"/>
          <w:szCs w:val="24"/>
        </w:rPr>
        <w:t>International Journal of Engineering Science and Technology</w:t>
      </w:r>
      <w:r>
        <w:rPr>
          <w:rFonts w:ascii="Times New Roman" w:hAnsi="Times New Roman" w:cs="Times New Roman"/>
          <w:sz w:val="24"/>
          <w:szCs w:val="24"/>
        </w:rPr>
        <w:t>.</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Galvagno, M., &amp; Dalli, D. (2014). Theory of value co-creation: A systematic literature review. </w:t>
      </w:r>
      <w:r>
        <w:rPr>
          <w:rFonts w:ascii="Times New Roman" w:hAnsi="Times New Roman" w:cs="Times New Roman"/>
          <w:i/>
          <w:iCs/>
          <w:sz w:val="24"/>
          <w:szCs w:val="24"/>
        </w:rPr>
        <w:t>Managing Service Quality</w:t>
      </w:r>
      <w:r>
        <w:rPr>
          <w:rFonts w:ascii="Times New Roman" w:hAnsi="Times New Roman" w:cs="Times New Roman"/>
          <w:sz w:val="24"/>
          <w:szCs w:val="24"/>
        </w:rPr>
        <w:t>. https://doi.org/10.1108/MSQ-09-2013-0187</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Gorla, N., Somers, T. M., &amp; Wong, B. (2010). Organizational impact of system quality, information quality, and service quality. </w:t>
      </w:r>
      <w:r>
        <w:rPr>
          <w:rFonts w:ascii="Times New Roman" w:hAnsi="Times New Roman" w:cs="Times New Roman"/>
          <w:i/>
          <w:iCs/>
          <w:sz w:val="24"/>
          <w:szCs w:val="24"/>
        </w:rPr>
        <w:t>Journal of Strategic Information Systems</w:t>
      </w:r>
      <w:r>
        <w:rPr>
          <w:rFonts w:ascii="Times New Roman" w:hAnsi="Times New Roman" w:cs="Times New Roman"/>
          <w:sz w:val="24"/>
          <w:szCs w:val="24"/>
        </w:rPr>
        <w:t>. https://doi.org/10.1016/j.jsis.2010.05.001</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Grönroos, C., &amp; Gummerus, J. (2014). The service revolution and its marketing implications: Service logic vs service-dominant logic. </w:t>
      </w:r>
      <w:r>
        <w:rPr>
          <w:rFonts w:ascii="Times New Roman" w:hAnsi="Times New Roman" w:cs="Times New Roman"/>
          <w:i/>
          <w:iCs/>
          <w:sz w:val="24"/>
          <w:szCs w:val="24"/>
        </w:rPr>
        <w:t>Managing Service Quality</w:t>
      </w:r>
      <w:r>
        <w:rPr>
          <w:rFonts w:ascii="Times New Roman" w:hAnsi="Times New Roman" w:cs="Times New Roman"/>
          <w:sz w:val="24"/>
          <w:szCs w:val="24"/>
        </w:rPr>
        <w:t>. https://doi.org/10.1108/MSQ-03-2014-0042</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Ilhaamie, A. G. A. (2013). Service Quality in Malaysian Public Service: Some Findings. </w:t>
      </w:r>
      <w:r>
        <w:rPr>
          <w:rFonts w:ascii="Times New Roman" w:hAnsi="Times New Roman" w:cs="Times New Roman"/>
          <w:i/>
          <w:iCs/>
          <w:sz w:val="24"/>
          <w:szCs w:val="24"/>
        </w:rPr>
        <w:t>International Journal of Trade, Economics and Finance</w:t>
      </w:r>
      <w:r>
        <w:rPr>
          <w:rFonts w:ascii="Times New Roman" w:hAnsi="Times New Roman" w:cs="Times New Roman"/>
          <w:sz w:val="24"/>
          <w:szCs w:val="24"/>
        </w:rPr>
        <w:t>. https://doi.org/10.7763/ijtef.2010.v1.8</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Kang, G. Du, &amp; James, J. (2004). Service quality dimensions: An examination of Grönroos’s service quality model. </w:t>
      </w:r>
      <w:r>
        <w:rPr>
          <w:rFonts w:ascii="Times New Roman" w:hAnsi="Times New Roman" w:cs="Times New Roman"/>
          <w:i/>
          <w:iCs/>
          <w:sz w:val="24"/>
          <w:szCs w:val="24"/>
        </w:rPr>
        <w:t>Managing Service Quality: An International Journal</w:t>
      </w:r>
      <w:r>
        <w:rPr>
          <w:rFonts w:ascii="Times New Roman" w:hAnsi="Times New Roman" w:cs="Times New Roman"/>
          <w:sz w:val="24"/>
          <w:szCs w:val="24"/>
        </w:rPr>
        <w:t>. https://doi.org/10.1108/09604520410546806</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Kersten, W., &amp; Koch, J. (2010). The effect of quality management on the service quality and business success of logistics service providers. </w:t>
      </w:r>
      <w:r>
        <w:rPr>
          <w:rFonts w:ascii="Times New Roman" w:hAnsi="Times New Roman" w:cs="Times New Roman"/>
          <w:i/>
          <w:iCs/>
          <w:sz w:val="24"/>
          <w:szCs w:val="24"/>
        </w:rPr>
        <w:t>International Journal of Quality and Reliability Management</w:t>
      </w:r>
      <w:r>
        <w:rPr>
          <w:rFonts w:ascii="Times New Roman" w:hAnsi="Times New Roman" w:cs="Times New Roman"/>
          <w:sz w:val="24"/>
          <w:szCs w:val="24"/>
        </w:rPr>
        <w:t>. https://doi.org/10.1108/02656711011014302</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Ladhari, R. (2008). Alternative measures of service quality: A review. </w:t>
      </w:r>
      <w:r>
        <w:rPr>
          <w:rFonts w:ascii="Times New Roman" w:hAnsi="Times New Roman" w:cs="Times New Roman"/>
          <w:i/>
          <w:iCs/>
          <w:sz w:val="24"/>
          <w:szCs w:val="24"/>
        </w:rPr>
        <w:t>Managing Service Quality</w:t>
      </w:r>
      <w:r>
        <w:rPr>
          <w:rFonts w:ascii="Times New Roman" w:hAnsi="Times New Roman" w:cs="Times New Roman"/>
          <w:sz w:val="24"/>
          <w:szCs w:val="24"/>
        </w:rPr>
        <w:t>. https://doi.org/10.1108/09604520810842849</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Lin, J. S. C., &amp; Liang, H. Y. (2011). The influence of service environments on customer emotion and service outcomes. </w:t>
      </w:r>
      <w:r>
        <w:rPr>
          <w:rFonts w:ascii="Times New Roman" w:hAnsi="Times New Roman" w:cs="Times New Roman"/>
          <w:i/>
          <w:iCs/>
          <w:sz w:val="24"/>
          <w:szCs w:val="24"/>
        </w:rPr>
        <w:t>Managing Service Quality</w:t>
      </w:r>
      <w:r>
        <w:rPr>
          <w:rFonts w:ascii="Times New Roman" w:hAnsi="Times New Roman" w:cs="Times New Roman"/>
          <w:sz w:val="24"/>
          <w:szCs w:val="24"/>
        </w:rPr>
        <w:t>. https://doi.org/10.1108/09604521111146243</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Mekhail Mustak, E. J. and A. H. (2013). Managing Service Quality : An International Journal Article information : </w:t>
      </w:r>
      <w:r>
        <w:rPr>
          <w:rFonts w:ascii="Times New Roman" w:hAnsi="Times New Roman" w:cs="Times New Roman"/>
          <w:i/>
          <w:iCs/>
          <w:sz w:val="24"/>
          <w:szCs w:val="24"/>
        </w:rPr>
        <w:t>Managing Service Quality</w:t>
      </w:r>
      <w:r>
        <w:rPr>
          <w:rFonts w:ascii="Times New Roman" w:hAnsi="Times New Roman" w:cs="Times New Roman"/>
          <w:sz w:val="24"/>
          <w:szCs w:val="24"/>
        </w:rPr>
        <w:t>.</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Pitt, L. F., Watson, R. T., &amp; Kavan, C. B. (2006). Service Quality: A Measure of Information Systems Effectiveness. </w:t>
      </w:r>
      <w:r>
        <w:rPr>
          <w:rFonts w:ascii="Times New Roman" w:hAnsi="Times New Roman" w:cs="Times New Roman"/>
          <w:i/>
          <w:iCs/>
          <w:sz w:val="24"/>
          <w:szCs w:val="24"/>
        </w:rPr>
        <w:t>MIS Quarterly</w:t>
      </w:r>
      <w:r>
        <w:rPr>
          <w:rFonts w:ascii="Times New Roman" w:hAnsi="Times New Roman" w:cs="Times New Roman"/>
          <w:sz w:val="24"/>
          <w:szCs w:val="24"/>
        </w:rPr>
        <w:t>. https://doi.org/10.2307/249687</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Quinn, A., Lemay, G., Larsen, P., &amp; Johnson, D. M. (2009). Service quality in higher education. </w:t>
      </w:r>
      <w:r>
        <w:rPr>
          <w:rFonts w:ascii="Times New Roman" w:hAnsi="Times New Roman" w:cs="Times New Roman"/>
          <w:i/>
          <w:iCs/>
          <w:sz w:val="24"/>
          <w:szCs w:val="24"/>
        </w:rPr>
        <w:t>Total Quality Management and Business Excellence</w:t>
      </w:r>
      <w:r>
        <w:rPr>
          <w:rFonts w:ascii="Times New Roman" w:hAnsi="Times New Roman" w:cs="Times New Roman"/>
          <w:sz w:val="24"/>
          <w:szCs w:val="24"/>
        </w:rPr>
        <w:t>. https://doi.org/10.1080/14783360802622805</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Ryu, K., Lee, H. R., &amp; Kim, W. G. (2012). The influence of the quality of the physical environment, food, and service on restaurant image, customer perceived value, customer satisfaction, and behavioral intentions. </w:t>
      </w:r>
      <w:r>
        <w:rPr>
          <w:rFonts w:ascii="Times New Roman" w:hAnsi="Times New Roman" w:cs="Times New Roman"/>
          <w:i/>
          <w:iCs/>
          <w:sz w:val="24"/>
          <w:szCs w:val="24"/>
        </w:rPr>
        <w:t>International Journal of Contemporary Hospitality Management</w:t>
      </w:r>
      <w:r>
        <w:rPr>
          <w:rFonts w:ascii="Times New Roman" w:hAnsi="Times New Roman" w:cs="Times New Roman"/>
          <w:sz w:val="24"/>
          <w:szCs w:val="24"/>
        </w:rPr>
        <w:t>. https://doi.org/10.1108/09596111211206141</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Sreejesh, S., &amp; Mohapatra, S. (2013). Research Methodology. In </w:t>
      </w:r>
      <w:r>
        <w:rPr>
          <w:rFonts w:ascii="Times New Roman" w:hAnsi="Times New Roman" w:cs="Times New Roman"/>
          <w:i/>
          <w:iCs/>
          <w:sz w:val="24"/>
          <w:szCs w:val="24"/>
        </w:rPr>
        <w:t>Mixed Method Research Design</w:t>
      </w:r>
      <w:r>
        <w:rPr>
          <w:rFonts w:ascii="Times New Roman" w:hAnsi="Times New Roman" w:cs="Times New Roman"/>
          <w:sz w:val="24"/>
          <w:szCs w:val="24"/>
        </w:rPr>
        <w:t>. https://doi.org/10.1007/978-3-319-02687-9_4</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Story, D. A., &amp; Tait, A. R. (2019). Survey Research. </w:t>
      </w:r>
      <w:r>
        <w:rPr>
          <w:rFonts w:ascii="Times New Roman" w:hAnsi="Times New Roman" w:cs="Times New Roman"/>
          <w:i/>
          <w:iCs/>
          <w:sz w:val="24"/>
          <w:szCs w:val="24"/>
        </w:rPr>
        <w:t>Anesthesiology</w:t>
      </w:r>
      <w:r>
        <w:rPr>
          <w:rFonts w:ascii="Times New Roman" w:hAnsi="Times New Roman" w:cs="Times New Roman"/>
          <w:sz w:val="24"/>
          <w:szCs w:val="24"/>
        </w:rPr>
        <w:t>. https://doi.org/10.1097/ALN.0000000000002436</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Walenta, M. (2019). Research method. In </w:t>
      </w:r>
      <w:r>
        <w:rPr>
          <w:rFonts w:ascii="Times New Roman" w:hAnsi="Times New Roman" w:cs="Times New Roman"/>
          <w:i/>
          <w:iCs/>
          <w:sz w:val="24"/>
          <w:szCs w:val="24"/>
        </w:rPr>
        <w:t>Second Language Learning and Teaching</w:t>
      </w:r>
      <w:r>
        <w:rPr>
          <w:rFonts w:ascii="Times New Roman" w:hAnsi="Times New Roman" w:cs="Times New Roman"/>
          <w:sz w:val="24"/>
          <w:szCs w:val="24"/>
        </w:rPr>
        <w:t>. https://doi.org/10.1007/978-3-030-04699-6_4</w:t>
      </w:r>
    </w:p>
    <w:p>
      <w:pPr>
        <w:widowControl w:val="0"/>
        <w:autoSpaceDE w:val="0"/>
        <w:autoSpaceDN w:val="0"/>
        <w:adjustRightInd w:val="0"/>
        <w:spacing w:line="360" w:lineRule="auto"/>
        <w:ind w:left="480" w:hanging="480"/>
        <w:rPr>
          <w:rFonts w:ascii="Times New Roman" w:hAnsi="Times New Roman" w:cs="Times New Roman"/>
          <w:sz w:val="24"/>
          <w:szCs w:val="24"/>
        </w:rPr>
      </w:pPr>
      <w:r>
        <w:rPr>
          <w:rFonts w:ascii="Times New Roman" w:hAnsi="Times New Roman" w:cs="Times New Roman"/>
          <w:sz w:val="24"/>
          <w:szCs w:val="24"/>
        </w:rPr>
        <w:t xml:space="preserve">Yarimoglu, E. K. (2014). A Review on Dimension of Service Quality Models. </w:t>
      </w:r>
      <w:r>
        <w:rPr>
          <w:rFonts w:ascii="Times New Roman" w:hAnsi="Times New Roman" w:cs="Times New Roman"/>
          <w:i/>
          <w:iCs/>
          <w:sz w:val="24"/>
          <w:szCs w:val="24"/>
        </w:rPr>
        <w:t>Journal of Marketing Management</w:t>
      </w:r>
      <w:r>
        <w:rPr>
          <w:rFonts w:ascii="Times New Roman" w:hAnsi="Times New Roman" w:cs="Times New Roman"/>
          <w:sz w:val="24"/>
          <w:szCs w:val="24"/>
        </w:rPr>
        <w:t>.</w:t>
      </w:r>
    </w:p>
    <w:p>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Appendices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Appendix 1: SWOT Analysis</w:t>
      </w:r>
    </w:p>
    <w:tbl>
      <w:tblPr>
        <w:tblStyle w:val="12"/>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5"/>
        <w:gridCol w:w="4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Strengths</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Weaknesses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firm has a good reputation in the market that drivers’ growth.</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firm is known for good quality burgers in the market.</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firm has a good performance history</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Geographical concentration in Swansea affects performance.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Opportunities </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Threats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use of online delivery services can improve sales and profitability.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New partnerships can be important in enhancing performance</w:t>
            </w:r>
          </w:p>
        </w:tc>
        <w:tc>
          <w:tcPr>
            <w:tcW w:w="467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Underperforming economy affects sales and profitability.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Growing competition in the market is a threat to the company</w:t>
            </w:r>
          </w:p>
        </w:tc>
      </w:tr>
    </w:tbl>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r>
        <w:rPr>
          <w:rFonts w:ascii="Times New Roman" w:hAnsi="Times New Roman" w:cs="Times New Roman"/>
          <w:sz w:val="24"/>
          <w:szCs w:val="24"/>
        </w:rPr>
        <w:t>PESLE Analysis</w:t>
      </w:r>
    </w:p>
    <w:tbl>
      <w:tblPr>
        <w:tblStyle w:val="12"/>
        <w:tblW w:w="93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7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Factor </w:t>
            </w:r>
          </w:p>
        </w:tc>
        <w:tc>
          <w:tcPr>
            <w:tcW w:w="755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Description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Political</w:t>
            </w:r>
          </w:p>
        </w:tc>
        <w:tc>
          <w:tcPr>
            <w:tcW w:w="755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issue of Brexit is impacting on many firms as there is high levels of uncertainty in the country.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Brexit has also caused political tensions in the nation an aspect that impacts negatively on the firm.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Economic</w:t>
            </w:r>
          </w:p>
        </w:tc>
        <w:tc>
          <w:tcPr>
            <w:tcW w:w="755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Brexit shocks have spilled to the economy and have resulted in slow economic growth.</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slow economic growth has also witnessed a rise in inflation levels in the nation impacting on performance of firms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Social</w:t>
            </w:r>
          </w:p>
        </w:tc>
        <w:tc>
          <w:tcPr>
            <w:tcW w:w="755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nation has a high number of aged people and this affects the market for fast food products in the country.</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UK has also seen an increase in health consciousness in the market which is affecting demand in the fast food market.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9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Technological</w:t>
            </w:r>
          </w:p>
        </w:tc>
        <w:tc>
          <w:tcPr>
            <w:tcW w:w="7555" w:type="dxa"/>
          </w:tcPr>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growth of e-commerce is providing new distribution channels for the company in the market.</w:t>
            </w:r>
          </w:p>
          <w:p>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growth of new technologies in the market are helping fast food companies to engage in deliveries and hence save on time and costs.</w:t>
            </w:r>
          </w:p>
        </w:tc>
      </w:tr>
    </w:tbl>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sz w:val="24"/>
          <w:szCs w:val="24"/>
        </w:rPr>
      </w:pPr>
    </w:p>
    <w:p>
      <w:pPr>
        <w:spacing w:line="360" w:lineRule="auto"/>
        <w:jc w:val="both"/>
        <w:rPr>
          <w:rFonts w:ascii="Times New Roman" w:hAnsi="Times New Roman" w:cs="Times New Roman"/>
        </w:rPr>
      </w:pPr>
    </w:p>
    <w:sectPr>
      <w:headerReference r:id="rId4" w:type="first"/>
      <w:footerReference r:id="rId7" w:type="first"/>
      <w:footerReference r:id="rId5" w:type="default"/>
      <w:headerReference r:id="rId3" w:type="even"/>
      <w:footerReference r:id="rId6" w:type="even"/>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auto"/>
    <w:pitch w:val="default"/>
    <w:sig w:usb0="E0002AFF" w:usb1="C000247B" w:usb2="00000009" w:usb3="00000000" w:csb0="200001FF" w:csb1="00000000"/>
  </w:font>
  <w:font w:name="等线 Light">
    <w:panose1 w:val="02010600030101010101"/>
    <w:charset w:val="88"/>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2"/>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CGY0c6wQIAANYFAAAOAAAAAAAA&#10;AAEAIAAAAB8BAABkcnMvZTJvRG9jLnhtbFBLBQYAAAAABgAGAFkBAABSBgAAAAA=&#10;">
              <v:fill on="f" focussize="0,0"/>
              <v:stroke on="f" weight="0.5pt"/>
              <v:imagedata o:title=""/>
              <o:lock v:ext="edit" aspectratio="f"/>
              <v:textbox inset="0mm,0mm,0mm,0mm" style="mso-fit-shape-to-text:t;">
                <w:txbxContent>
                  <w:p>
                    <w:pPr>
                      <w:pStyle w:val="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C60CE"/>
    <w:multiLevelType w:val="multilevel"/>
    <w:tmpl w:val="1B0C60CE"/>
    <w:lvl w:ilvl="0" w:tentative="0">
      <w:start w:val="1"/>
      <w:numFmt w:val="decimal"/>
      <w:lvlText w:val="%1.0."/>
      <w:lvlJc w:val="left"/>
      <w:pPr>
        <w:ind w:left="720" w:hanging="720"/>
      </w:pPr>
      <w:rPr>
        <w:rFonts w:hint="default"/>
      </w:rPr>
    </w:lvl>
    <w:lvl w:ilvl="1" w:tentative="0">
      <w:start w:val="1"/>
      <w:numFmt w:val="decimal"/>
      <w:lvlText w:val="%1.%2."/>
      <w:lvlJc w:val="left"/>
      <w:pPr>
        <w:ind w:left="1440" w:hanging="72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3240" w:hanging="1080"/>
      </w:pPr>
      <w:rPr>
        <w:rFonts w:hint="default"/>
      </w:rPr>
    </w:lvl>
    <w:lvl w:ilvl="4" w:tentative="0">
      <w:start w:val="1"/>
      <w:numFmt w:val="decimal"/>
      <w:lvlText w:val="%1.%2.%3.%4.%5."/>
      <w:lvlJc w:val="left"/>
      <w:pPr>
        <w:ind w:left="4320" w:hanging="1440"/>
      </w:pPr>
      <w:rPr>
        <w:rFonts w:hint="default"/>
      </w:rPr>
    </w:lvl>
    <w:lvl w:ilvl="5" w:tentative="0">
      <w:start w:val="1"/>
      <w:numFmt w:val="decimal"/>
      <w:lvlText w:val="%1.%2.%3.%4.%5.%6."/>
      <w:lvlJc w:val="left"/>
      <w:pPr>
        <w:ind w:left="5040" w:hanging="1440"/>
      </w:pPr>
      <w:rPr>
        <w:rFonts w:hint="default"/>
      </w:rPr>
    </w:lvl>
    <w:lvl w:ilvl="6" w:tentative="0">
      <w:start w:val="1"/>
      <w:numFmt w:val="decimal"/>
      <w:lvlText w:val="%1.%2.%3.%4.%5.%6.%7."/>
      <w:lvlJc w:val="left"/>
      <w:pPr>
        <w:ind w:left="6120" w:hanging="1800"/>
      </w:pPr>
      <w:rPr>
        <w:rFonts w:hint="default"/>
      </w:rPr>
    </w:lvl>
    <w:lvl w:ilvl="7" w:tentative="0">
      <w:start w:val="1"/>
      <w:numFmt w:val="decimal"/>
      <w:lvlText w:val="%1.%2.%3.%4.%5.%6.%7.%8."/>
      <w:lvlJc w:val="left"/>
      <w:pPr>
        <w:ind w:left="7200" w:hanging="2160"/>
      </w:pPr>
      <w:rPr>
        <w:rFonts w:hint="default"/>
      </w:rPr>
    </w:lvl>
    <w:lvl w:ilvl="8" w:tentative="0">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bordersDoNotSurroundHeader w:val="1"/>
  <w:bordersDoNotSurroundFooter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EE8"/>
    <w:rsid w:val="00001C20"/>
    <w:rsid w:val="00020C88"/>
    <w:rsid w:val="00023C58"/>
    <w:rsid w:val="000370FB"/>
    <w:rsid w:val="00052184"/>
    <w:rsid w:val="000A0F19"/>
    <w:rsid w:val="000A5C78"/>
    <w:rsid w:val="000B0EE7"/>
    <w:rsid w:val="000B23B5"/>
    <w:rsid w:val="000C2F2E"/>
    <w:rsid w:val="000F53D1"/>
    <w:rsid w:val="000F7CDF"/>
    <w:rsid w:val="0011043F"/>
    <w:rsid w:val="00113F33"/>
    <w:rsid w:val="0017780B"/>
    <w:rsid w:val="0018635D"/>
    <w:rsid w:val="001B7ADC"/>
    <w:rsid w:val="001C1A94"/>
    <w:rsid w:val="001D0C5A"/>
    <w:rsid w:val="001E7104"/>
    <w:rsid w:val="00206C20"/>
    <w:rsid w:val="00207A1C"/>
    <w:rsid w:val="002143E3"/>
    <w:rsid w:val="00227F52"/>
    <w:rsid w:val="0029144A"/>
    <w:rsid w:val="00314899"/>
    <w:rsid w:val="003177B5"/>
    <w:rsid w:val="0032415A"/>
    <w:rsid w:val="00356BCA"/>
    <w:rsid w:val="00396B20"/>
    <w:rsid w:val="003A3785"/>
    <w:rsid w:val="003A43EB"/>
    <w:rsid w:val="003A75AF"/>
    <w:rsid w:val="003B191F"/>
    <w:rsid w:val="003C7F72"/>
    <w:rsid w:val="003D46E0"/>
    <w:rsid w:val="003F0790"/>
    <w:rsid w:val="00400CBB"/>
    <w:rsid w:val="00405A7D"/>
    <w:rsid w:val="00442E58"/>
    <w:rsid w:val="004435C4"/>
    <w:rsid w:val="00470863"/>
    <w:rsid w:val="004715B9"/>
    <w:rsid w:val="00490BF9"/>
    <w:rsid w:val="004C469D"/>
    <w:rsid w:val="004F6B45"/>
    <w:rsid w:val="00505970"/>
    <w:rsid w:val="005142C8"/>
    <w:rsid w:val="0052299B"/>
    <w:rsid w:val="00544F71"/>
    <w:rsid w:val="0055079E"/>
    <w:rsid w:val="00593510"/>
    <w:rsid w:val="005B1C0F"/>
    <w:rsid w:val="005C4844"/>
    <w:rsid w:val="005D6C07"/>
    <w:rsid w:val="005F7CDD"/>
    <w:rsid w:val="00614D09"/>
    <w:rsid w:val="00634F8D"/>
    <w:rsid w:val="00641644"/>
    <w:rsid w:val="00642E0D"/>
    <w:rsid w:val="0064627C"/>
    <w:rsid w:val="0065079D"/>
    <w:rsid w:val="00655247"/>
    <w:rsid w:val="00675059"/>
    <w:rsid w:val="006D6193"/>
    <w:rsid w:val="007244ED"/>
    <w:rsid w:val="00730650"/>
    <w:rsid w:val="0073789C"/>
    <w:rsid w:val="0074733D"/>
    <w:rsid w:val="007503D6"/>
    <w:rsid w:val="00763800"/>
    <w:rsid w:val="00765BB7"/>
    <w:rsid w:val="00767B27"/>
    <w:rsid w:val="00771807"/>
    <w:rsid w:val="00797932"/>
    <w:rsid w:val="007A098A"/>
    <w:rsid w:val="007A7A54"/>
    <w:rsid w:val="007C0BA7"/>
    <w:rsid w:val="007D0553"/>
    <w:rsid w:val="007D3D1C"/>
    <w:rsid w:val="007E77DC"/>
    <w:rsid w:val="00830EFF"/>
    <w:rsid w:val="00841A5F"/>
    <w:rsid w:val="00842E0A"/>
    <w:rsid w:val="00846E62"/>
    <w:rsid w:val="0084717C"/>
    <w:rsid w:val="00853323"/>
    <w:rsid w:val="00857D22"/>
    <w:rsid w:val="0086025A"/>
    <w:rsid w:val="008643BD"/>
    <w:rsid w:val="00886FDD"/>
    <w:rsid w:val="008870E3"/>
    <w:rsid w:val="008931F8"/>
    <w:rsid w:val="008A2509"/>
    <w:rsid w:val="008E1F32"/>
    <w:rsid w:val="008E20E7"/>
    <w:rsid w:val="008E25C3"/>
    <w:rsid w:val="008F2EDF"/>
    <w:rsid w:val="008F5B29"/>
    <w:rsid w:val="00916485"/>
    <w:rsid w:val="00921E82"/>
    <w:rsid w:val="00927B4F"/>
    <w:rsid w:val="0093540A"/>
    <w:rsid w:val="00954BAA"/>
    <w:rsid w:val="009615FC"/>
    <w:rsid w:val="00984FB2"/>
    <w:rsid w:val="009C1991"/>
    <w:rsid w:val="009D11D6"/>
    <w:rsid w:val="009E43DF"/>
    <w:rsid w:val="00A02ABC"/>
    <w:rsid w:val="00A053CA"/>
    <w:rsid w:val="00A10675"/>
    <w:rsid w:val="00A47116"/>
    <w:rsid w:val="00A772F6"/>
    <w:rsid w:val="00A914F6"/>
    <w:rsid w:val="00A95DBE"/>
    <w:rsid w:val="00A96152"/>
    <w:rsid w:val="00AA6C1A"/>
    <w:rsid w:val="00AA719F"/>
    <w:rsid w:val="00AB555E"/>
    <w:rsid w:val="00B22B8B"/>
    <w:rsid w:val="00B22CE1"/>
    <w:rsid w:val="00B22FB6"/>
    <w:rsid w:val="00B31AFB"/>
    <w:rsid w:val="00B37225"/>
    <w:rsid w:val="00B43B58"/>
    <w:rsid w:val="00B5458D"/>
    <w:rsid w:val="00B56A4E"/>
    <w:rsid w:val="00BA0050"/>
    <w:rsid w:val="00BA73BB"/>
    <w:rsid w:val="00BB4CB7"/>
    <w:rsid w:val="00BC738C"/>
    <w:rsid w:val="00BF09AD"/>
    <w:rsid w:val="00BF1342"/>
    <w:rsid w:val="00C14192"/>
    <w:rsid w:val="00C17068"/>
    <w:rsid w:val="00C258B9"/>
    <w:rsid w:val="00C5777B"/>
    <w:rsid w:val="00C65CAE"/>
    <w:rsid w:val="00C737CF"/>
    <w:rsid w:val="00CB3A78"/>
    <w:rsid w:val="00CB6F7F"/>
    <w:rsid w:val="00CC6F52"/>
    <w:rsid w:val="00CF4EA9"/>
    <w:rsid w:val="00D31E7C"/>
    <w:rsid w:val="00D32CB7"/>
    <w:rsid w:val="00D60590"/>
    <w:rsid w:val="00D772D7"/>
    <w:rsid w:val="00DD316C"/>
    <w:rsid w:val="00E03D17"/>
    <w:rsid w:val="00E11079"/>
    <w:rsid w:val="00E2506B"/>
    <w:rsid w:val="00E36593"/>
    <w:rsid w:val="00E45330"/>
    <w:rsid w:val="00E60A24"/>
    <w:rsid w:val="00E6428B"/>
    <w:rsid w:val="00E80D2D"/>
    <w:rsid w:val="00EA45DF"/>
    <w:rsid w:val="00EC264D"/>
    <w:rsid w:val="00EE0CE7"/>
    <w:rsid w:val="00EE1567"/>
    <w:rsid w:val="00F01208"/>
    <w:rsid w:val="00F0502D"/>
    <w:rsid w:val="00F27FBB"/>
    <w:rsid w:val="00F53FC1"/>
    <w:rsid w:val="00F83201"/>
    <w:rsid w:val="00F95C1A"/>
    <w:rsid w:val="00F96A78"/>
    <w:rsid w:val="00FB4610"/>
    <w:rsid w:val="00FB68CF"/>
    <w:rsid w:val="00FB690D"/>
    <w:rsid w:val="00FD0EE8"/>
    <w:rsid w:val="00FD7505"/>
    <w:rsid w:val="00FE1D9E"/>
    <w:rsid w:val="49C646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宋体"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eastAsia="宋体" w:asciiTheme="minorHAnsi" w:hAnsiTheme="minorHAnsi" w:cstheme="minorBidi"/>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6"/>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17"/>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3">
    <w:name w:val="Default Paragraph Font"/>
    <w:semiHidden/>
    <w:unhideWhenUsed/>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6">
    <w:name w:val="toc 3"/>
    <w:basedOn w:val="1"/>
    <w:next w:val="1"/>
    <w:semiHidden/>
    <w:unhideWhenUsed/>
    <w:uiPriority w:val="39"/>
    <w:pPr>
      <w:ind w:left="840" w:leftChars="400"/>
    </w:pPr>
  </w:style>
  <w:style w:type="paragraph" w:styleId="7">
    <w:name w:val="footer"/>
    <w:basedOn w:val="1"/>
    <w:link w:val="19"/>
    <w:unhideWhenUsed/>
    <w:uiPriority w:val="99"/>
    <w:pPr>
      <w:tabs>
        <w:tab w:val="center" w:pos="4680"/>
        <w:tab w:val="right" w:pos="9360"/>
      </w:tabs>
      <w:spacing w:after="0" w:line="240" w:lineRule="auto"/>
    </w:pPr>
  </w:style>
  <w:style w:type="paragraph" w:styleId="8">
    <w:name w:val="header"/>
    <w:basedOn w:val="1"/>
    <w:link w:val="18"/>
    <w:unhideWhenUsed/>
    <w:uiPriority w:val="99"/>
    <w:pPr>
      <w:tabs>
        <w:tab w:val="center" w:pos="4680"/>
        <w:tab w:val="right" w:pos="9360"/>
      </w:tabs>
      <w:spacing w:after="0" w:line="240" w:lineRule="auto"/>
    </w:pPr>
  </w:style>
  <w:style w:type="paragraph" w:styleId="9">
    <w:name w:val="toc 1"/>
    <w:basedOn w:val="1"/>
    <w:next w:val="1"/>
    <w:semiHidden/>
    <w:unhideWhenUsed/>
    <w:uiPriority w:val="39"/>
  </w:style>
  <w:style w:type="paragraph" w:styleId="10">
    <w:name w:val="toc 2"/>
    <w:basedOn w:val="1"/>
    <w:next w:val="1"/>
    <w:semiHidden/>
    <w:unhideWhenUsed/>
    <w:uiPriority w:val="39"/>
    <w:pPr>
      <w:ind w:left="420" w:leftChars="200"/>
    </w:pPr>
  </w:style>
  <w:style w:type="table" w:styleId="12">
    <w:name w:val="Table Grid"/>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4">
    <w:name w:val="标题 1字符"/>
    <w:basedOn w:val="13"/>
    <w:link w:val="2"/>
    <w:uiPriority w:val="9"/>
    <w:rPr>
      <w:rFonts w:asciiTheme="majorHAnsi" w:hAnsiTheme="majorHAnsi" w:eastAsiaTheme="majorEastAsia" w:cstheme="majorBidi"/>
      <w:color w:val="2F5597" w:themeColor="accent1" w:themeShade="BF"/>
      <w:sz w:val="32"/>
      <w:szCs w:val="32"/>
    </w:rPr>
  </w:style>
  <w:style w:type="character" w:customStyle="1" w:styleId="15">
    <w:name w:val="标题 2字符"/>
    <w:basedOn w:val="13"/>
    <w:link w:val="3"/>
    <w:qFormat/>
    <w:uiPriority w:val="9"/>
    <w:rPr>
      <w:rFonts w:asciiTheme="majorHAnsi" w:hAnsiTheme="majorHAnsi" w:eastAsiaTheme="majorEastAsia" w:cstheme="majorBidi"/>
      <w:color w:val="2F5597" w:themeColor="accent1" w:themeShade="BF"/>
      <w:sz w:val="26"/>
      <w:szCs w:val="26"/>
    </w:rPr>
  </w:style>
  <w:style w:type="character" w:customStyle="1" w:styleId="16">
    <w:name w:val="标题 3字符"/>
    <w:basedOn w:val="13"/>
    <w:link w:val="4"/>
    <w:uiPriority w:val="9"/>
    <w:rPr>
      <w:rFonts w:asciiTheme="majorHAnsi" w:hAnsiTheme="majorHAnsi" w:eastAsiaTheme="majorEastAsia" w:cstheme="majorBidi"/>
      <w:color w:val="203864" w:themeColor="accent1" w:themeShade="80"/>
      <w:sz w:val="24"/>
      <w:szCs w:val="24"/>
    </w:rPr>
  </w:style>
  <w:style w:type="character" w:customStyle="1" w:styleId="17">
    <w:name w:val="标题 4字符"/>
    <w:basedOn w:val="13"/>
    <w:link w:val="5"/>
    <w:uiPriority w:val="9"/>
    <w:rPr>
      <w:rFonts w:asciiTheme="majorHAnsi" w:hAnsiTheme="majorHAnsi" w:eastAsiaTheme="majorEastAsia" w:cstheme="majorBidi"/>
      <w:i/>
      <w:iCs/>
      <w:color w:val="2F5597" w:themeColor="accent1" w:themeShade="BF"/>
    </w:rPr>
  </w:style>
  <w:style w:type="character" w:customStyle="1" w:styleId="18">
    <w:name w:val="页眉字符"/>
    <w:basedOn w:val="13"/>
    <w:link w:val="8"/>
    <w:qFormat/>
    <w:uiPriority w:val="99"/>
  </w:style>
  <w:style w:type="character" w:customStyle="1" w:styleId="19">
    <w:name w:val="页脚字符"/>
    <w:basedOn w:val="13"/>
    <w:link w:val="7"/>
    <w:uiPriority w:val="99"/>
  </w:style>
  <w:style w:type="paragraph" w:customStyle="1" w:styleId="20">
    <w:name w:val="WPSOffice手动目录 1"/>
    <w:uiPriority w:val="0"/>
    <w:pPr>
      <w:ind w:leftChars="0"/>
    </w:pPr>
    <w:rPr>
      <w:sz w:val="20"/>
      <w:szCs w:val="20"/>
    </w:rPr>
  </w:style>
  <w:style w:type="paragraph" w:customStyle="1" w:styleId="21">
    <w:name w:val="WPSOffice手动目录 2"/>
    <w:uiPriority w:val="0"/>
    <w:pPr>
      <w:ind w:leftChars="200"/>
    </w:pPr>
    <w:rPr>
      <w:sz w:val="20"/>
      <w:szCs w:val="20"/>
    </w:rPr>
  </w:style>
  <w:style w:type="paragraph" w:customStyle="1" w:styleId="22">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5.xml"/><Relationship Id="rId12" Type="http://schemas.openxmlformats.org/officeDocument/2006/relationships/chart" Target="charts/chart4.xml"/><Relationship Id="rId11" Type="http://schemas.openxmlformats.org/officeDocument/2006/relationships/chart" Target="charts/chart3.xml"/><Relationship Id="rId10" Type="http://schemas.openxmlformats.org/officeDocument/2006/relationships/chart" Target="charts/chart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4" Type="http://schemas.microsoft.com/office/2011/relationships/chartColorStyle" Target="colors4.xml"/><Relationship Id="rId3" Type="http://schemas.microsoft.com/office/2011/relationships/chartStyle" Target="style4.xml"/><Relationship Id="rId2" Type="http://schemas.openxmlformats.org/officeDocument/2006/relationships/themeOverride" Target="../theme/themeOverride4.xml"/><Relationship Id="rId1" Type="http://schemas.openxmlformats.org/officeDocument/2006/relationships/package" Target="../embeddings/Workbook4.xlsx"/></Relationships>
</file>

<file path=word/charts/_rels/chart4.xml.rels><?xml version="1.0" encoding="UTF-8" standalone="yes"?>
<Relationships xmlns="http://schemas.openxmlformats.org/package/2006/relationships"><Relationship Id="rId4" Type="http://schemas.microsoft.com/office/2011/relationships/chartColorStyle" Target="colors5.xml"/><Relationship Id="rId3" Type="http://schemas.microsoft.com/office/2011/relationships/chartStyle" Target="style5.xml"/><Relationship Id="rId2" Type="http://schemas.openxmlformats.org/officeDocument/2006/relationships/themeOverride" Target="../theme/themeOverride5.xml"/><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4" Type="http://schemas.microsoft.com/office/2011/relationships/chartColorStyle" Target="colors3.xml"/><Relationship Id="rId3" Type="http://schemas.microsoft.com/office/2011/relationships/chartStyle" Target="style3.xml"/><Relationship Id="rId2" Type="http://schemas.openxmlformats.org/officeDocument/2006/relationships/themeOverride" Target="../theme/themeOverrid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[Book1]Sheet9!PivotTable9</c:name>
    <c:fmtId val="-1"/>
  </c:pivotSource>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Sheet9!$B$3</c:f>
              <c:strCache>
                <c:ptCount val="1"/>
                <c:pt idx="0">
                  <c:v>Total</c:v>
                </c:pt>
              </c:strCache>
            </c:strRef>
          </c:tx>
          <c:spPr>
            <a:solidFill>
              <a:schemeClr val="accent1"/>
            </a:solidFill>
            <a:ln>
              <a:noFill/>
            </a:ln>
            <a:effectLst/>
          </c:spPr>
          <c:invertIfNegative val="0"/>
          <c:dLbls>
            <c:delete val="1"/>
          </c:dLbls>
          <c:cat>
            <c:strRef>
              <c:f>Sheet9!$A$4:$A$8</c:f>
              <c:strCache>
                <c:ptCount val="4"/>
                <c:pt idx="0">
                  <c:v>Neutral</c:v>
                </c:pt>
                <c:pt idx="1">
                  <c:v>Satisfied</c:v>
                </c:pt>
                <c:pt idx="2">
                  <c:v>Very Dissatisfied</c:v>
                </c:pt>
                <c:pt idx="3">
                  <c:v>Very Satisfied</c:v>
                </c:pt>
              </c:strCache>
            </c:strRef>
          </c:cat>
          <c:val>
            <c:numRef>
              <c:f>Sheet9!$B$4:$B$8</c:f>
              <c:numCache>
                <c:formatCode>General</c:formatCode>
                <c:ptCount val="4"/>
                <c:pt idx="0">
                  <c:v>4</c:v>
                </c:pt>
                <c:pt idx="1">
                  <c:v>2</c:v>
                </c:pt>
                <c:pt idx="2">
                  <c:v>21</c:v>
                </c:pt>
                <c:pt idx="3">
                  <c:v>23</c:v>
                </c:pt>
              </c:numCache>
            </c:numRef>
          </c:val>
        </c:ser>
        <c:dLbls>
          <c:showLegendKey val="0"/>
          <c:showVal val="0"/>
          <c:showCatName val="0"/>
          <c:showSerName val="0"/>
          <c:showPercent val="0"/>
          <c:showBubbleSize val="0"/>
        </c:dLbls>
        <c:gapWidth val="219"/>
        <c:overlap val="-27"/>
        <c:axId val="-2029440976"/>
        <c:axId val="-2025359776"/>
      </c:barChart>
      <c:catAx>
        <c:axId val="-2029440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25359776"/>
        <c:crosses val="autoZero"/>
        <c:auto val="1"/>
        <c:lblAlgn val="ctr"/>
        <c:lblOffset val="100"/>
        <c:noMultiLvlLbl val="0"/>
      </c:catAx>
      <c:valAx>
        <c:axId val="-2025359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29440976"/>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[Book1]Sheet10!PivotTable10</c:name>
    <c:fmtId val="-1"/>
  </c:pivotSource>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Sheet10!$B$3</c:f>
              <c:strCache>
                <c:ptCount val="1"/>
                <c:pt idx="0">
                  <c:v>Total</c:v>
                </c:pt>
              </c:strCache>
            </c:strRef>
          </c:tx>
          <c:spPr>
            <a:solidFill>
              <a:schemeClr val="accent1"/>
            </a:solidFill>
            <a:ln>
              <a:noFill/>
            </a:ln>
            <a:effectLst/>
          </c:spPr>
          <c:invertIfNegative val="0"/>
          <c:dLbls>
            <c:delete val="1"/>
          </c:dLbls>
          <c:cat>
            <c:strRef>
              <c:f>Sheet10!$A$4:$A$8</c:f>
              <c:strCache>
                <c:ptCount val="4"/>
                <c:pt idx="0">
                  <c:v>Dissatisfied</c:v>
                </c:pt>
                <c:pt idx="1">
                  <c:v>Satisfied</c:v>
                </c:pt>
                <c:pt idx="2">
                  <c:v>Very Dissatisfied</c:v>
                </c:pt>
                <c:pt idx="3">
                  <c:v>Very Satisfied</c:v>
                </c:pt>
              </c:strCache>
            </c:strRef>
          </c:cat>
          <c:val>
            <c:numRef>
              <c:f>Sheet10!$B$4:$B$8</c:f>
              <c:numCache>
                <c:formatCode>0%</c:formatCode>
                <c:ptCount val="4"/>
                <c:pt idx="0">
                  <c:v>0.4</c:v>
                </c:pt>
                <c:pt idx="1">
                  <c:v>0.34</c:v>
                </c:pt>
                <c:pt idx="2">
                  <c:v>0.1</c:v>
                </c:pt>
                <c:pt idx="3">
                  <c:v>0.16</c:v>
                </c:pt>
              </c:numCache>
            </c:numRef>
          </c:val>
        </c:ser>
        <c:dLbls>
          <c:showLegendKey val="0"/>
          <c:showVal val="0"/>
          <c:showCatName val="0"/>
          <c:showSerName val="0"/>
          <c:showPercent val="0"/>
          <c:showBubbleSize val="0"/>
        </c:dLbls>
        <c:gapWidth val="219"/>
        <c:overlap val="-27"/>
        <c:axId val="-2003951904"/>
        <c:axId val="-2091355024"/>
      </c:barChart>
      <c:catAx>
        <c:axId val="-2003951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91355024"/>
        <c:crosses val="autoZero"/>
        <c:auto val="1"/>
        <c:lblAlgn val="ctr"/>
        <c:lblOffset val="100"/>
        <c:noMultiLvlLbl val="0"/>
      </c:catAx>
      <c:valAx>
        <c:axId val="-20913550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039519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[Book1]Sheet11!PivotTable11</c:name>
    <c:fmtId val="-1"/>
  </c:pivotSource>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bar"/>
        <c:grouping val="clustered"/>
        <c:varyColors val="0"/>
        <c:ser>
          <c:idx val="0"/>
          <c:order val="0"/>
          <c:tx>
            <c:strRef>
              <c:f>Sheet11!$B$3</c:f>
              <c:strCache>
                <c:ptCount val="1"/>
                <c:pt idx="0">
                  <c:v>Total</c:v>
                </c:pt>
              </c:strCache>
            </c:strRef>
          </c:tx>
          <c:spPr>
            <a:solidFill>
              <a:schemeClr val="accent1"/>
            </a:solidFill>
            <a:ln>
              <a:noFill/>
            </a:ln>
            <a:effectLst/>
          </c:spPr>
          <c:invertIfNegative val="0"/>
          <c:dLbls>
            <c:delete val="1"/>
          </c:dLbls>
          <c:cat>
            <c:strRef>
              <c:f>Sheet11!$A$4:$A$9</c:f>
              <c:strCache>
                <c:ptCount val="5"/>
                <c:pt idx="0">
                  <c:v>Dissatisfied</c:v>
                </c:pt>
                <c:pt idx="1">
                  <c:v>Neutral</c:v>
                </c:pt>
                <c:pt idx="2">
                  <c:v>Satisfied</c:v>
                </c:pt>
                <c:pt idx="3">
                  <c:v>Very Dissatisfied</c:v>
                </c:pt>
                <c:pt idx="4">
                  <c:v>Very Satisfied</c:v>
                </c:pt>
              </c:strCache>
            </c:strRef>
          </c:cat>
          <c:val>
            <c:numRef>
              <c:f>Sheet11!$B$4:$B$9</c:f>
              <c:numCache>
                <c:formatCode>0.00%</c:formatCode>
                <c:ptCount val="5"/>
                <c:pt idx="0">
                  <c:v>0.38</c:v>
                </c:pt>
                <c:pt idx="1">
                  <c:v>0.2</c:v>
                </c:pt>
                <c:pt idx="2">
                  <c:v>0.24</c:v>
                </c:pt>
                <c:pt idx="3">
                  <c:v>0.14</c:v>
                </c:pt>
                <c:pt idx="4">
                  <c:v>0.04</c:v>
                </c:pt>
              </c:numCache>
            </c:numRef>
          </c:val>
        </c:ser>
        <c:dLbls>
          <c:showLegendKey val="0"/>
          <c:showVal val="0"/>
          <c:showCatName val="0"/>
          <c:showSerName val="0"/>
          <c:showPercent val="0"/>
          <c:showBubbleSize val="0"/>
        </c:dLbls>
        <c:gapWidth val="182"/>
        <c:axId val="-2027138128"/>
        <c:axId val="-2094975072"/>
      </c:barChart>
      <c:catAx>
        <c:axId val="-2027138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94975072"/>
        <c:crosses val="autoZero"/>
        <c:auto val="1"/>
        <c:lblAlgn val="ctr"/>
        <c:lblOffset val="100"/>
        <c:noMultiLvlLbl val="0"/>
      </c:catAx>
      <c:valAx>
        <c:axId val="-209497507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27138128"/>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[Book1]Sheet12!PivotTable12</c:name>
    <c:fmtId val="-1"/>
  </c:pivotSource>
  <c:chart>
    <c:title>
      <c:layout/>
      <c:overlay val="0"/>
      <c:spPr>
        <a:noFill/>
        <a:ln>
          <a:noFill/>
        </a:ln>
        <a:effectLst/>
      </c:spPr>
      <c:txPr>
        <a:bodyPr rot="0" spcFirstLastPara="1" vertOverflow="ellipsis" vert="horz" wrap="square" anchor="ctr" anchorCtr="1"/>
        <a:lstStyle/>
        <a:p>
          <a:pPr>
            <a:defRPr lang="zh-CN" sz="1600" b="1" i="0" u="none" strike="noStrike" kern="1200" cap="all"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Sheet12!$B$3</c:f>
              <c:strCache>
                <c:ptCount val="1"/>
                <c:pt idx="0">
                  <c:v>Total</c:v>
                </c:pt>
              </c:strCache>
            </c:strRef>
          </c:tx>
          <c:spPr/>
          <c:explosion val="0"/>
          <c:dPt>
            <c:idx val="0"/>
            <c:bubble3D val="0"/>
            <c:spPr>
              <a:solidFill>
                <a:schemeClr val="accent6"/>
              </a:solidFill>
              <a:ln>
                <a:noFill/>
              </a:ln>
              <a:effectLst>
                <a:outerShdw blurRad="63500" sx="102000" sy="102000" algn="ctr" rotWithShape="0">
                  <a:prstClr val="black">
                    <a:alpha val="20000"/>
                  </a:prstClr>
                </a:outerShdw>
              </a:effectLst>
            </c:spPr>
          </c:dPt>
          <c:dPt>
            <c:idx val="1"/>
            <c:bubble3D val="0"/>
            <c:spPr>
              <a:solidFill>
                <a:schemeClr val="accent5"/>
              </a:solidFill>
              <a:ln>
                <a:noFill/>
              </a:ln>
              <a:effectLst>
                <a:outerShdw blurRad="63500" sx="102000" sy="102000" algn="ctr" rotWithShape="0">
                  <a:prstClr val="black">
                    <a:alpha val="20000"/>
                  </a:prstClr>
                </a:outerShdw>
              </a:effectLst>
            </c:spPr>
          </c:dPt>
          <c:dPt>
            <c:idx val="2"/>
            <c:bubble3D val="0"/>
            <c:spPr>
              <a:solidFill>
                <a:schemeClr val="accent4"/>
              </a:solidFill>
              <a:ln>
                <a:noFill/>
              </a:ln>
              <a:effectLst>
                <a:outerShdw blurRad="63500" sx="102000" sy="102000" algn="ctr" rotWithShape="0">
                  <a:prstClr val="black">
                    <a:alpha val="20000"/>
                  </a:prstClr>
                </a:outerShdw>
              </a:effectLst>
            </c:spPr>
          </c:dPt>
          <c:dPt>
            <c:idx val="3"/>
            <c:bubble3D val="0"/>
            <c:spPr>
              <a:solidFill>
                <a:schemeClr val="accent6">
                  <a:lumMod val="60000"/>
                </a:schemeClr>
              </a:solidFill>
              <a:ln>
                <a:noFill/>
              </a:ln>
              <a:effectLst>
                <a:outerShdw blurRad="63500" sx="102000" sy="102000" algn="ctr" rotWithShape="0">
                  <a:prstClr val="black">
                    <a:alpha val="20000"/>
                  </a:prstClr>
                </a:outerShdw>
              </a:effectLst>
            </c:spPr>
          </c:dPt>
          <c:dLbls>
            <c:dLbl>
              <c:idx val="0"/>
              <c:layout/>
              <c:numFmt formatCode="General" sourceLinked="1"/>
              <c:spPr>
                <a:noFill/>
                <a:ln>
                  <a:noFill/>
                </a:ln>
                <a:effectLst/>
              </c:spPr>
              <c:txPr>
                <a:bodyPr rot="0" spcFirstLastPara="1" vertOverflow="ellipsis" vert="horz" wrap="square" lIns="38100" tIns="19050" rIns="38100" bIns="19050" anchor="ctr" anchorCtr="1">
                  <a:spAutoFit/>
                </a:bodyPr>
                <a:lstStyle/>
                <a:p>
                  <a:pPr>
                    <a:defRPr lang="zh-CN" sz="1000" b="1" i="0" u="none" strike="noStrike" kern="1200" spc="0" baseline="0">
                      <a:solidFill>
                        <a:schemeClr val="accent6"/>
                      </a:solidFill>
                      <a:latin typeface="+mn-lt"/>
                      <a:ea typeface="+mn-ea"/>
                      <a:cs typeface="+mn-cs"/>
                    </a:defRPr>
                  </a:pPr>
                </a:p>
              </c:txPr>
              <c:dLblPos val="outEnd"/>
              <c:showLegendKey val="0"/>
              <c:showVal val="0"/>
              <c:showCatName val="0"/>
              <c:showSerName val="0"/>
              <c:showPercent val="1"/>
              <c:showBubbleSize val="0"/>
              <c:extLst>
                <c:ext xmlns:c15="http://schemas.microsoft.com/office/drawing/2012/chart" uri="{CE6537A1-D6FC-4f65-9D91-7224C49458BB}"/>
              </c:extLst>
            </c:dLbl>
            <c:dLbl>
              <c:idx val="1"/>
              <c:layout/>
              <c:numFmt formatCode="General" sourceLinked="1"/>
              <c:spPr>
                <a:noFill/>
                <a:ln>
                  <a:noFill/>
                </a:ln>
                <a:effectLst/>
              </c:spPr>
              <c:txPr>
                <a:bodyPr rot="0" spcFirstLastPara="1" vertOverflow="ellipsis" vert="horz" wrap="square" lIns="38100" tIns="19050" rIns="38100" bIns="19050" anchor="ctr" anchorCtr="1">
                  <a:spAutoFit/>
                </a:bodyPr>
                <a:lstStyle/>
                <a:p>
                  <a:pPr>
                    <a:defRPr lang="zh-CN" sz="1000" b="1" i="0" u="none" strike="noStrike" kern="1200" spc="0" baseline="0">
                      <a:solidFill>
                        <a:schemeClr val="accent5"/>
                      </a:solidFill>
                      <a:latin typeface="+mn-lt"/>
                      <a:ea typeface="+mn-ea"/>
                      <a:cs typeface="+mn-cs"/>
                    </a:defRPr>
                  </a:pPr>
                </a:p>
              </c:txPr>
              <c:dLblPos val="outEnd"/>
              <c:showLegendKey val="0"/>
              <c:showVal val="0"/>
              <c:showCatName val="0"/>
              <c:showSerName val="0"/>
              <c:showPercent val="1"/>
              <c:showBubbleSize val="0"/>
              <c:extLst>
                <c:ext xmlns:c15="http://schemas.microsoft.com/office/drawing/2012/chart" uri="{CE6537A1-D6FC-4f65-9D91-7224C49458BB}"/>
              </c:extLst>
            </c:dLbl>
            <c:dLbl>
              <c:idx val="2"/>
              <c:layout/>
              <c:numFmt formatCode="General" sourceLinked="1"/>
              <c:spPr>
                <a:noFill/>
                <a:ln>
                  <a:noFill/>
                </a:ln>
                <a:effectLst/>
              </c:spPr>
              <c:txPr>
                <a:bodyPr rot="0" spcFirstLastPara="1" vertOverflow="ellipsis" vert="horz" wrap="square" lIns="38100" tIns="19050" rIns="38100" bIns="19050" anchor="ctr" anchorCtr="1">
                  <a:spAutoFit/>
                </a:bodyPr>
                <a:lstStyle/>
                <a:p>
                  <a:pPr>
                    <a:defRPr lang="zh-CN" sz="1000" b="1" i="0" u="none" strike="noStrike" kern="1200" spc="0" baseline="0">
                      <a:solidFill>
                        <a:schemeClr val="accent4"/>
                      </a:solidFill>
                      <a:latin typeface="+mn-lt"/>
                      <a:ea typeface="+mn-ea"/>
                      <a:cs typeface="+mn-cs"/>
                    </a:defRPr>
                  </a:pPr>
                </a:p>
              </c:txPr>
              <c:dLblPos val="outEnd"/>
              <c:showLegendKey val="0"/>
              <c:showVal val="0"/>
              <c:showCatName val="0"/>
              <c:showSerName val="0"/>
              <c:showPercent val="1"/>
              <c:showBubbleSize val="0"/>
              <c:extLst>
                <c:ext xmlns:c15="http://schemas.microsoft.com/office/drawing/2012/chart" uri="{CE6537A1-D6FC-4f65-9D91-7224C49458BB}"/>
              </c:extLst>
            </c:dLbl>
            <c:dLbl>
              <c:idx val="3"/>
              <c:layout/>
              <c:numFmt formatCode="General" sourceLinked="1"/>
              <c:spPr>
                <a:noFill/>
                <a:ln>
                  <a:noFill/>
                </a:ln>
                <a:effectLst/>
              </c:spPr>
              <c:txPr>
                <a:bodyPr rot="0" spcFirstLastPara="1" vertOverflow="ellipsis" vert="horz" wrap="square" lIns="38100" tIns="19050" rIns="38100" bIns="19050" anchor="ctr" anchorCtr="1">
                  <a:spAutoFit/>
                </a:bodyPr>
                <a:lstStyle/>
                <a:p>
                  <a:pPr>
                    <a:defRPr lang="zh-CN" sz="1000" b="1" i="0" u="none" strike="noStrike" kern="1200" spc="0" baseline="0">
                      <a:solidFill>
                        <a:schemeClr val="accent6">
                          <a:lumMod val="60000"/>
                        </a:schemeClr>
                      </a:solidFill>
                      <a:latin typeface="+mn-lt"/>
                      <a:ea typeface="+mn-ea"/>
                      <a:cs typeface="+mn-cs"/>
                    </a:defRPr>
                  </a:pPr>
                </a:p>
              </c:txPr>
              <c:dLblPos val="outEnd"/>
              <c:showLegendKey val="0"/>
              <c:showVal val="0"/>
              <c:showCatName val="0"/>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zh-CN" sz="1000" b="1" i="0" u="none" strike="noStrike" kern="1200" spc="0" baseline="0">
                    <a:solidFill>
                      <a:schemeClr val="accent6"/>
                    </a:solidFill>
                    <a:latin typeface="+mn-lt"/>
                    <a:ea typeface="+mn-ea"/>
                    <a:cs typeface="+mn-cs"/>
                  </a:defRPr>
                </a:pPr>
              </a:p>
            </c:txPr>
            <c:dLblPos val="out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Sheet12!$A$4:$A$8</c:f>
              <c:strCache>
                <c:ptCount val="4"/>
                <c:pt idx="0">
                  <c:v>Don't know</c:v>
                </c:pt>
                <c:pt idx="1">
                  <c:v>Maybe</c:v>
                </c:pt>
                <c:pt idx="2">
                  <c:v>No</c:v>
                </c:pt>
                <c:pt idx="3">
                  <c:v>Yes</c:v>
                </c:pt>
              </c:strCache>
            </c:strRef>
          </c:cat>
          <c:val>
            <c:numRef>
              <c:f>Sheet12!$B$4:$B$8</c:f>
              <c:numCache>
                <c:formatCode>General</c:formatCode>
                <c:ptCount val="4"/>
                <c:pt idx="0">
                  <c:v>8</c:v>
                </c:pt>
                <c:pt idx="1">
                  <c:v>9</c:v>
                </c:pt>
                <c:pt idx="2">
                  <c:v>10</c:v>
                </c:pt>
                <c:pt idx="3">
                  <c:v>23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[Book1]Sheet13!PivotTable13</c:name>
    <c:fmtId val="-1"/>
  </c:pivotSource>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Sheet13!$B$3</c:f>
              <c:strCache>
                <c:ptCount val="1"/>
                <c:pt idx="0">
                  <c:v>Total</c:v>
                </c:pt>
              </c:strCache>
            </c:strRef>
          </c:tx>
          <c:spPr/>
          <c:explosion val="0"/>
          <c:dPt>
            <c:idx val="0"/>
            <c:bubble3D val="0"/>
            <c:spPr>
              <a:solidFill>
                <a:schemeClr val="accent2"/>
              </a:solidFill>
              <a:ln w="19050">
                <a:solidFill>
                  <a:schemeClr val="lt1"/>
                </a:solidFill>
              </a:ln>
              <a:effectLst/>
            </c:spPr>
          </c:dPt>
          <c:dPt>
            <c:idx val="1"/>
            <c:bubble3D val="0"/>
            <c:spPr>
              <a:solidFill>
                <a:schemeClr val="accent4"/>
              </a:solidFill>
              <a:ln w="19050">
                <a:solidFill>
                  <a:schemeClr val="lt1"/>
                </a:solidFill>
              </a:ln>
              <a:effectLst/>
            </c:spPr>
          </c:dPt>
          <c:dPt>
            <c:idx val="2"/>
            <c:bubble3D val="0"/>
            <c:spPr>
              <a:solidFill>
                <a:schemeClr val="accent6"/>
              </a:solidFill>
              <a:ln w="19050">
                <a:solidFill>
                  <a:schemeClr val="lt1"/>
                </a:solidFill>
              </a:ln>
              <a:effectLst/>
            </c:spPr>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zh-CN" sz="900" b="0" i="0" u="none" strike="noStrike" kern="1200" baseline="0">
                    <a:solidFill>
                      <a:schemeClr val="dk1">
                        <a:lumMod val="65000"/>
                        <a:lumOff val="35000"/>
                      </a:schemeClr>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spPr xmlns:c15="http://schemas.microsoft.com/office/drawing/2012/chart">
                  <a:prstGeom prst="wedgeRectCallout">
                    <a:avLst/>
                  </a:prstGeom>
                  <a:noFill/>
                  <a:ln>
                    <a:noFill/>
                  </a:ln>
                </c15:spPr>
                <c15:layout/>
                <c15:showLeaderLines val="1"/>
                <c15:leaderLines>
                  <c:spPr>
                    <a:ln w="9525" cap="flat" cmpd="sng" algn="ctr">
                      <a:solidFill>
                        <a:schemeClr val="tx1">
                          <a:lumMod val="35000"/>
                          <a:lumOff val="65000"/>
                        </a:schemeClr>
                      </a:solidFill>
                      <a:round/>
                    </a:ln>
                    <a:effectLst/>
                  </c:spPr>
                </c15:leaderLines>
              </c:ext>
            </c:extLst>
          </c:dLbls>
          <c:cat>
            <c:strRef>
              <c:f>Sheet13!$A$4:$A$7</c:f>
              <c:strCache>
                <c:ptCount val="3"/>
                <c:pt idx="0">
                  <c:v>Maybe</c:v>
                </c:pt>
                <c:pt idx="1">
                  <c:v>No</c:v>
                </c:pt>
                <c:pt idx="2">
                  <c:v>Yes</c:v>
                </c:pt>
              </c:strCache>
            </c:strRef>
          </c:cat>
          <c:val>
            <c:numRef>
              <c:f>Sheet13!$B$4:$B$7</c:f>
              <c:numCache>
                <c:formatCode>General</c:formatCode>
                <c:ptCount val="3"/>
                <c:pt idx="0">
                  <c:v>10</c:v>
                </c:pt>
                <c:pt idx="1">
                  <c:v>22</c:v>
                </c:pt>
                <c:pt idx="2">
                  <c:v>18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E97DC8-ACCB-5645-99EA-6BAD447AE109}">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17489</Words>
  <Characters>99693</Characters>
  <Lines>830</Lines>
  <Paragraphs>233</Paragraphs>
  <TotalTime>4</TotalTime>
  <ScaleCrop>false</ScaleCrop>
  <LinksUpToDate>false</LinksUpToDate>
  <CharactersWithSpaces>116949</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2019-05-08T04:32:00Z</dcterms:created>
  <dcterms:modified xsi:type="dcterms:W3CDTF">2019-05-08T14:02:10Z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