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D87ED1" w14:textId="5019E2B2" w:rsidR="6188CACD" w:rsidRDefault="6188CACD" w:rsidP="6188CACD">
      <w:pPr>
        <w:jc w:val="center"/>
        <w:rPr>
          <w:sz w:val="28"/>
          <w:szCs w:val="28"/>
          <w:u w:val="single"/>
        </w:rPr>
      </w:pPr>
      <w:bookmarkStart w:id="0" w:name="_GoBack"/>
      <w:bookmarkEnd w:id="0"/>
      <w:r w:rsidRPr="6188CACD">
        <w:rPr>
          <w:sz w:val="28"/>
          <w:szCs w:val="28"/>
          <w:u w:val="single"/>
        </w:rPr>
        <w:t>Critically Compare one Cognitive and one Sociocultural theory of moral development</w:t>
      </w:r>
    </w:p>
    <w:p w14:paraId="7B6C4372" w14:textId="74A86023" w:rsidR="6188CACD" w:rsidRDefault="6188CACD" w:rsidP="6188CACD">
      <w:pPr>
        <w:rPr>
          <w:sz w:val="24"/>
          <w:szCs w:val="24"/>
        </w:rPr>
      </w:pPr>
    </w:p>
    <w:p w14:paraId="3174DF6D" w14:textId="414129E6" w:rsidR="6188CACD" w:rsidRDefault="7CE46FAF" w:rsidP="7CE46FAF">
      <w:pPr>
        <w:rPr>
          <w:sz w:val="24"/>
          <w:szCs w:val="24"/>
        </w:rPr>
      </w:pPr>
      <w:r w:rsidRPr="7CE46FAF">
        <w:rPr>
          <w:sz w:val="24"/>
          <w:szCs w:val="24"/>
        </w:rPr>
        <w:t xml:space="preserve">This essay will outline previous beliefs and background empirical evidence of development. This is to set a basis for the two theories being analysed throughout, offering explanations to explain moral development. The cognitive theory will primarily focus on Piaget’s theory, whilst the socio-cultural theory will concentrate on Vygotsky’s theory of moral development. Both will have supportive background evidence from other resources and complimentary Journal articles. </w:t>
      </w:r>
    </w:p>
    <w:p w14:paraId="608153BF" w14:textId="775BEFC4" w:rsidR="6188CACD" w:rsidRDefault="4636A12A" w:rsidP="4636A12A">
      <w:pPr>
        <w:rPr>
          <w:sz w:val="24"/>
          <w:szCs w:val="24"/>
        </w:rPr>
      </w:pPr>
      <w:r w:rsidRPr="4636A12A">
        <w:rPr>
          <w:sz w:val="24"/>
          <w:szCs w:val="24"/>
        </w:rPr>
        <w:t>Development can be defined as a sequence of changes over the full lifespan of an organism. In order to delve into moral development, one must firstly look at the primary background of how development occurs in the first place. The beliefs of development can stem from many different resources, such as; research from books, religion and peers or family (personal experience). The research found, though, can be somewhat contradictory. In terms of some religious evidence, which depicts the child as ‘evil’ (Hendrick, 1997) while others show the child as an ‘innocent’. This perception of the child as being evil can be seen when looking into the research behind the puritan dogma. This being the set of principles and rules expected from a group of protestants who rose in the 16</w:t>
      </w:r>
      <w:r w:rsidRPr="4636A12A">
        <w:rPr>
          <w:sz w:val="24"/>
          <w:szCs w:val="24"/>
          <w:vertAlign w:val="superscript"/>
        </w:rPr>
        <w:t>th</w:t>
      </w:r>
      <w:r w:rsidRPr="4636A12A">
        <w:rPr>
          <w:sz w:val="24"/>
          <w:szCs w:val="24"/>
        </w:rPr>
        <w:t xml:space="preserve"> century, the Puritans demanded greater strictness within religious discipline. The reasoning behind their disregard towards children was due to their belief they were born with natural stubbornness which had to first be broken down. The parents would rear the child with strict rules and if they were disobeyed, were often both mentally and physically punished, it was also accepted to have others discipline the child if they misbehaved in the presence of others (Fuller, 2017). Obviously, this would be heavily scrutinised today. By the late nineteenth century to early twentieth century these radical techniques and opinions started to diffuse, with parents valuing their children much more. Despite this, the working class would still send children as young as 5 to work as they needed money for the family, the child was now seen as an important economic commodity. Within the wealthy and middle-class community, who did not need to send their children to work, childhood was viewed as precious and a time which should be enjoyed and protected. Whereas the mere concept of childhood had been minimised and disregarded until this point. When the 19</w:t>
      </w:r>
      <w:r w:rsidRPr="4636A12A">
        <w:rPr>
          <w:sz w:val="24"/>
          <w:szCs w:val="24"/>
          <w:vertAlign w:val="superscript"/>
        </w:rPr>
        <w:t>th</w:t>
      </w:r>
      <w:r w:rsidRPr="4636A12A">
        <w:rPr>
          <w:sz w:val="24"/>
          <w:szCs w:val="24"/>
        </w:rPr>
        <w:t xml:space="preserve"> century progressed further (mid), the child was eventually seen as </w:t>
      </w:r>
      <w:r w:rsidRPr="4636A12A">
        <w:rPr>
          <w:rFonts w:eastAsiaTheme="minorEastAsia"/>
          <w:sz w:val="24"/>
          <w:szCs w:val="24"/>
        </w:rPr>
        <w:t xml:space="preserve">‘economically worthless’ but ‘emotionally priceless’ (Zelizer, 1985), this was a breakthrough in history. </w:t>
      </w:r>
    </w:p>
    <w:p w14:paraId="1D9AEEED" w14:textId="055D7F17" w:rsidR="3CD61438" w:rsidRDefault="4636A12A" w:rsidP="4636A12A">
      <w:pPr>
        <w:rPr>
          <w:rFonts w:eastAsiaTheme="minorEastAsia"/>
          <w:color w:val="222222"/>
          <w:sz w:val="24"/>
          <w:szCs w:val="24"/>
        </w:rPr>
      </w:pPr>
      <w:r w:rsidRPr="4636A12A">
        <w:rPr>
          <w:rFonts w:eastAsiaTheme="minorEastAsia"/>
          <w:sz w:val="24"/>
          <w:szCs w:val="24"/>
        </w:rPr>
        <w:t>Leading on from the background of development, it is important to consider moral development of children. This is the general process through which children develop attitudes and opinions towards others, based on cultural norms and socialisation. Lawrence Kohlberg was an important influencer within the cognitive theory of moral development, who proposed six stages to moral development spanning across 3 levels; the pre-conventional, conventional and post conventional level. His theory extended that of Jean Piaget’s (which only detailed a four-stage process), with the main principle stating that moral development is a continuous process throughout one’s life (</w:t>
      </w:r>
      <w:r w:rsidRPr="4636A12A">
        <w:rPr>
          <w:rFonts w:eastAsiaTheme="minorEastAsia"/>
          <w:color w:val="222222"/>
          <w:sz w:val="24"/>
          <w:szCs w:val="24"/>
        </w:rPr>
        <w:t xml:space="preserve">Kohlberg, 1969). Piaget’s </w:t>
      </w:r>
      <w:r w:rsidRPr="4636A12A">
        <w:rPr>
          <w:rFonts w:eastAsiaTheme="minorEastAsia"/>
          <w:color w:val="222222"/>
          <w:sz w:val="24"/>
          <w:szCs w:val="24"/>
        </w:rPr>
        <w:lastRenderedPageBreak/>
        <w:t>theory of moral development focused on the idea that “a child is born with an innate plan for their cognitive development. This unfolds as the child matures” (Piaget, 1930). The theory behind this quote is that the environment is necessary for a child to progress as stimuli allows skills (proposed to already be possessed) to flourish and develop. This can link like to the term ‘adaptation’ meaning the tendency to respond to demands of the environment to meet one’s goals. In terms of being ‘born with an innate plan’, Piaget believed the child must have an instinct to respond to environmental demands as their ‘intrinsically motivated to learn’. Piaget coined the term of the ‘active child’ based off these ideas, stating children actively seek to make contributions to their own development, suggesting much of the knowledge a child retains is acquired on their own. These contributions are said to increase with age, due to the child’s choice of peers, activities and the environment they surround themselves with. The maturation of a child can therefore only be successful if the child is engaged with others and with stimulating, beneficial activities to aid their development. (Piaget, 1930)</w:t>
      </w:r>
    </w:p>
    <w:p w14:paraId="0EACDB03" w14:textId="4D2A1B36" w:rsidR="3CD61438" w:rsidRDefault="4636A12A" w:rsidP="4636A12A">
      <w:pPr>
        <w:rPr>
          <w:rFonts w:eastAsiaTheme="minorEastAsia"/>
          <w:color w:val="222222"/>
          <w:sz w:val="24"/>
          <w:szCs w:val="24"/>
        </w:rPr>
      </w:pPr>
      <w:r w:rsidRPr="4636A12A">
        <w:rPr>
          <w:rFonts w:eastAsiaTheme="minorEastAsia"/>
          <w:color w:val="222222"/>
          <w:sz w:val="24"/>
          <w:szCs w:val="24"/>
        </w:rPr>
        <w:t>Piaget’s stages to moral development include; the sensorimotor stage (birth- two years old), the preoperational (age two to seven), concrete operational (seven to eleven) and finally the formal operational (adolescence to adult). The sensorimotor stage is very much so the child exploring the world through their senses, so touching, tasting, smelling. This provides a basis of knowledge regarding the outside world, as for the first few months from birth the child doesn't acknowledge anything besides if they’re needs are being met. When object permanence slowly starts to occur within a child, between four and nine months, this is the true start of one’s moral development. Once that child questions and searches for a hidden object, they are developing that right and wrong perception, whereas before if something was hidden it was gone permanently, at this stage that’s seen as ‘wrong’. The child has learnt through the environment that just because the object is out of sight, that does not mean it has disappeared. This is merely the start of a child’s understanding; other milestones will include acquiring language and evidently asking questions about anything that interests them or even confuses them. This is the best way for a young child to gain the knowledge needed to progress in life. Through the pre-operational stage, transformational reasoning will thrive and progress, this is somewhat important as it paves the way for abstract thinking. The concrete operational stage allows a child to truly grasp how to think logically as opposed to intuitively, which is vital to understanding real world scenarios and happenings. After these stages have occurred successfully, a child has the tools to morally debate with themselves, or even others regarding certain events which may require a logical opinion for the desired outcome. (Piaget, 1930)</w:t>
      </w:r>
    </w:p>
    <w:p w14:paraId="32BB0011" w14:textId="55F84D28" w:rsidR="493D4627" w:rsidRDefault="4636A12A" w:rsidP="4636A12A">
      <w:pPr>
        <w:rPr>
          <w:rFonts w:ascii="Calibri" w:eastAsia="Calibri" w:hAnsi="Calibri" w:cs="Calibri"/>
          <w:color w:val="333333"/>
          <w:sz w:val="24"/>
          <w:szCs w:val="24"/>
        </w:rPr>
      </w:pPr>
      <w:r w:rsidRPr="4636A12A">
        <w:rPr>
          <w:rFonts w:eastAsiaTheme="minorEastAsia"/>
          <w:color w:val="222222"/>
          <w:sz w:val="24"/>
          <w:szCs w:val="24"/>
        </w:rPr>
        <w:t>As previously stated though, Lawrence Kohlberg followed on these ideas of Piaget’s to expand and delve into them in more detail. They both share a likeness</w:t>
      </w:r>
      <w:r w:rsidRPr="4636A12A">
        <w:rPr>
          <w:rFonts w:ascii="Calibri" w:eastAsia="Calibri" w:hAnsi="Calibri" w:cs="Calibri"/>
          <w:color w:val="333333"/>
          <w:sz w:val="24"/>
          <w:szCs w:val="24"/>
        </w:rPr>
        <w:t xml:space="preserve"> in their interests of the characteristics of an individual's moral reasoning and one’s valuing of norms and community. Kohlberg emphasised how we can often come to a decision, previously viewed as hard to reach, by looking at it from someone else’s point of view. However, in critique of this, it must be considered how a small child can learn about moral reasoning through looking at situations from another’s point of view. If they do not have the cognitive understanding to come to a decision themselves, how are they supposed to understand </w:t>
      </w:r>
      <w:r w:rsidRPr="4636A12A">
        <w:rPr>
          <w:rFonts w:ascii="Calibri" w:eastAsia="Calibri" w:hAnsi="Calibri" w:cs="Calibri"/>
          <w:color w:val="333333"/>
          <w:sz w:val="24"/>
          <w:szCs w:val="24"/>
        </w:rPr>
        <w:lastRenderedPageBreak/>
        <w:t>another’s situation? Even so, He theorised this with the example of the ‘Heinz Dilemma’, which looked at basic interviews comprised of various ‘dilemma’s’. The basic one of course, being ‘should Heinz have stolen the drug for his wife?’ He was not interested in whether the answer was yes or no, but rather one’s reasoning behind said answer. Kohlberg’s last stage of development investigated how someone defines what is right, and how this is self-chosen. He states how these ideas are ethical and abstract, and how these were the justice principles of human rights. A lot of his moral development theories link to what one views as justice for a situation. His inspiration derives from many people, including justice philosophers Kant and Rawls. Based off their ideas, his final stage leans towards that a person learns to deal with a moral dilemma by remaining impartial to a situation, while respecting everyone and all’s basic dignity’s. In theory the principles of justice are thought, here, to give us a baseline to making respectful, moral decisions. (Kohlberg, 1971)</w:t>
      </w:r>
    </w:p>
    <w:p w14:paraId="287DD47F" w14:textId="15A5CD5D" w:rsidR="493D4627" w:rsidRDefault="4636A12A" w:rsidP="4636A12A">
      <w:pPr>
        <w:rPr>
          <w:rFonts w:ascii="Calibri" w:eastAsia="Calibri" w:hAnsi="Calibri" w:cs="Calibri"/>
          <w:color w:val="333333"/>
          <w:sz w:val="24"/>
          <w:szCs w:val="24"/>
        </w:rPr>
      </w:pPr>
      <w:r w:rsidRPr="4636A12A">
        <w:rPr>
          <w:rFonts w:ascii="Calibri" w:eastAsia="Calibri" w:hAnsi="Calibri" w:cs="Calibri"/>
          <w:color w:val="333333"/>
          <w:sz w:val="24"/>
          <w:szCs w:val="24"/>
        </w:rPr>
        <w:t>In critique to Kohlberg’s ideas, came Gilligan. Although she worked closely with Kohlberg, she criticized his approach to the stages. She stated that the two ‘themes’ which he proposed to emerge between boys and girl’s moral dilemmas, should be integrated for one to realise their full potential as a respectfully moral human. Arguing her point, she says how the ideas behind Kohlberg’s theory are largely male dominated/ westernised. So, one should not simply be directed towards justice and rights, but also care responses. (Gilligan, 1982)</w:t>
      </w:r>
    </w:p>
    <w:p w14:paraId="30052865" w14:textId="519B81A3" w:rsidR="493D4627" w:rsidRDefault="4636A12A" w:rsidP="4636A12A">
      <w:pPr>
        <w:rPr>
          <w:rFonts w:ascii="Calibri" w:eastAsia="Calibri" w:hAnsi="Calibri" w:cs="Calibri"/>
          <w:color w:val="333333"/>
          <w:sz w:val="24"/>
          <w:szCs w:val="24"/>
        </w:rPr>
      </w:pPr>
      <w:r w:rsidRPr="4636A12A">
        <w:rPr>
          <w:rFonts w:ascii="Calibri" w:eastAsia="Calibri" w:hAnsi="Calibri" w:cs="Calibri"/>
          <w:color w:val="333333"/>
          <w:sz w:val="24"/>
          <w:szCs w:val="24"/>
        </w:rPr>
        <w:t xml:space="preserve">Having considered the cognitive ideas to moral development, one can consider the sociocultural reasons behind moral development. One sociocultural theory is by Turiel, who proposed that social conventions and attitudes towards morality are important as they are universal (applicable to everyone). He stated that the child recognises these rules in society and within ethical conundrums are not merely random as they draw from personal experience. If their social group all abide by a certain code of conduct, shall we say, then that is the cultural norm for that child, and they regard this as the norm for those outside this ‘circle’ too. (Turiel, 1983). However, critiques to this idea state that even though certain moral rules may become universal, not all will abide by these. There are many sub-cultures and individuals who will rebel for many reasons (selfish gratification, poverty, peer pressure). It’s important to consider, is the idea of morals being universal possible? Due to the often-drastic difference in upbringing within different cultures, certain moral values will never be the same. Another sociocultural theorist was Lev Vygotsky, a Russian theorist of Marxist background. He argued that there should be less emphasis on the idea of solitary learning, and more on the idea of social interaction and language. He proposed that children use historical/cultural artefacts like symbols and language to organise their mental structures. These act as tools to solve problems in everyday life, whether we realise it or not. </w:t>
      </w:r>
    </w:p>
    <w:p w14:paraId="10B4071D" w14:textId="4E2514D1" w:rsidR="493D4627" w:rsidRDefault="4636A12A" w:rsidP="4636A12A">
      <w:pPr>
        <w:rPr>
          <w:rFonts w:ascii="Calibri" w:eastAsia="Calibri" w:hAnsi="Calibri" w:cs="Calibri"/>
          <w:color w:val="333333"/>
          <w:sz w:val="24"/>
          <w:szCs w:val="24"/>
        </w:rPr>
      </w:pPr>
      <w:r w:rsidRPr="4636A12A">
        <w:rPr>
          <w:rFonts w:ascii="Calibri" w:eastAsia="Calibri" w:hAnsi="Calibri" w:cs="Calibri"/>
          <w:color w:val="333333"/>
          <w:sz w:val="24"/>
          <w:szCs w:val="24"/>
        </w:rPr>
        <w:t xml:space="preserve">The main difference between Piaget and Vygotsky was that Vygotsky believed that for a child to acquire new information, they do not need to wait for a certain development stage (as he largely claimed they are self-taught). Rather the communication between a child and an elder experienced role model promotes development on a higher psychological level. This scaffolding technique provides crucial and arguably far more benefits to the child during their zone of proximal development window. (Alves, 2014). Another theorist who has </w:t>
      </w:r>
      <w:r w:rsidRPr="4636A12A">
        <w:rPr>
          <w:rFonts w:ascii="Calibri" w:eastAsia="Calibri" w:hAnsi="Calibri" w:cs="Calibri"/>
          <w:color w:val="333333"/>
          <w:sz w:val="24"/>
          <w:szCs w:val="24"/>
        </w:rPr>
        <w:lastRenderedPageBreak/>
        <w:t xml:space="preserve">built off the ideas of sociocultural means to moral development is Mark B. Tappan. His ideas complimented Vygotsky’s in similar ways, pairing moral functioning with mediated action this time. So, suggesting that a person gradually gains moral means depending on the type of person they are and the ‘cultural tools’ they have at their disposal to make a desired outcome possible. Tappan suggested that as children grow up, they soak up the culture they are surrounded by and use these tools throughout their life, passing them on through the generations to come. </w:t>
      </w:r>
    </w:p>
    <w:p w14:paraId="56DEB477" w14:textId="6D7EBF1A" w:rsidR="4636A12A" w:rsidRDefault="2450A43B" w:rsidP="2450A43B">
      <w:pPr>
        <w:rPr>
          <w:rFonts w:ascii="Calibri" w:eastAsia="Calibri" w:hAnsi="Calibri" w:cs="Calibri"/>
          <w:color w:val="333333"/>
          <w:sz w:val="24"/>
          <w:szCs w:val="24"/>
        </w:rPr>
      </w:pPr>
      <w:r w:rsidRPr="2450A43B">
        <w:rPr>
          <w:rFonts w:ascii="Calibri" w:eastAsia="Calibri" w:hAnsi="Calibri" w:cs="Calibri"/>
          <w:color w:val="333333"/>
          <w:sz w:val="24"/>
          <w:szCs w:val="24"/>
        </w:rPr>
        <w:t>To consider the true reasoning behind one’s moral development, these ideas must be considered in depth, do they play a significant role? In terms of which one theory is correct it’s hard to say, as each theory has criticisms but also interesting thoughts. A further point to add to the moral development discussion could be the role empathy plays in the justice of a situation and someone’s moral judgement. Empathy is “an effective response more appropriate to someone else’s situation than to one’s own” (Hoffman, 1987). Empathy is not something to be taught as such, depending on one’s surroundings, this allows that individual to gain their own opinions on how a situation should be handled. It is interesting to see how individuals grow up and deal with scenarios, and equally justify the reasoning behind their actions. A child can be brought up with the ‘right values’ and still deviate from the ‘normal’ or ‘correct’ social attitudes, social world conventions ultimately play a vital role in attitudes. With regards to Piaget and Kohlberg, they may have shared similar ideas but ultimately disagreed at what point certain stages occur. Vygotsky and Kohlberg both seemed to echo the same thoughts proposing that one does not have to wait for a certain age or critical point to advance psychologically, rather it’s a continuous process. Although the difference being, Kohlberg saw moral development as continuously being learnt from one’s surroundings and life experiences, whereas Vygotsky saw the progression as a result of a child’s specific communication with a well-equipped role model. In summary, it is important to consider all factors which could play a part in a child’s moral development. However, one must bear in mind the critiques present as they are just as important in order to recognise and begin to understand a complex progression such as moral development.</w:t>
      </w:r>
    </w:p>
    <w:p w14:paraId="6554BA8E" w14:textId="5F51265D" w:rsidR="493D4627" w:rsidRDefault="493D4627" w:rsidP="493D4627">
      <w:pPr>
        <w:rPr>
          <w:rFonts w:ascii="Calibri" w:eastAsia="Calibri" w:hAnsi="Calibri" w:cs="Calibri"/>
          <w:color w:val="333333"/>
          <w:sz w:val="24"/>
          <w:szCs w:val="24"/>
        </w:rPr>
      </w:pPr>
    </w:p>
    <w:p w14:paraId="03C08A9B" w14:textId="0CD0C900" w:rsidR="3CD61438" w:rsidRDefault="2450A43B" w:rsidP="2450A43B">
      <w:pPr>
        <w:rPr>
          <w:rFonts w:eastAsiaTheme="minorEastAsia"/>
          <w:color w:val="222222"/>
          <w:sz w:val="28"/>
          <w:szCs w:val="28"/>
          <w:u w:val="single"/>
        </w:rPr>
      </w:pPr>
      <w:r w:rsidRPr="2450A43B">
        <w:rPr>
          <w:rFonts w:eastAsiaTheme="minorEastAsia"/>
          <w:color w:val="222222"/>
          <w:sz w:val="28"/>
          <w:szCs w:val="28"/>
          <w:u w:val="single"/>
        </w:rPr>
        <w:t>Reference’s</w:t>
      </w:r>
    </w:p>
    <w:tbl>
      <w:tblPr>
        <w:tblW w:w="0" w:type="auto"/>
        <w:tblLayout w:type="fixed"/>
        <w:tblLook w:val="06A0" w:firstRow="1" w:lastRow="0" w:firstColumn="1" w:lastColumn="0" w:noHBand="1" w:noVBand="1"/>
      </w:tblPr>
      <w:tblGrid>
        <w:gridCol w:w="8880"/>
        <w:gridCol w:w="236"/>
      </w:tblGrid>
      <w:tr w:rsidR="493D4627" w14:paraId="5A3D8E2B" w14:textId="77777777" w:rsidTr="4636A12A">
        <w:tc>
          <w:tcPr>
            <w:tcW w:w="8880" w:type="dxa"/>
          </w:tcPr>
          <w:p w14:paraId="45F3EC30" w14:textId="6F0B9C06" w:rsidR="493D4627" w:rsidRDefault="4636A12A" w:rsidP="4636A12A">
            <w:pPr>
              <w:rPr>
                <w:rFonts w:eastAsiaTheme="minorEastAsia"/>
                <w:color w:val="222222"/>
                <w:sz w:val="24"/>
                <w:szCs w:val="24"/>
              </w:rPr>
            </w:pPr>
            <w:r w:rsidRPr="4636A12A">
              <w:rPr>
                <w:rFonts w:eastAsiaTheme="minorEastAsia"/>
                <w:color w:val="222222"/>
                <w:sz w:val="24"/>
                <w:szCs w:val="24"/>
              </w:rPr>
              <w:t xml:space="preserve">Alves, P. F. (2014). Vygotsky and Piaget: scientific concepts. </w:t>
            </w:r>
            <w:r w:rsidRPr="4636A12A">
              <w:rPr>
                <w:rFonts w:eastAsiaTheme="minorEastAsia"/>
                <w:i/>
                <w:iCs/>
                <w:color w:val="222222"/>
                <w:sz w:val="24"/>
                <w:szCs w:val="24"/>
              </w:rPr>
              <w:t>Psychology in Russia: State of the art</w:t>
            </w:r>
            <w:r w:rsidRPr="4636A12A">
              <w:rPr>
                <w:rFonts w:eastAsiaTheme="minorEastAsia"/>
                <w:color w:val="222222"/>
                <w:sz w:val="24"/>
                <w:szCs w:val="24"/>
              </w:rPr>
              <w:t xml:space="preserve">, </w:t>
            </w:r>
            <w:r w:rsidRPr="4636A12A">
              <w:rPr>
                <w:rFonts w:eastAsiaTheme="minorEastAsia"/>
                <w:i/>
                <w:iCs/>
                <w:color w:val="222222"/>
                <w:sz w:val="24"/>
                <w:szCs w:val="24"/>
              </w:rPr>
              <w:t>7</w:t>
            </w:r>
            <w:r w:rsidRPr="4636A12A">
              <w:rPr>
                <w:rFonts w:eastAsiaTheme="minorEastAsia"/>
                <w:color w:val="222222"/>
                <w:sz w:val="24"/>
                <w:szCs w:val="24"/>
              </w:rPr>
              <w:t>(3).</w:t>
            </w:r>
          </w:p>
          <w:p w14:paraId="1A11E838" w14:textId="40264206" w:rsidR="493D4627" w:rsidRDefault="493D4627" w:rsidP="4636A12A">
            <w:pPr>
              <w:rPr>
                <w:rFonts w:eastAsiaTheme="minorEastAsia"/>
                <w:color w:val="222222"/>
                <w:sz w:val="24"/>
                <w:szCs w:val="24"/>
              </w:rPr>
            </w:pPr>
          </w:p>
          <w:p w14:paraId="3081ECC8" w14:textId="7C7BD0D4" w:rsidR="493D4627" w:rsidRDefault="4636A12A" w:rsidP="4636A12A">
            <w:pPr>
              <w:rPr>
                <w:rFonts w:eastAsiaTheme="minorEastAsia"/>
                <w:color w:val="222222"/>
                <w:sz w:val="24"/>
                <w:szCs w:val="24"/>
              </w:rPr>
            </w:pPr>
            <w:r w:rsidRPr="4636A12A">
              <w:rPr>
                <w:rFonts w:eastAsiaTheme="minorEastAsia"/>
                <w:color w:val="222222"/>
                <w:sz w:val="24"/>
                <w:szCs w:val="24"/>
              </w:rPr>
              <w:t xml:space="preserve">Donato, R. (1994). Collective scaffolding in second language learning. </w:t>
            </w:r>
            <w:r w:rsidRPr="4636A12A">
              <w:rPr>
                <w:rFonts w:eastAsiaTheme="minorEastAsia"/>
                <w:i/>
                <w:iCs/>
                <w:color w:val="222222"/>
                <w:sz w:val="24"/>
                <w:szCs w:val="24"/>
              </w:rPr>
              <w:t>Vygotskian approaches to second language research</w:t>
            </w:r>
            <w:r w:rsidRPr="4636A12A">
              <w:rPr>
                <w:rFonts w:eastAsiaTheme="minorEastAsia"/>
                <w:color w:val="222222"/>
                <w:sz w:val="24"/>
                <w:szCs w:val="24"/>
              </w:rPr>
              <w:t xml:space="preserve">, </w:t>
            </w:r>
            <w:r w:rsidRPr="4636A12A">
              <w:rPr>
                <w:rFonts w:eastAsiaTheme="minorEastAsia"/>
                <w:i/>
                <w:iCs/>
                <w:color w:val="222222"/>
                <w:sz w:val="24"/>
                <w:szCs w:val="24"/>
              </w:rPr>
              <w:t>33456</w:t>
            </w:r>
            <w:r w:rsidRPr="4636A12A">
              <w:rPr>
                <w:rFonts w:eastAsiaTheme="minorEastAsia"/>
                <w:color w:val="222222"/>
                <w:sz w:val="24"/>
                <w:szCs w:val="24"/>
              </w:rPr>
              <w:t>.</w:t>
            </w:r>
          </w:p>
          <w:p w14:paraId="7C0525F7" w14:textId="70C15799" w:rsidR="493D4627" w:rsidRDefault="493D4627" w:rsidP="4636A12A">
            <w:pPr>
              <w:rPr>
                <w:rFonts w:eastAsiaTheme="minorEastAsia"/>
                <w:color w:val="222222"/>
                <w:sz w:val="24"/>
                <w:szCs w:val="24"/>
              </w:rPr>
            </w:pPr>
          </w:p>
          <w:p w14:paraId="6B8F8799" w14:textId="6FD6B948" w:rsidR="493D4627" w:rsidRDefault="4636A12A" w:rsidP="4636A12A">
            <w:r w:rsidRPr="4636A12A">
              <w:rPr>
                <w:rFonts w:ascii="Calibri" w:eastAsia="Calibri" w:hAnsi="Calibri" w:cs="Calibri"/>
                <w:sz w:val="24"/>
                <w:szCs w:val="24"/>
              </w:rPr>
              <w:t xml:space="preserve">Fuller, Simon. (2017, September 29). Puritan Rules for Children. Synonym. Retrieved from https://classroom.synonym.com/puritan-rules-for-children-12082009.html </w:t>
            </w:r>
          </w:p>
          <w:p w14:paraId="4933A64F" w14:textId="5F6BCAE9" w:rsidR="493D4627" w:rsidRDefault="493D4627" w:rsidP="4636A12A">
            <w:pPr>
              <w:rPr>
                <w:rFonts w:ascii="Calibri" w:eastAsia="Calibri" w:hAnsi="Calibri" w:cs="Calibri"/>
                <w:sz w:val="24"/>
                <w:szCs w:val="24"/>
              </w:rPr>
            </w:pPr>
          </w:p>
          <w:p w14:paraId="72041F74" w14:textId="7EC15BE0" w:rsidR="493D4627" w:rsidRDefault="4636A12A" w:rsidP="4636A12A">
            <w:pPr>
              <w:rPr>
                <w:rFonts w:eastAsiaTheme="minorEastAsia"/>
                <w:color w:val="222222"/>
                <w:sz w:val="24"/>
                <w:szCs w:val="24"/>
              </w:rPr>
            </w:pPr>
            <w:r w:rsidRPr="4636A12A">
              <w:rPr>
                <w:rFonts w:eastAsiaTheme="minorEastAsia"/>
                <w:color w:val="222222"/>
                <w:sz w:val="24"/>
                <w:szCs w:val="24"/>
              </w:rPr>
              <w:t xml:space="preserve">Gilligan, C. (1982). New maps of development: New visions of maturity. </w:t>
            </w:r>
            <w:r w:rsidRPr="4636A12A">
              <w:rPr>
                <w:rFonts w:eastAsiaTheme="minorEastAsia"/>
                <w:i/>
                <w:iCs/>
                <w:color w:val="222222"/>
                <w:sz w:val="24"/>
                <w:szCs w:val="24"/>
              </w:rPr>
              <w:t>American Journal of Orthopsychiatry</w:t>
            </w:r>
            <w:r w:rsidRPr="4636A12A">
              <w:rPr>
                <w:rFonts w:eastAsiaTheme="minorEastAsia"/>
                <w:color w:val="222222"/>
                <w:sz w:val="24"/>
                <w:szCs w:val="24"/>
              </w:rPr>
              <w:t xml:space="preserve">, </w:t>
            </w:r>
            <w:r w:rsidRPr="4636A12A">
              <w:rPr>
                <w:rFonts w:eastAsiaTheme="minorEastAsia"/>
                <w:i/>
                <w:iCs/>
                <w:color w:val="222222"/>
                <w:sz w:val="24"/>
                <w:szCs w:val="24"/>
              </w:rPr>
              <w:t>52</w:t>
            </w:r>
            <w:r w:rsidRPr="4636A12A">
              <w:rPr>
                <w:rFonts w:eastAsiaTheme="minorEastAsia"/>
                <w:color w:val="222222"/>
                <w:sz w:val="24"/>
                <w:szCs w:val="24"/>
              </w:rPr>
              <w:t>(2), 199.</w:t>
            </w:r>
          </w:p>
          <w:p w14:paraId="046DCCD1" w14:textId="1896C9AB" w:rsidR="493D4627" w:rsidRDefault="493D4627" w:rsidP="4636A12A">
            <w:pPr>
              <w:rPr>
                <w:rFonts w:eastAsiaTheme="minorEastAsia"/>
                <w:color w:val="222222"/>
                <w:sz w:val="24"/>
                <w:szCs w:val="24"/>
              </w:rPr>
            </w:pPr>
          </w:p>
          <w:p w14:paraId="6397A0A4" w14:textId="6C66CF5C" w:rsidR="493D4627" w:rsidRDefault="4636A12A" w:rsidP="4636A12A">
            <w:pPr>
              <w:rPr>
                <w:rFonts w:eastAsiaTheme="minorEastAsia"/>
                <w:color w:val="222222"/>
                <w:sz w:val="24"/>
                <w:szCs w:val="24"/>
              </w:rPr>
            </w:pPr>
            <w:r w:rsidRPr="4636A12A">
              <w:rPr>
                <w:rFonts w:eastAsiaTheme="minorEastAsia"/>
                <w:color w:val="222222"/>
                <w:sz w:val="24"/>
                <w:szCs w:val="24"/>
              </w:rPr>
              <w:t xml:space="preserve">Hendrick, H., &amp; Harry, H. (1997). </w:t>
            </w:r>
            <w:r w:rsidRPr="4636A12A">
              <w:rPr>
                <w:rFonts w:eastAsiaTheme="minorEastAsia"/>
                <w:i/>
                <w:iCs/>
                <w:color w:val="222222"/>
                <w:sz w:val="24"/>
                <w:szCs w:val="24"/>
              </w:rPr>
              <w:t>Children, childhood and English society, 1880-1990</w:t>
            </w:r>
            <w:r w:rsidRPr="4636A12A">
              <w:rPr>
                <w:rFonts w:eastAsiaTheme="minorEastAsia"/>
                <w:color w:val="222222"/>
                <w:sz w:val="24"/>
                <w:szCs w:val="24"/>
              </w:rPr>
              <w:t xml:space="preserve"> (Vol. 32). Cambridge University Press.</w:t>
            </w:r>
          </w:p>
          <w:p w14:paraId="42069A18" w14:textId="14E3DC12" w:rsidR="493D4627" w:rsidRDefault="493D4627" w:rsidP="4636A12A">
            <w:pPr>
              <w:rPr>
                <w:rFonts w:eastAsiaTheme="minorEastAsia"/>
                <w:color w:val="222222"/>
                <w:sz w:val="24"/>
                <w:szCs w:val="24"/>
              </w:rPr>
            </w:pPr>
          </w:p>
          <w:p w14:paraId="4AFDD628" w14:textId="0FD29928" w:rsidR="493D4627" w:rsidRDefault="4636A12A" w:rsidP="4636A12A">
            <w:pPr>
              <w:rPr>
                <w:rFonts w:eastAsiaTheme="minorEastAsia"/>
                <w:color w:val="222222"/>
                <w:sz w:val="24"/>
                <w:szCs w:val="24"/>
              </w:rPr>
            </w:pPr>
            <w:r w:rsidRPr="4636A12A">
              <w:rPr>
                <w:rFonts w:eastAsiaTheme="minorEastAsia"/>
                <w:color w:val="222222"/>
                <w:sz w:val="24"/>
                <w:szCs w:val="24"/>
              </w:rPr>
              <w:t>Hoffman, M. L. (1987). The contribution of empathy to justice and moral judgement. In N. Eisenberg &amp; J. Strayer (Eds.) Empathy and it’s development (pp. 47-80). Cambridge, Uk: Cambridge University Press.</w:t>
            </w:r>
          </w:p>
          <w:p w14:paraId="39A86441" w14:textId="1DCBA292" w:rsidR="493D4627" w:rsidRDefault="493D4627" w:rsidP="4636A12A">
            <w:pPr>
              <w:rPr>
                <w:rFonts w:eastAsiaTheme="minorEastAsia"/>
                <w:color w:val="222222"/>
                <w:sz w:val="24"/>
                <w:szCs w:val="24"/>
              </w:rPr>
            </w:pPr>
          </w:p>
          <w:p w14:paraId="1A66A629" w14:textId="6F08AB53" w:rsidR="493D4627" w:rsidRDefault="4636A12A" w:rsidP="4636A12A">
            <w:pPr>
              <w:rPr>
                <w:rFonts w:eastAsiaTheme="minorEastAsia"/>
                <w:color w:val="222222"/>
                <w:sz w:val="24"/>
                <w:szCs w:val="24"/>
              </w:rPr>
            </w:pPr>
            <w:r w:rsidRPr="4636A12A">
              <w:rPr>
                <w:rFonts w:eastAsiaTheme="minorEastAsia"/>
                <w:color w:val="222222"/>
                <w:sz w:val="24"/>
                <w:szCs w:val="24"/>
              </w:rPr>
              <w:t xml:space="preserve">Kohlberg, L., &amp; Kramer, R. (1969). Continuities and discontinuities in childhood and adult moral development. </w:t>
            </w:r>
            <w:r w:rsidRPr="4636A12A">
              <w:rPr>
                <w:rFonts w:eastAsiaTheme="minorEastAsia"/>
                <w:i/>
                <w:iCs/>
                <w:color w:val="222222"/>
                <w:sz w:val="24"/>
                <w:szCs w:val="24"/>
              </w:rPr>
              <w:t>Human development</w:t>
            </w:r>
            <w:r w:rsidRPr="4636A12A">
              <w:rPr>
                <w:rFonts w:eastAsiaTheme="minorEastAsia"/>
                <w:color w:val="222222"/>
                <w:sz w:val="24"/>
                <w:szCs w:val="24"/>
              </w:rPr>
              <w:t xml:space="preserve">, </w:t>
            </w:r>
            <w:r w:rsidRPr="4636A12A">
              <w:rPr>
                <w:rFonts w:eastAsiaTheme="minorEastAsia"/>
                <w:i/>
                <w:iCs/>
                <w:color w:val="222222"/>
                <w:sz w:val="24"/>
                <w:szCs w:val="24"/>
              </w:rPr>
              <w:t>12</w:t>
            </w:r>
            <w:r w:rsidRPr="4636A12A">
              <w:rPr>
                <w:rFonts w:eastAsiaTheme="minorEastAsia"/>
                <w:color w:val="222222"/>
                <w:sz w:val="24"/>
                <w:szCs w:val="24"/>
              </w:rPr>
              <w:t>(2), 93-120.</w:t>
            </w:r>
            <w:r w:rsidRPr="4636A12A">
              <w:rPr>
                <w:rFonts w:ascii="Calibri" w:eastAsia="Calibri" w:hAnsi="Calibri" w:cs="Calibri"/>
                <w:sz w:val="24"/>
                <w:szCs w:val="24"/>
              </w:rPr>
              <w:t xml:space="preserve"> </w:t>
            </w:r>
          </w:p>
          <w:p w14:paraId="38C30C6C" w14:textId="135913C0" w:rsidR="493D4627" w:rsidRDefault="493D4627" w:rsidP="4636A12A">
            <w:pPr>
              <w:rPr>
                <w:rFonts w:ascii="Calibri" w:eastAsia="Calibri" w:hAnsi="Calibri" w:cs="Calibri"/>
                <w:sz w:val="24"/>
                <w:szCs w:val="24"/>
              </w:rPr>
            </w:pPr>
          </w:p>
          <w:p w14:paraId="6CB5CB87" w14:textId="6A25623B" w:rsidR="493D4627" w:rsidRDefault="4636A12A" w:rsidP="4636A12A">
            <w:pPr>
              <w:rPr>
                <w:rFonts w:eastAsiaTheme="minorEastAsia"/>
                <w:color w:val="222222"/>
                <w:sz w:val="24"/>
                <w:szCs w:val="24"/>
              </w:rPr>
            </w:pPr>
            <w:r w:rsidRPr="4636A12A">
              <w:rPr>
                <w:rFonts w:eastAsiaTheme="minorEastAsia"/>
                <w:color w:val="222222"/>
                <w:sz w:val="24"/>
                <w:szCs w:val="24"/>
              </w:rPr>
              <w:t xml:space="preserve">Kohlberg,L. (1971). Stages of moral development. </w:t>
            </w:r>
            <w:r w:rsidRPr="4636A12A">
              <w:rPr>
                <w:rFonts w:eastAsiaTheme="minorEastAsia"/>
                <w:i/>
                <w:iCs/>
                <w:color w:val="222222"/>
                <w:sz w:val="24"/>
                <w:szCs w:val="24"/>
              </w:rPr>
              <w:t>Moral education, 1</w:t>
            </w:r>
            <w:r w:rsidRPr="4636A12A">
              <w:rPr>
                <w:rFonts w:eastAsiaTheme="minorEastAsia"/>
                <w:color w:val="222222"/>
                <w:sz w:val="24"/>
                <w:szCs w:val="24"/>
              </w:rPr>
              <w:t>(51), 23-92</w:t>
            </w:r>
          </w:p>
          <w:p w14:paraId="20C5B291" w14:textId="5EF9A1A2" w:rsidR="493D4627" w:rsidRDefault="493D4627" w:rsidP="4636A12A">
            <w:pPr>
              <w:rPr>
                <w:rFonts w:eastAsiaTheme="minorEastAsia"/>
                <w:color w:val="222222"/>
                <w:sz w:val="24"/>
                <w:szCs w:val="24"/>
              </w:rPr>
            </w:pPr>
          </w:p>
          <w:p w14:paraId="0470564E" w14:textId="73D3257A" w:rsidR="493D4627" w:rsidRDefault="4636A12A" w:rsidP="4636A12A">
            <w:pPr>
              <w:rPr>
                <w:rFonts w:eastAsiaTheme="minorEastAsia"/>
                <w:color w:val="222222"/>
                <w:sz w:val="24"/>
                <w:szCs w:val="24"/>
              </w:rPr>
            </w:pPr>
            <w:r w:rsidRPr="4636A12A">
              <w:rPr>
                <w:rFonts w:eastAsiaTheme="minorEastAsia"/>
                <w:color w:val="222222"/>
                <w:sz w:val="24"/>
                <w:szCs w:val="24"/>
              </w:rPr>
              <w:t xml:space="preserve">Tappan, M. B. (2006). Moral functioning as mediated action. </w:t>
            </w:r>
            <w:r w:rsidRPr="4636A12A">
              <w:rPr>
                <w:rFonts w:eastAsiaTheme="minorEastAsia"/>
                <w:i/>
                <w:iCs/>
                <w:color w:val="222222"/>
                <w:sz w:val="24"/>
                <w:szCs w:val="24"/>
              </w:rPr>
              <w:t>Journal of Moral Education</w:t>
            </w:r>
            <w:r w:rsidRPr="4636A12A">
              <w:rPr>
                <w:rFonts w:eastAsiaTheme="minorEastAsia"/>
                <w:color w:val="222222"/>
                <w:sz w:val="24"/>
                <w:szCs w:val="24"/>
              </w:rPr>
              <w:t xml:space="preserve">, </w:t>
            </w:r>
            <w:r w:rsidRPr="4636A12A">
              <w:rPr>
                <w:rFonts w:eastAsiaTheme="minorEastAsia"/>
                <w:i/>
                <w:iCs/>
                <w:color w:val="222222"/>
                <w:sz w:val="24"/>
                <w:szCs w:val="24"/>
              </w:rPr>
              <w:t>35</w:t>
            </w:r>
            <w:r w:rsidRPr="4636A12A">
              <w:rPr>
                <w:rFonts w:eastAsiaTheme="minorEastAsia"/>
                <w:color w:val="222222"/>
                <w:sz w:val="24"/>
                <w:szCs w:val="24"/>
              </w:rPr>
              <w:t>(1), 1-18.</w:t>
            </w:r>
          </w:p>
          <w:p w14:paraId="524ED7FE" w14:textId="0968F469" w:rsidR="493D4627" w:rsidRDefault="493D4627" w:rsidP="4636A12A">
            <w:pPr>
              <w:rPr>
                <w:rFonts w:eastAsiaTheme="minorEastAsia"/>
                <w:color w:val="222222"/>
                <w:sz w:val="24"/>
                <w:szCs w:val="24"/>
              </w:rPr>
            </w:pPr>
          </w:p>
          <w:p w14:paraId="148C815D" w14:textId="2B079DBA" w:rsidR="493D4627" w:rsidRDefault="4636A12A" w:rsidP="4636A12A">
            <w:pPr>
              <w:rPr>
                <w:rFonts w:eastAsiaTheme="minorEastAsia"/>
                <w:color w:val="222222"/>
                <w:sz w:val="24"/>
                <w:szCs w:val="24"/>
              </w:rPr>
            </w:pPr>
            <w:r w:rsidRPr="4636A12A">
              <w:rPr>
                <w:rFonts w:eastAsiaTheme="minorEastAsia"/>
                <w:color w:val="222222"/>
                <w:sz w:val="24"/>
                <w:szCs w:val="24"/>
              </w:rPr>
              <w:t xml:space="preserve">Turiel, E. (1983). </w:t>
            </w:r>
            <w:r w:rsidRPr="4636A12A">
              <w:rPr>
                <w:rFonts w:eastAsiaTheme="minorEastAsia"/>
                <w:i/>
                <w:iCs/>
                <w:color w:val="222222"/>
                <w:sz w:val="24"/>
                <w:szCs w:val="24"/>
              </w:rPr>
              <w:t>The development of social knowledge: Morality and convention</w:t>
            </w:r>
            <w:r w:rsidRPr="4636A12A">
              <w:rPr>
                <w:rFonts w:eastAsiaTheme="minorEastAsia"/>
                <w:color w:val="222222"/>
                <w:sz w:val="24"/>
                <w:szCs w:val="24"/>
              </w:rPr>
              <w:t>. Cambridge University Press.</w:t>
            </w:r>
          </w:p>
          <w:p w14:paraId="496F816B" w14:textId="396DB200" w:rsidR="493D4627" w:rsidRDefault="493D4627" w:rsidP="4636A12A">
            <w:pPr>
              <w:rPr>
                <w:rFonts w:eastAsiaTheme="minorEastAsia"/>
                <w:color w:val="222222"/>
                <w:sz w:val="24"/>
                <w:szCs w:val="24"/>
              </w:rPr>
            </w:pPr>
          </w:p>
          <w:p w14:paraId="4D15BA14" w14:textId="2CE22FA1" w:rsidR="493D4627" w:rsidRDefault="4636A12A" w:rsidP="4636A12A">
            <w:pPr>
              <w:rPr>
                <w:rFonts w:eastAsiaTheme="minorEastAsia"/>
                <w:color w:val="222222"/>
                <w:sz w:val="24"/>
                <w:szCs w:val="24"/>
              </w:rPr>
            </w:pPr>
            <w:r w:rsidRPr="4636A12A">
              <w:rPr>
                <w:rFonts w:eastAsiaTheme="minorEastAsia"/>
                <w:color w:val="222222"/>
                <w:sz w:val="24"/>
                <w:szCs w:val="24"/>
              </w:rPr>
              <w:t xml:space="preserve">Zelizer, V. A. (1994). </w:t>
            </w:r>
            <w:r w:rsidRPr="4636A12A">
              <w:rPr>
                <w:rFonts w:eastAsiaTheme="minorEastAsia"/>
                <w:i/>
                <w:iCs/>
                <w:color w:val="222222"/>
                <w:sz w:val="24"/>
                <w:szCs w:val="24"/>
              </w:rPr>
              <w:t>Pricing the priceless child: The changing social value of children</w:t>
            </w:r>
            <w:r w:rsidRPr="4636A12A">
              <w:rPr>
                <w:rFonts w:eastAsiaTheme="minorEastAsia"/>
                <w:color w:val="222222"/>
                <w:sz w:val="24"/>
                <w:szCs w:val="24"/>
              </w:rPr>
              <w:t>. Princeton University Press.</w:t>
            </w:r>
          </w:p>
          <w:p w14:paraId="2005E439" w14:textId="755A60BD" w:rsidR="493D4627" w:rsidRDefault="493D4627" w:rsidP="4636A12A">
            <w:pPr>
              <w:rPr>
                <w:rFonts w:eastAsiaTheme="minorEastAsia"/>
                <w:color w:val="222222"/>
                <w:sz w:val="24"/>
                <w:szCs w:val="24"/>
              </w:rPr>
            </w:pPr>
          </w:p>
          <w:p w14:paraId="6D1A0A5C" w14:textId="674EF2D2" w:rsidR="493D4627" w:rsidRDefault="493D4627" w:rsidP="4636A12A">
            <w:pPr>
              <w:rPr>
                <w:rFonts w:eastAsiaTheme="minorEastAsia"/>
                <w:color w:val="222222"/>
                <w:sz w:val="24"/>
                <w:szCs w:val="24"/>
              </w:rPr>
            </w:pPr>
          </w:p>
          <w:p w14:paraId="042901E3" w14:textId="41AD3D0D" w:rsidR="493D4627" w:rsidRDefault="493D4627" w:rsidP="4636A12A">
            <w:pPr>
              <w:rPr>
                <w:rFonts w:eastAsiaTheme="minorEastAsia"/>
                <w:color w:val="222222"/>
                <w:sz w:val="24"/>
                <w:szCs w:val="24"/>
              </w:rPr>
            </w:pPr>
          </w:p>
          <w:p w14:paraId="651370A9" w14:textId="75924126" w:rsidR="493D4627" w:rsidRDefault="493D4627" w:rsidP="4636A12A">
            <w:pPr>
              <w:rPr>
                <w:rFonts w:ascii="Calibri" w:eastAsia="Calibri" w:hAnsi="Calibri" w:cs="Calibri"/>
                <w:sz w:val="24"/>
                <w:szCs w:val="24"/>
              </w:rPr>
            </w:pPr>
          </w:p>
          <w:p w14:paraId="71FC01F1" w14:textId="526978B4" w:rsidR="493D4627" w:rsidRDefault="493D4627" w:rsidP="4636A12A">
            <w:pPr>
              <w:rPr>
                <w:rFonts w:ascii="Calibri" w:eastAsia="Calibri" w:hAnsi="Calibri" w:cs="Calibri"/>
                <w:sz w:val="24"/>
                <w:szCs w:val="24"/>
              </w:rPr>
            </w:pPr>
          </w:p>
          <w:p w14:paraId="1613ECBD" w14:textId="585B6C40" w:rsidR="493D4627" w:rsidRDefault="493D4627" w:rsidP="4636A12A">
            <w:pPr>
              <w:rPr>
                <w:rFonts w:eastAsiaTheme="minorEastAsia"/>
                <w:color w:val="222222"/>
                <w:sz w:val="24"/>
                <w:szCs w:val="24"/>
              </w:rPr>
            </w:pPr>
          </w:p>
          <w:p w14:paraId="6E293D1B" w14:textId="446FBBC6" w:rsidR="493D4627" w:rsidRDefault="493D4627" w:rsidP="4636A12A">
            <w:pPr>
              <w:rPr>
                <w:rFonts w:eastAsiaTheme="minorEastAsia"/>
                <w:color w:val="222222"/>
                <w:sz w:val="24"/>
                <w:szCs w:val="24"/>
              </w:rPr>
            </w:pPr>
          </w:p>
          <w:p w14:paraId="05144DA1" w14:textId="4E7E6164" w:rsidR="493D4627" w:rsidRDefault="493D4627" w:rsidP="4636A12A">
            <w:pPr>
              <w:rPr>
                <w:rFonts w:ascii="Calibri" w:eastAsia="Calibri" w:hAnsi="Calibri" w:cs="Calibri"/>
                <w:sz w:val="24"/>
                <w:szCs w:val="24"/>
              </w:rPr>
            </w:pPr>
          </w:p>
          <w:p w14:paraId="585BDA95" w14:textId="764244F7" w:rsidR="493D4627" w:rsidRDefault="493D4627" w:rsidP="4636A12A">
            <w:pPr>
              <w:rPr>
                <w:rFonts w:eastAsiaTheme="minorEastAsia"/>
                <w:color w:val="222222"/>
                <w:sz w:val="24"/>
                <w:szCs w:val="24"/>
              </w:rPr>
            </w:pPr>
          </w:p>
          <w:p w14:paraId="60FA7B1E" w14:textId="18F08251" w:rsidR="493D4627" w:rsidRDefault="493D4627" w:rsidP="4636A12A">
            <w:pPr>
              <w:rPr>
                <w:rFonts w:eastAsiaTheme="minorEastAsia"/>
                <w:color w:val="222222"/>
                <w:sz w:val="24"/>
                <w:szCs w:val="24"/>
              </w:rPr>
            </w:pPr>
          </w:p>
          <w:p w14:paraId="4C536BE4" w14:textId="5244E1DC" w:rsidR="493D4627" w:rsidRDefault="493D4627" w:rsidP="4636A12A">
            <w:pPr>
              <w:rPr>
                <w:rFonts w:eastAsiaTheme="minorEastAsia"/>
                <w:color w:val="222222"/>
                <w:sz w:val="24"/>
                <w:szCs w:val="24"/>
              </w:rPr>
            </w:pPr>
          </w:p>
          <w:p w14:paraId="37E78D40" w14:textId="1D8EA4FD" w:rsidR="493D4627" w:rsidRDefault="493D4627" w:rsidP="4636A12A">
            <w:pPr>
              <w:rPr>
                <w:rFonts w:ascii="Helvetica" w:eastAsia="Helvetica" w:hAnsi="Helvetica" w:cs="Helvetica"/>
                <w:b/>
                <w:bCs/>
                <w:sz w:val="45"/>
                <w:szCs w:val="45"/>
              </w:rPr>
            </w:pPr>
          </w:p>
        </w:tc>
        <w:tc>
          <w:tcPr>
            <w:tcW w:w="146" w:type="dxa"/>
          </w:tcPr>
          <w:p w14:paraId="30405789" w14:textId="374D9BE7" w:rsidR="493D4627" w:rsidRDefault="493D4627"/>
        </w:tc>
      </w:tr>
      <w:tr w:rsidR="493D4627" w14:paraId="18CE3D15" w14:textId="77777777" w:rsidTr="4636A12A">
        <w:tc>
          <w:tcPr>
            <w:tcW w:w="8880" w:type="dxa"/>
          </w:tcPr>
          <w:p w14:paraId="39972975" w14:textId="10D7B0D7" w:rsidR="493D4627" w:rsidRDefault="493D4627" w:rsidP="493D4627">
            <w:pPr>
              <w:rPr>
                <w:rFonts w:ascii="Arial" w:eastAsia="Arial" w:hAnsi="Arial" w:cs="Arial"/>
                <w:color w:val="222222"/>
                <w:sz w:val="19"/>
                <w:szCs w:val="19"/>
              </w:rPr>
            </w:pPr>
          </w:p>
        </w:tc>
        <w:tc>
          <w:tcPr>
            <w:tcW w:w="146" w:type="dxa"/>
          </w:tcPr>
          <w:p w14:paraId="629D81F3" w14:textId="0BAAB023" w:rsidR="493D4627" w:rsidRDefault="493D4627"/>
        </w:tc>
      </w:tr>
      <w:tr w:rsidR="493D4627" w14:paraId="2F891662" w14:textId="77777777" w:rsidTr="4636A12A">
        <w:tc>
          <w:tcPr>
            <w:tcW w:w="8880" w:type="dxa"/>
          </w:tcPr>
          <w:p w14:paraId="4D1B1618" w14:textId="684B7238" w:rsidR="493D4627" w:rsidRDefault="493D4627" w:rsidP="493D4627">
            <w:pPr>
              <w:jc w:val="right"/>
              <w:rPr>
                <w:rFonts w:ascii="Arial" w:eastAsia="Arial" w:hAnsi="Arial" w:cs="Arial"/>
                <w:color w:val="777777"/>
                <w:sz w:val="19"/>
                <w:szCs w:val="19"/>
              </w:rPr>
            </w:pPr>
          </w:p>
        </w:tc>
        <w:tc>
          <w:tcPr>
            <w:tcW w:w="146" w:type="dxa"/>
          </w:tcPr>
          <w:p w14:paraId="38747A6B" w14:textId="65E3C9D0" w:rsidR="493D4627" w:rsidRDefault="493D4627"/>
        </w:tc>
      </w:tr>
    </w:tbl>
    <w:p w14:paraId="43CA1F3E" w14:textId="4B38BE4B" w:rsidR="493D4627" w:rsidRDefault="493D4627" w:rsidP="493D4627">
      <w:pPr>
        <w:rPr>
          <w:rFonts w:eastAsiaTheme="minorEastAsia"/>
          <w:color w:val="222222"/>
          <w:sz w:val="24"/>
          <w:szCs w:val="24"/>
        </w:rPr>
      </w:pPr>
    </w:p>
    <w:tbl>
      <w:tblPr>
        <w:tblW w:w="0" w:type="auto"/>
        <w:tblLayout w:type="fixed"/>
        <w:tblLook w:val="06A0" w:firstRow="1" w:lastRow="0" w:firstColumn="1" w:lastColumn="0" w:noHBand="1" w:noVBand="1"/>
      </w:tblPr>
      <w:tblGrid>
        <w:gridCol w:w="4513"/>
      </w:tblGrid>
      <w:tr w:rsidR="493D4627" w14:paraId="6BC98BC5" w14:textId="77777777" w:rsidTr="493D4627">
        <w:tc>
          <w:tcPr>
            <w:tcW w:w="4513" w:type="dxa"/>
          </w:tcPr>
          <w:p w14:paraId="52C5E056" w14:textId="42A19522" w:rsidR="493D4627" w:rsidRDefault="493D4627"/>
        </w:tc>
      </w:tr>
      <w:tr w:rsidR="493D4627" w14:paraId="6D4417F3" w14:textId="77777777" w:rsidTr="493D4627">
        <w:tc>
          <w:tcPr>
            <w:tcW w:w="4513" w:type="dxa"/>
          </w:tcPr>
          <w:p w14:paraId="150AD88B" w14:textId="01BD6233" w:rsidR="493D4627" w:rsidRDefault="493D4627"/>
        </w:tc>
      </w:tr>
      <w:tr w:rsidR="493D4627" w14:paraId="387AF173" w14:textId="77777777" w:rsidTr="493D4627">
        <w:tc>
          <w:tcPr>
            <w:tcW w:w="4513" w:type="dxa"/>
          </w:tcPr>
          <w:p w14:paraId="766431FE" w14:textId="40DA7786" w:rsidR="493D4627" w:rsidRDefault="493D4627"/>
        </w:tc>
      </w:tr>
    </w:tbl>
    <w:p w14:paraId="2D03FBD6" w14:textId="7757C18E" w:rsidR="493D4627" w:rsidRDefault="493D4627" w:rsidP="493D4627">
      <w:pPr>
        <w:rPr>
          <w:rFonts w:eastAsiaTheme="minorEastAsia"/>
          <w:color w:val="222222"/>
          <w:sz w:val="24"/>
          <w:szCs w:val="24"/>
        </w:rPr>
      </w:pPr>
    </w:p>
    <w:sectPr w:rsidR="493D462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0E16EA"/>
    <w:multiLevelType w:val="hybridMultilevel"/>
    <w:tmpl w:val="7D50FFE2"/>
    <w:lvl w:ilvl="0" w:tplc="3954DE28">
      <w:start w:val="1"/>
      <w:numFmt w:val="decimal"/>
      <w:lvlText w:val="%1."/>
      <w:lvlJc w:val="left"/>
      <w:pPr>
        <w:ind w:left="720" w:hanging="360"/>
      </w:pPr>
    </w:lvl>
    <w:lvl w:ilvl="1" w:tplc="55A2B894">
      <w:start w:val="1"/>
      <w:numFmt w:val="lowerLetter"/>
      <w:lvlText w:val="%2."/>
      <w:lvlJc w:val="left"/>
      <w:pPr>
        <w:ind w:left="1440" w:hanging="360"/>
      </w:pPr>
    </w:lvl>
    <w:lvl w:ilvl="2" w:tplc="7F4AC090">
      <w:start w:val="1"/>
      <w:numFmt w:val="lowerRoman"/>
      <w:lvlText w:val="%3."/>
      <w:lvlJc w:val="right"/>
      <w:pPr>
        <w:ind w:left="2160" w:hanging="180"/>
      </w:pPr>
    </w:lvl>
    <w:lvl w:ilvl="3" w:tplc="040ED35A">
      <w:start w:val="1"/>
      <w:numFmt w:val="decimal"/>
      <w:lvlText w:val="%4."/>
      <w:lvlJc w:val="left"/>
      <w:pPr>
        <w:ind w:left="2880" w:hanging="360"/>
      </w:pPr>
    </w:lvl>
    <w:lvl w:ilvl="4" w:tplc="C3702E2C">
      <w:start w:val="1"/>
      <w:numFmt w:val="lowerLetter"/>
      <w:lvlText w:val="%5."/>
      <w:lvlJc w:val="left"/>
      <w:pPr>
        <w:ind w:left="3600" w:hanging="360"/>
      </w:pPr>
    </w:lvl>
    <w:lvl w:ilvl="5" w:tplc="A52290B8">
      <w:start w:val="1"/>
      <w:numFmt w:val="lowerRoman"/>
      <w:lvlText w:val="%6."/>
      <w:lvlJc w:val="right"/>
      <w:pPr>
        <w:ind w:left="4320" w:hanging="180"/>
      </w:pPr>
    </w:lvl>
    <w:lvl w:ilvl="6" w:tplc="7E8E7574">
      <w:start w:val="1"/>
      <w:numFmt w:val="decimal"/>
      <w:lvlText w:val="%7."/>
      <w:lvlJc w:val="left"/>
      <w:pPr>
        <w:ind w:left="5040" w:hanging="360"/>
      </w:pPr>
    </w:lvl>
    <w:lvl w:ilvl="7" w:tplc="8856ECA0">
      <w:start w:val="1"/>
      <w:numFmt w:val="lowerLetter"/>
      <w:lvlText w:val="%8."/>
      <w:lvlJc w:val="left"/>
      <w:pPr>
        <w:ind w:left="5760" w:hanging="360"/>
      </w:pPr>
    </w:lvl>
    <w:lvl w:ilvl="8" w:tplc="62D4F156">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47839E"/>
    <w:rsid w:val="00BC2B34"/>
    <w:rsid w:val="00F030E9"/>
    <w:rsid w:val="2450A43B"/>
    <w:rsid w:val="3CD61438"/>
    <w:rsid w:val="426998E9"/>
    <w:rsid w:val="4636A12A"/>
    <w:rsid w:val="493D4627"/>
    <w:rsid w:val="6188CACD"/>
    <w:rsid w:val="6847839E"/>
    <w:rsid w:val="7CE46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7839E"/>
  <w15:chartTrackingRefBased/>
  <w15:docId w15:val="{947BE624-C55C-4DA3-BE30-47C36226F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2196</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Johnson (1701737)</dc:creator>
  <cp:keywords/>
  <dc:description/>
  <cp:lastModifiedBy>sophie johnson</cp:lastModifiedBy>
  <cp:revision>2</cp:revision>
  <dcterms:created xsi:type="dcterms:W3CDTF">2018-12-03T21:56:00Z</dcterms:created>
  <dcterms:modified xsi:type="dcterms:W3CDTF">2018-12-03T21:56:00Z</dcterms:modified>
</cp:coreProperties>
</file>