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3697D" w:rsidRDefault="0035666F" w:rsidP="00EB436C">
      <w:pPr>
        <w:spacing w:line="480" w:lineRule="auto"/>
        <w:jc w:val="center"/>
        <w:rPr>
          <w:rFonts w:ascii="Arial" w:hAnsi="Arial" w:cs="Arial"/>
          <w:sz w:val="28"/>
          <w:u w:val="single"/>
          <w:lang w:val="en-US"/>
        </w:rPr>
      </w:pPr>
      <w:r>
        <w:rPr>
          <w:rFonts w:ascii="Arial" w:hAnsi="Arial" w:cs="Arial"/>
          <w:sz w:val="28"/>
          <w:u w:val="single"/>
          <w:lang w:val="en-US"/>
        </w:rPr>
        <w:t xml:space="preserve">Description of </w:t>
      </w:r>
      <w:r w:rsidR="004904A5" w:rsidRPr="004904A5">
        <w:rPr>
          <w:rFonts w:ascii="Arial" w:hAnsi="Arial" w:cs="Arial"/>
          <w:sz w:val="28"/>
          <w:u w:val="single"/>
          <w:lang w:val="en-US"/>
        </w:rPr>
        <w:t>William Cragh</w:t>
      </w:r>
      <w:r>
        <w:rPr>
          <w:rFonts w:ascii="Arial" w:hAnsi="Arial" w:cs="Arial"/>
          <w:sz w:val="28"/>
          <w:u w:val="single"/>
          <w:lang w:val="en-US"/>
        </w:rPr>
        <w:t>’s dead body</w:t>
      </w:r>
    </w:p>
    <w:p w:rsidR="004904A5" w:rsidRDefault="004904A5" w:rsidP="00EB436C">
      <w:pPr>
        <w:spacing w:line="480" w:lineRule="auto"/>
        <w:rPr>
          <w:rFonts w:ascii="Arial" w:hAnsi="Arial" w:cs="Arial"/>
          <w:sz w:val="24"/>
          <w:lang w:val="en-US"/>
        </w:rPr>
      </w:pPr>
    </w:p>
    <w:p w:rsidR="00EB436C" w:rsidRDefault="00EB436C" w:rsidP="00EB436C">
      <w:pPr>
        <w:spacing w:line="480" w:lineRule="auto"/>
        <w:rPr>
          <w:rFonts w:ascii="Arial" w:hAnsi="Arial" w:cs="Arial"/>
          <w:sz w:val="24"/>
          <w:lang w:val="en-US"/>
        </w:rPr>
      </w:pPr>
      <w:r>
        <w:rPr>
          <w:rFonts w:ascii="Arial" w:hAnsi="Arial" w:cs="Arial"/>
          <w:sz w:val="24"/>
          <w:lang w:val="en-US"/>
        </w:rPr>
        <w:t>William ap Rhys, known as William Cragh, was a Welshman involved in the burning of Oystermouth Castle and the killing of thirteen men on 5</w:t>
      </w:r>
      <w:r w:rsidRPr="00EB436C">
        <w:rPr>
          <w:rFonts w:ascii="Arial" w:hAnsi="Arial" w:cs="Arial"/>
          <w:sz w:val="24"/>
          <w:vertAlign w:val="superscript"/>
          <w:lang w:val="en-US"/>
        </w:rPr>
        <w:t>th</w:t>
      </w:r>
      <w:r>
        <w:rPr>
          <w:rFonts w:ascii="Arial" w:hAnsi="Arial" w:cs="Arial"/>
          <w:sz w:val="24"/>
          <w:lang w:val="en-US"/>
        </w:rPr>
        <w:t xml:space="preserve"> of July 1287.</w:t>
      </w:r>
      <w:r>
        <w:rPr>
          <w:rStyle w:val="FootnoteReference"/>
          <w:rFonts w:ascii="Arial" w:hAnsi="Arial" w:cs="Arial"/>
          <w:sz w:val="24"/>
          <w:lang w:val="en-US"/>
        </w:rPr>
        <w:footnoteReference w:id="1"/>
      </w:r>
      <w:r>
        <w:rPr>
          <w:rFonts w:ascii="Arial" w:hAnsi="Arial" w:cs="Arial"/>
          <w:sz w:val="24"/>
          <w:lang w:val="en-US"/>
        </w:rPr>
        <w:t xml:space="preserve"> Cragh was arrested and sentenced to death for his actions alongside a local Welsh lord </w:t>
      </w:r>
      <w:r w:rsidRPr="00EB436C">
        <w:rPr>
          <w:rFonts w:ascii="Arial" w:hAnsi="Arial" w:cs="Arial"/>
          <w:sz w:val="24"/>
          <w:lang w:val="en-US"/>
        </w:rPr>
        <w:t>Trahaearn</w:t>
      </w:r>
      <w:r>
        <w:rPr>
          <w:rFonts w:ascii="Arial" w:hAnsi="Arial" w:cs="Arial"/>
          <w:sz w:val="24"/>
          <w:lang w:val="en-US"/>
        </w:rPr>
        <w:t xml:space="preserve"> ap Hywel.</w:t>
      </w:r>
      <w:r>
        <w:rPr>
          <w:rStyle w:val="FootnoteReference"/>
          <w:rFonts w:ascii="Arial" w:hAnsi="Arial" w:cs="Arial"/>
          <w:sz w:val="24"/>
          <w:lang w:val="en-US"/>
        </w:rPr>
        <w:footnoteReference w:id="2"/>
      </w:r>
      <w:r>
        <w:rPr>
          <w:rFonts w:ascii="Arial" w:hAnsi="Arial" w:cs="Arial"/>
          <w:sz w:val="24"/>
          <w:lang w:val="en-US"/>
        </w:rPr>
        <w:t xml:space="preserve"> What makes William Cragh remarkable is the fact that he was not only hanged twice, but also miraculously returned to life apparently through the Grace of God and the intervention of one Thomas Cantilupe.</w:t>
      </w:r>
      <w:r>
        <w:rPr>
          <w:rStyle w:val="FootnoteReference"/>
          <w:rFonts w:ascii="Arial" w:hAnsi="Arial" w:cs="Arial"/>
          <w:sz w:val="24"/>
          <w:lang w:val="en-US"/>
        </w:rPr>
        <w:footnoteReference w:id="3"/>
      </w:r>
      <w:r>
        <w:rPr>
          <w:rFonts w:ascii="Arial" w:hAnsi="Arial" w:cs="Arial"/>
          <w:sz w:val="24"/>
          <w:lang w:val="en-US"/>
        </w:rPr>
        <w:t xml:space="preserve"> </w:t>
      </w:r>
    </w:p>
    <w:p w:rsidR="00796391" w:rsidRDefault="00796391" w:rsidP="00EB436C">
      <w:pPr>
        <w:spacing w:line="480" w:lineRule="auto"/>
        <w:rPr>
          <w:rFonts w:ascii="Arial" w:hAnsi="Arial" w:cs="Arial"/>
          <w:sz w:val="24"/>
          <w:lang w:val="en-US"/>
        </w:rPr>
      </w:pPr>
      <w:r>
        <w:rPr>
          <w:rFonts w:ascii="Arial" w:hAnsi="Arial" w:cs="Arial"/>
          <w:sz w:val="24"/>
          <w:lang w:val="en-US"/>
        </w:rPr>
        <w:t xml:space="preserve">Thomas Cantilupe </w:t>
      </w:r>
      <w:r w:rsidR="004D1AA3">
        <w:rPr>
          <w:rFonts w:ascii="Arial" w:hAnsi="Arial" w:cs="Arial"/>
          <w:sz w:val="24"/>
          <w:lang w:val="en-US"/>
        </w:rPr>
        <w:t xml:space="preserve">was the son of a Baron born in Buckinghamshire in either 1218 or 1222 based upon Richard Swinefield’s assertion </w:t>
      </w:r>
      <w:r w:rsidR="00D033D3">
        <w:rPr>
          <w:rFonts w:ascii="Arial" w:hAnsi="Arial" w:cs="Arial"/>
          <w:sz w:val="24"/>
          <w:lang w:val="en-US"/>
        </w:rPr>
        <w:t>that Thomas was 63 when he died in 1282.</w:t>
      </w:r>
      <w:r w:rsidR="00D033D3">
        <w:rPr>
          <w:rStyle w:val="FootnoteReference"/>
          <w:rFonts w:ascii="Arial" w:hAnsi="Arial" w:cs="Arial"/>
          <w:sz w:val="24"/>
          <w:lang w:val="en-US"/>
        </w:rPr>
        <w:footnoteReference w:id="4"/>
      </w:r>
      <w:r w:rsidR="008465CD">
        <w:rPr>
          <w:rFonts w:ascii="Arial" w:hAnsi="Arial" w:cs="Arial"/>
          <w:sz w:val="24"/>
          <w:lang w:val="en-US"/>
        </w:rPr>
        <w:t xml:space="preserve"> Thomas entered and rose through the ranks of the Church until on 8</w:t>
      </w:r>
      <w:r w:rsidR="008465CD" w:rsidRPr="008465CD">
        <w:rPr>
          <w:rFonts w:ascii="Arial" w:hAnsi="Arial" w:cs="Arial"/>
          <w:sz w:val="24"/>
          <w:vertAlign w:val="superscript"/>
          <w:lang w:val="en-US"/>
        </w:rPr>
        <w:t>th</w:t>
      </w:r>
      <w:r w:rsidR="008465CD">
        <w:rPr>
          <w:rFonts w:ascii="Arial" w:hAnsi="Arial" w:cs="Arial"/>
          <w:sz w:val="24"/>
          <w:lang w:val="en-US"/>
        </w:rPr>
        <w:t xml:space="preserve"> September 1275 he was consecrated as Bishop of Hereford at Canterbury Cathedral.</w:t>
      </w:r>
      <w:r w:rsidR="008465CD">
        <w:rPr>
          <w:rStyle w:val="FootnoteReference"/>
          <w:rFonts w:ascii="Arial" w:hAnsi="Arial" w:cs="Arial"/>
          <w:sz w:val="24"/>
          <w:lang w:val="en-US"/>
        </w:rPr>
        <w:footnoteReference w:id="5"/>
      </w:r>
      <w:r w:rsidR="008465CD">
        <w:rPr>
          <w:rFonts w:ascii="Arial" w:hAnsi="Arial" w:cs="Arial"/>
          <w:sz w:val="24"/>
          <w:lang w:val="en-US"/>
        </w:rPr>
        <w:t xml:space="preserve"> Bishop Thomas would hold this office until his death.</w:t>
      </w:r>
      <w:r w:rsidR="008465CD">
        <w:rPr>
          <w:rStyle w:val="FootnoteReference"/>
          <w:rFonts w:ascii="Arial" w:hAnsi="Arial" w:cs="Arial"/>
          <w:sz w:val="24"/>
          <w:lang w:val="en-US"/>
        </w:rPr>
        <w:footnoteReference w:id="6"/>
      </w:r>
      <w:r w:rsidR="00D745D6">
        <w:rPr>
          <w:rFonts w:ascii="Arial" w:hAnsi="Arial" w:cs="Arial"/>
          <w:sz w:val="24"/>
          <w:lang w:val="en-US"/>
        </w:rPr>
        <w:t xml:space="preserve"> </w:t>
      </w:r>
    </w:p>
    <w:p w:rsidR="00D745D6" w:rsidRDefault="00D745D6" w:rsidP="00EB436C">
      <w:pPr>
        <w:spacing w:line="480" w:lineRule="auto"/>
        <w:rPr>
          <w:rFonts w:ascii="Arial" w:hAnsi="Arial" w:cs="Arial"/>
          <w:sz w:val="24"/>
          <w:lang w:val="en-US"/>
        </w:rPr>
      </w:pPr>
      <w:r>
        <w:rPr>
          <w:rFonts w:ascii="Arial" w:hAnsi="Arial" w:cs="Arial"/>
          <w:sz w:val="24"/>
          <w:lang w:val="en-US"/>
        </w:rPr>
        <w:t xml:space="preserve">The connection between these two men: William Cragh and Thomas Cantilupe, was </w:t>
      </w:r>
      <w:r w:rsidR="007D4F7E">
        <w:rPr>
          <w:rFonts w:ascii="Arial" w:hAnsi="Arial" w:cs="Arial"/>
          <w:sz w:val="24"/>
          <w:lang w:val="en-US"/>
        </w:rPr>
        <w:t>brought to light in 1307 when commissioners from Pope Clement V</w:t>
      </w:r>
      <w:r>
        <w:rPr>
          <w:rFonts w:ascii="Arial" w:hAnsi="Arial" w:cs="Arial"/>
          <w:sz w:val="24"/>
          <w:lang w:val="en-US"/>
        </w:rPr>
        <w:t xml:space="preserve"> interviewed nine </w:t>
      </w:r>
      <w:r>
        <w:rPr>
          <w:rFonts w:ascii="Arial" w:hAnsi="Arial" w:cs="Arial"/>
          <w:sz w:val="24"/>
          <w:lang w:val="en-US"/>
        </w:rPr>
        <w:lastRenderedPageBreak/>
        <w:t>witnesses to William Cragh’s death</w:t>
      </w:r>
      <w:r w:rsidR="007D4F7E">
        <w:rPr>
          <w:rFonts w:ascii="Arial" w:hAnsi="Arial" w:cs="Arial"/>
          <w:sz w:val="24"/>
          <w:lang w:val="en-US"/>
        </w:rPr>
        <w:t>.</w:t>
      </w:r>
      <w:r w:rsidR="007D4F7E">
        <w:rPr>
          <w:rStyle w:val="FootnoteReference"/>
          <w:rFonts w:ascii="Arial" w:hAnsi="Arial" w:cs="Arial"/>
          <w:sz w:val="24"/>
          <w:lang w:val="en-US"/>
        </w:rPr>
        <w:footnoteReference w:id="7"/>
      </w:r>
      <w:r w:rsidR="007D4F7E">
        <w:rPr>
          <w:rFonts w:ascii="Arial" w:hAnsi="Arial" w:cs="Arial"/>
          <w:sz w:val="24"/>
          <w:lang w:val="en-US"/>
        </w:rPr>
        <w:t xml:space="preserve"> This was a part of the canonization process of Thomas Cantilupe wherein evidence needed to be gathered of the potential saint’s life and miracles in order to inform the Papal decision.</w:t>
      </w:r>
      <w:r w:rsidR="007D4F7E">
        <w:rPr>
          <w:rStyle w:val="FootnoteReference"/>
          <w:rFonts w:ascii="Arial" w:hAnsi="Arial" w:cs="Arial"/>
          <w:sz w:val="24"/>
          <w:lang w:val="en-US"/>
        </w:rPr>
        <w:footnoteReference w:id="8"/>
      </w:r>
      <w:r w:rsidR="000159DC">
        <w:rPr>
          <w:rFonts w:ascii="Arial" w:hAnsi="Arial" w:cs="Arial"/>
          <w:sz w:val="24"/>
          <w:lang w:val="en-US"/>
        </w:rPr>
        <w:t xml:space="preserve"> </w:t>
      </w:r>
      <w:r w:rsidR="00556C66">
        <w:rPr>
          <w:rFonts w:ascii="Arial" w:hAnsi="Arial" w:cs="Arial"/>
          <w:sz w:val="24"/>
          <w:lang w:val="en-US"/>
        </w:rPr>
        <w:t>Reportedly, Lady Mary de Briouze, wife of the Lord of Oystermouth Castle</w:t>
      </w:r>
      <w:r w:rsidR="0071304F">
        <w:rPr>
          <w:rFonts w:ascii="Arial" w:hAnsi="Arial" w:cs="Arial"/>
          <w:sz w:val="24"/>
          <w:lang w:val="en-US"/>
        </w:rPr>
        <w:t xml:space="preserve"> (William de Briouze Senior)</w:t>
      </w:r>
      <w:r w:rsidR="00C05A70">
        <w:rPr>
          <w:rFonts w:ascii="Arial" w:hAnsi="Arial" w:cs="Arial"/>
          <w:sz w:val="24"/>
          <w:lang w:val="en-US"/>
        </w:rPr>
        <w:t>,</w:t>
      </w:r>
      <w:r w:rsidR="00C05A70">
        <w:rPr>
          <w:rStyle w:val="FootnoteReference"/>
          <w:rFonts w:ascii="Arial" w:hAnsi="Arial" w:cs="Arial"/>
          <w:sz w:val="24"/>
          <w:lang w:val="en-US"/>
        </w:rPr>
        <w:footnoteReference w:id="9"/>
      </w:r>
      <w:r w:rsidR="00C05A70">
        <w:rPr>
          <w:rFonts w:ascii="Arial" w:hAnsi="Arial" w:cs="Arial"/>
          <w:sz w:val="24"/>
          <w:lang w:val="en-US"/>
        </w:rPr>
        <w:t xml:space="preserve"> appealed directly to Thomas Cantilupe for the life of William Cragh.</w:t>
      </w:r>
      <w:r w:rsidR="00C05A70">
        <w:rPr>
          <w:rStyle w:val="FootnoteReference"/>
          <w:rFonts w:ascii="Arial" w:hAnsi="Arial" w:cs="Arial"/>
          <w:sz w:val="24"/>
          <w:lang w:val="en-US"/>
        </w:rPr>
        <w:footnoteReference w:id="10"/>
      </w:r>
      <w:r w:rsidR="00C05A70">
        <w:rPr>
          <w:rFonts w:ascii="Arial" w:hAnsi="Arial" w:cs="Arial"/>
          <w:sz w:val="24"/>
          <w:lang w:val="en-US"/>
        </w:rPr>
        <w:t xml:space="preserve"> </w:t>
      </w:r>
      <w:r w:rsidR="00126300">
        <w:rPr>
          <w:rFonts w:ascii="Arial" w:hAnsi="Arial" w:cs="Arial"/>
          <w:sz w:val="24"/>
          <w:lang w:val="en-US"/>
        </w:rPr>
        <w:t>She, Lady Mary, her ladies in waiting and some men who were present were said to have gone and asked “on bended knee”</w:t>
      </w:r>
      <w:r w:rsidR="00126300">
        <w:rPr>
          <w:rStyle w:val="FootnoteReference"/>
          <w:rFonts w:ascii="Arial" w:hAnsi="Arial" w:cs="Arial"/>
          <w:sz w:val="24"/>
          <w:lang w:val="en-US"/>
        </w:rPr>
        <w:footnoteReference w:id="11"/>
      </w:r>
      <w:r w:rsidR="00126300">
        <w:rPr>
          <w:rFonts w:ascii="Arial" w:hAnsi="Arial" w:cs="Arial"/>
          <w:sz w:val="24"/>
          <w:lang w:val="en-US"/>
        </w:rPr>
        <w:t xml:space="preserve"> for Thomas Cantilupe to appeal to God for William Cragh’s life.</w:t>
      </w:r>
      <w:r w:rsidR="00126300">
        <w:rPr>
          <w:rStyle w:val="FootnoteReference"/>
          <w:rFonts w:ascii="Arial" w:hAnsi="Arial" w:cs="Arial"/>
          <w:sz w:val="24"/>
          <w:lang w:val="en-US"/>
        </w:rPr>
        <w:footnoteReference w:id="12"/>
      </w:r>
      <w:r w:rsidR="00126300">
        <w:rPr>
          <w:rFonts w:ascii="Arial" w:hAnsi="Arial" w:cs="Arial"/>
          <w:sz w:val="24"/>
          <w:lang w:val="en-US"/>
        </w:rPr>
        <w:t xml:space="preserve"> </w:t>
      </w:r>
      <w:r w:rsidR="00C05A70">
        <w:rPr>
          <w:rFonts w:ascii="Arial" w:hAnsi="Arial" w:cs="Arial"/>
          <w:sz w:val="24"/>
          <w:lang w:val="en-US"/>
        </w:rPr>
        <w:t>It was also noted by the Commissioners interviewing the Lady Mary and her son (William de Briouze Junior) that the Lady had a special devotion to Thomas Cantilupe prior to the hanging of William Cragh - having heard of miracles performed by God through the late bishop.</w:t>
      </w:r>
      <w:r w:rsidR="00C05A70">
        <w:rPr>
          <w:rStyle w:val="FootnoteReference"/>
          <w:rFonts w:ascii="Arial" w:hAnsi="Arial" w:cs="Arial"/>
          <w:sz w:val="24"/>
          <w:lang w:val="en-US"/>
        </w:rPr>
        <w:footnoteReference w:id="13"/>
      </w:r>
      <w:r w:rsidR="00E40A64">
        <w:rPr>
          <w:rFonts w:ascii="Arial" w:hAnsi="Arial" w:cs="Arial"/>
          <w:sz w:val="24"/>
          <w:lang w:val="en-US"/>
        </w:rPr>
        <w:t xml:space="preserve"> </w:t>
      </w:r>
    </w:p>
    <w:p w:rsidR="00153A98" w:rsidRDefault="00E40A64" w:rsidP="00EB436C">
      <w:pPr>
        <w:spacing w:line="480" w:lineRule="auto"/>
        <w:rPr>
          <w:rFonts w:ascii="Arial" w:hAnsi="Arial" w:cs="Arial"/>
          <w:sz w:val="24"/>
          <w:szCs w:val="24"/>
        </w:rPr>
      </w:pPr>
      <w:r>
        <w:rPr>
          <w:rFonts w:ascii="Arial" w:hAnsi="Arial" w:cs="Arial"/>
          <w:sz w:val="24"/>
          <w:lang w:val="en-US"/>
        </w:rPr>
        <w:t>As a part of these interviews, the Papal representatives also recorded William de Briouze Junior’s recollection of the state of William Cragh’s body after his second hanging.</w:t>
      </w:r>
      <w:r>
        <w:rPr>
          <w:rStyle w:val="FootnoteReference"/>
          <w:rFonts w:ascii="Arial" w:hAnsi="Arial" w:cs="Arial"/>
          <w:sz w:val="24"/>
          <w:lang w:val="en-US"/>
        </w:rPr>
        <w:footnoteReference w:id="14"/>
      </w:r>
      <w:r w:rsidR="00523DDB">
        <w:rPr>
          <w:rFonts w:ascii="Arial" w:hAnsi="Arial" w:cs="Arial"/>
          <w:sz w:val="24"/>
          <w:lang w:val="en-US"/>
        </w:rPr>
        <w:t xml:space="preserve"> </w:t>
      </w:r>
      <w:r w:rsidR="007B05EC">
        <w:rPr>
          <w:rFonts w:ascii="Arial" w:hAnsi="Arial" w:cs="Arial"/>
          <w:sz w:val="24"/>
          <w:lang w:val="en-US"/>
        </w:rPr>
        <w:t xml:space="preserve">According to his own account William de Briouze junior had seen the hanging from a distance but had later gone out with some companions to see Cragh’s </w:t>
      </w:r>
      <w:r w:rsidR="007B05EC">
        <w:rPr>
          <w:rFonts w:ascii="Arial" w:hAnsi="Arial" w:cs="Arial"/>
          <w:sz w:val="24"/>
          <w:lang w:val="en-US"/>
        </w:rPr>
        <w:lastRenderedPageBreak/>
        <w:t>corpse which was laid out at the house of the Burgess of Swansea.</w:t>
      </w:r>
      <w:r w:rsidR="007B05EC">
        <w:rPr>
          <w:rStyle w:val="FootnoteReference"/>
          <w:rFonts w:ascii="Arial" w:hAnsi="Arial" w:cs="Arial"/>
          <w:sz w:val="24"/>
          <w:lang w:val="en-US"/>
        </w:rPr>
        <w:footnoteReference w:id="15"/>
      </w:r>
      <w:r w:rsidR="00E95B98">
        <w:rPr>
          <w:rFonts w:ascii="Arial" w:hAnsi="Arial" w:cs="Arial"/>
          <w:sz w:val="24"/>
          <w:lang w:val="en-US"/>
        </w:rPr>
        <w:t xml:space="preserve"> </w:t>
      </w:r>
      <w:r w:rsidR="00306FB9">
        <w:rPr>
          <w:rFonts w:ascii="Arial" w:hAnsi="Arial" w:cs="Arial"/>
          <w:sz w:val="24"/>
          <w:lang w:val="en-US"/>
        </w:rPr>
        <w:t xml:space="preserve">Another detail which the Papal commissioners </w:t>
      </w:r>
      <w:r w:rsidR="00A91E32">
        <w:rPr>
          <w:rFonts w:ascii="Arial" w:hAnsi="Arial" w:cs="Arial"/>
          <w:sz w:val="24"/>
          <w:lang w:val="en-US"/>
        </w:rPr>
        <w:t xml:space="preserve">made a note of was the opinions the local justices held of William Cragh. </w:t>
      </w:r>
      <w:r w:rsidR="00E660B5">
        <w:rPr>
          <w:rFonts w:ascii="Arial" w:hAnsi="Arial" w:cs="Arial"/>
          <w:sz w:val="24"/>
          <w:lang w:val="en-US"/>
        </w:rPr>
        <w:t>This was done to make sure none of these officials could have had a hand in the fabrication of a miracle.</w:t>
      </w:r>
      <w:r w:rsidR="00E660B5">
        <w:rPr>
          <w:rStyle w:val="FootnoteReference"/>
          <w:rFonts w:ascii="Arial" w:hAnsi="Arial" w:cs="Arial"/>
          <w:sz w:val="24"/>
          <w:lang w:val="en-US"/>
        </w:rPr>
        <w:footnoteReference w:id="16"/>
      </w:r>
      <w:r w:rsidR="005F2325">
        <w:rPr>
          <w:rFonts w:ascii="Arial" w:hAnsi="Arial" w:cs="Arial"/>
          <w:sz w:val="24"/>
          <w:lang w:val="en-US"/>
        </w:rPr>
        <w:t xml:space="preserve"> </w:t>
      </w:r>
      <w:r w:rsidR="00A91E32">
        <w:rPr>
          <w:rFonts w:ascii="Arial" w:hAnsi="Arial" w:cs="Arial"/>
          <w:sz w:val="24"/>
          <w:lang w:val="en-US"/>
        </w:rPr>
        <w:t>Particularly, William de Briouze junior asserted that he, his father and all their officials and servants hated William Cragh as he was known locally for all manner of “wicked deeds”.</w:t>
      </w:r>
      <w:r w:rsidR="00A91E32">
        <w:rPr>
          <w:rStyle w:val="FootnoteReference"/>
          <w:rFonts w:ascii="Arial" w:hAnsi="Arial" w:cs="Arial"/>
          <w:sz w:val="24"/>
          <w:lang w:val="en-US"/>
        </w:rPr>
        <w:footnoteReference w:id="17"/>
      </w:r>
      <w:r w:rsidR="000724B6">
        <w:rPr>
          <w:rFonts w:ascii="Arial" w:hAnsi="Arial" w:cs="Arial"/>
          <w:sz w:val="24"/>
          <w:lang w:val="en-US"/>
        </w:rPr>
        <w:t xml:space="preserve"> These people holding such opinions of Cragh was corroborated by William of Codineston, Lord de Briouze’s chaplain, who expressed that William d</w:t>
      </w:r>
      <w:r w:rsidR="005511B7">
        <w:rPr>
          <w:rFonts w:ascii="Arial" w:hAnsi="Arial" w:cs="Arial"/>
          <w:sz w:val="24"/>
          <w:lang w:val="en-US"/>
        </w:rPr>
        <w:t>e Briouze and his Justices had “rejoiced”</w:t>
      </w:r>
      <w:r w:rsidR="005511B7">
        <w:rPr>
          <w:rStyle w:val="FootnoteReference"/>
          <w:rFonts w:ascii="Arial" w:hAnsi="Arial" w:cs="Arial"/>
          <w:sz w:val="24"/>
          <w:lang w:val="en-US"/>
        </w:rPr>
        <w:footnoteReference w:id="18"/>
      </w:r>
      <w:r w:rsidR="000724B6">
        <w:rPr>
          <w:rFonts w:ascii="Arial" w:hAnsi="Arial" w:cs="Arial"/>
          <w:sz w:val="24"/>
          <w:lang w:val="en-US"/>
        </w:rPr>
        <w:t xml:space="preserve"> </w:t>
      </w:r>
      <w:r w:rsidR="005511B7">
        <w:rPr>
          <w:rFonts w:ascii="Arial" w:hAnsi="Arial" w:cs="Arial"/>
          <w:sz w:val="24"/>
          <w:lang w:val="en-US"/>
        </w:rPr>
        <w:t xml:space="preserve">at </w:t>
      </w:r>
      <w:r w:rsidR="000724B6">
        <w:rPr>
          <w:rFonts w:ascii="Arial" w:hAnsi="Arial" w:cs="Arial"/>
          <w:sz w:val="24"/>
          <w:lang w:val="en-US"/>
        </w:rPr>
        <w:t>William Cragh</w:t>
      </w:r>
      <w:r w:rsidR="005511B7">
        <w:rPr>
          <w:rFonts w:ascii="Arial" w:hAnsi="Arial" w:cs="Arial"/>
          <w:sz w:val="24"/>
          <w:lang w:val="en-US"/>
        </w:rPr>
        <w:t xml:space="preserve"> being hanged</w:t>
      </w:r>
      <w:r w:rsidR="000724B6">
        <w:rPr>
          <w:rFonts w:ascii="Arial" w:hAnsi="Arial" w:cs="Arial"/>
          <w:sz w:val="24"/>
          <w:lang w:val="en-US"/>
        </w:rPr>
        <w:t>.</w:t>
      </w:r>
      <w:r w:rsidR="000724B6">
        <w:rPr>
          <w:rStyle w:val="FootnoteReference"/>
          <w:rFonts w:ascii="Arial" w:hAnsi="Arial" w:cs="Arial"/>
          <w:sz w:val="24"/>
          <w:lang w:val="en-US"/>
        </w:rPr>
        <w:footnoteReference w:id="19"/>
      </w:r>
      <w:r w:rsidR="005511B7">
        <w:rPr>
          <w:rFonts w:ascii="Arial" w:hAnsi="Arial" w:cs="Arial"/>
          <w:sz w:val="24"/>
          <w:lang w:val="en-US"/>
        </w:rPr>
        <w:t xml:space="preserve"> </w:t>
      </w:r>
      <w:r w:rsidR="00153A98">
        <w:rPr>
          <w:rFonts w:ascii="Arial" w:hAnsi="Arial" w:cs="Arial"/>
          <w:sz w:val="24"/>
          <w:lang w:val="en-US"/>
        </w:rPr>
        <w:t xml:space="preserve">From these opinions, Robert Bartlett in his book: </w:t>
      </w:r>
      <w:r w:rsidR="00153A98" w:rsidRPr="00153A98">
        <w:rPr>
          <w:rFonts w:ascii="Arial" w:hAnsi="Arial" w:cs="Arial"/>
          <w:i/>
          <w:sz w:val="24"/>
          <w:szCs w:val="24"/>
        </w:rPr>
        <w:t>The Hanged Man: A Story of Miracle, Memory and Colonialism in the Middle Ages</w:t>
      </w:r>
      <w:r w:rsidR="00153A98" w:rsidRPr="00153A98">
        <w:rPr>
          <w:rFonts w:ascii="Arial" w:hAnsi="Arial" w:cs="Arial"/>
          <w:sz w:val="24"/>
          <w:szCs w:val="24"/>
        </w:rPr>
        <w:t>,</w:t>
      </w:r>
      <w:r w:rsidR="00153A98">
        <w:rPr>
          <w:rFonts w:ascii="Arial" w:hAnsi="Arial" w:cs="Arial"/>
          <w:sz w:val="24"/>
          <w:szCs w:val="24"/>
        </w:rPr>
        <w:t xml:space="preserve"> concluded that William de Briouze Junior would have found the sight of William Cragh’s dead body “gratifying”.</w:t>
      </w:r>
      <w:r w:rsidR="00153A98">
        <w:rPr>
          <w:rStyle w:val="FootnoteReference"/>
          <w:rFonts w:ascii="Arial" w:hAnsi="Arial" w:cs="Arial"/>
          <w:sz w:val="24"/>
          <w:szCs w:val="24"/>
        </w:rPr>
        <w:footnoteReference w:id="20"/>
      </w:r>
      <w:r w:rsidR="00153A98">
        <w:rPr>
          <w:rFonts w:ascii="Arial" w:hAnsi="Arial" w:cs="Arial"/>
          <w:sz w:val="24"/>
          <w:szCs w:val="24"/>
        </w:rPr>
        <w:t xml:space="preserve"> Personally, I am inclined to agree with this assessment and would go so far as to say it was this hatred of William Cragh which prompted William de Briouze Junior to find and inspect the cadaver of the hanged man. </w:t>
      </w:r>
    </w:p>
    <w:p w:rsidR="005F2325" w:rsidRDefault="009E3E7B" w:rsidP="0094566C">
      <w:pPr>
        <w:spacing w:line="480" w:lineRule="auto"/>
        <w:rPr>
          <w:rFonts w:ascii="Arial" w:hAnsi="Arial" w:cs="Arial"/>
          <w:sz w:val="24"/>
          <w:szCs w:val="24"/>
        </w:rPr>
      </w:pPr>
      <w:r>
        <w:rPr>
          <w:rFonts w:ascii="Arial" w:hAnsi="Arial" w:cs="Arial"/>
          <w:sz w:val="24"/>
          <w:szCs w:val="24"/>
        </w:rPr>
        <w:t>The extract itself is a record of the account given by William de Briouze Junior of William Cragh’s lifeless body.</w:t>
      </w:r>
      <w:r>
        <w:rPr>
          <w:rStyle w:val="FootnoteReference"/>
          <w:rFonts w:ascii="Arial" w:hAnsi="Arial" w:cs="Arial"/>
          <w:sz w:val="24"/>
          <w:szCs w:val="24"/>
        </w:rPr>
        <w:footnoteReference w:id="21"/>
      </w:r>
      <w:r>
        <w:rPr>
          <w:rFonts w:ascii="Arial" w:hAnsi="Arial" w:cs="Arial"/>
          <w:sz w:val="24"/>
          <w:szCs w:val="24"/>
        </w:rPr>
        <w:t xml:space="preserve"> The extract recalls some rather gruesome details of William Cragh’s corpse, such as that his face was encrusted in blood and that his eyes had popped out of his eye sockets - which too were full of blood.</w:t>
      </w:r>
      <w:r>
        <w:rPr>
          <w:rStyle w:val="FootnoteReference"/>
          <w:rFonts w:ascii="Arial" w:hAnsi="Arial" w:cs="Arial"/>
          <w:sz w:val="24"/>
          <w:szCs w:val="24"/>
        </w:rPr>
        <w:footnoteReference w:id="22"/>
      </w:r>
      <w:r>
        <w:rPr>
          <w:rFonts w:ascii="Arial" w:hAnsi="Arial" w:cs="Arial"/>
          <w:sz w:val="24"/>
          <w:szCs w:val="24"/>
        </w:rPr>
        <w:t xml:space="preserve"> </w:t>
      </w:r>
      <w:r w:rsidR="005F2325">
        <w:rPr>
          <w:rFonts w:ascii="Arial" w:hAnsi="Arial" w:cs="Arial"/>
          <w:sz w:val="24"/>
          <w:szCs w:val="24"/>
        </w:rPr>
        <w:t xml:space="preserve">Throughout the </w:t>
      </w:r>
      <w:r w:rsidR="005F2325">
        <w:rPr>
          <w:rFonts w:ascii="Arial" w:hAnsi="Arial" w:cs="Arial"/>
          <w:sz w:val="24"/>
          <w:szCs w:val="24"/>
        </w:rPr>
        <w:lastRenderedPageBreak/>
        <w:t>extract, especial emphasis is placed on the fact that William Cragh would have been totally unable to breathe</w:t>
      </w:r>
      <w:r w:rsidR="005F2325">
        <w:rPr>
          <w:rStyle w:val="FootnoteReference"/>
          <w:rFonts w:ascii="Arial" w:hAnsi="Arial" w:cs="Arial"/>
          <w:sz w:val="24"/>
          <w:szCs w:val="24"/>
        </w:rPr>
        <w:footnoteReference w:id="23"/>
      </w:r>
      <w:r w:rsidR="005F2325">
        <w:rPr>
          <w:rFonts w:ascii="Arial" w:hAnsi="Arial" w:cs="Arial"/>
          <w:sz w:val="24"/>
          <w:szCs w:val="24"/>
        </w:rPr>
        <w:t xml:space="preserve"> to a point that this is mentioned three times in the extract.</w:t>
      </w:r>
      <w:r w:rsidR="005F2325">
        <w:rPr>
          <w:rStyle w:val="FootnoteReference"/>
          <w:rFonts w:ascii="Arial" w:hAnsi="Arial" w:cs="Arial"/>
          <w:sz w:val="24"/>
          <w:szCs w:val="24"/>
        </w:rPr>
        <w:footnoteReference w:id="24"/>
      </w:r>
      <w:r w:rsidR="005F2325">
        <w:rPr>
          <w:rFonts w:ascii="Arial" w:hAnsi="Arial" w:cs="Arial"/>
          <w:sz w:val="24"/>
          <w:szCs w:val="24"/>
        </w:rPr>
        <w:t xml:space="preserve"> </w:t>
      </w:r>
      <w:r w:rsidR="0049163E">
        <w:rPr>
          <w:rFonts w:ascii="Arial" w:hAnsi="Arial" w:cs="Arial"/>
          <w:sz w:val="24"/>
          <w:szCs w:val="24"/>
        </w:rPr>
        <w:t xml:space="preserve">The first reference to this is quoted </w:t>
      </w:r>
      <w:r w:rsidR="00EE2578">
        <w:rPr>
          <w:rFonts w:ascii="Arial" w:hAnsi="Arial" w:cs="Arial"/>
          <w:sz w:val="24"/>
          <w:szCs w:val="24"/>
        </w:rPr>
        <w:t>directly from the witness, who asserted</w:t>
      </w:r>
      <w:r w:rsidR="0049163E">
        <w:rPr>
          <w:rFonts w:ascii="Arial" w:hAnsi="Arial" w:cs="Arial"/>
          <w:sz w:val="24"/>
          <w:szCs w:val="24"/>
        </w:rPr>
        <w:t xml:space="preserve"> that William cragh could not have been able to breathe through his mouth or nose</w:t>
      </w:r>
      <w:r w:rsidR="00EE2578">
        <w:rPr>
          <w:rFonts w:ascii="Arial" w:hAnsi="Arial" w:cs="Arial"/>
          <w:sz w:val="24"/>
          <w:szCs w:val="24"/>
        </w:rPr>
        <w:t xml:space="preserve"> because of the way his neck was swollen and misshapen because of the hanging.</w:t>
      </w:r>
      <w:r w:rsidR="00EE2578">
        <w:rPr>
          <w:rStyle w:val="FootnoteReference"/>
          <w:rFonts w:ascii="Arial" w:hAnsi="Arial" w:cs="Arial"/>
          <w:sz w:val="24"/>
          <w:szCs w:val="24"/>
        </w:rPr>
        <w:footnoteReference w:id="25"/>
      </w:r>
      <w:r w:rsidR="00EE2578">
        <w:rPr>
          <w:rFonts w:ascii="Arial" w:hAnsi="Arial" w:cs="Arial"/>
          <w:sz w:val="24"/>
          <w:szCs w:val="24"/>
        </w:rPr>
        <w:t xml:space="preserve"> The second time Cragh’s inability to breath is brought up it in relation to the state of his tongue, or rather the fact that it was so swollen it was as large </w:t>
      </w:r>
      <w:r w:rsidR="00EE2578" w:rsidRPr="00EE2578">
        <w:rPr>
          <w:rFonts w:ascii="Arial" w:hAnsi="Arial" w:cs="Arial"/>
          <w:sz w:val="24"/>
          <w:szCs w:val="24"/>
        </w:rPr>
        <w:t>“</w:t>
      </w:r>
      <w:r w:rsidR="00EE2578" w:rsidRPr="00EE2578">
        <w:rPr>
          <w:rFonts w:ascii="Arial" w:hAnsi="Arial" w:cs="Arial"/>
          <w:color w:val="222222"/>
          <w:sz w:val="24"/>
          <w:szCs w:val="24"/>
          <w:shd w:val="clear" w:color="auto" w:fill="FFFFFF"/>
        </w:rPr>
        <w:t>as if an ordinary man was holding two fists together at the same time</w:t>
      </w:r>
      <w:r w:rsidR="00EE2578" w:rsidRPr="00EE2578">
        <w:rPr>
          <w:rFonts w:ascii="Arial" w:hAnsi="Arial" w:cs="Arial"/>
          <w:color w:val="222222"/>
          <w:sz w:val="24"/>
          <w:szCs w:val="24"/>
          <w:shd w:val="clear" w:color="auto" w:fill="FFFFFF"/>
        </w:rPr>
        <w:t>”</w:t>
      </w:r>
      <w:r w:rsidR="00EE2578">
        <w:rPr>
          <w:rStyle w:val="FootnoteReference"/>
          <w:rFonts w:ascii="Arial" w:hAnsi="Arial" w:cs="Arial"/>
          <w:color w:val="222222"/>
          <w:sz w:val="24"/>
          <w:szCs w:val="24"/>
          <w:shd w:val="clear" w:color="auto" w:fill="FFFFFF"/>
        </w:rPr>
        <w:footnoteReference w:id="26"/>
      </w:r>
      <w:r w:rsidR="001455BF">
        <w:rPr>
          <w:rFonts w:ascii="Arial" w:hAnsi="Arial" w:cs="Arial"/>
          <w:sz w:val="24"/>
          <w:szCs w:val="24"/>
        </w:rPr>
        <w:t xml:space="preserve"> </w:t>
      </w:r>
      <w:r w:rsidR="0094566C">
        <w:rPr>
          <w:rFonts w:ascii="Arial" w:hAnsi="Arial" w:cs="Arial"/>
          <w:sz w:val="24"/>
          <w:szCs w:val="24"/>
        </w:rPr>
        <w:t>such that “if he had been alive”</w:t>
      </w:r>
      <w:r w:rsidR="0094566C">
        <w:rPr>
          <w:rStyle w:val="FootnoteReference"/>
          <w:rFonts w:ascii="Arial" w:hAnsi="Arial" w:cs="Arial"/>
          <w:sz w:val="24"/>
          <w:szCs w:val="24"/>
        </w:rPr>
        <w:footnoteReference w:id="27"/>
      </w:r>
      <w:r w:rsidR="0094566C">
        <w:rPr>
          <w:rFonts w:ascii="Arial" w:hAnsi="Arial" w:cs="Arial"/>
          <w:sz w:val="24"/>
          <w:szCs w:val="24"/>
        </w:rPr>
        <w:t xml:space="preserve"> he would not have been able to withdraw his tongue or breathe – in or out.</w:t>
      </w:r>
      <w:r w:rsidR="0094566C">
        <w:rPr>
          <w:rStyle w:val="FootnoteReference"/>
          <w:rFonts w:ascii="Arial" w:hAnsi="Arial" w:cs="Arial"/>
          <w:sz w:val="24"/>
          <w:szCs w:val="24"/>
        </w:rPr>
        <w:footnoteReference w:id="28"/>
      </w:r>
      <w:r w:rsidR="0094566C">
        <w:rPr>
          <w:rFonts w:ascii="Arial" w:hAnsi="Arial" w:cs="Arial"/>
          <w:sz w:val="24"/>
          <w:szCs w:val="24"/>
        </w:rPr>
        <w:t xml:space="preserve"> The specific phrase “if he had been alive”</w:t>
      </w:r>
      <w:r w:rsidR="0094566C">
        <w:rPr>
          <w:rStyle w:val="FootnoteReference"/>
          <w:rFonts w:ascii="Arial" w:hAnsi="Arial" w:cs="Arial"/>
          <w:sz w:val="24"/>
          <w:szCs w:val="24"/>
        </w:rPr>
        <w:footnoteReference w:id="29"/>
      </w:r>
      <w:r w:rsidR="0094566C">
        <w:rPr>
          <w:rFonts w:ascii="Arial" w:hAnsi="Arial" w:cs="Arial"/>
          <w:sz w:val="24"/>
          <w:szCs w:val="24"/>
        </w:rPr>
        <w:t xml:space="preserve"> is interesting as it implies that the witness totally believed William Cragh was completely dead, lending credence to the account. What’s more the latter half of the extract is a long quote from the witness, a first-hand source </w:t>
      </w:r>
      <w:r w:rsidR="003C7013">
        <w:rPr>
          <w:rFonts w:ascii="Arial" w:hAnsi="Arial" w:cs="Arial"/>
          <w:sz w:val="24"/>
          <w:szCs w:val="24"/>
        </w:rPr>
        <w:t>therefore probably reliable.</w:t>
      </w:r>
      <w:r w:rsidR="003C7013">
        <w:rPr>
          <w:rStyle w:val="FootnoteReference"/>
          <w:rFonts w:ascii="Arial" w:hAnsi="Arial" w:cs="Arial"/>
          <w:sz w:val="24"/>
          <w:szCs w:val="24"/>
        </w:rPr>
        <w:footnoteReference w:id="30"/>
      </w:r>
      <w:r w:rsidR="003C7013">
        <w:rPr>
          <w:rFonts w:ascii="Arial" w:hAnsi="Arial" w:cs="Arial"/>
          <w:sz w:val="24"/>
          <w:szCs w:val="24"/>
        </w:rPr>
        <w:t xml:space="preserve"> However, the witness is recalling events from eighteen years prior</w:t>
      </w:r>
      <w:r w:rsidR="003C7013">
        <w:rPr>
          <w:rStyle w:val="FootnoteReference"/>
          <w:rFonts w:ascii="Arial" w:hAnsi="Arial" w:cs="Arial"/>
          <w:sz w:val="24"/>
          <w:szCs w:val="24"/>
        </w:rPr>
        <w:footnoteReference w:id="31"/>
      </w:r>
      <w:r w:rsidR="003C7013">
        <w:rPr>
          <w:rFonts w:ascii="Arial" w:hAnsi="Arial" w:cs="Arial"/>
          <w:sz w:val="24"/>
          <w:szCs w:val="24"/>
        </w:rPr>
        <w:t>and although a sight such as a hanged body may have been so imprinted on a viewer’s mind that it does not dim</w:t>
      </w:r>
      <w:r w:rsidR="0000553C">
        <w:rPr>
          <w:rFonts w:ascii="Arial" w:hAnsi="Arial" w:cs="Arial"/>
          <w:sz w:val="24"/>
          <w:szCs w:val="24"/>
        </w:rPr>
        <w:t xml:space="preserve"> </w:t>
      </w:r>
      <w:r w:rsidR="00467F9C">
        <w:rPr>
          <w:rFonts w:ascii="Arial" w:hAnsi="Arial" w:cs="Arial"/>
          <w:sz w:val="24"/>
          <w:szCs w:val="24"/>
        </w:rPr>
        <w:t>but human memory is very fallible. In this I am inclined to disagree with Robert Bartlett who asserts that the image was fresh in William de Briouze Junior’s mind even after 18 years,</w:t>
      </w:r>
      <w:r w:rsidR="00467F9C">
        <w:rPr>
          <w:rStyle w:val="FootnoteReference"/>
          <w:rFonts w:ascii="Arial" w:hAnsi="Arial" w:cs="Arial"/>
          <w:sz w:val="24"/>
          <w:szCs w:val="24"/>
        </w:rPr>
        <w:footnoteReference w:id="32"/>
      </w:r>
      <w:r w:rsidR="00467F9C">
        <w:rPr>
          <w:rFonts w:ascii="Arial" w:hAnsi="Arial" w:cs="Arial"/>
          <w:sz w:val="24"/>
          <w:szCs w:val="24"/>
        </w:rPr>
        <w:t xml:space="preserve"> while I believe the length of time cast doubt on oral witness.</w:t>
      </w:r>
    </w:p>
    <w:p w:rsidR="00467F9C" w:rsidRDefault="00467F9C" w:rsidP="0094566C">
      <w:pPr>
        <w:spacing w:line="480" w:lineRule="auto"/>
        <w:rPr>
          <w:rFonts w:ascii="Arial" w:hAnsi="Arial" w:cs="Arial"/>
          <w:color w:val="222222"/>
          <w:sz w:val="24"/>
          <w:szCs w:val="24"/>
          <w:shd w:val="clear" w:color="auto" w:fill="FFFFFF"/>
        </w:rPr>
      </w:pPr>
      <w:r>
        <w:rPr>
          <w:rFonts w:ascii="Arial" w:hAnsi="Arial" w:cs="Arial"/>
          <w:sz w:val="24"/>
          <w:szCs w:val="24"/>
        </w:rPr>
        <w:lastRenderedPageBreak/>
        <w:t>The other detail the extract makes a point of noting is that William Cragh could not have been able to breathe</w:t>
      </w:r>
      <w:r w:rsidRPr="00467F9C">
        <w:rPr>
          <w:rFonts w:ascii="Arial" w:hAnsi="Arial" w:cs="Arial"/>
          <w:sz w:val="24"/>
          <w:szCs w:val="24"/>
        </w:rPr>
        <w:t xml:space="preserve"> “</w:t>
      </w:r>
      <w:r w:rsidRPr="00467F9C">
        <w:rPr>
          <w:rFonts w:ascii="Arial" w:hAnsi="Arial" w:cs="Arial"/>
          <w:color w:val="222222"/>
          <w:sz w:val="24"/>
          <w:szCs w:val="24"/>
          <w:shd w:val="clear" w:color="auto" w:fill="FFFFFF"/>
        </w:rPr>
        <w:t>according to the way of nature</w:t>
      </w:r>
      <w:r w:rsidRPr="00467F9C">
        <w:rPr>
          <w:rFonts w:ascii="Arial" w:hAnsi="Arial" w:cs="Arial"/>
          <w:color w:val="222222"/>
          <w:sz w:val="24"/>
          <w:szCs w:val="24"/>
          <w:shd w:val="clear" w:color="auto" w:fill="FFFFFF"/>
        </w:rPr>
        <w:t>”</w:t>
      </w:r>
      <w:r w:rsidR="006C1FE7">
        <w:rPr>
          <w:rFonts w:ascii="Arial" w:hAnsi="Arial" w:cs="Arial"/>
          <w:color w:val="222222"/>
          <w:sz w:val="24"/>
          <w:szCs w:val="24"/>
          <w:shd w:val="clear" w:color="auto" w:fill="FFFFFF"/>
        </w:rPr>
        <w:t>.</w:t>
      </w:r>
      <w:r>
        <w:rPr>
          <w:rStyle w:val="FootnoteReference"/>
          <w:rFonts w:ascii="Arial" w:hAnsi="Arial" w:cs="Arial"/>
          <w:color w:val="222222"/>
          <w:sz w:val="24"/>
          <w:szCs w:val="24"/>
          <w:shd w:val="clear" w:color="auto" w:fill="FFFFFF"/>
        </w:rPr>
        <w:footnoteReference w:id="33"/>
      </w:r>
      <w:r w:rsidR="006C1FE7">
        <w:rPr>
          <w:rFonts w:ascii="Arial" w:hAnsi="Arial" w:cs="Arial"/>
          <w:color w:val="222222"/>
          <w:sz w:val="24"/>
          <w:szCs w:val="24"/>
          <w:shd w:val="clear" w:color="auto" w:fill="FFFFFF"/>
        </w:rPr>
        <w:t xml:space="preserve"> This is significant as in order for his resurrection to be considered a miracle it could not be due to natural causes.</w:t>
      </w:r>
    </w:p>
    <w:p w:rsidR="0094566C" w:rsidRDefault="003478A5" w:rsidP="0094566C">
      <w:pPr>
        <w:spacing w:line="480" w:lineRule="auto"/>
        <w:rPr>
          <w:rFonts w:ascii="Arial" w:hAnsi="Arial" w:cs="Arial"/>
          <w:sz w:val="24"/>
          <w:szCs w:val="24"/>
        </w:rPr>
      </w:pPr>
      <w:r>
        <w:rPr>
          <w:rFonts w:ascii="Arial" w:hAnsi="Arial" w:cs="Arial"/>
          <w:color w:val="222222"/>
          <w:sz w:val="24"/>
          <w:szCs w:val="24"/>
          <w:shd w:val="clear" w:color="auto" w:fill="FFFFFF"/>
        </w:rPr>
        <w:t>A point that should be considered however is the nature of this source. It is an account of the interview with the witness, not a witness statement.</w:t>
      </w:r>
      <w:r>
        <w:rPr>
          <w:rStyle w:val="FootnoteReference"/>
          <w:rFonts w:ascii="Arial" w:hAnsi="Arial" w:cs="Arial"/>
          <w:color w:val="222222"/>
          <w:sz w:val="24"/>
          <w:szCs w:val="24"/>
          <w:shd w:val="clear" w:color="auto" w:fill="FFFFFF"/>
        </w:rPr>
        <w:footnoteReference w:id="34"/>
      </w:r>
      <w:r>
        <w:rPr>
          <w:rFonts w:ascii="Arial" w:hAnsi="Arial" w:cs="Arial"/>
          <w:color w:val="222222"/>
          <w:sz w:val="24"/>
          <w:szCs w:val="24"/>
          <w:shd w:val="clear" w:color="auto" w:fill="FFFFFF"/>
        </w:rPr>
        <w:t xml:space="preserve"> Th</w:t>
      </w:r>
      <w:r>
        <w:rPr>
          <w:rFonts w:ascii="Arial" w:hAnsi="Arial" w:cs="Arial"/>
          <w:sz w:val="24"/>
          <w:szCs w:val="24"/>
        </w:rPr>
        <w:t>ere are at least eight different hands which wrote in this manuscript</w:t>
      </w:r>
      <w:r>
        <w:rPr>
          <w:rStyle w:val="FootnoteReference"/>
          <w:rFonts w:ascii="Arial" w:hAnsi="Arial" w:cs="Arial"/>
          <w:sz w:val="24"/>
          <w:szCs w:val="24"/>
        </w:rPr>
        <w:footnoteReference w:id="35"/>
      </w:r>
      <w:r>
        <w:rPr>
          <w:rFonts w:ascii="Arial" w:hAnsi="Arial" w:cs="Arial"/>
          <w:sz w:val="24"/>
          <w:szCs w:val="24"/>
        </w:rPr>
        <w:t xml:space="preserve"> and the witness account has been edited and amended quite a bit prior to its inclusion in the manuscript.</w:t>
      </w:r>
      <w:r>
        <w:rPr>
          <w:rStyle w:val="FootnoteReference"/>
          <w:rFonts w:ascii="Arial" w:hAnsi="Arial" w:cs="Arial"/>
          <w:sz w:val="24"/>
          <w:szCs w:val="24"/>
        </w:rPr>
        <w:footnoteReference w:id="36"/>
      </w:r>
      <w:r>
        <w:rPr>
          <w:rFonts w:ascii="Arial" w:hAnsi="Arial" w:cs="Arial"/>
          <w:sz w:val="24"/>
          <w:szCs w:val="24"/>
        </w:rPr>
        <w:t xml:space="preserve"> </w:t>
      </w:r>
    </w:p>
    <w:p w:rsidR="003478A5" w:rsidRDefault="003478A5" w:rsidP="0094566C">
      <w:pPr>
        <w:spacing w:line="480" w:lineRule="auto"/>
        <w:rPr>
          <w:rFonts w:ascii="Arial" w:hAnsi="Arial" w:cs="Arial"/>
          <w:sz w:val="24"/>
          <w:szCs w:val="24"/>
        </w:rPr>
      </w:pPr>
      <w:r>
        <w:rPr>
          <w:rFonts w:ascii="Arial" w:hAnsi="Arial" w:cs="Arial"/>
          <w:sz w:val="24"/>
          <w:szCs w:val="24"/>
        </w:rPr>
        <w:t>The extract also forms part of a manuscript intended to be used as evidence for the canonization of Thomas Cantilupe</w:t>
      </w:r>
      <w:r>
        <w:rPr>
          <w:rStyle w:val="FootnoteReference"/>
          <w:rFonts w:ascii="Arial" w:hAnsi="Arial" w:cs="Arial"/>
          <w:sz w:val="24"/>
          <w:szCs w:val="24"/>
        </w:rPr>
        <w:footnoteReference w:id="37"/>
      </w:r>
      <w:r>
        <w:rPr>
          <w:rFonts w:ascii="Arial" w:hAnsi="Arial" w:cs="Arial"/>
          <w:sz w:val="24"/>
          <w:szCs w:val="24"/>
        </w:rPr>
        <w:t xml:space="preserve"> and as such was written with a very particular purpose in mind, leaving it with an inherent bias.</w:t>
      </w:r>
      <w:r>
        <w:rPr>
          <w:rStyle w:val="FootnoteReference"/>
          <w:rFonts w:ascii="Arial" w:hAnsi="Arial" w:cs="Arial"/>
          <w:sz w:val="24"/>
          <w:szCs w:val="24"/>
        </w:rPr>
        <w:footnoteReference w:id="38"/>
      </w:r>
    </w:p>
    <w:p w:rsidR="003478A5" w:rsidRDefault="003478A5" w:rsidP="0094566C">
      <w:pPr>
        <w:spacing w:line="480" w:lineRule="auto"/>
        <w:rPr>
          <w:rFonts w:ascii="Arial" w:hAnsi="Arial" w:cs="Arial"/>
          <w:sz w:val="24"/>
          <w:szCs w:val="24"/>
        </w:rPr>
      </w:pPr>
      <w:r>
        <w:rPr>
          <w:rFonts w:ascii="Arial" w:hAnsi="Arial" w:cs="Arial"/>
          <w:sz w:val="24"/>
          <w:szCs w:val="24"/>
        </w:rPr>
        <w:t>Therefore, despite the amendments made later and the potential bias, this extract is very significant as it presents a first-hand account of the dead body of William Cragh which confirms he was dead</w:t>
      </w:r>
      <w:r w:rsidR="004B2F1C">
        <w:rPr>
          <w:rFonts w:ascii="Arial" w:hAnsi="Arial" w:cs="Arial"/>
          <w:sz w:val="24"/>
          <w:szCs w:val="24"/>
        </w:rPr>
        <w:t>, recorded a relatively short time after the event. The account is made more compelling by its corroboration by other testimonies.</w:t>
      </w:r>
    </w:p>
    <w:p w:rsidR="00E8591F" w:rsidRDefault="00E8591F" w:rsidP="0094566C">
      <w:pPr>
        <w:spacing w:line="480" w:lineRule="auto"/>
        <w:rPr>
          <w:rFonts w:ascii="Arial" w:hAnsi="Arial" w:cs="Arial"/>
          <w:sz w:val="24"/>
          <w:szCs w:val="24"/>
        </w:rPr>
      </w:pPr>
    </w:p>
    <w:p w:rsidR="00E8591F" w:rsidRDefault="00E8591F" w:rsidP="00E8591F">
      <w:pPr>
        <w:jc w:val="center"/>
        <w:rPr>
          <w:rFonts w:ascii="Arial" w:hAnsi="Arial" w:cs="Arial"/>
          <w:b/>
          <w:bCs/>
          <w:sz w:val="32"/>
          <w:szCs w:val="32"/>
          <w:u w:val="single"/>
        </w:rPr>
      </w:pPr>
      <w:r w:rsidRPr="00B77C0C">
        <w:rPr>
          <w:rFonts w:ascii="Arial" w:hAnsi="Arial" w:cs="Arial"/>
          <w:b/>
          <w:bCs/>
          <w:sz w:val="32"/>
          <w:szCs w:val="32"/>
          <w:u w:val="single"/>
        </w:rPr>
        <w:t>Bibliography</w:t>
      </w:r>
    </w:p>
    <w:p w:rsidR="00E8591F" w:rsidRPr="00AC6FE4" w:rsidRDefault="00E8591F" w:rsidP="00E8591F">
      <w:pPr>
        <w:jc w:val="center"/>
        <w:rPr>
          <w:rFonts w:ascii="Arial" w:hAnsi="Arial" w:cs="Arial"/>
          <w:bCs/>
          <w:sz w:val="28"/>
          <w:szCs w:val="32"/>
          <w:u w:val="single"/>
        </w:rPr>
      </w:pPr>
      <w:r w:rsidRPr="00AC6FE4">
        <w:rPr>
          <w:rFonts w:ascii="Arial" w:hAnsi="Arial" w:cs="Arial"/>
          <w:bCs/>
          <w:sz w:val="28"/>
          <w:szCs w:val="32"/>
          <w:u w:val="single"/>
        </w:rPr>
        <w:t>Primary Sources</w:t>
      </w:r>
    </w:p>
    <w:p w:rsidR="00E8591F" w:rsidRDefault="00E8591F" w:rsidP="00E8591F">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Vatican City, Vatican MS Latin. 4015, fol. 11r, trans. H. Webster</w:t>
      </w:r>
    </w:p>
    <w:p w:rsidR="00E8591F" w:rsidRPr="00AC6FE4" w:rsidRDefault="00E8591F" w:rsidP="00E8591F">
      <w:pPr>
        <w:jc w:val="center"/>
        <w:rPr>
          <w:rFonts w:ascii="Arial" w:hAnsi="Arial" w:cs="Arial"/>
          <w:bCs/>
          <w:sz w:val="28"/>
          <w:szCs w:val="32"/>
          <w:u w:val="single"/>
        </w:rPr>
      </w:pPr>
      <w:r>
        <w:rPr>
          <w:rFonts w:ascii="Arial" w:hAnsi="Arial" w:cs="Arial"/>
          <w:bCs/>
          <w:sz w:val="28"/>
          <w:szCs w:val="32"/>
          <w:u w:val="single"/>
        </w:rPr>
        <w:lastRenderedPageBreak/>
        <w:t>Secondary Sources</w:t>
      </w:r>
    </w:p>
    <w:p w:rsidR="00E8591F" w:rsidRPr="00DC3B26" w:rsidRDefault="00E8591F" w:rsidP="00E8591F">
      <w:pPr>
        <w:rPr>
          <w:rFonts w:ascii="Arial" w:hAnsi="Arial" w:cs="Arial"/>
          <w:sz w:val="24"/>
          <w:szCs w:val="24"/>
        </w:rPr>
      </w:pPr>
      <w:r>
        <w:rPr>
          <w:rFonts w:ascii="Arial" w:hAnsi="Arial" w:cs="Arial"/>
          <w:sz w:val="24"/>
          <w:szCs w:val="24"/>
        </w:rPr>
        <w:t xml:space="preserve">Bartlett, Robert, </w:t>
      </w:r>
      <w:r w:rsidRPr="00DC3B26">
        <w:rPr>
          <w:rFonts w:ascii="Arial" w:hAnsi="Arial" w:cs="Arial"/>
          <w:i/>
          <w:sz w:val="24"/>
          <w:szCs w:val="24"/>
        </w:rPr>
        <w:t>The Hanged Man</w:t>
      </w:r>
      <w:r>
        <w:rPr>
          <w:rFonts w:ascii="Arial" w:hAnsi="Arial" w:cs="Arial"/>
          <w:i/>
          <w:sz w:val="24"/>
          <w:szCs w:val="24"/>
        </w:rPr>
        <w:t>: A Story of Miracle, Memory and Colonialism in the Middle Ages</w:t>
      </w:r>
      <w:r>
        <w:rPr>
          <w:rFonts w:ascii="Arial" w:hAnsi="Arial" w:cs="Arial"/>
          <w:sz w:val="24"/>
          <w:szCs w:val="24"/>
        </w:rPr>
        <w:t>, (Princeton: Princeton university Press, 2004)</w:t>
      </w:r>
    </w:p>
    <w:p w:rsidR="00E8591F" w:rsidRDefault="00E8591F" w:rsidP="00E8591F">
      <w:pPr>
        <w:rPr>
          <w:rFonts w:ascii="Arial" w:hAnsi="Arial" w:cs="Arial"/>
          <w:sz w:val="24"/>
          <w:szCs w:val="24"/>
        </w:rPr>
      </w:pPr>
      <w:r>
        <w:rPr>
          <w:rFonts w:ascii="Arial" w:hAnsi="Arial" w:cs="Arial"/>
          <w:sz w:val="24"/>
          <w:szCs w:val="24"/>
        </w:rPr>
        <w:t xml:space="preserve">Daly, Patrick H., ‘THE PROCESS OF CANONIZATION IN THE THIRTEENTH AND EARLY FOURTEENTH CENTURIES’ in </w:t>
      </w:r>
      <w:r>
        <w:rPr>
          <w:rFonts w:ascii="Arial" w:hAnsi="Arial" w:cs="Arial"/>
          <w:i/>
          <w:sz w:val="24"/>
          <w:szCs w:val="24"/>
        </w:rPr>
        <w:t>St. Thomas Cantilupe Bishop of Hereford: Essays in His Honour,</w:t>
      </w:r>
      <w:r>
        <w:rPr>
          <w:rFonts w:ascii="Arial" w:hAnsi="Arial" w:cs="Arial"/>
          <w:sz w:val="24"/>
          <w:szCs w:val="24"/>
        </w:rPr>
        <w:t xml:space="preserve"> ed. Meryl Jancey (Hereford: The Friends of Hereford Cathedral Publications Committee for the Dean and Chapter, 1982), pp. 125-135</w:t>
      </w:r>
    </w:p>
    <w:p w:rsidR="00E8591F" w:rsidRDefault="00E8591F" w:rsidP="00E8591F">
      <w:pPr>
        <w:rPr>
          <w:rFonts w:ascii="Arial" w:hAnsi="Arial" w:cs="Arial"/>
          <w:sz w:val="24"/>
          <w:szCs w:val="24"/>
        </w:rPr>
      </w:pPr>
      <w:r>
        <w:rPr>
          <w:rFonts w:ascii="Arial" w:hAnsi="Arial" w:cs="Arial"/>
          <w:sz w:val="24"/>
          <w:szCs w:val="24"/>
        </w:rPr>
        <w:t xml:space="preserve">Jancey, Meryl, ‘INTRODUCTION’, in </w:t>
      </w:r>
      <w:r>
        <w:rPr>
          <w:rFonts w:ascii="Arial" w:hAnsi="Arial" w:cs="Arial"/>
          <w:i/>
          <w:sz w:val="24"/>
          <w:szCs w:val="24"/>
        </w:rPr>
        <w:t>St. Thomas Cantilupe Bishop of Hereford: Essays in His Honour,</w:t>
      </w:r>
      <w:r>
        <w:rPr>
          <w:rFonts w:ascii="Arial" w:hAnsi="Arial" w:cs="Arial"/>
          <w:sz w:val="24"/>
          <w:szCs w:val="24"/>
        </w:rPr>
        <w:t xml:space="preserve"> ed. Meryl Jancey (Hereford: The Friends of Hereford Cathedral Publications Committee for the Dean and Chapter, 1982), pp. 13-14</w:t>
      </w:r>
    </w:p>
    <w:p w:rsidR="00E8591F" w:rsidRPr="007E3F49" w:rsidRDefault="00E8591F" w:rsidP="00E8591F">
      <w:pPr>
        <w:rPr>
          <w:rFonts w:ascii="Arial" w:hAnsi="Arial" w:cs="Arial"/>
          <w:sz w:val="24"/>
          <w:szCs w:val="24"/>
        </w:rPr>
      </w:pPr>
      <w:r>
        <w:rPr>
          <w:rFonts w:ascii="Arial" w:hAnsi="Arial" w:cs="Arial"/>
          <w:sz w:val="24"/>
          <w:szCs w:val="24"/>
        </w:rPr>
        <w:t xml:space="preserve">Martin, Nona D. S., ‘THE LIFE OF SAINT THOMAS OF HEREFORD’, in </w:t>
      </w:r>
      <w:r>
        <w:rPr>
          <w:rFonts w:ascii="Arial" w:hAnsi="Arial" w:cs="Arial"/>
          <w:i/>
          <w:sz w:val="24"/>
          <w:szCs w:val="24"/>
        </w:rPr>
        <w:t>St. Thomas Cantilupe Bishop of Hereford: Essays in His Honour,</w:t>
      </w:r>
      <w:r>
        <w:rPr>
          <w:rFonts w:ascii="Arial" w:hAnsi="Arial" w:cs="Arial"/>
          <w:sz w:val="24"/>
          <w:szCs w:val="24"/>
        </w:rPr>
        <w:t xml:space="preserve"> ed. Meryl Jancey (Hereford: The Friends of Hereford Cathedral Publications Committee for the Dean and Chapter, 1982), pp. 15-19</w:t>
      </w:r>
    </w:p>
    <w:p w:rsidR="00E8591F" w:rsidRPr="00B77C0C" w:rsidRDefault="00E8591F" w:rsidP="00E8591F">
      <w:pPr>
        <w:jc w:val="center"/>
        <w:rPr>
          <w:rFonts w:ascii="Arial" w:hAnsi="Arial" w:cs="Arial"/>
          <w:b/>
          <w:bCs/>
          <w:sz w:val="32"/>
          <w:szCs w:val="32"/>
          <w:u w:val="single"/>
        </w:rPr>
      </w:pPr>
      <w:r w:rsidRPr="00B77C0C">
        <w:rPr>
          <w:rFonts w:ascii="Arial" w:hAnsi="Arial" w:cs="Arial"/>
          <w:b/>
          <w:bCs/>
          <w:sz w:val="32"/>
          <w:szCs w:val="32"/>
          <w:u w:val="single"/>
        </w:rPr>
        <w:t>Webliography</w:t>
      </w:r>
    </w:p>
    <w:p w:rsidR="00E8591F" w:rsidRPr="0094566C" w:rsidRDefault="00E8591F" w:rsidP="00E8591F">
      <w:pPr>
        <w:rPr>
          <w:rFonts w:ascii="Arial" w:hAnsi="Arial" w:cs="Arial"/>
          <w:sz w:val="24"/>
          <w:szCs w:val="24"/>
        </w:rPr>
      </w:pPr>
      <w:r>
        <w:rPr>
          <w:rFonts w:ascii="Arial" w:hAnsi="Arial" w:cs="Arial"/>
          <w:sz w:val="24"/>
          <w:szCs w:val="24"/>
        </w:rPr>
        <w:t xml:space="preserve">Webster, Harriet, ‘The Twice Hanged William Cragh’, from: </w:t>
      </w:r>
      <w:hyperlink r:id="rId8" w:history="1">
        <w:r w:rsidRPr="00970F4C">
          <w:rPr>
            <w:rStyle w:val="Hyperlink"/>
            <w:rFonts w:ascii="Arial" w:hAnsi="Arial" w:cs="Arial"/>
            <w:sz w:val="24"/>
            <w:szCs w:val="24"/>
          </w:rPr>
          <w:t>https://www.medievalswansea.ac.uk/en/the-story/the-twice-hanged-william-cragh/index.html</w:t>
        </w:r>
      </w:hyperlink>
      <w:r>
        <w:rPr>
          <w:rFonts w:ascii="Arial" w:hAnsi="Arial" w:cs="Arial"/>
          <w:sz w:val="24"/>
          <w:szCs w:val="24"/>
        </w:rPr>
        <w:t>; [accessed 28/4/2023]</w:t>
      </w:r>
      <w:bookmarkStart w:id="0" w:name="_GoBack"/>
      <w:bookmarkEnd w:id="0"/>
    </w:p>
    <w:sectPr w:rsidR="00E8591F" w:rsidRPr="0094566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801BA" w:rsidRDefault="000801BA" w:rsidP="00EB436C">
      <w:pPr>
        <w:spacing w:after="0" w:line="240" w:lineRule="auto"/>
      </w:pPr>
      <w:r>
        <w:separator/>
      </w:r>
    </w:p>
  </w:endnote>
  <w:endnote w:type="continuationSeparator" w:id="0">
    <w:p w:rsidR="000801BA" w:rsidRDefault="000801BA" w:rsidP="00EB43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801BA" w:rsidRDefault="000801BA" w:rsidP="00EB436C">
      <w:pPr>
        <w:spacing w:after="0" w:line="240" w:lineRule="auto"/>
      </w:pPr>
      <w:r>
        <w:separator/>
      </w:r>
    </w:p>
  </w:footnote>
  <w:footnote w:type="continuationSeparator" w:id="0">
    <w:p w:rsidR="000801BA" w:rsidRDefault="000801BA" w:rsidP="00EB436C">
      <w:pPr>
        <w:spacing w:after="0" w:line="240" w:lineRule="auto"/>
      </w:pPr>
      <w:r>
        <w:continuationSeparator/>
      </w:r>
    </w:p>
  </w:footnote>
  <w:footnote w:id="1">
    <w:p w:rsidR="00EB436C" w:rsidRPr="00EB436C" w:rsidRDefault="00EB436C" w:rsidP="00EB436C">
      <w:pPr>
        <w:rPr>
          <w:rFonts w:ascii="Arial" w:hAnsi="Arial" w:cs="Arial"/>
          <w:sz w:val="24"/>
          <w:szCs w:val="24"/>
        </w:rPr>
      </w:pPr>
      <w:r>
        <w:rPr>
          <w:rStyle w:val="FootnoteReference"/>
        </w:rPr>
        <w:footnoteRef/>
      </w:r>
      <w:r>
        <w:t xml:space="preserve"> </w:t>
      </w:r>
      <w:r w:rsidRPr="00EB436C">
        <w:rPr>
          <w:rFonts w:ascii="Arial" w:hAnsi="Arial" w:cs="Arial"/>
          <w:sz w:val="20"/>
          <w:szCs w:val="24"/>
        </w:rPr>
        <w:t>Harriet</w:t>
      </w:r>
      <w:r>
        <w:rPr>
          <w:rFonts w:ascii="Arial" w:hAnsi="Arial" w:cs="Arial"/>
          <w:sz w:val="20"/>
          <w:szCs w:val="24"/>
        </w:rPr>
        <w:t xml:space="preserve"> Webster</w:t>
      </w:r>
      <w:r w:rsidRPr="00EB436C">
        <w:rPr>
          <w:rFonts w:ascii="Arial" w:hAnsi="Arial" w:cs="Arial"/>
          <w:sz w:val="20"/>
          <w:szCs w:val="24"/>
        </w:rPr>
        <w:t xml:space="preserve">, ‘The Twice Hanged William Cragh’, from: </w:t>
      </w:r>
      <w:hyperlink r:id="rId1" w:history="1">
        <w:r w:rsidRPr="00EB436C">
          <w:rPr>
            <w:rStyle w:val="Hyperlink"/>
            <w:rFonts w:ascii="Arial" w:hAnsi="Arial" w:cs="Arial"/>
            <w:sz w:val="20"/>
            <w:szCs w:val="24"/>
          </w:rPr>
          <w:t>https://www.medievalswansea.ac.uk/en/the-story/the-twice-hanged-william-cragh/index.html</w:t>
        </w:r>
      </w:hyperlink>
      <w:r w:rsidRPr="00EB436C">
        <w:rPr>
          <w:rFonts w:ascii="Arial" w:hAnsi="Arial" w:cs="Arial"/>
          <w:sz w:val="20"/>
          <w:szCs w:val="24"/>
        </w:rPr>
        <w:t>; [accessed 28/4/2023]</w:t>
      </w:r>
    </w:p>
  </w:footnote>
  <w:footnote w:id="2">
    <w:p w:rsidR="00EB436C" w:rsidRPr="00EB436C" w:rsidRDefault="00EB436C">
      <w:pPr>
        <w:pStyle w:val="FootnoteText"/>
        <w:rPr>
          <w:lang w:val="en-US"/>
        </w:rPr>
      </w:pPr>
      <w:r>
        <w:rPr>
          <w:rStyle w:val="FootnoteReference"/>
        </w:rPr>
        <w:footnoteRef/>
      </w:r>
      <w:r>
        <w:t xml:space="preserve"> </w:t>
      </w:r>
      <w:r>
        <w:rPr>
          <w:rFonts w:ascii="Arial" w:hAnsi="Arial" w:cs="Arial"/>
          <w:szCs w:val="24"/>
        </w:rPr>
        <w:t>Webster</w:t>
      </w:r>
      <w:r w:rsidRPr="00EB436C">
        <w:rPr>
          <w:rFonts w:ascii="Arial" w:hAnsi="Arial" w:cs="Arial"/>
          <w:szCs w:val="24"/>
        </w:rPr>
        <w:t>, ‘The Twice Hanged William Cragh’</w:t>
      </w:r>
    </w:p>
  </w:footnote>
  <w:footnote w:id="3">
    <w:p w:rsidR="00EB436C" w:rsidRPr="00EB436C" w:rsidRDefault="00EB436C">
      <w:pPr>
        <w:pStyle w:val="FootnoteText"/>
        <w:rPr>
          <w:lang w:val="en-US"/>
        </w:rPr>
      </w:pPr>
      <w:r>
        <w:rPr>
          <w:rStyle w:val="FootnoteReference"/>
        </w:rPr>
        <w:footnoteRef/>
      </w:r>
      <w:r>
        <w:t xml:space="preserve"> </w:t>
      </w:r>
      <w:r>
        <w:rPr>
          <w:rFonts w:ascii="Arial" w:hAnsi="Arial" w:cs="Arial"/>
          <w:szCs w:val="24"/>
        </w:rPr>
        <w:t>Webster</w:t>
      </w:r>
      <w:r w:rsidRPr="00EB436C">
        <w:rPr>
          <w:rFonts w:ascii="Arial" w:hAnsi="Arial" w:cs="Arial"/>
          <w:szCs w:val="24"/>
        </w:rPr>
        <w:t>, ‘The Twice Hanged William Cragh’</w:t>
      </w:r>
    </w:p>
  </w:footnote>
  <w:footnote w:id="4">
    <w:p w:rsidR="00D033D3" w:rsidRPr="00D033D3" w:rsidRDefault="00D033D3" w:rsidP="00D033D3">
      <w:pPr>
        <w:rPr>
          <w:rFonts w:ascii="Arial" w:hAnsi="Arial" w:cs="Arial"/>
          <w:sz w:val="24"/>
          <w:szCs w:val="24"/>
        </w:rPr>
      </w:pPr>
      <w:r>
        <w:rPr>
          <w:rStyle w:val="FootnoteReference"/>
        </w:rPr>
        <w:footnoteRef/>
      </w:r>
      <w:r>
        <w:t xml:space="preserve"> </w:t>
      </w:r>
      <w:r w:rsidRPr="00D033D3">
        <w:rPr>
          <w:rFonts w:ascii="Arial" w:hAnsi="Arial" w:cs="Arial"/>
          <w:sz w:val="20"/>
          <w:szCs w:val="24"/>
        </w:rPr>
        <w:t>Nona D. S.</w:t>
      </w:r>
      <w:r>
        <w:rPr>
          <w:rFonts w:ascii="Arial" w:hAnsi="Arial" w:cs="Arial"/>
          <w:sz w:val="20"/>
          <w:szCs w:val="24"/>
        </w:rPr>
        <w:t xml:space="preserve"> Martin</w:t>
      </w:r>
      <w:r w:rsidRPr="00D033D3">
        <w:rPr>
          <w:rFonts w:ascii="Arial" w:hAnsi="Arial" w:cs="Arial"/>
          <w:sz w:val="20"/>
          <w:szCs w:val="24"/>
        </w:rPr>
        <w:t xml:space="preserve">, ‘THE LIFE OF SAINT THOMAS OF HEREFORD’, in </w:t>
      </w:r>
      <w:r w:rsidRPr="00D033D3">
        <w:rPr>
          <w:rFonts w:ascii="Arial" w:hAnsi="Arial" w:cs="Arial"/>
          <w:i/>
          <w:sz w:val="20"/>
          <w:szCs w:val="24"/>
        </w:rPr>
        <w:t>St. Thomas Cantilupe Bishop of Hereford: Essays in His Honour,</w:t>
      </w:r>
      <w:r w:rsidRPr="00D033D3">
        <w:rPr>
          <w:rFonts w:ascii="Arial" w:hAnsi="Arial" w:cs="Arial"/>
          <w:sz w:val="20"/>
          <w:szCs w:val="24"/>
        </w:rPr>
        <w:t xml:space="preserve"> ed. Meryl Jancey (Hereford: The Friends of Hereford Cathedral Publications Committee for the Dean and Chapter, 1982), pp. 15-19</w:t>
      </w:r>
      <w:r>
        <w:rPr>
          <w:rFonts w:ascii="Arial" w:hAnsi="Arial" w:cs="Arial"/>
          <w:sz w:val="20"/>
          <w:szCs w:val="24"/>
        </w:rPr>
        <w:t>, (p. 15)</w:t>
      </w:r>
    </w:p>
  </w:footnote>
  <w:footnote w:id="5">
    <w:p w:rsidR="008465CD" w:rsidRPr="008465CD" w:rsidRDefault="008465CD" w:rsidP="008465CD">
      <w:pPr>
        <w:rPr>
          <w:rFonts w:ascii="Arial" w:hAnsi="Arial" w:cs="Arial"/>
          <w:sz w:val="24"/>
          <w:szCs w:val="24"/>
        </w:rPr>
      </w:pPr>
      <w:r w:rsidRPr="008465CD">
        <w:rPr>
          <w:rStyle w:val="FootnoteReference"/>
          <w:sz w:val="18"/>
        </w:rPr>
        <w:footnoteRef/>
      </w:r>
      <w:r w:rsidRPr="008465CD">
        <w:rPr>
          <w:sz w:val="18"/>
        </w:rPr>
        <w:t xml:space="preserve"> </w:t>
      </w:r>
      <w:r w:rsidRPr="008465CD">
        <w:rPr>
          <w:rFonts w:ascii="Arial" w:hAnsi="Arial" w:cs="Arial"/>
          <w:sz w:val="20"/>
          <w:szCs w:val="24"/>
        </w:rPr>
        <w:t>Martin,</w:t>
      </w:r>
      <w:r w:rsidRPr="008465CD">
        <w:rPr>
          <w:rFonts w:ascii="Arial" w:hAnsi="Arial" w:cs="Arial"/>
          <w:sz w:val="20"/>
          <w:szCs w:val="24"/>
        </w:rPr>
        <w:t xml:space="preserve"> ‘THE LIFE OF SAINT THOMAS OF HEREFORD’, </w:t>
      </w:r>
      <w:r w:rsidRPr="008465CD">
        <w:rPr>
          <w:rFonts w:ascii="Arial" w:hAnsi="Arial" w:cs="Arial"/>
          <w:sz w:val="20"/>
          <w:szCs w:val="24"/>
        </w:rPr>
        <w:t>(p. 18)</w:t>
      </w:r>
    </w:p>
  </w:footnote>
  <w:footnote w:id="6">
    <w:p w:rsidR="008465CD" w:rsidRPr="00D745D6" w:rsidRDefault="008465CD">
      <w:pPr>
        <w:pStyle w:val="FootnoteText"/>
        <w:rPr>
          <w:i/>
          <w:lang w:val="en-US"/>
        </w:rPr>
      </w:pPr>
      <w:r>
        <w:rPr>
          <w:rStyle w:val="FootnoteReference"/>
        </w:rPr>
        <w:footnoteRef/>
      </w:r>
      <w:r>
        <w:t xml:space="preserve"> </w:t>
      </w:r>
      <w:r w:rsidR="00D745D6">
        <w:rPr>
          <w:i/>
        </w:rPr>
        <w:t xml:space="preserve">Ibid. </w:t>
      </w:r>
      <w:r w:rsidR="00D745D6" w:rsidRPr="00D745D6">
        <w:t>(p.18)</w:t>
      </w:r>
    </w:p>
  </w:footnote>
  <w:footnote w:id="7">
    <w:p w:rsidR="007D4F7E" w:rsidRPr="007D4F7E" w:rsidRDefault="007D4F7E">
      <w:pPr>
        <w:pStyle w:val="FootnoteText"/>
        <w:rPr>
          <w:lang w:val="en-US"/>
        </w:rPr>
      </w:pPr>
      <w:r>
        <w:rPr>
          <w:rStyle w:val="FootnoteReference"/>
        </w:rPr>
        <w:footnoteRef/>
      </w:r>
      <w:r>
        <w:t xml:space="preserve"> </w:t>
      </w:r>
      <w:r>
        <w:rPr>
          <w:rFonts w:ascii="Arial" w:hAnsi="Arial" w:cs="Arial"/>
          <w:szCs w:val="24"/>
        </w:rPr>
        <w:t>Webster</w:t>
      </w:r>
      <w:r w:rsidRPr="00EB436C">
        <w:rPr>
          <w:rFonts w:ascii="Arial" w:hAnsi="Arial" w:cs="Arial"/>
          <w:szCs w:val="24"/>
        </w:rPr>
        <w:t>, ‘The Twice Hanged William Cragh’</w:t>
      </w:r>
    </w:p>
  </w:footnote>
  <w:footnote w:id="8">
    <w:p w:rsidR="007D4F7E" w:rsidRPr="007D4F7E" w:rsidRDefault="007D4F7E" w:rsidP="007D4F7E">
      <w:pPr>
        <w:rPr>
          <w:rFonts w:ascii="Arial" w:hAnsi="Arial" w:cs="Arial"/>
          <w:sz w:val="24"/>
          <w:szCs w:val="24"/>
        </w:rPr>
      </w:pPr>
      <w:r>
        <w:rPr>
          <w:rStyle w:val="FootnoteReference"/>
        </w:rPr>
        <w:footnoteRef/>
      </w:r>
      <w:r>
        <w:t xml:space="preserve"> </w:t>
      </w:r>
      <w:r w:rsidRPr="007D4F7E">
        <w:rPr>
          <w:rFonts w:ascii="Arial" w:hAnsi="Arial" w:cs="Arial"/>
          <w:sz w:val="20"/>
          <w:szCs w:val="24"/>
        </w:rPr>
        <w:t>Patrick H.</w:t>
      </w:r>
      <w:r>
        <w:rPr>
          <w:rFonts w:ascii="Arial" w:hAnsi="Arial" w:cs="Arial"/>
          <w:sz w:val="20"/>
          <w:szCs w:val="24"/>
        </w:rPr>
        <w:t xml:space="preserve"> Daly</w:t>
      </w:r>
      <w:r w:rsidRPr="007D4F7E">
        <w:rPr>
          <w:rFonts w:ascii="Arial" w:hAnsi="Arial" w:cs="Arial"/>
          <w:sz w:val="20"/>
          <w:szCs w:val="24"/>
        </w:rPr>
        <w:t xml:space="preserve">, ‘THE PROCESS OF CANONIZATION IN THE THIRTEENTH AND EARLY FOURTEENTH CENTURIES’ in </w:t>
      </w:r>
      <w:r w:rsidRPr="007D4F7E">
        <w:rPr>
          <w:rFonts w:ascii="Arial" w:hAnsi="Arial" w:cs="Arial"/>
          <w:i/>
          <w:sz w:val="20"/>
          <w:szCs w:val="24"/>
        </w:rPr>
        <w:t>St. Thomas Cantilupe Bishop of Hereford: Essays in His Honour,</w:t>
      </w:r>
      <w:r w:rsidRPr="007D4F7E">
        <w:rPr>
          <w:rFonts w:ascii="Arial" w:hAnsi="Arial" w:cs="Arial"/>
          <w:sz w:val="20"/>
          <w:szCs w:val="24"/>
        </w:rPr>
        <w:t xml:space="preserve"> ed. Meryl Jancey (Hereford: The Friends of Hereford Cathedral Publications Committee for the Dean and Chapter, 1982), pp. 125-135</w:t>
      </w:r>
      <w:r w:rsidRPr="007D4F7E">
        <w:rPr>
          <w:rFonts w:ascii="Arial" w:hAnsi="Arial" w:cs="Arial"/>
          <w:sz w:val="20"/>
          <w:szCs w:val="24"/>
        </w:rPr>
        <w:t>, (p. 129)</w:t>
      </w:r>
    </w:p>
  </w:footnote>
  <w:footnote w:id="9">
    <w:p w:rsidR="00C05A70" w:rsidRPr="00C05A70" w:rsidRDefault="00C05A70">
      <w:pPr>
        <w:pStyle w:val="FootnoteText"/>
        <w:rPr>
          <w:lang w:val="en-US"/>
        </w:rPr>
      </w:pPr>
      <w:r>
        <w:rPr>
          <w:rStyle w:val="FootnoteReference"/>
        </w:rPr>
        <w:footnoteRef/>
      </w:r>
      <w:r>
        <w:t xml:space="preserve"> </w:t>
      </w:r>
      <w:r>
        <w:rPr>
          <w:rFonts w:ascii="Arial" w:hAnsi="Arial" w:cs="Arial"/>
          <w:szCs w:val="24"/>
        </w:rPr>
        <w:t>Webster</w:t>
      </w:r>
      <w:r w:rsidRPr="00EB436C">
        <w:rPr>
          <w:rFonts w:ascii="Arial" w:hAnsi="Arial" w:cs="Arial"/>
          <w:szCs w:val="24"/>
        </w:rPr>
        <w:t>, ‘The Twice Hanged William Cragh’</w:t>
      </w:r>
    </w:p>
  </w:footnote>
  <w:footnote w:id="10">
    <w:p w:rsidR="00C05A70" w:rsidRPr="00C05A70" w:rsidRDefault="00C05A70" w:rsidP="00C05A70">
      <w:pPr>
        <w:rPr>
          <w:rFonts w:ascii="Arial" w:hAnsi="Arial" w:cs="Arial"/>
          <w:sz w:val="24"/>
          <w:szCs w:val="24"/>
        </w:rPr>
      </w:pPr>
      <w:r>
        <w:rPr>
          <w:rStyle w:val="FootnoteReference"/>
        </w:rPr>
        <w:footnoteRef/>
      </w:r>
      <w:r>
        <w:t xml:space="preserve"> </w:t>
      </w:r>
      <w:r w:rsidRPr="00C05A70">
        <w:rPr>
          <w:rFonts w:ascii="Arial" w:hAnsi="Arial" w:cs="Arial"/>
          <w:sz w:val="20"/>
          <w:szCs w:val="24"/>
        </w:rPr>
        <w:t>Robert</w:t>
      </w:r>
      <w:r>
        <w:rPr>
          <w:rFonts w:ascii="Arial" w:hAnsi="Arial" w:cs="Arial"/>
          <w:sz w:val="20"/>
          <w:szCs w:val="24"/>
        </w:rPr>
        <w:t xml:space="preserve"> Bartlett</w:t>
      </w:r>
      <w:r w:rsidRPr="00C05A70">
        <w:rPr>
          <w:rFonts w:ascii="Arial" w:hAnsi="Arial" w:cs="Arial"/>
          <w:sz w:val="20"/>
          <w:szCs w:val="24"/>
        </w:rPr>
        <w:t xml:space="preserve">, </w:t>
      </w:r>
      <w:r w:rsidRPr="00C05A70">
        <w:rPr>
          <w:rFonts w:ascii="Arial" w:hAnsi="Arial" w:cs="Arial"/>
          <w:i/>
          <w:sz w:val="20"/>
          <w:szCs w:val="24"/>
        </w:rPr>
        <w:t>The Hanged Man: A Story of Miracle, Memory and Colonialism in the Middle Ages</w:t>
      </w:r>
      <w:r w:rsidRPr="00C05A70">
        <w:rPr>
          <w:rFonts w:ascii="Arial" w:hAnsi="Arial" w:cs="Arial"/>
          <w:sz w:val="20"/>
          <w:szCs w:val="24"/>
        </w:rPr>
        <w:t>, (Princeton: Princeton university Press, 2004)</w:t>
      </w:r>
      <w:r>
        <w:rPr>
          <w:rFonts w:ascii="Arial" w:hAnsi="Arial" w:cs="Arial"/>
          <w:sz w:val="20"/>
          <w:szCs w:val="24"/>
        </w:rPr>
        <w:t>, pp. 6-7</w:t>
      </w:r>
    </w:p>
  </w:footnote>
  <w:footnote w:id="11">
    <w:p w:rsidR="00126300" w:rsidRPr="00126300" w:rsidRDefault="00126300">
      <w:pPr>
        <w:pStyle w:val="FootnoteText"/>
        <w:rPr>
          <w:lang w:val="en-US"/>
        </w:rPr>
      </w:pPr>
      <w:r>
        <w:rPr>
          <w:rStyle w:val="FootnoteReference"/>
        </w:rPr>
        <w:footnoteRef/>
      </w:r>
      <w:r>
        <w:t xml:space="preserve"> </w:t>
      </w:r>
      <w:r w:rsidRPr="00C05A70">
        <w:rPr>
          <w:rFonts w:ascii="Arial" w:hAnsi="Arial" w:cs="Arial"/>
          <w:szCs w:val="24"/>
        </w:rPr>
        <w:t>Robert</w:t>
      </w:r>
      <w:r>
        <w:rPr>
          <w:rFonts w:ascii="Arial" w:hAnsi="Arial" w:cs="Arial"/>
          <w:szCs w:val="24"/>
        </w:rPr>
        <w:t xml:space="preserve"> Bartlett</w:t>
      </w:r>
      <w:r w:rsidRPr="00C05A70">
        <w:rPr>
          <w:rFonts w:ascii="Arial" w:hAnsi="Arial" w:cs="Arial"/>
          <w:szCs w:val="24"/>
        </w:rPr>
        <w:t xml:space="preserve">, </w:t>
      </w:r>
      <w:r w:rsidRPr="00C05A70">
        <w:rPr>
          <w:rFonts w:ascii="Arial" w:hAnsi="Arial" w:cs="Arial"/>
          <w:i/>
          <w:szCs w:val="24"/>
        </w:rPr>
        <w:t>The Hanged Man</w:t>
      </w:r>
      <w:r>
        <w:rPr>
          <w:rFonts w:ascii="Arial" w:hAnsi="Arial" w:cs="Arial"/>
          <w:szCs w:val="24"/>
        </w:rPr>
        <w:t>, p. 7</w:t>
      </w:r>
    </w:p>
  </w:footnote>
  <w:footnote w:id="12">
    <w:p w:rsidR="00126300" w:rsidRPr="00126300" w:rsidRDefault="00126300">
      <w:pPr>
        <w:pStyle w:val="FootnoteText"/>
        <w:rPr>
          <w:lang w:val="en-US"/>
        </w:rPr>
      </w:pPr>
      <w:r>
        <w:rPr>
          <w:rStyle w:val="FootnoteReference"/>
        </w:rPr>
        <w:footnoteRef/>
      </w:r>
      <w:r>
        <w:t xml:space="preserve"> </w:t>
      </w:r>
      <w:r>
        <w:rPr>
          <w:rFonts w:ascii="Arial" w:hAnsi="Arial" w:cs="Arial"/>
          <w:i/>
          <w:szCs w:val="24"/>
        </w:rPr>
        <w:t xml:space="preserve">Ibid. </w:t>
      </w:r>
      <w:r>
        <w:rPr>
          <w:rFonts w:ascii="Arial" w:hAnsi="Arial" w:cs="Arial"/>
          <w:szCs w:val="24"/>
        </w:rPr>
        <w:t>p. 7</w:t>
      </w:r>
    </w:p>
  </w:footnote>
  <w:footnote w:id="13">
    <w:p w:rsidR="00C05A70" w:rsidRPr="00126300" w:rsidRDefault="00C05A70" w:rsidP="00C05A70">
      <w:pPr>
        <w:rPr>
          <w:rFonts w:ascii="Arial" w:hAnsi="Arial" w:cs="Arial"/>
          <w:sz w:val="24"/>
          <w:szCs w:val="24"/>
        </w:rPr>
      </w:pPr>
      <w:r>
        <w:rPr>
          <w:rStyle w:val="FootnoteReference"/>
        </w:rPr>
        <w:footnoteRef/>
      </w:r>
      <w:r>
        <w:t xml:space="preserve"> </w:t>
      </w:r>
      <w:r w:rsidR="00126300">
        <w:rPr>
          <w:rFonts w:ascii="Arial" w:hAnsi="Arial" w:cs="Arial"/>
          <w:i/>
          <w:sz w:val="20"/>
          <w:szCs w:val="24"/>
        </w:rPr>
        <w:t>Ibid</w:t>
      </w:r>
      <w:r w:rsidR="00126300">
        <w:rPr>
          <w:rFonts w:ascii="Arial" w:hAnsi="Arial" w:cs="Arial"/>
          <w:sz w:val="20"/>
          <w:szCs w:val="24"/>
        </w:rPr>
        <w:t>, p. 7</w:t>
      </w:r>
    </w:p>
  </w:footnote>
  <w:footnote w:id="14">
    <w:p w:rsidR="00E40A64" w:rsidRPr="00E40A64" w:rsidRDefault="00E40A64">
      <w:pPr>
        <w:pStyle w:val="FootnoteText"/>
        <w:rPr>
          <w:lang w:val="en-US"/>
        </w:rPr>
      </w:pPr>
      <w:r>
        <w:rPr>
          <w:rStyle w:val="FootnoteReference"/>
        </w:rPr>
        <w:footnoteRef/>
      </w:r>
      <w:r>
        <w:t xml:space="preserve"> </w:t>
      </w:r>
      <w:r>
        <w:rPr>
          <w:i/>
        </w:rPr>
        <w:t xml:space="preserve">Ibid. </w:t>
      </w:r>
      <w:r>
        <w:t>p. 6</w:t>
      </w:r>
    </w:p>
  </w:footnote>
  <w:footnote w:id="15">
    <w:p w:rsidR="007B05EC" w:rsidRPr="007B05EC" w:rsidRDefault="007B05EC">
      <w:pPr>
        <w:pStyle w:val="FootnoteText"/>
        <w:rPr>
          <w:lang w:val="en-US"/>
        </w:rPr>
      </w:pPr>
      <w:r>
        <w:rPr>
          <w:rStyle w:val="FootnoteReference"/>
        </w:rPr>
        <w:footnoteRef/>
      </w:r>
      <w:r>
        <w:t xml:space="preserve"> </w:t>
      </w:r>
      <w:r w:rsidRPr="00C05A70">
        <w:rPr>
          <w:rFonts w:ascii="Arial" w:hAnsi="Arial" w:cs="Arial"/>
          <w:szCs w:val="24"/>
        </w:rPr>
        <w:t>Robert</w:t>
      </w:r>
      <w:r>
        <w:rPr>
          <w:rFonts w:ascii="Arial" w:hAnsi="Arial" w:cs="Arial"/>
          <w:szCs w:val="24"/>
        </w:rPr>
        <w:t xml:space="preserve"> Bartlett</w:t>
      </w:r>
      <w:r w:rsidRPr="00C05A70">
        <w:rPr>
          <w:rFonts w:ascii="Arial" w:hAnsi="Arial" w:cs="Arial"/>
          <w:szCs w:val="24"/>
        </w:rPr>
        <w:t xml:space="preserve">, </w:t>
      </w:r>
      <w:r w:rsidRPr="00C05A70">
        <w:rPr>
          <w:rFonts w:ascii="Arial" w:hAnsi="Arial" w:cs="Arial"/>
          <w:i/>
          <w:szCs w:val="24"/>
        </w:rPr>
        <w:t>The Hanged Man</w:t>
      </w:r>
      <w:r>
        <w:rPr>
          <w:rFonts w:ascii="Arial" w:hAnsi="Arial" w:cs="Arial"/>
          <w:szCs w:val="24"/>
        </w:rPr>
        <w:t xml:space="preserve">, p. </w:t>
      </w:r>
      <w:r>
        <w:rPr>
          <w:rFonts w:ascii="Arial" w:hAnsi="Arial" w:cs="Arial"/>
          <w:szCs w:val="24"/>
        </w:rPr>
        <w:t>6</w:t>
      </w:r>
    </w:p>
  </w:footnote>
  <w:footnote w:id="16">
    <w:p w:rsidR="00E660B5" w:rsidRPr="00E660B5" w:rsidRDefault="00E660B5">
      <w:pPr>
        <w:pStyle w:val="FootnoteText"/>
        <w:rPr>
          <w:lang w:val="en-US"/>
        </w:rPr>
      </w:pPr>
      <w:r>
        <w:rPr>
          <w:rStyle w:val="FootnoteReference"/>
        </w:rPr>
        <w:footnoteRef/>
      </w:r>
      <w:r>
        <w:t xml:space="preserve"> </w:t>
      </w:r>
      <w:r w:rsidR="005F2325" w:rsidRPr="00C05A70">
        <w:rPr>
          <w:rFonts w:ascii="Arial" w:hAnsi="Arial" w:cs="Arial"/>
          <w:szCs w:val="24"/>
        </w:rPr>
        <w:t>Robert</w:t>
      </w:r>
      <w:r w:rsidR="005F2325">
        <w:rPr>
          <w:rFonts w:ascii="Arial" w:hAnsi="Arial" w:cs="Arial"/>
          <w:szCs w:val="24"/>
        </w:rPr>
        <w:t xml:space="preserve"> Bartlett</w:t>
      </w:r>
      <w:r w:rsidR="005F2325" w:rsidRPr="00C05A70">
        <w:rPr>
          <w:rFonts w:ascii="Arial" w:hAnsi="Arial" w:cs="Arial"/>
          <w:szCs w:val="24"/>
        </w:rPr>
        <w:t xml:space="preserve">, </w:t>
      </w:r>
      <w:r w:rsidR="005F2325" w:rsidRPr="00C05A70">
        <w:rPr>
          <w:rFonts w:ascii="Arial" w:hAnsi="Arial" w:cs="Arial"/>
          <w:i/>
          <w:szCs w:val="24"/>
        </w:rPr>
        <w:t>The Hanged Man</w:t>
      </w:r>
      <w:r w:rsidR="005F2325">
        <w:rPr>
          <w:rFonts w:ascii="Arial" w:hAnsi="Arial" w:cs="Arial"/>
          <w:szCs w:val="24"/>
        </w:rPr>
        <w:t>, p. 5</w:t>
      </w:r>
    </w:p>
  </w:footnote>
  <w:footnote w:id="17">
    <w:p w:rsidR="00A91E32" w:rsidRPr="00A91E32" w:rsidRDefault="00A91E32">
      <w:pPr>
        <w:pStyle w:val="FootnoteText"/>
        <w:rPr>
          <w:lang w:val="en-US"/>
        </w:rPr>
      </w:pPr>
      <w:r>
        <w:rPr>
          <w:rStyle w:val="FootnoteReference"/>
        </w:rPr>
        <w:footnoteRef/>
      </w:r>
      <w:r>
        <w:t xml:space="preserve"> </w:t>
      </w:r>
      <w:r w:rsidRPr="00C05A70">
        <w:rPr>
          <w:rFonts w:ascii="Arial" w:hAnsi="Arial" w:cs="Arial"/>
          <w:szCs w:val="24"/>
        </w:rPr>
        <w:t>Robert</w:t>
      </w:r>
      <w:r>
        <w:rPr>
          <w:rFonts w:ascii="Arial" w:hAnsi="Arial" w:cs="Arial"/>
          <w:szCs w:val="24"/>
        </w:rPr>
        <w:t xml:space="preserve"> Bartlett</w:t>
      </w:r>
      <w:r w:rsidRPr="00C05A70">
        <w:rPr>
          <w:rFonts w:ascii="Arial" w:hAnsi="Arial" w:cs="Arial"/>
          <w:szCs w:val="24"/>
        </w:rPr>
        <w:t xml:space="preserve">, </w:t>
      </w:r>
      <w:r w:rsidRPr="00C05A70">
        <w:rPr>
          <w:rFonts w:ascii="Arial" w:hAnsi="Arial" w:cs="Arial"/>
          <w:i/>
          <w:szCs w:val="24"/>
        </w:rPr>
        <w:t>The Hanged Man</w:t>
      </w:r>
      <w:r>
        <w:rPr>
          <w:rFonts w:ascii="Arial" w:hAnsi="Arial" w:cs="Arial"/>
          <w:szCs w:val="24"/>
        </w:rPr>
        <w:t xml:space="preserve">, p. </w:t>
      </w:r>
      <w:r>
        <w:rPr>
          <w:rFonts w:ascii="Arial" w:hAnsi="Arial" w:cs="Arial"/>
          <w:szCs w:val="24"/>
        </w:rPr>
        <w:t>5</w:t>
      </w:r>
    </w:p>
  </w:footnote>
  <w:footnote w:id="18">
    <w:p w:rsidR="005511B7" w:rsidRPr="005511B7" w:rsidRDefault="005511B7">
      <w:pPr>
        <w:pStyle w:val="FootnoteText"/>
        <w:rPr>
          <w:lang w:val="en-US"/>
        </w:rPr>
      </w:pPr>
      <w:r>
        <w:rPr>
          <w:rStyle w:val="FootnoteReference"/>
        </w:rPr>
        <w:footnoteRef/>
      </w:r>
      <w:r>
        <w:t xml:space="preserve"> </w:t>
      </w:r>
      <w:r>
        <w:rPr>
          <w:i/>
          <w:lang w:val="en-US"/>
        </w:rPr>
        <w:t>Ibid</w:t>
      </w:r>
      <w:r>
        <w:rPr>
          <w:lang w:val="en-US"/>
        </w:rPr>
        <w:t>. p. 5</w:t>
      </w:r>
    </w:p>
  </w:footnote>
  <w:footnote w:id="19">
    <w:p w:rsidR="000724B6" w:rsidRPr="000724B6" w:rsidRDefault="000724B6">
      <w:pPr>
        <w:pStyle w:val="FootnoteText"/>
        <w:rPr>
          <w:lang w:val="en-US"/>
        </w:rPr>
      </w:pPr>
      <w:r>
        <w:rPr>
          <w:rStyle w:val="FootnoteReference"/>
        </w:rPr>
        <w:footnoteRef/>
      </w:r>
      <w:r>
        <w:t xml:space="preserve"> </w:t>
      </w:r>
      <w:r>
        <w:rPr>
          <w:i/>
          <w:lang w:val="en-US"/>
        </w:rPr>
        <w:t xml:space="preserve">Ibid. </w:t>
      </w:r>
      <w:r>
        <w:rPr>
          <w:lang w:val="en-US"/>
        </w:rPr>
        <w:t>p. 5</w:t>
      </w:r>
    </w:p>
  </w:footnote>
  <w:footnote w:id="20">
    <w:p w:rsidR="00153A98" w:rsidRPr="00153A98" w:rsidRDefault="00153A98">
      <w:pPr>
        <w:pStyle w:val="FootnoteText"/>
        <w:rPr>
          <w:lang w:val="en-US"/>
        </w:rPr>
      </w:pPr>
      <w:r>
        <w:rPr>
          <w:rStyle w:val="FootnoteReference"/>
        </w:rPr>
        <w:footnoteRef/>
      </w:r>
      <w:r>
        <w:t xml:space="preserve"> </w:t>
      </w:r>
      <w:r>
        <w:rPr>
          <w:i/>
          <w:lang w:val="en-US"/>
        </w:rPr>
        <w:t>Ibid.</w:t>
      </w:r>
      <w:r>
        <w:rPr>
          <w:lang w:val="en-US"/>
        </w:rPr>
        <w:t xml:space="preserve"> p. 6</w:t>
      </w:r>
    </w:p>
  </w:footnote>
  <w:footnote w:id="21">
    <w:p w:rsidR="009E3E7B" w:rsidRPr="009E3E7B" w:rsidRDefault="009E3E7B" w:rsidP="009E3E7B">
      <w:pPr>
        <w:spacing w:line="360" w:lineRule="auto"/>
        <w:rPr>
          <w:rFonts w:ascii="Times New Roman" w:hAnsi="Times New Roman" w:cs="Times New Roman"/>
          <w:color w:val="222222"/>
          <w:sz w:val="24"/>
          <w:szCs w:val="24"/>
          <w:shd w:val="clear" w:color="auto" w:fill="FFFFFF"/>
        </w:rPr>
      </w:pPr>
      <w:r>
        <w:rPr>
          <w:rStyle w:val="FootnoteReference"/>
        </w:rPr>
        <w:footnoteRef/>
      </w:r>
      <w:r>
        <w:t xml:space="preserve"> </w:t>
      </w:r>
      <w:r w:rsidRPr="009E3E7B">
        <w:rPr>
          <w:rFonts w:ascii="Times New Roman" w:hAnsi="Times New Roman" w:cs="Times New Roman"/>
          <w:color w:val="222222"/>
          <w:sz w:val="20"/>
          <w:szCs w:val="24"/>
          <w:shd w:val="clear" w:color="auto" w:fill="FFFFFF"/>
        </w:rPr>
        <w:t>Vatican City, Vatican MS Latin. 4015, fol. 11r, trans. H. Webster</w:t>
      </w:r>
    </w:p>
  </w:footnote>
  <w:footnote w:id="22">
    <w:p w:rsidR="009E3E7B" w:rsidRPr="009E3E7B" w:rsidRDefault="009E3E7B" w:rsidP="009E3E7B">
      <w:pPr>
        <w:spacing w:line="360" w:lineRule="auto"/>
        <w:rPr>
          <w:rFonts w:ascii="Times New Roman" w:hAnsi="Times New Roman" w:cs="Times New Roman"/>
          <w:color w:val="222222"/>
          <w:sz w:val="24"/>
          <w:szCs w:val="24"/>
          <w:shd w:val="clear" w:color="auto" w:fill="FFFFFF"/>
        </w:rPr>
      </w:pPr>
      <w:r>
        <w:rPr>
          <w:rStyle w:val="FootnoteReference"/>
        </w:rPr>
        <w:footnoteRef/>
      </w:r>
      <w:r>
        <w:t xml:space="preserve"> </w:t>
      </w:r>
      <w:r w:rsidRPr="009E3E7B">
        <w:rPr>
          <w:rFonts w:ascii="Times New Roman" w:hAnsi="Times New Roman" w:cs="Times New Roman"/>
          <w:color w:val="222222"/>
          <w:sz w:val="20"/>
          <w:szCs w:val="24"/>
          <w:shd w:val="clear" w:color="auto" w:fill="FFFFFF"/>
        </w:rPr>
        <w:t>Vatican City, Vatican MS Latin. 4015, fol. 11r, trans. H. Webster</w:t>
      </w:r>
    </w:p>
  </w:footnote>
  <w:footnote w:id="23">
    <w:p w:rsidR="005F2325" w:rsidRPr="005F2325" w:rsidRDefault="005F2325">
      <w:pPr>
        <w:pStyle w:val="FootnoteText"/>
        <w:rPr>
          <w:lang w:val="en-US"/>
        </w:rPr>
      </w:pPr>
      <w:r>
        <w:rPr>
          <w:rStyle w:val="FootnoteReference"/>
        </w:rPr>
        <w:footnoteRef/>
      </w:r>
      <w:r>
        <w:t xml:space="preserve"> </w:t>
      </w:r>
      <w:r w:rsidRPr="009E3E7B">
        <w:rPr>
          <w:rFonts w:ascii="Times New Roman" w:hAnsi="Times New Roman" w:cs="Times New Roman"/>
          <w:color w:val="222222"/>
          <w:szCs w:val="24"/>
          <w:shd w:val="clear" w:color="auto" w:fill="FFFFFF"/>
        </w:rPr>
        <w:t>Vatican City, Vatican MS Latin. 4015, fol. 11r, trans. H. Webster</w:t>
      </w:r>
    </w:p>
  </w:footnote>
  <w:footnote w:id="24">
    <w:p w:rsidR="005F2325" w:rsidRPr="00EE2578" w:rsidRDefault="005F2325">
      <w:pPr>
        <w:pStyle w:val="FootnoteText"/>
        <w:rPr>
          <w:i/>
          <w:lang w:val="en-US"/>
        </w:rPr>
      </w:pPr>
      <w:r>
        <w:rPr>
          <w:rStyle w:val="FootnoteReference"/>
        </w:rPr>
        <w:footnoteRef/>
      </w:r>
      <w:r>
        <w:t xml:space="preserve"> </w:t>
      </w:r>
      <w:r w:rsidR="00EE2578">
        <w:rPr>
          <w:rFonts w:ascii="Times New Roman" w:hAnsi="Times New Roman" w:cs="Times New Roman"/>
          <w:i/>
          <w:color w:val="222222"/>
          <w:szCs w:val="24"/>
          <w:shd w:val="clear" w:color="auto" w:fill="FFFFFF"/>
        </w:rPr>
        <w:t>Ibid.</w:t>
      </w:r>
    </w:p>
  </w:footnote>
  <w:footnote w:id="25">
    <w:p w:rsidR="00EE2578" w:rsidRPr="00EE2578" w:rsidRDefault="00EE2578">
      <w:pPr>
        <w:pStyle w:val="FootnoteText"/>
        <w:rPr>
          <w:i/>
          <w:lang w:val="en-US"/>
        </w:rPr>
      </w:pPr>
      <w:r>
        <w:rPr>
          <w:rStyle w:val="FootnoteReference"/>
        </w:rPr>
        <w:footnoteRef/>
      </w:r>
      <w:r>
        <w:t xml:space="preserve"> </w:t>
      </w:r>
      <w:r>
        <w:rPr>
          <w:rFonts w:ascii="Times New Roman" w:hAnsi="Times New Roman" w:cs="Times New Roman"/>
          <w:i/>
          <w:color w:val="222222"/>
          <w:szCs w:val="24"/>
          <w:shd w:val="clear" w:color="auto" w:fill="FFFFFF"/>
        </w:rPr>
        <w:t>Ibid.</w:t>
      </w:r>
    </w:p>
  </w:footnote>
  <w:footnote w:id="26">
    <w:p w:rsidR="00EE2578" w:rsidRPr="00EE2578" w:rsidRDefault="00EE2578">
      <w:pPr>
        <w:pStyle w:val="FootnoteText"/>
        <w:rPr>
          <w:i/>
          <w:lang w:val="en-US"/>
        </w:rPr>
      </w:pPr>
      <w:r>
        <w:rPr>
          <w:rStyle w:val="FootnoteReference"/>
        </w:rPr>
        <w:footnoteRef/>
      </w:r>
      <w:r>
        <w:t xml:space="preserve"> </w:t>
      </w:r>
      <w:r>
        <w:rPr>
          <w:i/>
        </w:rPr>
        <w:t>Ibid.</w:t>
      </w:r>
    </w:p>
  </w:footnote>
  <w:footnote w:id="27">
    <w:p w:rsidR="0094566C" w:rsidRPr="0094566C" w:rsidRDefault="0094566C">
      <w:pPr>
        <w:pStyle w:val="FootnoteText"/>
        <w:rPr>
          <w:i/>
          <w:lang w:val="en-US"/>
        </w:rPr>
      </w:pPr>
      <w:r>
        <w:rPr>
          <w:rStyle w:val="FootnoteReference"/>
        </w:rPr>
        <w:footnoteRef/>
      </w:r>
      <w:r>
        <w:t xml:space="preserve"> </w:t>
      </w:r>
      <w:r>
        <w:rPr>
          <w:i/>
          <w:lang w:val="en-US"/>
        </w:rPr>
        <w:t>Ibid.</w:t>
      </w:r>
    </w:p>
  </w:footnote>
  <w:footnote w:id="28">
    <w:p w:rsidR="0094566C" w:rsidRPr="0094566C" w:rsidRDefault="0094566C">
      <w:pPr>
        <w:pStyle w:val="FootnoteText"/>
        <w:rPr>
          <w:i/>
          <w:lang w:val="en-US"/>
        </w:rPr>
      </w:pPr>
      <w:r>
        <w:rPr>
          <w:rStyle w:val="FootnoteReference"/>
        </w:rPr>
        <w:footnoteRef/>
      </w:r>
      <w:r>
        <w:t xml:space="preserve"> </w:t>
      </w:r>
      <w:r>
        <w:rPr>
          <w:i/>
          <w:lang w:val="en-US"/>
        </w:rPr>
        <w:t>Ibid.</w:t>
      </w:r>
    </w:p>
  </w:footnote>
  <w:footnote w:id="29">
    <w:p w:rsidR="0094566C" w:rsidRPr="0094566C" w:rsidRDefault="0094566C">
      <w:pPr>
        <w:pStyle w:val="FootnoteText"/>
        <w:rPr>
          <w:i/>
          <w:lang w:val="en-US"/>
        </w:rPr>
      </w:pPr>
      <w:r>
        <w:rPr>
          <w:rStyle w:val="FootnoteReference"/>
        </w:rPr>
        <w:footnoteRef/>
      </w:r>
      <w:r>
        <w:t xml:space="preserve"> </w:t>
      </w:r>
      <w:r>
        <w:rPr>
          <w:i/>
          <w:lang w:val="en-US"/>
        </w:rPr>
        <w:t>Ibid.</w:t>
      </w:r>
    </w:p>
  </w:footnote>
  <w:footnote w:id="30">
    <w:p w:rsidR="003C7013" w:rsidRPr="003C7013" w:rsidRDefault="003C7013">
      <w:pPr>
        <w:pStyle w:val="FootnoteText"/>
        <w:rPr>
          <w:i/>
          <w:lang w:val="en-US"/>
        </w:rPr>
      </w:pPr>
      <w:r>
        <w:rPr>
          <w:rStyle w:val="FootnoteReference"/>
        </w:rPr>
        <w:footnoteRef/>
      </w:r>
      <w:r>
        <w:t xml:space="preserve"> </w:t>
      </w:r>
      <w:r>
        <w:rPr>
          <w:i/>
          <w:lang w:val="en-US"/>
        </w:rPr>
        <w:t>Ibid.</w:t>
      </w:r>
    </w:p>
  </w:footnote>
  <w:footnote w:id="31">
    <w:p w:rsidR="003C7013" w:rsidRPr="003C7013" w:rsidRDefault="003C7013">
      <w:pPr>
        <w:pStyle w:val="FootnoteText"/>
        <w:rPr>
          <w:lang w:val="en-US"/>
        </w:rPr>
      </w:pPr>
      <w:r>
        <w:rPr>
          <w:rStyle w:val="FootnoteReference"/>
        </w:rPr>
        <w:footnoteRef/>
      </w:r>
      <w:r>
        <w:t xml:space="preserve"> </w:t>
      </w:r>
      <w:r w:rsidRPr="00C05A70">
        <w:rPr>
          <w:rFonts w:ascii="Arial" w:hAnsi="Arial" w:cs="Arial"/>
          <w:szCs w:val="24"/>
        </w:rPr>
        <w:t>Robert</w:t>
      </w:r>
      <w:r>
        <w:rPr>
          <w:rFonts w:ascii="Arial" w:hAnsi="Arial" w:cs="Arial"/>
          <w:szCs w:val="24"/>
        </w:rPr>
        <w:t xml:space="preserve"> Bartlett</w:t>
      </w:r>
      <w:r w:rsidRPr="00C05A70">
        <w:rPr>
          <w:rFonts w:ascii="Arial" w:hAnsi="Arial" w:cs="Arial"/>
          <w:szCs w:val="24"/>
        </w:rPr>
        <w:t xml:space="preserve">, </w:t>
      </w:r>
      <w:r w:rsidRPr="00C05A70">
        <w:rPr>
          <w:rFonts w:ascii="Arial" w:hAnsi="Arial" w:cs="Arial"/>
          <w:i/>
          <w:szCs w:val="24"/>
        </w:rPr>
        <w:t>The Hanged Man</w:t>
      </w:r>
      <w:r>
        <w:rPr>
          <w:rFonts w:ascii="Arial" w:hAnsi="Arial" w:cs="Arial"/>
          <w:szCs w:val="24"/>
        </w:rPr>
        <w:t>, p. 6</w:t>
      </w:r>
    </w:p>
  </w:footnote>
  <w:footnote w:id="32">
    <w:p w:rsidR="00467F9C" w:rsidRPr="00467F9C" w:rsidRDefault="00467F9C">
      <w:pPr>
        <w:pStyle w:val="FootnoteText"/>
        <w:rPr>
          <w:lang w:val="en-US"/>
        </w:rPr>
      </w:pPr>
      <w:r>
        <w:rPr>
          <w:rStyle w:val="FootnoteReference"/>
        </w:rPr>
        <w:footnoteRef/>
      </w:r>
      <w:r>
        <w:t xml:space="preserve"> </w:t>
      </w:r>
      <w:r w:rsidRPr="00C05A70">
        <w:rPr>
          <w:rFonts w:ascii="Arial" w:hAnsi="Arial" w:cs="Arial"/>
          <w:szCs w:val="24"/>
        </w:rPr>
        <w:t>Robert</w:t>
      </w:r>
      <w:r>
        <w:rPr>
          <w:rFonts w:ascii="Arial" w:hAnsi="Arial" w:cs="Arial"/>
          <w:szCs w:val="24"/>
        </w:rPr>
        <w:t xml:space="preserve"> Bartlett</w:t>
      </w:r>
      <w:r w:rsidRPr="00C05A70">
        <w:rPr>
          <w:rFonts w:ascii="Arial" w:hAnsi="Arial" w:cs="Arial"/>
          <w:szCs w:val="24"/>
        </w:rPr>
        <w:t xml:space="preserve">, </w:t>
      </w:r>
      <w:r w:rsidRPr="00C05A70">
        <w:rPr>
          <w:rFonts w:ascii="Arial" w:hAnsi="Arial" w:cs="Arial"/>
          <w:i/>
          <w:szCs w:val="24"/>
        </w:rPr>
        <w:t>The Hanged Man</w:t>
      </w:r>
      <w:r>
        <w:rPr>
          <w:rFonts w:ascii="Arial" w:hAnsi="Arial" w:cs="Arial"/>
          <w:szCs w:val="24"/>
        </w:rPr>
        <w:t xml:space="preserve">, p. </w:t>
      </w:r>
      <w:r>
        <w:rPr>
          <w:rFonts w:ascii="Arial" w:hAnsi="Arial" w:cs="Arial"/>
          <w:szCs w:val="24"/>
        </w:rPr>
        <w:t>6</w:t>
      </w:r>
    </w:p>
  </w:footnote>
  <w:footnote w:id="33">
    <w:p w:rsidR="00467F9C" w:rsidRPr="00467F9C" w:rsidRDefault="00467F9C">
      <w:pPr>
        <w:pStyle w:val="FootnoteText"/>
        <w:rPr>
          <w:lang w:val="en-US"/>
        </w:rPr>
      </w:pPr>
      <w:r>
        <w:rPr>
          <w:rStyle w:val="FootnoteReference"/>
        </w:rPr>
        <w:footnoteRef/>
      </w:r>
      <w:r>
        <w:t xml:space="preserve"> </w:t>
      </w:r>
      <w:r w:rsidRPr="009E3E7B">
        <w:rPr>
          <w:rFonts w:ascii="Times New Roman" w:hAnsi="Times New Roman" w:cs="Times New Roman"/>
          <w:color w:val="222222"/>
          <w:szCs w:val="24"/>
          <w:shd w:val="clear" w:color="auto" w:fill="FFFFFF"/>
        </w:rPr>
        <w:t>Vatican City, Vatican MS Latin. 4015, fol. 11r, trans. H. Webster</w:t>
      </w:r>
    </w:p>
  </w:footnote>
  <w:footnote w:id="34">
    <w:p w:rsidR="003478A5" w:rsidRPr="003478A5" w:rsidRDefault="003478A5">
      <w:pPr>
        <w:pStyle w:val="FootnoteText"/>
        <w:rPr>
          <w:lang w:val="en-US"/>
        </w:rPr>
      </w:pPr>
      <w:r>
        <w:rPr>
          <w:rStyle w:val="FootnoteReference"/>
        </w:rPr>
        <w:footnoteRef/>
      </w:r>
      <w:r>
        <w:t xml:space="preserve"> </w:t>
      </w:r>
      <w:r w:rsidRPr="009E3E7B">
        <w:rPr>
          <w:rFonts w:ascii="Times New Roman" w:hAnsi="Times New Roman" w:cs="Times New Roman"/>
          <w:color w:val="222222"/>
          <w:szCs w:val="24"/>
          <w:shd w:val="clear" w:color="auto" w:fill="FFFFFF"/>
        </w:rPr>
        <w:t>Vatican City, Vatican MS Latin. 4015, fol. 11r, trans. H. Webster</w:t>
      </w:r>
    </w:p>
  </w:footnote>
  <w:footnote w:id="35">
    <w:p w:rsidR="003478A5" w:rsidRPr="003478A5" w:rsidRDefault="003478A5">
      <w:pPr>
        <w:pStyle w:val="FootnoteText"/>
        <w:rPr>
          <w:lang w:val="en-US"/>
        </w:rPr>
      </w:pPr>
      <w:r>
        <w:rPr>
          <w:rStyle w:val="FootnoteReference"/>
        </w:rPr>
        <w:footnoteRef/>
      </w:r>
      <w:r>
        <w:rPr>
          <w:rFonts w:ascii="Arial" w:hAnsi="Arial" w:cs="Arial"/>
          <w:szCs w:val="24"/>
        </w:rPr>
        <w:t>Webster</w:t>
      </w:r>
      <w:r w:rsidRPr="00EB436C">
        <w:rPr>
          <w:rFonts w:ascii="Arial" w:hAnsi="Arial" w:cs="Arial"/>
          <w:szCs w:val="24"/>
        </w:rPr>
        <w:t>, ‘The Twice Hanged William Cragh’</w:t>
      </w:r>
    </w:p>
  </w:footnote>
  <w:footnote w:id="36">
    <w:p w:rsidR="003478A5" w:rsidRPr="003478A5" w:rsidRDefault="003478A5">
      <w:pPr>
        <w:pStyle w:val="FootnoteText"/>
        <w:rPr>
          <w:lang w:val="en-US"/>
        </w:rPr>
      </w:pPr>
      <w:r>
        <w:rPr>
          <w:rStyle w:val="FootnoteReference"/>
        </w:rPr>
        <w:footnoteRef/>
      </w:r>
      <w:r>
        <w:rPr>
          <w:rFonts w:ascii="Arial" w:hAnsi="Arial" w:cs="Arial"/>
          <w:szCs w:val="24"/>
        </w:rPr>
        <w:t>Webster</w:t>
      </w:r>
      <w:r w:rsidRPr="00EB436C">
        <w:rPr>
          <w:rFonts w:ascii="Arial" w:hAnsi="Arial" w:cs="Arial"/>
          <w:szCs w:val="24"/>
        </w:rPr>
        <w:t>, ‘The Twice Hanged William Cragh’</w:t>
      </w:r>
    </w:p>
  </w:footnote>
  <w:footnote w:id="37">
    <w:p w:rsidR="003478A5" w:rsidRPr="003478A5" w:rsidRDefault="003478A5">
      <w:pPr>
        <w:pStyle w:val="FootnoteText"/>
        <w:rPr>
          <w:lang w:val="en-US"/>
        </w:rPr>
      </w:pPr>
      <w:r>
        <w:rPr>
          <w:rStyle w:val="FootnoteReference"/>
        </w:rPr>
        <w:footnoteRef/>
      </w:r>
      <w:r>
        <w:t xml:space="preserve"> </w:t>
      </w:r>
      <w:r>
        <w:rPr>
          <w:rFonts w:ascii="Arial" w:hAnsi="Arial" w:cs="Arial"/>
          <w:szCs w:val="24"/>
        </w:rPr>
        <w:t>Webster</w:t>
      </w:r>
      <w:r w:rsidRPr="00EB436C">
        <w:rPr>
          <w:rFonts w:ascii="Arial" w:hAnsi="Arial" w:cs="Arial"/>
          <w:szCs w:val="24"/>
        </w:rPr>
        <w:t>, ‘The Twice Hanged William Cragh’</w:t>
      </w:r>
    </w:p>
  </w:footnote>
  <w:footnote w:id="38">
    <w:p w:rsidR="003478A5" w:rsidRPr="003478A5" w:rsidRDefault="003478A5">
      <w:pPr>
        <w:pStyle w:val="FootnoteText"/>
        <w:rPr>
          <w:lang w:val="en-US"/>
        </w:rPr>
      </w:pPr>
      <w:r>
        <w:rPr>
          <w:rStyle w:val="FootnoteReference"/>
        </w:rPr>
        <w:footnoteRef/>
      </w:r>
      <w:r>
        <w:t xml:space="preserve"> </w:t>
      </w:r>
      <w:r>
        <w:rPr>
          <w:rFonts w:ascii="Arial" w:hAnsi="Arial" w:cs="Arial"/>
          <w:szCs w:val="24"/>
        </w:rPr>
        <w:t>Webster</w:t>
      </w:r>
      <w:r w:rsidRPr="00EB436C">
        <w:rPr>
          <w:rFonts w:ascii="Arial" w:hAnsi="Arial" w:cs="Arial"/>
          <w:szCs w:val="24"/>
        </w:rPr>
        <w:t>, ‘The Twice Hanged William Cragh’</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0B7659A"/>
    <w:multiLevelType w:val="hybridMultilevel"/>
    <w:tmpl w:val="49128B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A36E2"/>
    <w:rsid w:val="0000553C"/>
    <w:rsid w:val="000159DC"/>
    <w:rsid w:val="00066701"/>
    <w:rsid w:val="000724B6"/>
    <w:rsid w:val="000801BA"/>
    <w:rsid w:val="00126300"/>
    <w:rsid w:val="001455BF"/>
    <w:rsid w:val="00153A98"/>
    <w:rsid w:val="00154F1E"/>
    <w:rsid w:val="00306FB9"/>
    <w:rsid w:val="003478A5"/>
    <w:rsid w:val="0035666F"/>
    <w:rsid w:val="00374E62"/>
    <w:rsid w:val="003C7013"/>
    <w:rsid w:val="00456062"/>
    <w:rsid w:val="00467F9C"/>
    <w:rsid w:val="004904A5"/>
    <w:rsid w:val="0049163E"/>
    <w:rsid w:val="004B2F1C"/>
    <w:rsid w:val="004D1AA3"/>
    <w:rsid w:val="00523DDB"/>
    <w:rsid w:val="005511B7"/>
    <w:rsid w:val="00556C66"/>
    <w:rsid w:val="005F2325"/>
    <w:rsid w:val="00602C9C"/>
    <w:rsid w:val="00630535"/>
    <w:rsid w:val="006C1FE7"/>
    <w:rsid w:val="0071304F"/>
    <w:rsid w:val="00796391"/>
    <w:rsid w:val="007B05EC"/>
    <w:rsid w:val="007D4F7E"/>
    <w:rsid w:val="008465CD"/>
    <w:rsid w:val="00887AB6"/>
    <w:rsid w:val="0094566C"/>
    <w:rsid w:val="009A36E2"/>
    <w:rsid w:val="009E3E7B"/>
    <w:rsid w:val="00A91E32"/>
    <w:rsid w:val="00B366B7"/>
    <w:rsid w:val="00C05A70"/>
    <w:rsid w:val="00C52424"/>
    <w:rsid w:val="00CA54A5"/>
    <w:rsid w:val="00CF45A5"/>
    <w:rsid w:val="00D033D3"/>
    <w:rsid w:val="00D16320"/>
    <w:rsid w:val="00D6548C"/>
    <w:rsid w:val="00D745D6"/>
    <w:rsid w:val="00E40A64"/>
    <w:rsid w:val="00E660B5"/>
    <w:rsid w:val="00E8591F"/>
    <w:rsid w:val="00E95B98"/>
    <w:rsid w:val="00EB436C"/>
    <w:rsid w:val="00EE2578"/>
    <w:rsid w:val="00FD17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B43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B436C"/>
    <w:rPr>
      <w:sz w:val="20"/>
      <w:szCs w:val="20"/>
      <w:lang w:val="en-GB"/>
    </w:rPr>
  </w:style>
  <w:style w:type="character" w:styleId="FootnoteReference">
    <w:name w:val="footnote reference"/>
    <w:basedOn w:val="DefaultParagraphFont"/>
    <w:uiPriority w:val="99"/>
    <w:semiHidden/>
    <w:unhideWhenUsed/>
    <w:rsid w:val="00EB436C"/>
    <w:rPr>
      <w:vertAlign w:val="superscript"/>
    </w:rPr>
  </w:style>
  <w:style w:type="character" w:styleId="Hyperlink">
    <w:name w:val="Hyperlink"/>
    <w:basedOn w:val="DefaultParagraphFont"/>
    <w:uiPriority w:val="99"/>
    <w:unhideWhenUsed/>
    <w:rsid w:val="00EB436C"/>
    <w:rPr>
      <w:color w:val="0000FF" w:themeColor="hyperlink"/>
      <w:u w:val="single"/>
    </w:rPr>
  </w:style>
  <w:style w:type="paragraph" w:styleId="ListParagraph">
    <w:name w:val="List Paragraph"/>
    <w:basedOn w:val="Normal"/>
    <w:uiPriority w:val="34"/>
    <w:qFormat/>
    <w:rsid w:val="005F2325"/>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B43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B436C"/>
    <w:rPr>
      <w:sz w:val="20"/>
      <w:szCs w:val="20"/>
      <w:lang w:val="en-GB"/>
    </w:rPr>
  </w:style>
  <w:style w:type="character" w:styleId="FootnoteReference">
    <w:name w:val="footnote reference"/>
    <w:basedOn w:val="DefaultParagraphFont"/>
    <w:uiPriority w:val="99"/>
    <w:semiHidden/>
    <w:unhideWhenUsed/>
    <w:rsid w:val="00EB436C"/>
    <w:rPr>
      <w:vertAlign w:val="superscript"/>
    </w:rPr>
  </w:style>
  <w:style w:type="character" w:styleId="Hyperlink">
    <w:name w:val="Hyperlink"/>
    <w:basedOn w:val="DefaultParagraphFont"/>
    <w:uiPriority w:val="99"/>
    <w:unhideWhenUsed/>
    <w:rsid w:val="00EB436C"/>
    <w:rPr>
      <w:color w:val="0000FF" w:themeColor="hyperlink"/>
      <w:u w:val="single"/>
    </w:rPr>
  </w:style>
  <w:style w:type="paragraph" w:styleId="ListParagraph">
    <w:name w:val="List Paragraph"/>
    <w:basedOn w:val="Normal"/>
    <w:uiPriority w:val="34"/>
    <w:qFormat/>
    <w:rsid w:val="005F23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dievalswansea.ac.uk/en/the-story/the-twice-hanged-william-cragh/index.html" TargetMode="Externa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medievalswansea.ac.uk/en/the-story/the-twice-hanged-william-cragh/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398</TotalTime>
  <Pages>6</Pages>
  <Words>1276</Words>
  <Characters>6380</Characters>
  <Application>Microsoft Office Word</Application>
  <DocSecurity>0</DocSecurity>
  <Lines>172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Isaac Law</dc:creator>
  <cp:lastModifiedBy>Isaac Law</cp:lastModifiedBy>
  <cp:revision>61</cp:revision>
  <dcterms:created xsi:type="dcterms:W3CDTF">2023-04-24T10:00:00Z</dcterms:created>
  <dcterms:modified xsi:type="dcterms:W3CDTF">2023-04-28T20:36:00Z</dcterms:modified>
</cp:coreProperties>
</file>