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4ECC0" w14:textId="77777777" w:rsidR="00B6210F" w:rsidRPr="00A85BFE" w:rsidRDefault="00B6210F" w:rsidP="004B1DF3">
      <w:pPr>
        <w:pStyle w:val="Header"/>
        <w:tabs>
          <w:tab w:val="clear" w:pos="4153"/>
          <w:tab w:val="clear" w:pos="8306"/>
        </w:tabs>
        <w:spacing w:line="360" w:lineRule="auto"/>
        <w:jc w:val="both"/>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8726A9C" wp14:editId="7870AE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47674E">
        <w:rPr>
          <w:rFonts w:ascii="Arial" w:hAnsi="Arial" w:cs="Arial"/>
          <w:b/>
          <w:sz w:val="22"/>
          <w:szCs w:val="28"/>
        </w:rPr>
        <w:t>APPENDIX GA36a</w:t>
      </w:r>
    </w:p>
    <w:p w14:paraId="71BB6088" w14:textId="77777777" w:rsidR="00B6210F" w:rsidRDefault="00B6210F" w:rsidP="004B1DF3">
      <w:pPr>
        <w:spacing w:line="360" w:lineRule="auto"/>
        <w:jc w:val="both"/>
        <w:rPr>
          <w:rFonts w:ascii="Arial" w:hAnsi="Arial" w:cs="Arial"/>
        </w:rPr>
      </w:pPr>
    </w:p>
    <w:p w14:paraId="3C7338FE" w14:textId="77777777" w:rsidR="00B6210F" w:rsidRDefault="00B6210F" w:rsidP="004B1DF3">
      <w:pPr>
        <w:spacing w:line="360" w:lineRule="auto"/>
        <w:jc w:val="both"/>
        <w:rPr>
          <w:rFonts w:ascii="Arial" w:hAnsi="Arial" w:cs="Arial"/>
        </w:rPr>
      </w:pPr>
    </w:p>
    <w:p w14:paraId="2B5E3E38" w14:textId="77777777" w:rsidR="00B6210F" w:rsidRPr="0047674E" w:rsidRDefault="00B6210F" w:rsidP="004B1DF3">
      <w:pPr>
        <w:spacing w:line="360" w:lineRule="auto"/>
        <w:jc w:val="both"/>
        <w:rPr>
          <w:rFonts w:ascii="Arial" w:hAnsi="Arial" w:cs="Arial"/>
          <w:b/>
          <w:sz w:val="3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6210F" w:rsidRPr="0047674E" w14:paraId="77FB5C53" w14:textId="77777777" w:rsidTr="009D4ACE">
        <w:tc>
          <w:tcPr>
            <w:tcW w:w="9922" w:type="dxa"/>
            <w:shd w:val="clear" w:color="auto" w:fill="C0C0C0"/>
          </w:tcPr>
          <w:p w14:paraId="5985AAEE" w14:textId="77777777" w:rsidR="00B6210F" w:rsidRPr="0047674E" w:rsidRDefault="00B6210F" w:rsidP="004D3C56">
            <w:pPr>
              <w:spacing w:line="360" w:lineRule="auto"/>
              <w:jc w:val="center"/>
              <w:rPr>
                <w:b/>
                <w:sz w:val="36"/>
              </w:rPr>
            </w:pPr>
            <w:r w:rsidRPr="0047674E">
              <w:rPr>
                <w:b/>
                <w:sz w:val="36"/>
              </w:rPr>
              <w:t>C1 LCBB4002 Community Engagement</w:t>
            </w:r>
          </w:p>
        </w:tc>
      </w:tr>
    </w:tbl>
    <w:p w14:paraId="0111E3A0" w14:textId="77777777" w:rsidR="00B6210F" w:rsidRPr="00A406E5" w:rsidRDefault="00B6210F" w:rsidP="004B1DF3">
      <w:pPr>
        <w:spacing w:line="360" w:lineRule="auto"/>
        <w:jc w:val="both"/>
        <w:rPr>
          <w:i/>
          <w:sz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0"/>
        <w:gridCol w:w="3004"/>
        <w:gridCol w:w="1960"/>
        <w:gridCol w:w="2092"/>
      </w:tblGrid>
      <w:tr w:rsidR="00B6210F" w:rsidRPr="00A406E5" w14:paraId="678B1153" w14:textId="77777777" w:rsidTr="00082CB3">
        <w:trPr>
          <w:trHeight w:val="452"/>
        </w:trPr>
        <w:tc>
          <w:tcPr>
            <w:tcW w:w="1087" w:type="pct"/>
            <w:shd w:val="pct15" w:color="auto" w:fill="auto"/>
          </w:tcPr>
          <w:p w14:paraId="26563430" w14:textId="77777777" w:rsidR="00B6210F" w:rsidRPr="0047674E" w:rsidRDefault="00B6210F" w:rsidP="004B1DF3">
            <w:pPr>
              <w:spacing w:line="276" w:lineRule="auto"/>
              <w:jc w:val="both"/>
              <w:rPr>
                <w:b/>
              </w:rPr>
            </w:pPr>
            <w:r w:rsidRPr="0047674E">
              <w:rPr>
                <w:b/>
              </w:rPr>
              <w:t>Student name:</w:t>
            </w:r>
          </w:p>
        </w:tc>
        <w:tc>
          <w:tcPr>
            <w:tcW w:w="1666" w:type="pct"/>
          </w:tcPr>
          <w:p w14:paraId="541CDEB8" w14:textId="77777777" w:rsidR="00B6210F" w:rsidRPr="00B6210F" w:rsidRDefault="0041686D" w:rsidP="004B1DF3">
            <w:pPr>
              <w:spacing w:line="276" w:lineRule="auto"/>
              <w:jc w:val="both"/>
              <w:rPr>
                <w:color w:val="000000" w:themeColor="text1"/>
              </w:rPr>
            </w:pPr>
            <w:proofErr w:type="spellStart"/>
            <w:r w:rsidRPr="00A61D2A">
              <w:rPr>
                <w:b/>
                <w:bCs/>
                <w:color w:val="000000" w:themeColor="text1"/>
              </w:rPr>
              <w:t>Aurel</w:t>
            </w:r>
            <w:proofErr w:type="spellEnd"/>
            <w:r w:rsidRPr="0041686D">
              <w:rPr>
                <w:color w:val="000000" w:themeColor="text1"/>
              </w:rPr>
              <w:t xml:space="preserve"> </w:t>
            </w:r>
            <w:proofErr w:type="spellStart"/>
            <w:r w:rsidRPr="00417454">
              <w:rPr>
                <w:b/>
                <w:bCs/>
                <w:color w:val="000000" w:themeColor="text1"/>
              </w:rPr>
              <w:t>Apopei</w:t>
            </w:r>
            <w:proofErr w:type="spellEnd"/>
          </w:p>
        </w:tc>
        <w:tc>
          <w:tcPr>
            <w:tcW w:w="1087" w:type="pct"/>
            <w:shd w:val="clear" w:color="auto" w:fill="D9D9D9"/>
          </w:tcPr>
          <w:p w14:paraId="7299108B" w14:textId="77777777" w:rsidR="00B6210F" w:rsidRPr="0047674E" w:rsidRDefault="00B6210F" w:rsidP="004B1DF3">
            <w:pPr>
              <w:spacing w:line="276" w:lineRule="auto"/>
              <w:jc w:val="both"/>
              <w:rPr>
                <w:b/>
              </w:rPr>
            </w:pPr>
            <w:r w:rsidRPr="0047674E">
              <w:rPr>
                <w:b/>
              </w:rPr>
              <w:t>Student ID number:</w:t>
            </w:r>
          </w:p>
        </w:tc>
        <w:tc>
          <w:tcPr>
            <w:tcW w:w="1160" w:type="pct"/>
          </w:tcPr>
          <w:p w14:paraId="751CA8F7" w14:textId="77777777" w:rsidR="00B6210F" w:rsidRPr="00692AA1" w:rsidRDefault="00C2362C" w:rsidP="004B1DF3">
            <w:pPr>
              <w:spacing w:line="276" w:lineRule="auto"/>
              <w:jc w:val="both"/>
              <w:rPr>
                <w:b/>
                <w:bCs/>
                <w:color w:val="000000" w:themeColor="text1"/>
              </w:rPr>
            </w:pPr>
            <w:r>
              <w:rPr>
                <w:b/>
                <w:bCs/>
                <w:color w:val="000000" w:themeColor="text1"/>
              </w:rPr>
              <w:t>2245793</w:t>
            </w:r>
          </w:p>
        </w:tc>
      </w:tr>
      <w:tr w:rsidR="00B6210F" w:rsidRPr="00A406E5" w14:paraId="62F127C2" w14:textId="77777777" w:rsidTr="00082CB3">
        <w:trPr>
          <w:trHeight w:val="470"/>
        </w:trPr>
        <w:tc>
          <w:tcPr>
            <w:tcW w:w="1087" w:type="pct"/>
            <w:shd w:val="pct15" w:color="auto" w:fill="auto"/>
          </w:tcPr>
          <w:p w14:paraId="5D249842" w14:textId="77777777" w:rsidR="00B6210F" w:rsidRPr="0047674E" w:rsidRDefault="00B6210F" w:rsidP="004B1DF3">
            <w:pPr>
              <w:spacing w:line="276" w:lineRule="auto"/>
              <w:jc w:val="both"/>
              <w:rPr>
                <w:b/>
              </w:rPr>
            </w:pPr>
            <w:r w:rsidRPr="0047674E">
              <w:rPr>
                <w:b/>
              </w:rPr>
              <w:t>Programme:</w:t>
            </w:r>
          </w:p>
        </w:tc>
        <w:tc>
          <w:tcPr>
            <w:tcW w:w="3913" w:type="pct"/>
            <w:gridSpan w:val="3"/>
          </w:tcPr>
          <w:p w14:paraId="5FF20686" w14:textId="77777777" w:rsidR="00B6210F" w:rsidRPr="00A406E5" w:rsidRDefault="00B6210F" w:rsidP="004B1DF3">
            <w:pPr>
              <w:spacing w:line="276" w:lineRule="auto"/>
              <w:jc w:val="both"/>
            </w:pPr>
            <w:r w:rsidRPr="008677FE">
              <w:rPr>
                <w:rFonts w:cstheme="minorHAnsi"/>
              </w:rPr>
              <w:t>BA Business Management</w:t>
            </w:r>
          </w:p>
        </w:tc>
      </w:tr>
      <w:tr w:rsidR="00B6210F" w:rsidRPr="00A406E5" w14:paraId="4F80B09D" w14:textId="77777777" w:rsidTr="00082CB3">
        <w:trPr>
          <w:trHeight w:val="470"/>
        </w:trPr>
        <w:tc>
          <w:tcPr>
            <w:tcW w:w="1087" w:type="pct"/>
            <w:shd w:val="pct15" w:color="auto" w:fill="auto"/>
          </w:tcPr>
          <w:p w14:paraId="588F1897" w14:textId="77777777" w:rsidR="00B6210F" w:rsidRPr="0047674E" w:rsidRDefault="00B6210F" w:rsidP="004B1DF3">
            <w:pPr>
              <w:spacing w:line="276" w:lineRule="auto"/>
              <w:jc w:val="both"/>
              <w:rPr>
                <w:b/>
              </w:rPr>
            </w:pPr>
            <w:r w:rsidRPr="0047674E">
              <w:rPr>
                <w:b/>
              </w:rPr>
              <w:t>Module:</w:t>
            </w:r>
          </w:p>
        </w:tc>
        <w:tc>
          <w:tcPr>
            <w:tcW w:w="3913" w:type="pct"/>
            <w:gridSpan w:val="3"/>
            <w:shd w:val="clear" w:color="auto" w:fill="auto"/>
          </w:tcPr>
          <w:p w14:paraId="04AF2DE7" w14:textId="77777777" w:rsidR="00B6210F" w:rsidRPr="005E2CAA" w:rsidRDefault="00B6210F" w:rsidP="004B1DF3">
            <w:pPr>
              <w:spacing w:line="276" w:lineRule="auto"/>
              <w:jc w:val="both"/>
              <w:rPr>
                <w:rFonts w:ascii="Cambria body" w:hAnsi="Cambria body"/>
              </w:rPr>
            </w:pPr>
            <w:r>
              <w:rPr>
                <w:rFonts w:ascii="Cambria body" w:hAnsi="Cambria body"/>
              </w:rPr>
              <w:t>Community Engagement</w:t>
            </w:r>
          </w:p>
        </w:tc>
      </w:tr>
      <w:tr w:rsidR="00B6210F" w:rsidRPr="00A406E5" w14:paraId="636991BE" w14:textId="77777777" w:rsidTr="00082CB3">
        <w:trPr>
          <w:trHeight w:val="670"/>
        </w:trPr>
        <w:tc>
          <w:tcPr>
            <w:tcW w:w="1087" w:type="pct"/>
            <w:shd w:val="pct15" w:color="auto" w:fill="auto"/>
          </w:tcPr>
          <w:p w14:paraId="17044BA2" w14:textId="77777777" w:rsidR="00B6210F" w:rsidRPr="0047674E" w:rsidRDefault="00B6210F" w:rsidP="004B1DF3">
            <w:pPr>
              <w:spacing w:line="276" w:lineRule="auto"/>
              <w:jc w:val="both"/>
              <w:rPr>
                <w:b/>
              </w:rPr>
            </w:pPr>
            <w:r w:rsidRPr="0047674E">
              <w:rPr>
                <w:b/>
              </w:rPr>
              <w:t>Module code:</w:t>
            </w:r>
          </w:p>
        </w:tc>
        <w:tc>
          <w:tcPr>
            <w:tcW w:w="1666" w:type="pct"/>
          </w:tcPr>
          <w:p w14:paraId="1AD63C1A" w14:textId="77777777" w:rsidR="00B6210F" w:rsidRPr="005E2CAA" w:rsidRDefault="00B6210F" w:rsidP="004B1DF3">
            <w:pPr>
              <w:spacing w:line="276" w:lineRule="auto"/>
              <w:jc w:val="both"/>
              <w:rPr>
                <w:rFonts w:ascii="Cambria body" w:hAnsi="Cambria body"/>
              </w:rPr>
            </w:pPr>
            <w:r w:rsidRPr="005E2CAA">
              <w:rPr>
                <w:rFonts w:ascii="Cambria body" w:hAnsi="Cambria body"/>
              </w:rPr>
              <w:t>LCBB400</w:t>
            </w:r>
            <w:r>
              <w:rPr>
                <w:rFonts w:ascii="Cambria body" w:hAnsi="Cambria body"/>
              </w:rPr>
              <w:t>2</w:t>
            </w:r>
          </w:p>
        </w:tc>
        <w:tc>
          <w:tcPr>
            <w:tcW w:w="1087" w:type="pct"/>
            <w:shd w:val="clear" w:color="auto" w:fill="D9D9D9"/>
          </w:tcPr>
          <w:p w14:paraId="27CC7867" w14:textId="77777777" w:rsidR="00B6210F" w:rsidRPr="0047674E" w:rsidRDefault="00B6210F" w:rsidP="004B1DF3">
            <w:pPr>
              <w:spacing w:line="276" w:lineRule="auto"/>
              <w:jc w:val="both"/>
              <w:rPr>
                <w:b/>
              </w:rPr>
            </w:pPr>
            <w:r w:rsidRPr="0047674E">
              <w:rPr>
                <w:b/>
              </w:rPr>
              <w:t>Contribution to Overall Module Assessment (%):</w:t>
            </w:r>
          </w:p>
        </w:tc>
        <w:tc>
          <w:tcPr>
            <w:tcW w:w="1160" w:type="pct"/>
          </w:tcPr>
          <w:p w14:paraId="6A33E1C7" w14:textId="77777777" w:rsidR="00B6210F" w:rsidRPr="005E2CAA" w:rsidRDefault="00B6210F" w:rsidP="004B1DF3">
            <w:pPr>
              <w:spacing w:line="276" w:lineRule="auto"/>
              <w:jc w:val="both"/>
              <w:rPr>
                <w:rFonts w:ascii="Cambria body" w:hAnsi="Cambria body"/>
                <w:bCs/>
              </w:rPr>
            </w:pPr>
            <w:r w:rsidRPr="005E2CAA">
              <w:rPr>
                <w:rFonts w:ascii="Cambria body" w:hAnsi="Cambria body"/>
                <w:bCs/>
              </w:rPr>
              <w:t xml:space="preserve">Component 1 </w:t>
            </w:r>
            <w:r>
              <w:rPr>
                <w:rFonts w:ascii="Cambria body" w:hAnsi="Cambria body"/>
                <w:bCs/>
              </w:rPr>
              <w:t>- 5</w:t>
            </w:r>
            <w:r w:rsidRPr="005E2CAA">
              <w:rPr>
                <w:rFonts w:ascii="Cambria body" w:hAnsi="Cambria body"/>
                <w:bCs/>
              </w:rPr>
              <w:t>0%</w:t>
            </w:r>
          </w:p>
        </w:tc>
      </w:tr>
      <w:tr w:rsidR="00B6210F" w:rsidRPr="00A406E5" w14:paraId="5322C048" w14:textId="77777777" w:rsidTr="00082CB3">
        <w:trPr>
          <w:trHeight w:val="1068"/>
        </w:trPr>
        <w:tc>
          <w:tcPr>
            <w:tcW w:w="1087" w:type="pct"/>
            <w:shd w:val="pct15" w:color="auto" w:fill="auto"/>
          </w:tcPr>
          <w:p w14:paraId="640908ED" w14:textId="77777777" w:rsidR="00B6210F" w:rsidRPr="0047674E" w:rsidRDefault="00B6210F" w:rsidP="004B1DF3">
            <w:pPr>
              <w:spacing w:line="276" w:lineRule="auto"/>
              <w:jc w:val="both"/>
              <w:rPr>
                <w:b/>
              </w:rPr>
            </w:pPr>
            <w:r w:rsidRPr="0047674E">
              <w:rPr>
                <w:b/>
              </w:rPr>
              <w:t>Lecturer:</w:t>
            </w:r>
          </w:p>
        </w:tc>
        <w:tc>
          <w:tcPr>
            <w:tcW w:w="1666" w:type="pct"/>
          </w:tcPr>
          <w:p w14:paraId="49A8634F" w14:textId="77777777" w:rsidR="00B6210F" w:rsidRPr="00B15D41" w:rsidRDefault="00B6210F" w:rsidP="004B1DF3">
            <w:pPr>
              <w:spacing w:line="276" w:lineRule="auto"/>
              <w:jc w:val="both"/>
              <w:rPr>
                <w:rFonts w:ascii="Cambria body" w:hAnsi="Cambria body"/>
                <w:bCs/>
              </w:rPr>
            </w:pPr>
            <w:r w:rsidRPr="00B15D41">
              <w:rPr>
                <w:rFonts w:ascii="Cambria body" w:hAnsi="Cambria body"/>
                <w:bCs/>
              </w:rPr>
              <w:t>Efua Adams</w:t>
            </w:r>
            <w:r>
              <w:rPr>
                <w:rFonts w:ascii="Cambria body" w:hAnsi="Cambria body"/>
                <w:bCs/>
              </w:rPr>
              <w:t xml:space="preserve"> </w:t>
            </w:r>
          </w:p>
          <w:p w14:paraId="5BF6A72A" w14:textId="77777777" w:rsidR="00B6210F" w:rsidRPr="005E2CAA" w:rsidRDefault="00B6210F" w:rsidP="004B1DF3">
            <w:pPr>
              <w:spacing w:line="276" w:lineRule="auto"/>
              <w:jc w:val="both"/>
              <w:rPr>
                <w:rFonts w:ascii="Cambria body" w:hAnsi="Cambria body"/>
                <w:bCs/>
              </w:rPr>
            </w:pPr>
          </w:p>
        </w:tc>
        <w:tc>
          <w:tcPr>
            <w:tcW w:w="1087" w:type="pct"/>
            <w:shd w:val="clear" w:color="auto" w:fill="D9D9D9"/>
          </w:tcPr>
          <w:p w14:paraId="2077CB74" w14:textId="77777777" w:rsidR="00B6210F" w:rsidRPr="0047674E" w:rsidRDefault="00B6210F" w:rsidP="004B1DF3">
            <w:pPr>
              <w:spacing w:line="276" w:lineRule="auto"/>
              <w:jc w:val="both"/>
              <w:rPr>
                <w:b/>
              </w:rPr>
            </w:pPr>
            <w:r w:rsidRPr="0047674E">
              <w:rPr>
                <w:b/>
              </w:rPr>
              <w:t>Internal Verifier:</w:t>
            </w:r>
          </w:p>
        </w:tc>
        <w:tc>
          <w:tcPr>
            <w:tcW w:w="1160" w:type="pct"/>
          </w:tcPr>
          <w:p w14:paraId="2EC4E8C6" w14:textId="77777777" w:rsidR="00B6210F" w:rsidRPr="005E2CAA" w:rsidRDefault="00B6210F" w:rsidP="004B1DF3">
            <w:pPr>
              <w:spacing w:line="276" w:lineRule="auto"/>
              <w:jc w:val="both"/>
              <w:rPr>
                <w:rFonts w:ascii="Cambria body" w:hAnsi="Cambria body"/>
                <w:bCs/>
              </w:rPr>
            </w:pPr>
            <w:r>
              <w:rPr>
                <w:rFonts w:ascii="Cambria body" w:hAnsi="Cambria body"/>
                <w:bCs/>
              </w:rPr>
              <w:t>Khaza Ahmed</w:t>
            </w:r>
          </w:p>
        </w:tc>
      </w:tr>
      <w:tr w:rsidR="00B6210F" w:rsidRPr="00A406E5" w14:paraId="4AF67F1D" w14:textId="77777777" w:rsidTr="00082CB3">
        <w:trPr>
          <w:trHeight w:val="742"/>
        </w:trPr>
        <w:tc>
          <w:tcPr>
            <w:tcW w:w="1087" w:type="pct"/>
            <w:shd w:val="pct15" w:color="auto" w:fill="auto"/>
          </w:tcPr>
          <w:p w14:paraId="77376784" w14:textId="77777777" w:rsidR="00B6210F" w:rsidRPr="0047674E" w:rsidRDefault="00B6210F" w:rsidP="004B1DF3">
            <w:pPr>
              <w:spacing w:line="276" w:lineRule="auto"/>
              <w:jc w:val="both"/>
              <w:rPr>
                <w:b/>
              </w:rPr>
            </w:pPr>
            <w:r w:rsidRPr="0047674E">
              <w:rPr>
                <w:b/>
              </w:rPr>
              <w:t>Assignment Title:</w:t>
            </w:r>
          </w:p>
        </w:tc>
        <w:tc>
          <w:tcPr>
            <w:tcW w:w="1666" w:type="pct"/>
          </w:tcPr>
          <w:p w14:paraId="238B193B" w14:textId="77777777" w:rsidR="00B6210F" w:rsidRPr="00B707AE" w:rsidRDefault="00B6210F" w:rsidP="004B1DF3">
            <w:pPr>
              <w:spacing w:line="276" w:lineRule="auto"/>
              <w:jc w:val="both"/>
              <w:rPr>
                <w:bCs/>
              </w:rPr>
            </w:pPr>
            <w:r>
              <w:rPr>
                <w:rFonts w:ascii="Calibri" w:hAnsi="Calibri" w:cs="Calibri"/>
                <w:bCs/>
                <w:color w:val="1D2228"/>
              </w:rPr>
              <w:t>Assessment component 1 – Community Engagement</w:t>
            </w:r>
          </w:p>
        </w:tc>
        <w:tc>
          <w:tcPr>
            <w:tcW w:w="1087" w:type="pct"/>
            <w:shd w:val="pct15" w:color="auto" w:fill="auto"/>
          </w:tcPr>
          <w:p w14:paraId="2A53C407" w14:textId="77777777" w:rsidR="00B6210F" w:rsidRPr="0047674E" w:rsidRDefault="00B6210F" w:rsidP="004B1DF3">
            <w:pPr>
              <w:spacing w:line="276" w:lineRule="auto"/>
              <w:jc w:val="both"/>
              <w:rPr>
                <w:b/>
              </w:rPr>
            </w:pPr>
            <w:r w:rsidRPr="0047674E">
              <w:rPr>
                <w:b/>
              </w:rPr>
              <w:t>Word count (or equivalent):</w:t>
            </w:r>
          </w:p>
        </w:tc>
        <w:tc>
          <w:tcPr>
            <w:tcW w:w="1160" w:type="pct"/>
          </w:tcPr>
          <w:p w14:paraId="6A9400FB" w14:textId="77777777" w:rsidR="00B6210F" w:rsidRPr="00A406E5" w:rsidRDefault="00B6210F" w:rsidP="004B1DF3">
            <w:pPr>
              <w:spacing w:line="276" w:lineRule="auto"/>
              <w:jc w:val="both"/>
            </w:pPr>
            <w:r>
              <w:t>2000 Words</w:t>
            </w:r>
          </w:p>
        </w:tc>
      </w:tr>
    </w:tbl>
    <w:p w14:paraId="6D7764E2" w14:textId="77777777" w:rsidR="000230F2" w:rsidRDefault="00B6210F" w:rsidP="004B1DF3">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18661AC7" w14:textId="77777777" w:rsidR="000230F2" w:rsidRDefault="000230F2" w:rsidP="004B1DF3">
      <w:pPr>
        <w:spacing w:line="360" w:lineRule="auto"/>
        <w:jc w:val="both"/>
        <w:rPr>
          <w:rFonts w:ascii="Times New Roman" w:eastAsia="Times New Roman" w:hAnsi="Times New Roman" w:cs="Times New Roman"/>
          <w:kern w:val="0"/>
          <w:sz w:val="24"/>
          <w:szCs w:val="24"/>
          <w:lang w:eastAsia="en-GB"/>
          <w14:ligatures w14:val="none"/>
        </w:rPr>
      </w:pPr>
    </w:p>
    <w:p w14:paraId="201E14B1" w14:textId="77777777" w:rsidR="000230F2" w:rsidRDefault="000230F2" w:rsidP="004B1DF3">
      <w:pPr>
        <w:spacing w:line="360" w:lineRule="auto"/>
        <w:jc w:val="both"/>
        <w:rPr>
          <w:rFonts w:ascii="Times New Roman" w:eastAsia="Times New Roman" w:hAnsi="Times New Roman" w:cs="Times New Roman"/>
          <w:kern w:val="0"/>
          <w:sz w:val="24"/>
          <w:szCs w:val="24"/>
          <w:lang w:eastAsia="en-GB"/>
          <w14:ligatures w14:val="none"/>
        </w:rPr>
      </w:pPr>
    </w:p>
    <w:p w14:paraId="3D0CA052" w14:textId="77777777" w:rsidR="000230F2" w:rsidRDefault="000230F2" w:rsidP="004B1DF3">
      <w:pPr>
        <w:spacing w:line="360" w:lineRule="auto"/>
        <w:jc w:val="both"/>
        <w:rPr>
          <w:rFonts w:ascii="Times New Roman" w:eastAsia="Times New Roman" w:hAnsi="Times New Roman" w:cs="Times New Roman"/>
          <w:kern w:val="0"/>
          <w:sz w:val="24"/>
          <w:szCs w:val="24"/>
          <w:lang w:eastAsia="en-GB"/>
          <w14:ligatures w14:val="none"/>
        </w:rPr>
      </w:pPr>
    </w:p>
    <w:p w14:paraId="286F3159" w14:textId="77777777" w:rsidR="000230F2" w:rsidRDefault="000230F2" w:rsidP="004B1DF3">
      <w:pPr>
        <w:spacing w:line="360" w:lineRule="auto"/>
        <w:jc w:val="both"/>
        <w:rPr>
          <w:rFonts w:ascii="Times New Roman" w:eastAsia="Times New Roman" w:hAnsi="Times New Roman" w:cs="Times New Roman"/>
          <w:kern w:val="0"/>
          <w:sz w:val="24"/>
          <w:szCs w:val="24"/>
          <w:lang w:eastAsia="en-GB"/>
          <w14:ligatures w14:val="none"/>
        </w:rPr>
      </w:pPr>
    </w:p>
    <w:p w14:paraId="4CC4E8B7" w14:textId="77777777" w:rsidR="000230F2" w:rsidRDefault="000230F2" w:rsidP="004B1DF3">
      <w:pPr>
        <w:spacing w:line="360" w:lineRule="auto"/>
        <w:jc w:val="both"/>
        <w:rPr>
          <w:rFonts w:ascii="Times New Roman" w:eastAsia="Times New Roman" w:hAnsi="Times New Roman" w:cs="Times New Roman"/>
          <w:kern w:val="0"/>
          <w:sz w:val="24"/>
          <w:szCs w:val="24"/>
          <w:lang w:eastAsia="en-GB"/>
          <w14:ligatures w14:val="none"/>
        </w:rPr>
      </w:pPr>
    </w:p>
    <w:sdt>
      <w:sdtPr>
        <w:rPr>
          <w:rFonts w:asciiTheme="minorHAnsi" w:eastAsiaTheme="minorHAnsi" w:hAnsiTheme="minorHAnsi" w:cstheme="minorBidi"/>
          <w:color w:val="auto"/>
          <w:kern w:val="2"/>
          <w:sz w:val="28"/>
          <w:szCs w:val="22"/>
          <w:lang w:val="en-GB"/>
          <w14:ligatures w14:val="standardContextual"/>
        </w:rPr>
        <w:id w:val="-2047670429"/>
        <w:docPartObj>
          <w:docPartGallery w:val="Table of Contents"/>
          <w:docPartUnique/>
        </w:docPartObj>
      </w:sdtPr>
      <w:sdtEndPr>
        <w:rPr>
          <w:b/>
          <w:bCs/>
          <w:noProof/>
          <w:sz w:val="22"/>
        </w:rPr>
      </w:sdtEndPr>
      <w:sdtContent>
        <w:p w14:paraId="392095F7" w14:textId="77777777" w:rsidR="0047674E" w:rsidRPr="009C4580" w:rsidRDefault="0047674E" w:rsidP="009C4580">
          <w:pPr>
            <w:pStyle w:val="TOCHeading"/>
            <w:spacing w:line="360" w:lineRule="auto"/>
            <w:jc w:val="center"/>
            <w:rPr>
              <w:rFonts w:ascii="Arial" w:hAnsi="Arial" w:cs="Arial"/>
              <w:szCs w:val="22"/>
            </w:rPr>
          </w:pPr>
          <w:r w:rsidRPr="009C4580">
            <w:rPr>
              <w:rFonts w:ascii="Arial" w:hAnsi="Arial" w:cs="Arial"/>
              <w:szCs w:val="22"/>
            </w:rPr>
            <w:t>Contents</w:t>
          </w:r>
        </w:p>
        <w:p w14:paraId="3225E445" w14:textId="77777777" w:rsidR="00CE2356" w:rsidRDefault="0047674E">
          <w:pPr>
            <w:pStyle w:val="TOC1"/>
            <w:tabs>
              <w:tab w:val="right" w:leader="dot" w:pos="9016"/>
            </w:tabs>
            <w:rPr>
              <w:rFonts w:eastAsiaTheme="minorEastAsia"/>
              <w:noProof/>
              <w:lang w:eastAsia="en-GB"/>
            </w:rPr>
          </w:pPr>
          <w:r w:rsidRPr="009C4580">
            <w:rPr>
              <w:rFonts w:ascii="Arial" w:hAnsi="Arial" w:cs="Arial"/>
              <w:sz w:val="24"/>
            </w:rPr>
            <w:fldChar w:fldCharType="begin"/>
          </w:r>
          <w:r w:rsidRPr="009C4580">
            <w:rPr>
              <w:rFonts w:ascii="Arial" w:hAnsi="Arial" w:cs="Arial"/>
              <w:sz w:val="24"/>
            </w:rPr>
            <w:instrText xml:space="preserve"> TOC \o "1-3" \h \z \u </w:instrText>
          </w:r>
          <w:r w:rsidRPr="009C4580">
            <w:rPr>
              <w:rFonts w:ascii="Arial" w:hAnsi="Arial" w:cs="Arial"/>
              <w:sz w:val="24"/>
            </w:rPr>
            <w:fldChar w:fldCharType="separate"/>
          </w:r>
          <w:hyperlink w:anchor="_Toc148680931" w:history="1">
            <w:r w:rsidR="00CE2356" w:rsidRPr="00930953">
              <w:rPr>
                <w:rStyle w:val="Hyperlink"/>
                <w:rFonts w:ascii="Arial" w:eastAsia="Times New Roman" w:hAnsi="Arial" w:cs="Arial"/>
                <w:noProof/>
                <w:lang w:eastAsia="en-GB"/>
              </w:rPr>
              <w:t>Introduction</w:t>
            </w:r>
            <w:r w:rsidR="00CE2356">
              <w:rPr>
                <w:noProof/>
                <w:webHidden/>
              </w:rPr>
              <w:tab/>
            </w:r>
            <w:r w:rsidR="00CE2356">
              <w:rPr>
                <w:noProof/>
                <w:webHidden/>
              </w:rPr>
              <w:fldChar w:fldCharType="begin"/>
            </w:r>
            <w:r w:rsidR="00CE2356">
              <w:rPr>
                <w:noProof/>
                <w:webHidden/>
              </w:rPr>
              <w:instrText xml:space="preserve"> PAGEREF _Toc148680931 \h </w:instrText>
            </w:r>
            <w:r w:rsidR="00CE2356">
              <w:rPr>
                <w:noProof/>
                <w:webHidden/>
              </w:rPr>
            </w:r>
            <w:r w:rsidR="00CE2356">
              <w:rPr>
                <w:noProof/>
                <w:webHidden/>
              </w:rPr>
              <w:fldChar w:fldCharType="separate"/>
            </w:r>
            <w:r w:rsidR="00CE2356">
              <w:rPr>
                <w:noProof/>
                <w:webHidden/>
              </w:rPr>
              <w:t>1</w:t>
            </w:r>
            <w:r w:rsidR="00CE2356">
              <w:rPr>
                <w:noProof/>
                <w:webHidden/>
              </w:rPr>
              <w:fldChar w:fldCharType="end"/>
            </w:r>
          </w:hyperlink>
        </w:p>
        <w:p w14:paraId="72B3061A" w14:textId="77777777" w:rsidR="00CE2356" w:rsidRDefault="00CE2356">
          <w:pPr>
            <w:pStyle w:val="TOC1"/>
            <w:tabs>
              <w:tab w:val="right" w:leader="dot" w:pos="9016"/>
            </w:tabs>
            <w:rPr>
              <w:rFonts w:eastAsiaTheme="minorEastAsia"/>
              <w:noProof/>
              <w:lang w:eastAsia="en-GB"/>
            </w:rPr>
          </w:pPr>
          <w:hyperlink w:anchor="_Toc148680932" w:history="1">
            <w:r w:rsidRPr="00930953">
              <w:rPr>
                <w:rStyle w:val="Hyperlink"/>
                <w:rFonts w:ascii="Arial" w:hAnsi="Arial" w:cs="Arial"/>
                <w:noProof/>
                <w:lang w:eastAsia="en-GB"/>
              </w:rPr>
              <w:t>Community engagement principles</w:t>
            </w:r>
            <w:r>
              <w:rPr>
                <w:noProof/>
                <w:webHidden/>
              </w:rPr>
              <w:tab/>
            </w:r>
            <w:r>
              <w:rPr>
                <w:noProof/>
                <w:webHidden/>
              </w:rPr>
              <w:fldChar w:fldCharType="begin"/>
            </w:r>
            <w:r>
              <w:rPr>
                <w:noProof/>
                <w:webHidden/>
              </w:rPr>
              <w:instrText xml:space="preserve"> PAGEREF _Toc148680932 \h </w:instrText>
            </w:r>
            <w:r>
              <w:rPr>
                <w:noProof/>
                <w:webHidden/>
              </w:rPr>
            </w:r>
            <w:r>
              <w:rPr>
                <w:noProof/>
                <w:webHidden/>
              </w:rPr>
              <w:fldChar w:fldCharType="separate"/>
            </w:r>
            <w:r>
              <w:rPr>
                <w:noProof/>
                <w:webHidden/>
              </w:rPr>
              <w:t>1</w:t>
            </w:r>
            <w:r>
              <w:rPr>
                <w:noProof/>
                <w:webHidden/>
              </w:rPr>
              <w:fldChar w:fldCharType="end"/>
            </w:r>
          </w:hyperlink>
        </w:p>
        <w:p w14:paraId="58FE07E2" w14:textId="77777777" w:rsidR="00CE2356" w:rsidRDefault="00CE2356">
          <w:pPr>
            <w:pStyle w:val="TOC1"/>
            <w:tabs>
              <w:tab w:val="right" w:leader="dot" w:pos="9016"/>
            </w:tabs>
            <w:rPr>
              <w:rFonts w:eastAsiaTheme="minorEastAsia"/>
              <w:noProof/>
              <w:lang w:eastAsia="en-GB"/>
            </w:rPr>
          </w:pPr>
          <w:hyperlink w:anchor="_Toc148680933" w:history="1">
            <w:r w:rsidRPr="00930953">
              <w:rPr>
                <w:rStyle w:val="Hyperlink"/>
                <w:rFonts w:ascii="Arial" w:hAnsi="Arial" w:cs="Arial"/>
                <w:noProof/>
                <w:lang w:eastAsia="en-GB"/>
              </w:rPr>
              <w:t>Planning and design</w:t>
            </w:r>
            <w:r>
              <w:rPr>
                <w:noProof/>
                <w:webHidden/>
              </w:rPr>
              <w:tab/>
            </w:r>
            <w:r>
              <w:rPr>
                <w:noProof/>
                <w:webHidden/>
              </w:rPr>
              <w:fldChar w:fldCharType="begin"/>
            </w:r>
            <w:r>
              <w:rPr>
                <w:noProof/>
                <w:webHidden/>
              </w:rPr>
              <w:instrText xml:space="preserve"> PAGEREF _Toc148680933 \h </w:instrText>
            </w:r>
            <w:r>
              <w:rPr>
                <w:noProof/>
                <w:webHidden/>
              </w:rPr>
            </w:r>
            <w:r>
              <w:rPr>
                <w:noProof/>
                <w:webHidden/>
              </w:rPr>
              <w:fldChar w:fldCharType="separate"/>
            </w:r>
            <w:r>
              <w:rPr>
                <w:noProof/>
                <w:webHidden/>
              </w:rPr>
              <w:t>1</w:t>
            </w:r>
            <w:r>
              <w:rPr>
                <w:noProof/>
                <w:webHidden/>
              </w:rPr>
              <w:fldChar w:fldCharType="end"/>
            </w:r>
          </w:hyperlink>
        </w:p>
        <w:p w14:paraId="24814D48" w14:textId="77777777" w:rsidR="00CE2356" w:rsidRDefault="00CE2356">
          <w:pPr>
            <w:pStyle w:val="TOC1"/>
            <w:tabs>
              <w:tab w:val="right" w:leader="dot" w:pos="9016"/>
            </w:tabs>
            <w:rPr>
              <w:rFonts w:eastAsiaTheme="minorEastAsia"/>
              <w:noProof/>
              <w:lang w:eastAsia="en-GB"/>
            </w:rPr>
          </w:pPr>
          <w:hyperlink w:anchor="_Toc148680934" w:history="1">
            <w:r w:rsidRPr="00930953">
              <w:rPr>
                <w:rStyle w:val="Hyperlink"/>
                <w:rFonts w:ascii="Arial" w:hAnsi="Arial" w:cs="Arial"/>
                <w:noProof/>
                <w:lang w:eastAsia="en-GB"/>
              </w:rPr>
              <w:t>Standards</w:t>
            </w:r>
            <w:r>
              <w:rPr>
                <w:noProof/>
                <w:webHidden/>
              </w:rPr>
              <w:tab/>
            </w:r>
            <w:r>
              <w:rPr>
                <w:noProof/>
                <w:webHidden/>
              </w:rPr>
              <w:fldChar w:fldCharType="begin"/>
            </w:r>
            <w:r>
              <w:rPr>
                <w:noProof/>
                <w:webHidden/>
              </w:rPr>
              <w:instrText xml:space="preserve"> PAGEREF _Toc148680934 \h </w:instrText>
            </w:r>
            <w:r>
              <w:rPr>
                <w:noProof/>
                <w:webHidden/>
              </w:rPr>
            </w:r>
            <w:r>
              <w:rPr>
                <w:noProof/>
                <w:webHidden/>
              </w:rPr>
              <w:fldChar w:fldCharType="separate"/>
            </w:r>
            <w:r>
              <w:rPr>
                <w:noProof/>
                <w:webHidden/>
              </w:rPr>
              <w:t>1</w:t>
            </w:r>
            <w:r>
              <w:rPr>
                <w:noProof/>
                <w:webHidden/>
              </w:rPr>
              <w:fldChar w:fldCharType="end"/>
            </w:r>
          </w:hyperlink>
        </w:p>
        <w:p w14:paraId="0F7E9761" w14:textId="77777777" w:rsidR="00CE2356" w:rsidRDefault="00CE2356">
          <w:pPr>
            <w:pStyle w:val="TOC2"/>
            <w:tabs>
              <w:tab w:val="right" w:leader="dot" w:pos="9016"/>
            </w:tabs>
            <w:rPr>
              <w:rFonts w:eastAsiaTheme="minorEastAsia"/>
              <w:noProof/>
              <w:lang w:eastAsia="en-GB"/>
            </w:rPr>
          </w:pPr>
          <w:hyperlink w:anchor="_Toc148680935" w:history="1">
            <w:r w:rsidRPr="00930953">
              <w:rPr>
                <w:rStyle w:val="Hyperlink"/>
                <w:noProof/>
              </w:rPr>
              <w:t>National Standards for Community Engagement</w:t>
            </w:r>
            <w:r>
              <w:rPr>
                <w:noProof/>
                <w:webHidden/>
              </w:rPr>
              <w:tab/>
            </w:r>
            <w:r>
              <w:rPr>
                <w:noProof/>
                <w:webHidden/>
              </w:rPr>
              <w:fldChar w:fldCharType="begin"/>
            </w:r>
            <w:r>
              <w:rPr>
                <w:noProof/>
                <w:webHidden/>
              </w:rPr>
              <w:instrText xml:space="preserve"> PAGEREF _Toc148680935 \h </w:instrText>
            </w:r>
            <w:r>
              <w:rPr>
                <w:noProof/>
                <w:webHidden/>
              </w:rPr>
            </w:r>
            <w:r>
              <w:rPr>
                <w:noProof/>
                <w:webHidden/>
              </w:rPr>
              <w:fldChar w:fldCharType="separate"/>
            </w:r>
            <w:r>
              <w:rPr>
                <w:noProof/>
                <w:webHidden/>
              </w:rPr>
              <w:t>1</w:t>
            </w:r>
            <w:r>
              <w:rPr>
                <w:noProof/>
                <w:webHidden/>
              </w:rPr>
              <w:fldChar w:fldCharType="end"/>
            </w:r>
          </w:hyperlink>
        </w:p>
        <w:p w14:paraId="06821E03" w14:textId="77777777" w:rsidR="00CE2356" w:rsidRDefault="00CE2356">
          <w:pPr>
            <w:pStyle w:val="TOC2"/>
            <w:tabs>
              <w:tab w:val="right" w:leader="dot" w:pos="9016"/>
            </w:tabs>
            <w:rPr>
              <w:rFonts w:eastAsiaTheme="minorEastAsia"/>
              <w:noProof/>
              <w:lang w:eastAsia="en-GB"/>
            </w:rPr>
          </w:pPr>
          <w:hyperlink w:anchor="_Toc148680936" w:history="1">
            <w:r w:rsidRPr="00930953">
              <w:rPr>
                <w:rStyle w:val="Hyperlink"/>
                <w:noProof/>
              </w:rPr>
              <w:t>AA1000 Stakeholder Engagement Standard</w:t>
            </w:r>
            <w:r>
              <w:rPr>
                <w:noProof/>
                <w:webHidden/>
              </w:rPr>
              <w:tab/>
            </w:r>
            <w:r>
              <w:rPr>
                <w:noProof/>
                <w:webHidden/>
              </w:rPr>
              <w:fldChar w:fldCharType="begin"/>
            </w:r>
            <w:r>
              <w:rPr>
                <w:noProof/>
                <w:webHidden/>
              </w:rPr>
              <w:instrText xml:space="preserve"> PAGEREF _Toc148680936 \h </w:instrText>
            </w:r>
            <w:r>
              <w:rPr>
                <w:noProof/>
                <w:webHidden/>
              </w:rPr>
            </w:r>
            <w:r>
              <w:rPr>
                <w:noProof/>
                <w:webHidden/>
              </w:rPr>
              <w:fldChar w:fldCharType="separate"/>
            </w:r>
            <w:r>
              <w:rPr>
                <w:noProof/>
                <w:webHidden/>
              </w:rPr>
              <w:t>1</w:t>
            </w:r>
            <w:r>
              <w:rPr>
                <w:noProof/>
                <w:webHidden/>
              </w:rPr>
              <w:fldChar w:fldCharType="end"/>
            </w:r>
          </w:hyperlink>
        </w:p>
        <w:p w14:paraId="48C60E4A" w14:textId="77777777" w:rsidR="00CE2356" w:rsidRDefault="00CE2356">
          <w:pPr>
            <w:pStyle w:val="TOC2"/>
            <w:tabs>
              <w:tab w:val="right" w:leader="dot" w:pos="9016"/>
            </w:tabs>
            <w:rPr>
              <w:rFonts w:eastAsiaTheme="minorEastAsia"/>
              <w:noProof/>
              <w:lang w:eastAsia="en-GB"/>
            </w:rPr>
          </w:pPr>
          <w:hyperlink w:anchor="_Toc148680937" w:history="1">
            <w:r w:rsidRPr="00930953">
              <w:rPr>
                <w:rStyle w:val="Hyperlink"/>
                <w:rFonts w:ascii="Arial" w:hAnsi="Arial" w:cs="Arial"/>
                <w:noProof/>
              </w:rPr>
              <w:t>IAP2 Spectrum of Public Participation</w:t>
            </w:r>
            <w:r>
              <w:rPr>
                <w:noProof/>
                <w:webHidden/>
              </w:rPr>
              <w:tab/>
            </w:r>
            <w:r>
              <w:rPr>
                <w:noProof/>
                <w:webHidden/>
              </w:rPr>
              <w:fldChar w:fldCharType="begin"/>
            </w:r>
            <w:r>
              <w:rPr>
                <w:noProof/>
                <w:webHidden/>
              </w:rPr>
              <w:instrText xml:space="preserve"> PAGEREF _Toc148680937 \h </w:instrText>
            </w:r>
            <w:r>
              <w:rPr>
                <w:noProof/>
                <w:webHidden/>
              </w:rPr>
            </w:r>
            <w:r>
              <w:rPr>
                <w:noProof/>
                <w:webHidden/>
              </w:rPr>
              <w:fldChar w:fldCharType="separate"/>
            </w:r>
            <w:r>
              <w:rPr>
                <w:noProof/>
                <w:webHidden/>
              </w:rPr>
              <w:t>1</w:t>
            </w:r>
            <w:r>
              <w:rPr>
                <w:noProof/>
                <w:webHidden/>
              </w:rPr>
              <w:fldChar w:fldCharType="end"/>
            </w:r>
          </w:hyperlink>
        </w:p>
        <w:p w14:paraId="711F055F" w14:textId="77777777" w:rsidR="00CE2356" w:rsidRDefault="00CE2356">
          <w:pPr>
            <w:pStyle w:val="TOC1"/>
            <w:tabs>
              <w:tab w:val="right" w:leader="dot" w:pos="9016"/>
            </w:tabs>
            <w:rPr>
              <w:rFonts w:eastAsiaTheme="minorEastAsia"/>
              <w:noProof/>
              <w:lang w:eastAsia="en-GB"/>
            </w:rPr>
          </w:pPr>
          <w:hyperlink w:anchor="_Toc148680938" w:history="1">
            <w:r w:rsidRPr="00930953">
              <w:rPr>
                <w:rStyle w:val="Hyperlink"/>
                <w:rFonts w:ascii="Arial" w:hAnsi="Arial" w:cs="Arial"/>
                <w:noProof/>
                <w:lang w:eastAsia="en-GB"/>
              </w:rPr>
              <w:t>Evaluation and Impact</w:t>
            </w:r>
            <w:r>
              <w:rPr>
                <w:noProof/>
                <w:webHidden/>
              </w:rPr>
              <w:tab/>
            </w:r>
            <w:r>
              <w:rPr>
                <w:noProof/>
                <w:webHidden/>
              </w:rPr>
              <w:fldChar w:fldCharType="begin"/>
            </w:r>
            <w:r>
              <w:rPr>
                <w:noProof/>
                <w:webHidden/>
              </w:rPr>
              <w:instrText xml:space="preserve"> PAGEREF _Toc148680938 \h </w:instrText>
            </w:r>
            <w:r>
              <w:rPr>
                <w:noProof/>
                <w:webHidden/>
              </w:rPr>
            </w:r>
            <w:r>
              <w:rPr>
                <w:noProof/>
                <w:webHidden/>
              </w:rPr>
              <w:fldChar w:fldCharType="separate"/>
            </w:r>
            <w:r>
              <w:rPr>
                <w:noProof/>
                <w:webHidden/>
              </w:rPr>
              <w:t>1</w:t>
            </w:r>
            <w:r>
              <w:rPr>
                <w:noProof/>
                <w:webHidden/>
              </w:rPr>
              <w:fldChar w:fldCharType="end"/>
            </w:r>
          </w:hyperlink>
        </w:p>
        <w:p w14:paraId="4E1DFB35" w14:textId="77777777" w:rsidR="00CE2356" w:rsidRDefault="00CE2356">
          <w:pPr>
            <w:pStyle w:val="TOC2"/>
            <w:tabs>
              <w:tab w:val="right" w:leader="dot" w:pos="9016"/>
            </w:tabs>
            <w:rPr>
              <w:rFonts w:eastAsiaTheme="minorEastAsia"/>
              <w:noProof/>
              <w:lang w:eastAsia="en-GB"/>
            </w:rPr>
          </w:pPr>
          <w:hyperlink w:anchor="_Toc148680939" w:history="1">
            <w:r w:rsidRPr="00930953">
              <w:rPr>
                <w:rStyle w:val="Hyperlink"/>
                <w:noProof/>
              </w:rPr>
              <w:t>Clearly Defined Outcomes and Indicators</w:t>
            </w:r>
            <w:r>
              <w:rPr>
                <w:noProof/>
                <w:webHidden/>
              </w:rPr>
              <w:tab/>
            </w:r>
            <w:r>
              <w:rPr>
                <w:noProof/>
                <w:webHidden/>
              </w:rPr>
              <w:fldChar w:fldCharType="begin"/>
            </w:r>
            <w:r>
              <w:rPr>
                <w:noProof/>
                <w:webHidden/>
              </w:rPr>
              <w:instrText xml:space="preserve"> PAGEREF _Toc148680939 \h </w:instrText>
            </w:r>
            <w:r>
              <w:rPr>
                <w:noProof/>
                <w:webHidden/>
              </w:rPr>
            </w:r>
            <w:r>
              <w:rPr>
                <w:noProof/>
                <w:webHidden/>
              </w:rPr>
              <w:fldChar w:fldCharType="separate"/>
            </w:r>
            <w:r>
              <w:rPr>
                <w:noProof/>
                <w:webHidden/>
              </w:rPr>
              <w:t>1</w:t>
            </w:r>
            <w:r>
              <w:rPr>
                <w:noProof/>
                <w:webHidden/>
              </w:rPr>
              <w:fldChar w:fldCharType="end"/>
            </w:r>
          </w:hyperlink>
        </w:p>
        <w:p w14:paraId="6F3AF718" w14:textId="77777777" w:rsidR="00CE2356" w:rsidRDefault="00CE2356">
          <w:pPr>
            <w:pStyle w:val="TOC2"/>
            <w:tabs>
              <w:tab w:val="right" w:leader="dot" w:pos="9016"/>
            </w:tabs>
            <w:rPr>
              <w:rFonts w:eastAsiaTheme="minorEastAsia"/>
              <w:noProof/>
              <w:lang w:eastAsia="en-GB"/>
            </w:rPr>
          </w:pPr>
          <w:hyperlink w:anchor="_Toc148680940" w:history="1">
            <w:r w:rsidRPr="00930953">
              <w:rPr>
                <w:rStyle w:val="Hyperlink"/>
                <w:noProof/>
              </w:rPr>
              <w:t>Data Collection</w:t>
            </w:r>
            <w:r>
              <w:rPr>
                <w:noProof/>
                <w:webHidden/>
              </w:rPr>
              <w:tab/>
            </w:r>
            <w:r>
              <w:rPr>
                <w:noProof/>
                <w:webHidden/>
              </w:rPr>
              <w:fldChar w:fldCharType="begin"/>
            </w:r>
            <w:r>
              <w:rPr>
                <w:noProof/>
                <w:webHidden/>
              </w:rPr>
              <w:instrText xml:space="preserve"> PAGEREF _Toc148680940 \h </w:instrText>
            </w:r>
            <w:r>
              <w:rPr>
                <w:noProof/>
                <w:webHidden/>
              </w:rPr>
            </w:r>
            <w:r>
              <w:rPr>
                <w:noProof/>
                <w:webHidden/>
              </w:rPr>
              <w:fldChar w:fldCharType="separate"/>
            </w:r>
            <w:r>
              <w:rPr>
                <w:noProof/>
                <w:webHidden/>
              </w:rPr>
              <w:t>1</w:t>
            </w:r>
            <w:r>
              <w:rPr>
                <w:noProof/>
                <w:webHidden/>
              </w:rPr>
              <w:fldChar w:fldCharType="end"/>
            </w:r>
          </w:hyperlink>
        </w:p>
        <w:p w14:paraId="44264190" w14:textId="77777777" w:rsidR="00CE2356" w:rsidRDefault="00CE2356">
          <w:pPr>
            <w:pStyle w:val="TOC2"/>
            <w:tabs>
              <w:tab w:val="right" w:leader="dot" w:pos="9016"/>
            </w:tabs>
            <w:rPr>
              <w:rFonts w:eastAsiaTheme="minorEastAsia"/>
              <w:noProof/>
              <w:lang w:eastAsia="en-GB"/>
            </w:rPr>
          </w:pPr>
          <w:hyperlink w:anchor="_Toc148680941" w:history="1">
            <w:r w:rsidRPr="00930953">
              <w:rPr>
                <w:rStyle w:val="Hyperlink"/>
                <w:noProof/>
              </w:rPr>
              <w:t>Process Evaluation</w:t>
            </w:r>
            <w:r>
              <w:rPr>
                <w:noProof/>
                <w:webHidden/>
              </w:rPr>
              <w:tab/>
            </w:r>
            <w:r>
              <w:rPr>
                <w:noProof/>
                <w:webHidden/>
              </w:rPr>
              <w:fldChar w:fldCharType="begin"/>
            </w:r>
            <w:r>
              <w:rPr>
                <w:noProof/>
                <w:webHidden/>
              </w:rPr>
              <w:instrText xml:space="preserve"> PAGEREF _Toc148680941 \h </w:instrText>
            </w:r>
            <w:r>
              <w:rPr>
                <w:noProof/>
                <w:webHidden/>
              </w:rPr>
            </w:r>
            <w:r>
              <w:rPr>
                <w:noProof/>
                <w:webHidden/>
              </w:rPr>
              <w:fldChar w:fldCharType="separate"/>
            </w:r>
            <w:r>
              <w:rPr>
                <w:noProof/>
                <w:webHidden/>
              </w:rPr>
              <w:t>1</w:t>
            </w:r>
            <w:r>
              <w:rPr>
                <w:noProof/>
                <w:webHidden/>
              </w:rPr>
              <w:fldChar w:fldCharType="end"/>
            </w:r>
          </w:hyperlink>
        </w:p>
        <w:p w14:paraId="0AAE1618" w14:textId="77777777" w:rsidR="00CE2356" w:rsidRDefault="00CE2356">
          <w:pPr>
            <w:pStyle w:val="TOC2"/>
            <w:tabs>
              <w:tab w:val="right" w:leader="dot" w:pos="9016"/>
            </w:tabs>
            <w:rPr>
              <w:rFonts w:eastAsiaTheme="minorEastAsia"/>
              <w:noProof/>
              <w:lang w:eastAsia="en-GB"/>
            </w:rPr>
          </w:pPr>
          <w:hyperlink w:anchor="_Toc148680942" w:history="1">
            <w:r w:rsidRPr="00930953">
              <w:rPr>
                <w:rStyle w:val="Hyperlink"/>
                <w:noProof/>
              </w:rPr>
              <w:t>Triangulation</w:t>
            </w:r>
            <w:r>
              <w:rPr>
                <w:noProof/>
                <w:webHidden/>
              </w:rPr>
              <w:tab/>
            </w:r>
            <w:r>
              <w:rPr>
                <w:noProof/>
                <w:webHidden/>
              </w:rPr>
              <w:fldChar w:fldCharType="begin"/>
            </w:r>
            <w:r>
              <w:rPr>
                <w:noProof/>
                <w:webHidden/>
              </w:rPr>
              <w:instrText xml:space="preserve"> PAGEREF _Toc148680942 \h </w:instrText>
            </w:r>
            <w:r>
              <w:rPr>
                <w:noProof/>
                <w:webHidden/>
              </w:rPr>
            </w:r>
            <w:r>
              <w:rPr>
                <w:noProof/>
                <w:webHidden/>
              </w:rPr>
              <w:fldChar w:fldCharType="separate"/>
            </w:r>
            <w:r>
              <w:rPr>
                <w:noProof/>
                <w:webHidden/>
              </w:rPr>
              <w:t>1</w:t>
            </w:r>
            <w:r>
              <w:rPr>
                <w:noProof/>
                <w:webHidden/>
              </w:rPr>
              <w:fldChar w:fldCharType="end"/>
            </w:r>
          </w:hyperlink>
        </w:p>
        <w:p w14:paraId="539255F5" w14:textId="77777777" w:rsidR="00CE2356" w:rsidRDefault="00CE2356">
          <w:pPr>
            <w:pStyle w:val="TOC1"/>
            <w:tabs>
              <w:tab w:val="right" w:leader="dot" w:pos="9016"/>
            </w:tabs>
            <w:rPr>
              <w:rFonts w:eastAsiaTheme="minorEastAsia"/>
              <w:noProof/>
              <w:lang w:eastAsia="en-GB"/>
            </w:rPr>
          </w:pPr>
          <w:hyperlink w:anchor="_Toc148680943" w:history="1">
            <w:r w:rsidRPr="00930953">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_Toc148680943 \h </w:instrText>
            </w:r>
            <w:r>
              <w:rPr>
                <w:noProof/>
                <w:webHidden/>
              </w:rPr>
            </w:r>
            <w:r>
              <w:rPr>
                <w:noProof/>
                <w:webHidden/>
              </w:rPr>
              <w:fldChar w:fldCharType="separate"/>
            </w:r>
            <w:r>
              <w:rPr>
                <w:noProof/>
                <w:webHidden/>
              </w:rPr>
              <w:t>1</w:t>
            </w:r>
            <w:r>
              <w:rPr>
                <w:noProof/>
                <w:webHidden/>
              </w:rPr>
              <w:fldChar w:fldCharType="end"/>
            </w:r>
          </w:hyperlink>
        </w:p>
        <w:p w14:paraId="2FF87D88" w14:textId="77777777" w:rsidR="00CE2356" w:rsidRDefault="00CE2356">
          <w:pPr>
            <w:pStyle w:val="TOC1"/>
            <w:tabs>
              <w:tab w:val="right" w:leader="dot" w:pos="9016"/>
            </w:tabs>
            <w:rPr>
              <w:rFonts w:eastAsiaTheme="minorEastAsia"/>
              <w:noProof/>
              <w:lang w:eastAsia="en-GB"/>
            </w:rPr>
          </w:pPr>
          <w:hyperlink w:anchor="_Toc148680944" w:history="1">
            <w:r w:rsidRPr="00930953">
              <w:rPr>
                <w:rStyle w:val="Hyperlink"/>
                <w:rFonts w:ascii="Arial" w:hAnsi="Arial" w:cs="Arial"/>
                <w:noProof/>
                <w:lang w:eastAsia="en-GB"/>
              </w:rPr>
              <w:t>Professional Practice</w:t>
            </w:r>
            <w:r>
              <w:rPr>
                <w:noProof/>
                <w:webHidden/>
              </w:rPr>
              <w:tab/>
            </w:r>
            <w:r>
              <w:rPr>
                <w:noProof/>
                <w:webHidden/>
              </w:rPr>
              <w:fldChar w:fldCharType="begin"/>
            </w:r>
            <w:r>
              <w:rPr>
                <w:noProof/>
                <w:webHidden/>
              </w:rPr>
              <w:instrText xml:space="preserve"> PAGEREF _Toc148680944 \h </w:instrText>
            </w:r>
            <w:r>
              <w:rPr>
                <w:noProof/>
                <w:webHidden/>
              </w:rPr>
            </w:r>
            <w:r>
              <w:rPr>
                <w:noProof/>
                <w:webHidden/>
              </w:rPr>
              <w:fldChar w:fldCharType="separate"/>
            </w:r>
            <w:r>
              <w:rPr>
                <w:noProof/>
                <w:webHidden/>
              </w:rPr>
              <w:t>1</w:t>
            </w:r>
            <w:r>
              <w:rPr>
                <w:noProof/>
                <w:webHidden/>
              </w:rPr>
              <w:fldChar w:fldCharType="end"/>
            </w:r>
          </w:hyperlink>
        </w:p>
        <w:p w14:paraId="6AF4A8F7" w14:textId="77777777" w:rsidR="00B45BF1" w:rsidRPr="00B45BF1" w:rsidRDefault="00BB6503" w:rsidP="00B45BF1">
          <w:pPr>
            <w:tabs>
              <w:tab w:val="right" w:leader="dot" w:pos="9016"/>
            </w:tabs>
            <w:spacing w:after="100"/>
            <w:rPr>
              <w:rFonts w:eastAsiaTheme="minorEastAsia"/>
              <w:noProof/>
              <w:lang w:eastAsia="en-GB"/>
            </w:rPr>
          </w:pPr>
          <w:r w:rsidRPr="00261EC8">
            <w:rPr>
              <w:rFonts w:ascii="Arial" w:hAnsi="Arial" w:cs="Arial"/>
              <w:noProof/>
              <w:color w:val="0000FF"/>
              <w:u w:val="single"/>
              <w:lang w:eastAsia="en-GB"/>
            </w:rPr>
            <w:t>Reference</w:t>
          </w:r>
          <w:r w:rsidR="00B45BF1" w:rsidRPr="00B45BF1">
            <w:rPr>
              <w:noProof/>
              <w:webHidden/>
            </w:rPr>
            <w:tab/>
          </w:r>
          <w:r w:rsidR="00B45BF1" w:rsidRPr="00B45BF1">
            <w:rPr>
              <w:noProof/>
              <w:webHidden/>
            </w:rPr>
            <w:fldChar w:fldCharType="begin"/>
          </w:r>
          <w:r w:rsidR="00B45BF1" w:rsidRPr="00B45BF1">
            <w:rPr>
              <w:noProof/>
              <w:webHidden/>
            </w:rPr>
            <w:instrText xml:space="preserve"> PAGEREF _Toc148680960 \h </w:instrText>
          </w:r>
          <w:r w:rsidR="00B45BF1" w:rsidRPr="00B45BF1">
            <w:rPr>
              <w:noProof/>
              <w:webHidden/>
            </w:rPr>
          </w:r>
          <w:r w:rsidR="00B45BF1" w:rsidRPr="00B45BF1">
            <w:rPr>
              <w:noProof/>
              <w:webHidden/>
            </w:rPr>
            <w:fldChar w:fldCharType="separate"/>
          </w:r>
          <w:r w:rsidR="00B45BF1" w:rsidRPr="00B45BF1">
            <w:rPr>
              <w:noProof/>
              <w:webHidden/>
            </w:rPr>
            <w:t>1</w:t>
          </w:r>
          <w:r w:rsidR="00B45BF1" w:rsidRPr="00B45BF1">
            <w:rPr>
              <w:noProof/>
              <w:webHidden/>
            </w:rPr>
            <w:fldChar w:fldCharType="end"/>
          </w:r>
          <w:r w:rsidR="00261EC8">
            <w:rPr>
              <w:noProof/>
              <w:color w:val="0000FF"/>
              <w:u w:val="single"/>
            </w:rPr>
            <w:t>s</w:t>
          </w:r>
        </w:p>
        <w:p w14:paraId="4702EE69" w14:textId="77777777" w:rsidR="0047674E" w:rsidRDefault="0047674E" w:rsidP="004B1DF3">
          <w:pPr>
            <w:spacing w:line="360" w:lineRule="auto"/>
            <w:jc w:val="both"/>
          </w:pPr>
          <w:r w:rsidRPr="009C4580">
            <w:rPr>
              <w:rFonts w:ascii="Arial" w:hAnsi="Arial" w:cs="Arial"/>
              <w:b/>
              <w:bCs/>
              <w:noProof/>
              <w:sz w:val="24"/>
            </w:rPr>
            <w:fldChar w:fldCharType="end"/>
          </w:r>
        </w:p>
      </w:sdtContent>
    </w:sdt>
    <w:p w14:paraId="56811486" w14:textId="77777777" w:rsidR="00B6210F" w:rsidRDefault="00B6210F" w:rsidP="004B1DF3">
      <w:pPr>
        <w:spacing w:line="360" w:lineRule="auto"/>
        <w:jc w:val="both"/>
        <w:rPr>
          <w:rFonts w:ascii="Times New Roman" w:eastAsia="Times New Roman" w:hAnsi="Times New Roman" w:cs="Times New Roman"/>
          <w:kern w:val="0"/>
          <w:sz w:val="24"/>
          <w:szCs w:val="24"/>
          <w:lang w:eastAsia="en-GB"/>
          <w14:ligatures w14:val="none"/>
        </w:rPr>
      </w:pPr>
    </w:p>
    <w:p w14:paraId="30FD457A" w14:textId="77777777" w:rsidR="0047674E" w:rsidRDefault="0047674E" w:rsidP="004B1DF3">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p w14:paraId="7F5F2944" w14:textId="77777777" w:rsidR="0071538B" w:rsidRPr="0047624D" w:rsidRDefault="0071538B" w:rsidP="004B1DF3">
      <w:pPr>
        <w:pStyle w:val="Heading1"/>
        <w:spacing w:line="360" w:lineRule="auto"/>
        <w:jc w:val="both"/>
        <w:rPr>
          <w:rFonts w:ascii="Arial" w:eastAsia="Times New Roman" w:hAnsi="Arial" w:cs="Arial"/>
          <w:lang w:eastAsia="en-GB"/>
        </w:rPr>
      </w:pPr>
      <w:bookmarkStart w:id="0" w:name="_Toc148680931"/>
      <w:r w:rsidRPr="0047624D">
        <w:rPr>
          <w:rFonts w:ascii="Arial" w:eastAsia="Times New Roman" w:hAnsi="Arial" w:cs="Arial"/>
          <w:lang w:eastAsia="en-GB"/>
        </w:rPr>
        <w:t>Introduction</w:t>
      </w:r>
      <w:bookmarkEnd w:id="0"/>
    </w:p>
    <w:p w14:paraId="00BF0EA4" w14:textId="77777777" w:rsidR="007E1FF2" w:rsidRPr="00CE35C2" w:rsidRDefault="007E1FF2" w:rsidP="004B1DF3">
      <w:pPr>
        <w:pStyle w:val="whitespace-pre-wrap"/>
        <w:spacing w:line="360" w:lineRule="auto"/>
        <w:jc w:val="both"/>
        <w:rPr>
          <w:rFonts w:ascii="Arial" w:hAnsi="Arial" w:cs="Arial"/>
          <w:sz w:val="22"/>
        </w:rPr>
      </w:pPr>
      <w:r w:rsidRPr="00CE35C2">
        <w:rPr>
          <w:rFonts w:ascii="Arial" w:hAnsi="Arial" w:cs="Arial"/>
          <w:sz w:val="22"/>
        </w:rPr>
        <w:t xml:space="preserve">Community engagement refers to the process of involving community members and stakeholders in initiatives and decision-making that impact the community (Lawson, 2005). It aims to empower citizens, foster ownership and improve outcomes through active participation. Engagement encompasses a spectrum from information sharing to consultation to co-production and shared leadership (Arnstein, 1969). For community engagement to be effective, it must adhere to certain principles, follow proper planning and design, utilize appropriate standards and tools, and incorporate thorough evaluation and measurement of impact. This report will </w:t>
      </w:r>
      <w:r w:rsidR="006812E4" w:rsidRPr="00CE35C2">
        <w:rPr>
          <w:rFonts w:ascii="Arial" w:hAnsi="Arial" w:cs="Arial"/>
          <w:sz w:val="22"/>
        </w:rPr>
        <w:t>analyse</w:t>
      </w:r>
      <w:r w:rsidRPr="00CE35C2">
        <w:rPr>
          <w:rFonts w:ascii="Arial" w:hAnsi="Arial" w:cs="Arial"/>
          <w:sz w:val="22"/>
        </w:rPr>
        <w:t xml:space="preserve"> a local community renewable energy project in the UK to illustrate appropriate application of community engagement concepts.</w:t>
      </w:r>
    </w:p>
    <w:p w14:paraId="3CA16380" w14:textId="77777777" w:rsidR="007E1FF2" w:rsidRPr="00CE35C2" w:rsidRDefault="007E1FF2" w:rsidP="004B1DF3">
      <w:pPr>
        <w:pStyle w:val="whitespace-pre-wrap"/>
        <w:spacing w:line="360" w:lineRule="auto"/>
        <w:jc w:val="both"/>
        <w:rPr>
          <w:rFonts w:ascii="Arial" w:hAnsi="Arial" w:cs="Arial"/>
          <w:sz w:val="22"/>
        </w:rPr>
      </w:pPr>
      <w:r w:rsidRPr="00CE35C2">
        <w:rPr>
          <w:rFonts w:ascii="Arial" w:hAnsi="Arial" w:cs="Arial"/>
          <w:sz w:val="22"/>
        </w:rPr>
        <w:t xml:space="preserve">The project involves the Twizel Community Energy Scheme in </w:t>
      </w:r>
      <w:r w:rsidR="006812E4" w:rsidRPr="00CE35C2">
        <w:rPr>
          <w:rFonts w:ascii="Arial" w:hAnsi="Arial" w:cs="Arial"/>
          <w:sz w:val="22"/>
        </w:rPr>
        <w:t>Hampshire, which</w:t>
      </w:r>
      <w:r w:rsidRPr="00CE35C2">
        <w:rPr>
          <w:rFonts w:ascii="Arial" w:hAnsi="Arial" w:cs="Arial"/>
          <w:sz w:val="22"/>
        </w:rPr>
        <w:t xml:space="preserve"> installed solar panels on the roofs of buildings in the town </w:t>
      </w:r>
      <w:r w:rsidR="006812E4" w:rsidRPr="00CE35C2">
        <w:rPr>
          <w:rFonts w:ascii="Arial" w:hAnsi="Arial" w:cs="Arial"/>
          <w:sz w:val="22"/>
        </w:rPr>
        <w:t>centre</w:t>
      </w:r>
      <w:r w:rsidRPr="00CE35C2">
        <w:rPr>
          <w:rFonts w:ascii="Arial" w:hAnsi="Arial" w:cs="Arial"/>
          <w:sz w:val="22"/>
        </w:rPr>
        <w:t xml:space="preserve"> to generate renewable electricity (Sharenergy, 2015). The project was initiated and led by local residents who formed a cooperative to finance and manage the installation. This assessment will evaluate how well the initiative incorporated engagement principles, planning, standards, and impact measurement based on academic theories and industry best practices. While the Twizel project demonstrated strengths in utilizing certain tools and achieving local buy-in, areas for improvement existed around stakeholder consultation, establishing clearer objectives and lack of rigorous impact evaluation. Recommendations for enhancing community engagement are provided.</w:t>
      </w:r>
    </w:p>
    <w:p w14:paraId="1672E8A4" w14:textId="77777777" w:rsidR="007E1FF2" w:rsidRDefault="007E1FF2" w:rsidP="004B1DF3">
      <w:pPr>
        <w:pStyle w:val="Heading1"/>
        <w:spacing w:line="360" w:lineRule="auto"/>
        <w:jc w:val="both"/>
        <w:rPr>
          <w:lang w:eastAsia="en-GB"/>
        </w:rPr>
      </w:pPr>
      <w:r w:rsidRPr="0071538B">
        <w:rPr>
          <w:lang w:eastAsia="en-GB"/>
        </w:rPr>
        <w:t xml:space="preserve"> </w:t>
      </w:r>
    </w:p>
    <w:p w14:paraId="515390ED" w14:textId="77777777" w:rsidR="007E1FF2" w:rsidRDefault="007E1FF2" w:rsidP="004B1DF3">
      <w:pPr>
        <w:spacing w:line="360" w:lineRule="auto"/>
        <w:jc w:val="both"/>
        <w:rPr>
          <w:rFonts w:asciiTheme="majorHAnsi" w:eastAsiaTheme="majorEastAsia" w:hAnsiTheme="majorHAnsi" w:cstheme="majorBidi"/>
          <w:color w:val="2F5496" w:themeColor="accent1" w:themeShade="BF"/>
          <w:sz w:val="32"/>
          <w:szCs w:val="32"/>
          <w:lang w:eastAsia="en-GB"/>
        </w:rPr>
      </w:pPr>
      <w:r>
        <w:rPr>
          <w:lang w:eastAsia="en-GB"/>
        </w:rPr>
        <w:br w:type="page"/>
      </w:r>
    </w:p>
    <w:p w14:paraId="0DEBBA87" w14:textId="77777777" w:rsidR="0071538B" w:rsidRPr="0047624D" w:rsidRDefault="0071538B" w:rsidP="004B1DF3">
      <w:pPr>
        <w:pStyle w:val="Heading1"/>
        <w:spacing w:line="360" w:lineRule="auto"/>
        <w:jc w:val="both"/>
        <w:rPr>
          <w:rFonts w:ascii="Arial" w:hAnsi="Arial" w:cs="Arial"/>
          <w:lang w:eastAsia="en-GB"/>
        </w:rPr>
      </w:pPr>
      <w:bookmarkStart w:id="1" w:name="_Toc148680932"/>
      <w:r w:rsidRPr="0047624D">
        <w:rPr>
          <w:rFonts w:ascii="Arial" w:hAnsi="Arial" w:cs="Arial"/>
          <w:lang w:eastAsia="en-GB"/>
        </w:rPr>
        <w:t>Community engagement principles</w:t>
      </w:r>
      <w:bookmarkEnd w:id="1"/>
    </w:p>
    <w:p w14:paraId="275F8C22" w14:textId="77777777" w:rsidR="007E1FF2" w:rsidRPr="00CE35C2" w:rsidRDefault="007E1FF2" w:rsidP="004B1DF3">
      <w:pPr>
        <w:pStyle w:val="whitespace-pre-wrap"/>
        <w:spacing w:line="360" w:lineRule="auto"/>
        <w:jc w:val="both"/>
        <w:rPr>
          <w:rFonts w:ascii="Arial" w:hAnsi="Arial" w:cs="Arial"/>
          <w:sz w:val="22"/>
        </w:rPr>
      </w:pPr>
      <w:r w:rsidRPr="00CE35C2">
        <w:rPr>
          <w:rFonts w:ascii="Arial" w:hAnsi="Arial" w:cs="Arial"/>
          <w:sz w:val="22"/>
        </w:rPr>
        <w:t>Several core principles underpin effective community engagement. Firstly, it should be based on clear, open and inclusive communication (Lucas et al., 2014). For the Twizel project, multiple platforms were utilized including public meetings, flyers, websites and surveys to provide information and invite participation from all local residents. However, the objectives and decision-making processes could have been communicated more transparently throughout.</w:t>
      </w:r>
    </w:p>
    <w:p w14:paraId="178FCBF2" w14:textId="77777777" w:rsidR="007E1FF2" w:rsidRPr="00CE35C2" w:rsidRDefault="007E1FF2" w:rsidP="004B1DF3">
      <w:pPr>
        <w:pStyle w:val="whitespace-pre-wrap"/>
        <w:spacing w:line="360" w:lineRule="auto"/>
        <w:jc w:val="both"/>
        <w:rPr>
          <w:rFonts w:ascii="Arial" w:hAnsi="Arial" w:cs="Arial"/>
          <w:sz w:val="22"/>
        </w:rPr>
      </w:pPr>
      <w:r w:rsidRPr="00CE35C2">
        <w:rPr>
          <w:rFonts w:ascii="Arial" w:hAnsi="Arial" w:cs="Arial"/>
          <w:sz w:val="22"/>
        </w:rPr>
        <w:t>Secondly, engagement should involve diverse community stakeholders through targeted, relevant outreach to ensure all affected groups are represented (Lee et al., 2019). While Twizel made efforts to encourage broad local involvement, wider consultation with groups like businesses, schools and marginalized populations was lacking. This led to missed perspectives and created opposition from some excluded factions. More proactive stakeholder mapping and tailored outreach strategies are needed.</w:t>
      </w:r>
    </w:p>
    <w:p w14:paraId="028FC35B" w14:textId="77777777" w:rsidR="007E1FF2" w:rsidRPr="00CE35C2" w:rsidRDefault="007E1FF2" w:rsidP="004B1DF3">
      <w:pPr>
        <w:pStyle w:val="whitespace-pre-wrap"/>
        <w:spacing w:line="360" w:lineRule="auto"/>
        <w:jc w:val="both"/>
        <w:rPr>
          <w:rFonts w:ascii="Arial" w:hAnsi="Arial" w:cs="Arial"/>
          <w:sz w:val="22"/>
        </w:rPr>
      </w:pPr>
      <w:r w:rsidRPr="00CE35C2">
        <w:rPr>
          <w:rFonts w:ascii="Arial" w:hAnsi="Arial" w:cs="Arial"/>
          <w:sz w:val="22"/>
        </w:rPr>
        <w:t>A third principle is that community engagement should be underpinned by integrity, respect and an open mindset (Tamarack Institute, 2017). Though the Twizel cooperative tried to listen and respond to concerns, some said the approach felt more extractive than empowering at times. Adopting more humility and operating from a “community first” perspective could improve trust and receptiveness moving forward.</w:t>
      </w:r>
    </w:p>
    <w:p w14:paraId="604635A0" w14:textId="77777777" w:rsidR="007E1FF2" w:rsidRPr="00CE35C2" w:rsidRDefault="007E1FF2" w:rsidP="004B1DF3">
      <w:pPr>
        <w:pStyle w:val="whitespace-pre-wrap"/>
        <w:spacing w:line="360" w:lineRule="auto"/>
        <w:jc w:val="both"/>
        <w:rPr>
          <w:rFonts w:ascii="Arial" w:hAnsi="Arial" w:cs="Arial"/>
          <w:sz w:val="22"/>
        </w:rPr>
      </w:pPr>
      <w:r w:rsidRPr="00CE35C2">
        <w:rPr>
          <w:rFonts w:ascii="Arial" w:hAnsi="Arial" w:cs="Arial"/>
          <w:sz w:val="22"/>
        </w:rPr>
        <w:t>Overall, analysis using academic theory revealed the initiative partially demonstrated sound community engagement principles through employing multiple communication tactics and encouraging local participation. However, more attention to inclusivity, transparency and maintaining a community-focused mindset and power-sharing approach would strengthen alignment with established standards in this area.</w:t>
      </w:r>
    </w:p>
    <w:p w14:paraId="0084247B" w14:textId="77777777" w:rsidR="007E1FF2" w:rsidRDefault="007E1FF2" w:rsidP="004B1DF3">
      <w:pPr>
        <w:pStyle w:val="Heading1"/>
        <w:spacing w:line="360" w:lineRule="auto"/>
        <w:jc w:val="both"/>
        <w:rPr>
          <w:lang w:eastAsia="en-GB"/>
        </w:rPr>
      </w:pPr>
      <w:r w:rsidRPr="0071538B">
        <w:rPr>
          <w:lang w:eastAsia="en-GB"/>
        </w:rPr>
        <w:t xml:space="preserve"> </w:t>
      </w:r>
    </w:p>
    <w:p w14:paraId="687835A2" w14:textId="77777777" w:rsidR="007E1FF2" w:rsidRDefault="007E1FF2" w:rsidP="004B1DF3">
      <w:pPr>
        <w:spacing w:line="360" w:lineRule="auto"/>
        <w:jc w:val="both"/>
        <w:rPr>
          <w:rFonts w:asciiTheme="majorHAnsi" w:eastAsiaTheme="majorEastAsia" w:hAnsiTheme="majorHAnsi" w:cstheme="majorBidi"/>
          <w:color w:val="2F5496" w:themeColor="accent1" w:themeShade="BF"/>
          <w:sz w:val="32"/>
          <w:szCs w:val="32"/>
          <w:lang w:eastAsia="en-GB"/>
        </w:rPr>
      </w:pPr>
      <w:r>
        <w:rPr>
          <w:lang w:eastAsia="en-GB"/>
        </w:rPr>
        <w:br w:type="page"/>
      </w:r>
    </w:p>
    <w:p w14:paraId="66AE7579" w14:textId="77777777" w:rsidR="0071538B" w:rsidRPr="0047624D" w:rsidRDefault="0071538B" w:rsidP="004B1DF3">
      <w:pPr>
        <w:pStyle w:val="Heading1"/>
        <w:spacing w:line="360" w:lineRule="auto"/>
        <w:jc w:val="both"/>
        <w:rPr>
          <w:rFonts w:ascii="Arial" w:hAnsi="Arial" w:cs="Arial"/>
          <w:lang w:eastAsia="en-GB"/>
        </w:rPr>
      </w:pPr>
      <w:bookmarkStart w:id="2" w:name="_Toc148680933"/>
      <w:r w:rsidRPr="0047624D">
        <w:rPr>
          <w:rFonts w:ascii="Arial" w:hAnsi="Arial" w:cs="Arial"/>
          <w:lang w:eastAsia="en-GB"/>
        </w:rPr>
        <w:t>Planning and design</w:t>
      </w:r>
      <w:bookmarkEnd w:id="2"/>
    </w:p>
    <w:p w14:paraId="4DDD7E4B" w14:textId="77777777" w:rsidR="00B84B03" w:rsidRPr="00CE35C2" w:rsidRDefault="00B84B03" w:rsidP="004B1DF3">
      <w:pPr>
        <w:pStyle w:val="whitespace-pre-wrap"/>
        <w:spacing w:line="360" w:lineRule="auto"/>
        <w:jc w:val="both"/>
        <w:rPr>
          <w:rFonts w:ascii="Arial" w:hAnsi="Arial" w:cs="Arial"/>
          <w:sz w:val="22"/>
        </w:rPr>
      </w:pPr>
      <w:r w:rsidRPr="00CE35C2">
        <w:rPr>
          <w:rFonts w:ascii="Arial" w:hAnsi="Arial" w:cs="Arial"/>
          <w:sz w:val="22"/>
        </w:rPr>
        <w:t>Strategic, iterative planning forms the foundation of impactful community engagement. First, a process should be co-designed with diverse community representatives to foster ownership (da Cruz et al., 2019). While Twizel established a cooperative board to steer planning, broader co-design sessions would have improved relevance and responsiveness. Next, objectives, stakeholders, activities and timelines must be clearly defined (CDC, 2011). Twizel outlined general goals but lacked specificity around measurable outcomes, constituencies, project phases and schedule.</w:t>
      </w:r>
    </w:p>
    <w:p w14:paraId="4542ED32" w14:textId="77777777" w:rsidR="00B84B03" w:rsidRPr="00CE35C2" w:rsidRDefault="00B84B03" w:rsidP="004B1DF3">
      <w:pPr>
        <w:pStyle w:val="whitespace-pre-wrap"/>
        <w:spacing w:line="360" w:lineRule="auto"/>
        <w:jc w:val="both"/>
        <w:rPr>
          <w:rFonts w:ascii="Arial" w:hAnsi="Arial" w:cs="Arial"/>
          <w:sz w:val="22"/>
        </w:rPr>
      </w:pPr>
      <w:r w:rsidRPr="00CE35C2">
        <w:rPr>
          <w:rFonts w:ascii="Arial" w:hAnsi="Arial" w:cs="Arial"/>
          <w:sz w:val="22"/>
        </w:rPr>
        <w:t xml:space="preserve">In terms of implementation design, community engagement utilizes a spectrum of practices based on the desired level of participation, from </w:t>
      </w:r>
      <w:r w:rsidR="00642884" w:rsidRPr="00CE35C2">
        <w:rPr>
          <w:rFonts w:ascii="Arial" w:hAnsi="Arial" w:cs="Arial"/>
          <w:sz w:val="22"/>
        </w:rPr>
        <w:t>information sharing</w:t>
      </w:r>
      <w:r w:rsidRPr="00CE35C2">
        <w:rPr>
          <w:rFonts w:ascii="Arial" w:hAnsi="Arial" w:cs="Arial"/>
          <w:sz w:val="22"/>
        </w:rPr>
        <w:t xml:space="preserve"> to consultation to collaboration and shared leadership (Arnstein, 1969). For each phase, appropriate mechanisms should be selected aligning goals and context. Twizel focused heavily on informing and educating the public but was weaker on incorporating collaborative design and giving community members power over decisions, stifling engagement potential (Tamarack Institute, 2017). Adequate resource allocation and training in facilitation skills are also critical design factors, which seemed under-developed in this case.</w:t>
      </w:r>
    </w:p>
    <w:p w14:paraId="33926ADC" w14:textId="77777777" w:rsidR="00B84B03" w:rsidRPr="00CE35C2" w:rsidRDefault="00B84B03" w:rsidP="004B1DF3">
      <w:pPr>
        <w:pStyle w:val="whitespace-pre-wrap"/>
        <w:spacing w:line="360" w:lineRule="auto"/>
        <w:jc w:val="both"/>
        <w:rPr>
          <w:rFonts w:ascii="Arial" w:hAnsi="Arial" w:cs="Arial"/>
          <w:sz w:val="22"/>
        </w:rPr>
      </w:pPr>
      <w:r w:rsidRPr="00CE35C2">
        <w:rPr>
          <w:rFonts w:ascii="Arial" w:hAnsi="Arial" w:cs="Arial"/>
          <w:sz w:val="22"/>
        </w:rPr>
        <w:t xml:space="preserve">Evaluation indicates Twizel's planning had strengths in establishing leadership but failed to implement key practices like co-design, clarifying detailed objectives, mapping activities, defining community representation, choosing appropriate participatory mechanisms for each phase and investing in capacity-building. Instituting </w:t>
      </w:r>
      <w:r w:rsidR="00642884" w:rsidRPr="00CE35C2">
        <w:rPr>
          <w:rFonts w:ascii="Arial" w:hAnsi="Arial" w:cs="Arial"/>
          <w:sz w:val="22"/>
        </w:rPr>
        <w:t>strategic</w:t>
      </w:r>
      <w:r w:rsidRPr="00CE35C2">
        <w:rPr>
          <w:rFonts w:ascii="Arial" w:hAnsi="Arial" w:cs="Arial"/>
          <w:sz w:val="22"/>
        </w:rPr>
        <w:t>, collaborative development with flexibility and capacity support would significantly bolster community planning and design.</w:t>
      </w:r>
    </w:p>
    <w:p w14:paraId="131A4FA5" w14:textId="77777777" w:rsidR="007E1FF2" w:rsidRPr="00CE35C2" w:rsidRDefault="00B84B03" w:rsidP="004B1DF3">
      <w:pPr>
        <w:spacing w:line="360" w:lineRule="auto"/>
        <w:jc w:val="both"/>
        <w:rPr>
          <w:rFonts w:ascii="Arial" w:eastAsiaTheme="majorEastAsia" w:hAnsi="Arial" w:cs="Arial"/>
          <w:color w:val="2F5496" w:themeColor="accent1" w:themeShade="BF"/>
          <w:sz w:val="28"/>
          <w:szCs w:val="32"/>
          <w:lang w:eastAsia="en-GB"/>
        </w:rPr>
      </w:pPr>
      <w:r w:rsidRPr="00CE35C2">
        <w:rPr>
          <w:rFonts w:ascii="Arial" w:hAnsi="Arial" w:cs="Arial"/>
          <w:sz w:val="20"/>
          <w:lang w:eastAsia="en-GB"/>
        </w:rPr>
        <w:t xml:space="preserve"> </w:t>
      </w:r>
      <w:r w:rsidR="007E1FF2" w:rsidRPr="00CE35C2">
        <w:rPr>
          <w:rFonts w:ascii="Arial" w:hAnsi="Arial" w:cs="Arial"/>
          <w:sz w:val="20"/>
          <w:lang w:eastAsia="en-GB"/>
        </w:rPr>
        <w:br w:type="page"/>
      </w:r>
    </w:p>
    <w:p w14:paraId="736E189F" w14:textId="77777777" w:rsidR="0071538B" w:rsidRPr="0047624D" w:rsidRDefault="0071538B" w:rsidP="004B1DF3">
      <w:pPr>
        <w:pStyle w:val="Heading1"/>
        <w:spacing w:line="360" w:lineRule="auto"/>
        <w:jc w:val="both"/>
        <w:rPr>
          <w:rFonts w:ascii="Arial" w:hAnsi="Arial" w:cs="Arial"/>
          <w:lang w:eastAsia="en-GB"/>
        </w:rPr>
      </w:pPr>
      <w:bookmarkStart w:id="3" w:name="_Toc148680934"/>
      <w:r w:rsidRPr="0047624D">
        <w:rPr>
          <w:rFonts w:ascii="Arial" w:hAnsi="Arial" w:cs="Arial"/>
          <w:lang w:eastAsia="en-GB"/>
        </w:rPr>
        <w:t>Standards</w:t>
      </w:r>
      <w:bookmarkEnd w:id="3"/>
    </w:p>
    <w:p w14:paraId="61B387FE" w14:textId="77777777" w:rsidR="00FB2638" w:rsidRPr="00FB2638" w:rsidRDefault="00FB2638" w:rsidP="004B1DF3">
      <w:pPr>
        <w:pStyle w:val="whitespace-pre-wrap"/>
        <w:spacing w:line="360" w:lineRule="auto"/>
        <w:jc w:val="both"/>
        <w:rPr>
          <w:rFonts w:ascii="Arial" w:hAnsi="Arial" w:cs="Arial"/>
          <w:sz w:val="22"/>
        </w:rPr>
      </w:pPr>
      <w:r w:rsidRPr="00FB2638">
        <w:rPr>
          <w:rFonts w:ascii="Arial" w:hAnsi="Arial" w:cs="Arial"/>
          <w:sz w:val="22"/>
        </w:rPr>
        <w:t>Established standards and frameworks provide important guidance for designing and implementing high-quality community engagement. They translate principles into demonstrable practice and offer benchmarking for evaluation. Three relevant standards are outlined below along with an analysis of how Twizel's engagement approach aligned with each.</w:t>
      </w:r>
    </w:p>
    <w:p w14:paraId="3F74FB42" w14:textId="77777777" w:rsidR="00FB2638" w:rsidRPr="00FB2638" w:rsidRDefault="00FB2638" w:rsidP="004B1DF3">
      <w:pPr>
        <w:pStyle w:val="Heading2"/>
        <w:spacing w:line="360" w:lineRule="auto"/>
      </w:pPr>
      <w:bookmarkStart w:id="4" w:name="_Toc148680935"/>
      <w:r w:rsidRPr="00FB2638">
        <w:t>National Standards for Community Engagement</w:t>
      </w:r>
      <w:bookmarkEnd w:id="4"/>
    </w:p>
    <w:p w14:paraId="05D7E09B" w14:textId="77777777" w:rsidR="00FB2638" w:rsidRPr="00FB2638" w:rsidRDefault="00FB2638" w:rsidP="004B1DF3">
      <w:pPr>
        <w:pStyle w:val="whitespace-pre-wrap"/>
        <w:spacing w:line="360" w:lineRule="auto"/>
        <w:jc w:val="both"/>
        <w:rPr>
          <w:rFonts w:ascii="Arial" w:hAnsi="Arial" w:cs="Arial"/>
          <w:sz w:val="22"/>
        </w:rPr>
      </w:pPr>
      <w:r w:rsidRPr="00FB2638">
        <w:rPr>
          <w:rFonts w:ascii="Arial" w:hAnsi="Arial" w:cs="Arial"/>
          <w:sz w:val="22"/>
        </w:rPr>
        <w:t xml:space="preserve">The National Standards outline seven core principles </w:t>
      </w:r>
      <w:r w:rsidR="00642884" w:rsidRPr="00FB2638">
        <w:rPr>
          <w:rFonts w:ascii="Arial" w:hAnsi="Arial" w:cs="Arial"/>
          <w:sz w:val="22"/>
        </w:rPr>
        <w:t>cantered</w:t>
      </w:r>
      <w:r w:rsidRPr="00FB2638">
        <w:rPr>
          <w:rFonts w:ascii="Arial" w:hAnsi="Arial" w:cs="Arial"/>
          <w:sz w:val="22"/>
        </w:rPr>
        <w:t xml:space="preserve"> on inclusion, support, planning, working together, communication, impact and improvement (Scottish Community Development Centre, 2016). Key strengths of Twizel's approach included the intensive planning effort and securing local participation. However, weaknesses existed regarding transparency, diversity and responsiveness.</w:t>
      </w:r>
    </w:p>
    <w:p w14:paraId="45D054AD" w14:textId="77777777" w:rsidR="00FB2638" w:rsidRPr="00FB2638" w:rsidRDefault="00FB2638" w:rsidP="004B1DF3">
      <w:pPr>
        <w:pStyle w:val="whitespace-pre-wrap"/>
        <w:spacing w:line="360" w:lineRule="auto"/>
        <w:jc w:val="both"/>
        <w:rPr>
          <w:rFonts w:ascii="Arial" w:hAnsi="Arial" w:cs="Arial"/>
          <w:sz w:val="22"/>
        </w:rPr>
      </w:pPr>
      <w:r w:rsidRPr="00FB2638">
        <w:rPr>
          <w:rFonts w:ascii="Arial" w:hAnsi="Arial" w:cs="Arial"/>
          <w:sz w:val="22"/>
        </w:rPr>
        <w:t xml:space="preserve">Specifically, Twizel fell short on Standards 2 and </w:t>
      </w:r>
      <w:r w:rsidR="00642884" w:rsidRPr="00FB2638">
        <w:rPr>
          <w:rFonts w:ascii="Arial" w:hAnsi="Arial" w:cs="Arial"/>
          <w:sz w:val="22"/>
        </w:rPr>
        <w:t>3, which</w:t>
      </w:r>
      <w:r w:rsidRPr="00FB2638">
        <w:rPr>
          <w:rFonts w:ascii="Arial" w:hAnsi="Arial" w:cs="Arial"/>
          <w:sz w:val="22"/>
        </w:rPr>
        <w:t xml:space="preserve"> focus on </w:t>
      </w:r>
      <w:r w:rsidR="00642884" w:rsidRPr="00FB2638">
        <w:rPr>
          <w:rFonts w:ascii="Arial" w:hAnsi="Arial" w:cs="Arial"/>
          <w:sz w:val="22"/>
        </w:rPr>
        <w:t>record keeping</w:t>
      </w:r>
      <w:r w:rsidRPr="00FB2638">
        <w:rPr>
          <w:rFonts w:ascii="Arial" w:hAnsi="Arial" w:cs="Arial"/>
          <w:sz w:val="22"/>
        </w:rPr>
        <w:t xml:space="preserve"> and communication. Per Standard 2, the initiative lacked documentation about “the purpose, scope and timescale of the engagement and the processes to be used” as well as “what information will be shared with community members.” Similarly, Standard 3 states practitioners should clarify “how community members will be informed of the impact of their contribution” which was not evidenced in Twizel. Adhering more closely to established standards on documentation and closing feedback loops would enhance legitimacy and trust.</w:t>
      </w:r>
    </w:p>
    <w:p w14:paraId="644D5DCB" w14:textId="77777777" w:rsidR="00FB2638" w:rsidRPr="00FB2638" w:rsidRDefault="00FB2638" w:rsidP="004B1DF3">
      <w:pPr>
        <w:pStyle w:val="Heading2"/>
        <w:spacing w:line="360" w:lineRule="auto"/>
      </w:pPr>
      <w:bookmarkStart w:id="5" w:name="_Toc148680936"/>
      <w:r w:rsidRPr="00FB2638">
        <w:t>AA1000 Stakeholder Engagement Standard</w:t>
      </w:r>
      <w:bookmarkEnd w:id="5"/>
    </w:p>
    <w:p w14:paraId="071412A3" w14:textId="77777777" w:rsidR="00FB2638" w:rsidRPr="00FB2638" w:rsidRDefault="00FB2638" w:rsidP="004B1DF3">
      <w:pPr>
        <w:pStyle w:val="whitespace-pre-wrap"/>
        <w:spacing w:line="360" w:lineRule="auto"/>
        <w:jc w:val="both"/>
        <w:rPr>
          <w:rFonts w:ascii="Arial" w:hAnsi="Arial" w:cs="Arial"/>
          <w:sz w:val="22"/>
        </w:rPr>
      </w:pPr>
      <w:r w:rsidRPr="00FB2638">
        <w:rPr>
          <w:rFonts w:ascii="Arial" w:hAnsi="Arial" w:cs="Arial"/>
          <w:sz w:val="22"/>
        </w:rPr>
        <w:t xml:space="preserve">This standard provides principles and criteria to assess the quality of stakeholder engagement (AccountAbility, 2018). It examines alignment, inclusivity, materiality and responsiveness. Again, Twizel demonstrated substantial weaknesses when </w:t>
      </w:r>
      <w:r w:rsidR="00642884" w:rsidRPr="00FB2638">
        <w:rPr>
          <w:rFonts w:ascii="Arial" w:hAnsi="Arial" w:cs="Arial"/>
          <w:sz w:val="22"/>
        </w:rPr>
        <w:t>analysed</w:t>
      </w:r>
      <w:r w:rsidRPr="00FB2638">
        <w:rPr>
          <w:rFonts w:ascii="Arial" w:hAnsi="Arial" w:cs="Arial"/>
          <w:sz w:val="22"/>
        </w:rPr>
        <w:t xml:space="preserve"> against these markers of excellence.</w:t>
      </w:r>
    </w:p>
    <w:p w14:paraId="281B9B2F" w14:textId="77777777" w:rsidR="00FB2638" w:rsidRPr="00FB2638" w:rsidRDefault="00FB2638" w:rsidP="004B1DF3">
      <w:pPr>
        <w:pStyle w:val="whitespace-pre-wrap"/>
        <w:spacing w:line="360" w:lineRule="auto"/>
        <w:jc w:val="both"/>
        <w:rPr>
          <w:rFonts w:ascii="Arial" w:hAnsi="Arial" w:cs="Arial"/>
          <w:sz w:val="22"/>
        </w:rPr>
      </w:pPr>
      <w:r w:rsidRPr="00FB2638">
        <w:rPr>
          <w:rFonts w:ascii="Arial" w:hAnsi="Arial" w:cs="Arial"/>
          <w:sz w:val="22"/>
        </w:rPr>
        <w:t>In terms of inclusivity, the initiative failed to proactively identify and engage diverse community groups. Regarding materiality, Twizel did not sufficiently involve the community in determining the central issues to address. In terms of responsiveness, the scheme lacked documentation on how public input was incorporated into decisions. Comparison to the standard makes clear Twizel’s consultation methods were inadequate across multiple dimensions.</w:t>
      </w:r>
    </w:p>
    <w:p w14:paraId="461D14BE" w14:textId="77777777" w:rsidR="00FB2638" w:rsidRPr="004A7654" w:rsidRDefault="00FB2638" w:rsidP="004B1DF3">
      <w:pPr>
        <w:pStyle w:val="Heading2"/>
        <w:spacing w:line="360" w:lineRule="auto"/>
        <w:rPr>
          <w:rFonts w:ascii="Arial" w:hAnsi="Arial" w:cs="Arial"/>
        </w:rPr>
      </w:pPr>
      <w:bookmarkStart w:id="6" w:name="_Toc148680937"/>
      <w:r w:rsidRPr="004A7654">
        <w:rPr>
          <w:rFonts w:ascii="Arial" w:hAnsi="Arial" w:cs="Arial"/>
        </w:rPr>
        <w:t>IAP2 Spectrum of Public Participation</w:t>
      </w:r>
      <w:bookmarkEnd w:id="6"/>
    </w:p>
    <w:p w14:paraId="64B19F7A" w14:textId="77777777" w:rsidR="00FB2638" w:rsidRPr="00FB2638" w:rsidRDefault="00FB2638" w:rsidP="004B1DF3">
      <w:pPr>
        <w:pStyle w:val="whitespace-pre-wrap"/>
        <w:spacing w:line="360" w:lineRule="auto"/>
        <w:jc w:val="both"/>
        <w:rPr>
          <w:rFonts w:ascii="Arial" w:hAnsi="Arial" w:cs="Arial"/>
          <w:sz w:val="22"/>
        </w:rPr>
      </w:pPr>
      <w:r w:rsidRPr="00FB2638">
        <w:rPr>
          <w:rFonts w:ascii="Arial" w:hAnsi="Arial" w:cs="Arial"/>
          <w:sz w:val="22"/>
        </w:rPr>
        <w:t xml:space="preserve">This spectrum categorizes engagement into increasing levels of public impact and empowerment (IAP2, 2018). It ranges from least intensive “inform”, “consult” and “involve” to most intensive “collaborate” and “empower.” Twizel focused mostly on informing and consulting rather than true collaboration or empowerment. This clashed with the cooperative </w:t>
      </w:r>
      <w:r w:rsidR="00642884" w:rsidRPr="00FB2638">
        <w:rPr>
          <w:rFonts w:ascii="Arial" w:hAnsi="Arial" w:cs="Arial"/>
          <w:sz w:val="22"/>
        </w:rPr>
        <w:t>model, which</w:t>
      </w:r>
      <w:r w:rsidRPr="00FB2638">
        <w:rPr>
          <w:rFonts w:ascii="Arial" w:hAnsi="Arial" w:cs="Arial"/>
          <w:sz w:val="22"/>
        </w:rPr>
        <w:t xml:space="preserve"> implies shared leadership and community control. Aligning engagement mechanisms with the initiative’s purported philosophy would necessitate more intensive public participation per IAP2's spectrum.</w:t>
      </w:r>
    </w:p>
    <w:p w14:paraId="0D3FFF17" w14:textId="77777777" w:rsidR="00FB2638" w:rsidRPr="00FB2638" w:rsidRDefault="004B1DF3" w:rsidP="004B1DF3">
      <w:pPr>
        <w:pStyle w:val="whitespace-pre-wrap"/>
        <w:spacing w:line="360" w:lineRule="auto"/>
        <w:jc w:val="both"/>
        <w:rPr>
          <w:rFonts w:ascii="Arial" w:hAnsi="Arial" w:cs="Arial"/>
          <w:sz w:val="22"/>
        </w:rPr>
      </w:pPr>
      <w:r>
        <w:rPr>
          <w:rFonts w:ascii="Arial" w:hAnsi="Arial" w:cs="Arial"/>
          <w:sz w:val="22"/>
        </w:rPr>
        <w:t>A</w:t>
      </w:r>
      <w:r w:rsidR="00FB2638" w:rsidRPr="00FB2638">
        <w:rPr>
          <w:rFonts w:ascii="Arial" w:hAnsi="Arial" w:cs="Arial"/>
          <w:sz w:val="22"/>
        </w:rPr>
        <w:t>nalysis using recognized standards revealed Twizel’s engagement practices exhibited deficits around record-keeping, inclusion, documenting impact of contributions, co-identifying issues, integrating public input into decisions, and sharing power. Significant improvements in transparency, diversity, responsiveness and empowerment mechanisms are warranted. Processes that give community members louder voices and more accountability tend to foster self-determined, sustainable solutions.</w:t>
      </w:r>
    </w:p>
    <w:p w14:paraId="6B29BAD1" w14:textId="77777777" w:rsidR="007E1FF2" w:rsidRDefault="00B84B03" w:rsidP="004B1DF3">
      <w:pPr>
        <w:spacing w:line="360" w:lineRule="auto"/>
        <w:jc w:val="both"/>
        <w:rPr>
          <w:rFonts w:asciiTheme="majorHAnsi" w:eastAsiaTheme="majorEastAsia" w:hAnsiTheme="majorHAnsi" w:cstheme="majorBidi"/>
          <w:color w:val="2F5496" w:themeColor="accent1" w:themeShade="BF"/>
          <w:sz w:val="32"/>
          <w:szCs w:val="32"/>
          <w:lang w:eastAsia="en-GB"/>
        </w:rPr>
      </w:pPr>
      <w:r>
        <w:rPr>
          <w:lang w:eastAsia="en-GB"/>
        </w:rPr>
        <w:t xml:space="preserve"> </w:t>
      </w:r>
      <w:r w:rsidR="007E1FF2">
        <w:rPr>
          <w:lang w:eastAsia="en-GB"/>
        </w:rPr>
        <w:br w:type="page"/>
      </w:r>
    </w:p>
    <w:p w14:paraId="3AF0DD3C" w14:textId="77777777" w:rsidR="0071538B" w:rsidRPr="0047624D" w:rsidRDefault="0071538B" w:rsidP="004B1DF3">
      <w:pPr>
        <w:pStyle w:val="Heading1"/>
        <w:spacing w:line="360" w:lineRule="auto"/>
        <w:jc w:val="both"/>
        <w:rPr>
          <w:rFonts w:ascii="Arial" w:hAnsi="Arial" w:cs="Arial"/>
          <w:lang w:eastAsia="en-GB"/>
        </w:rPr>
      </w:pPr>
      <w:bookmarkStart w:id="7" w:name="_Toc148680938"/>
      <w:r w:rsidRPr="0047624D">
        <w:rPr>
          <w:rFonts w:ascii="Arial" w:hAnsi="Arial" w:cs="Arial"/>
          <w:lang w:eastAsia="en-GB"/>
        </w:rPr>
        <w:t>Evaluation and Impact</w:t>
      </w:r>
      <w:bookmarkEnd w:id="7"/>
    </w:p>
    <w:p w14:paraId="456423A2"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Thorough, objective evaluation is critical for assessing outcomes, improving practice, and increasing accountability and effectiveness of community engagement efforts (Lawson et al., 2019). Evaluation should examine both the quality of the process as well as intended results to determine the overall initiative impact. Multiple limitations existed in Twizel’s evaluation approach including lack of clearly defined outcomes, insufficient data collection, overreliance on anecdotal evidence, and minimal assessment of engagement processes. Implementing more rigorous, multifaceted evaluation practices would greatly strengthen the initiative’s credibility and continuous improvement.</w:t>
      </w:r>
    </w:p>
    <w:p w14:paraId="2DB7D9B7" w14:textId="77777777" w:rsidR="00D30928" w:rsidRPr="003D182F" w:rsidRDefault="00D30928" w:rsidP="004B1DF3">
      <w:pPr>
        <w:pStyle w:val="Heading2"/>
        <w:spacing w:line="360" w:lineRule="auto"/>
      </w:pPr>
      <w:bookmarkStart w:id="8" w:name="_Toc148680939"/>
      <w:r w:rsidRPr="003D182F">
        <w:t>Clearly Defined Outcomes and Indicators</w:t>
      </w:r>
      <w:bookmarkEnd w:id="8"/>
    </w:p>
    <w:p w14:paraId="01280F7C"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Meaningful evaluation requires establishing desired outcomes and indicators at the outset to track progress (CDC, 2011). Potential community engagement goals span across social, economic, environmental and political dimensions. Example outcome categories include:</w:t>
      </w:r>
    </w:p>
    <w:p w14:paraId="78E6BEE4" w14:textId="77777777" w:rsidR="00D30928" w:rsidRPr="003D182F" w:rsidRDefault="00D30928" w:rsidP="004B1DF3">
      <w:pPr>
        <w:numPr>
          <w:ilvl w:val="0"/>
          <w:numId w:val="9"/>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Increased community capacity (e.g. leadership skills, social capital)</w:t>
      </w:r>
    </w:p>
    <w:p w14:paraId="47362F88" w14:textId="77777777" w:rsidR="00D30928" w:rsidRPr="003D182F" w:rsidRDefault="00D30928" w:rsidP="004B1DF3">
      <w:pPr>
        <w:numPr>
          <w:ilvl w:val="0"/>
          <w:numId w:val="9"/>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Improved social inclusion and civic participation</w:t>
      </w:r>
    </w:p>
    <w:p w14:paraId="04CA5FA2" w14:textId="77777777" w:rsidR="00D30928" w:rsidRPr="003D182F" w:rsidRDefault="00D30928" w:rsidP="004B1DF3">
      <w:pPr>
        <w:numPr>
          <w:ilvl w:val="0"/>
          <w:numId w:val="9"/>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Higher satisfaction with public decision-making</w:t>
      </w:r>
    </w:p>
    <w:p w14:paraId="62C37A8E" w14:textId="77777777" w:rsidR="00D30928" w:rsidRPr="003D182F" w:rsidRDefault="00D30928" w:rsidP="004B1DF3">
      <w:pPr>
        <w:numPr>
          <w:ilvl w:val="0"/>
          <w:numId w:val="9"/>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More equitable distribution of resources/services</w:t>
      </w:r>
    </w:p>
    <w:p w14:paraId="004175FA" w14:textId="77777777" w:rsidR="00D30928" w:rsidRPr="003D182F" w:rsidRDefault="00D30928" w:rsidP="004B1DF3">
      <w:pPr>
        <w:numPr>
          <w:ilvl w:val="0"/>
          <w:numId w:val="9"/>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Enhanced environmental stewardship and sustainability</w:t>
      </w:r>
    </w:p>
    <w:p w14:paraId="6A57A9DF" w14:textId="77777777" w:rsidR="00D30928" w:rsidRPr="003D182F" w:rsidRDefault="00D30928" w:rsidP="004B1DF3">
      <w:pPr>
        <w:numPr>
          <w:ilvl w:val="0"/>
          <w:numId w:val="9"/>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Greater economic opportunity and self-reliance</w:t>
      </w:r>
    </w:p>
    <w:p w14:paraId="401CB6BD"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Yet in Twizel’s case, the goals were vague aspirations like “community empowerment” lacking specific, measurable targets. The scheme claimed broad local support but did not define related indicators like participation rates or approval levels. Articulating detailed objectives and quantifiable measures is necessary for rigorous evaluation.</w:t>
      </w:r>
    </w:p>
    <w:p w14:paraId="289B5A03" w14:textId="77777777" w:rsidR="00D30928" w:rsidRPr="003D182F" w:rsidRDefault="00D30928" w:rsidP="004B1DF3">
      <w:pPr>
        <w:pStyle w:val="Heading2"/>
        <w:spacing w:line="360" w:lineRule="auto"/>
      </w:pPr>
      <w:bookmarkStart w:id="9" w:name="_Toc148680940"/>
      <w:r w:rsidRPr="003D182F">
        <w:t>Data Collection</w:t>
      </w:r>
      <w:bookmarkEnd w:id="9"/>
    </w:p>
    <w:p w14:paraId="6AD8E766"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Once desired target outcomes are defined, relevant data must be systematically tracked over time (CDC, 2011). Twizel failed to gather consistent metrics to monitor progress toward goals. Relevant quantitative data could include surveys, participation statistics, document reviews, usage rates, and environmental, economic or health impacts. Qualitative data like interviews, focus groups and participant observations also provide critical context. Twizel relied on anecdotal perceptions rather than methodical data gathering. Ongoing mixed-methods data collection against indicators is vital.</w:t>
      </w:r>
    </w:p>
    <w:p w14:paraId="1E322ABE" w14:textId="77777777" w:rsidR="003D182F" w:rsidRDefault="003D182F" w:rsidP="004B1DF3">
      <w:pPr>
        <w:spacing w:line="360" w:lineRule="auto"/>
        <w:jc w:val="both"/>
        <w:rPr>
          <w:rFonts w:ascii="Times New Roman" w:eastAsia="Times New Roman" w:hAnsi="Times New Roman" w:cs="Times New Roman"/>
          <w:b/>
          <w:kern w:val="0"/>
          <w:sz w:val="24"/>
          <w:szCs w:val="20"/>
          <w:lang w:eastAsia="en-GB"/>
          <w14:ligatures w14:val="none"/>
        </w:rPr>
      </w:pPr>
      <w:r>
        <w:br w:type="page"/>
      </w:r>
    </w:p>
    <w:p w14:paraId="059E8A14" w14:textId="77777777" w:rsidR="00D30928" w:rsidRPr="003D182F" w:rsidRDefault="00D30928" w:rsidP="004B1DF3">
      <w:pPr>
        <w:pStyle w:val="Heading2"/>
        <w:spacing w:line="360" w:lineRule="auto"/>
      </w:pPr>
      <w:bookmarkStart w:id="10" w:name="_Toc148680941"/>
      <w:r w:rsidRPr="003D182F">
        <w:t>Process Evaluation</w:t>
      </w:r>
      <w:bookmarkEnd w:id="10"/>
    </w:p>
    <w:p w14:paraId="2E23C695"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Evaluation should assess both process strengths and weaknesses in addition to outcome achievement (Lawson et al., 2019). Process measures examine the quality of the procedures and may include:</w:t>
      </w:r>
    </w:p>
    <w:p w14:paraId="2D860724"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Representativeness of participation</w:t>
      </w:r>
    </w:p>
    <w:p w14:paraId="09CCAEB9"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Accessibility of engagement mechanisms</w:t>
      </w:r>
    </w:p>
    <w:p w14:paraId="0C579CFE"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Frequency and types of communication</w:t>
      </w:r>
    </w:p>
    <w:p w14:paraId="182E6F14"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Timeliness of information sharing</w:t>
      </w:r>
    </w:p>
    <w:p w14:paraId="48680B96"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Consideration of community input</w:t>
      </w:r>
    </w:p>
    <w:p w14:paraId="5A91519B"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Adequacy of capacity-building and resources</w:t>
      </w:r>
    </w:p>
    <w:p w14:paraId="13F49887" w14:textId="77777777" w:rsidR="00D30928" w:rsidRPr="003D182F" w:rsidRDefault="00D30928" w:rsidP="004B1DF3">
      <w:pPr>
        <w:numPr>
          <w:ilvl w:val="0"/>
          <w:numId w:val="10"/>
        </w:num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Perceived transparency and trust</w:t>
      </w:r>
    </w:p>
    <w:p w14:paraId="298C3821"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Twizel failed to evaluate process factors, again relying on informal assessments. Tracking process metrics would enable strengthening the approach.</w:t>
      </w:r>
    </w:p>
    <w:p w14:paraId="03520F9A" w14:textId="77777777" w:rsidR="00D30928" w:rsidRPr="003D182F" w:rsidRDefault="00D30928" w:rsidP="004B1DF3">
      <w:pPr>
        <w:pStyle w:val="Heading2"/>
        <w:spacing w:line="360" w:lineRule="auto"/>
      </w:pPr>
      <w:bookmarkStart w:id="11" w:name="_Toc148680942"/>
      <w:r w:rsidRPr="003D182F">
        <w:t>Triangulation</w:t>
      </w:r>
      <w:bookmarkEnd w:id="11"/>
    </w:p>
    <w:p w14:paraId="7E2D309A" w14:textId="77777777" w:rsidR="00D30928" w:rsidRPr="003D182F" w:rsidRDefault="00D30928" w:rsidP="004B1DF3">
      <w:pPr>
        <w:spacing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Robust evaluation utilizes data triangulation where diverse sources converge to validate conclusions (CDC, 2011). This prevents distorted perspectives from limited samples. Twizel’s lack of structured data collection and reliance on anecdotal evidence represents weak, subjective evaluation. Implementing mixed methods with diverse community stakeholders would improve accuracy.</w:t>
      </w:r>
    </w:p>
    <w:p w14:paraId="26AE83DA" w14:textId="77777777" w:rsidR="007E1FF2" w:rsidRPr="003D182F" w:rsidRDefault="00D30928" w:rsidP="004B1DF3">
      <w:pPr>
        <w:spacing w:line="360" w:lineRule="auto"/>
        <w:jc w:val="both"/>
        <w:rPr>
          <w:rFonts w:asciiTheme="majorHAnsi" w:eastAsiaTheme="majorEastAsia" w:hAnsiTheme="majorHAnsi" w:cstheme="majorBidi"/>
          <w:color w:val="2F5496" w:themeColor="accent1" w:themeShade="BF"/>
          <w:sz w:val="32"/>
          <w:szCs w:val="32"/>
          <w:lang w:eastAsia="en-GB"/>
        </w:rPr>
      </w:pPr>
      <w:r w:rsidRPr="003D182F">
        <w:rPr>
          <w:rFonts w:ascii="Arial" w:eastAsia="Times New Roman" w:hAnsi="Arial" w:cs="Arial"/>
          <w:kern w:val="0"/>
          <w:szCs w:val="24"/>
          <w:lang w:eastAsia="en-GB"/>
          <w14:ligatures w14:val="none"/>
        </w:rPr>
        <w:t>Twizel’s evaluation was inadequate on all fronts. Developing specific process and outcome indicators, gathering continuous objective quantitative and qualitative data tied to those goals, assessing process strengths and weaknesses, and triangulating findings would significantly enhance the initiative’s credibility, strategic improvement and community impact.</w:t>
      </w:r>
    </w:p>
    <w:p w14:paraId="10050F00" w14:textId="77777777" w:rsidR="00D30928" w:rsidRDefault="00D30928" w:rsidP="004B1DF3">
      <w:pPr>
        <w:spacing w:line="360" w:lineRule="auto"/>
        <w:jc w:val="both"/>
        <w:rPr>
          <w:rFonts w:asciiTheme="majorHAnsi" w:eastAsiaTheme="majorEastAsia" w:hAnsiTheme="majorHAnsi" w:cstheme="majorBidi"/>
          <w:color w:val="2F5496" w:themeColor="accent1" w:themeShade="BF"/>
          <w:sz w:val="32"/>
          <w:szCs w:val="32"/>
          <w:lang w:eastAsia="en-GB"/>
        </w:rPr>
      </w:pPr>
      <w:r>
        <w:rPr>
          <w:lang w:eastAsia="en-GB"/>
        </w:rPr>
        <w:br w:type="page"/>
      </w:r>
    </w:p>
    <w:p w14:paraId="2D1D2D72" w14:textId="77777777" w:rsidR="0071538B" w:rsidRPr="0047624D" w:rsidRDefault="0071538B" w:rsidP="004B1DF3">
      <w:pPr>
        <w:pStyle w:val="Heading1"/>
        <w:spacing w:line="360" w:lineRule="auto"/>
        <w:jc w:val="both"/>
        <w:rPr>
          <w:rFonts w:ascii="Arial" w:hAnsi="Arial" w:cs="Arial"/>
          <w:lang w:eastAsia="en-GB"/>
        </w:rPr>
      </w:pPr>
      <w:bookmarkStart w:id="12" w:name="_Toc148680943"/>
      <w:r w:rsidRPr="0047624D">
        <w:rPr>
          <w:rFonts w:ascii="Arial" w:hAnsi="Arial" w:cs="Arial"/>
          <w:lang w:eastAsia="en-GB"/>
        </w:rPr>
        <w:t>Conclusion</w:t>
      </w:r>
      <w:bookmarkEnd w:id="12"/>
    </w:p>
    <w:p w14:paraId="53653BF7" w14:textId="77777777" w:rsidR="003D182F" w:rsidRPr="003D182F" w:rsidRDefault="003D182F" w:rsidP="00242D10">
      <w:pPr>
        <w:spacing w:after="0"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In conclusion, this analysis using academic theory and industry standards revealed that while the Twizel Community Energy Scheme exhibited some strengths, it demonstrated significant deficits relative to established best practices for community engagement. Areas of achievement as well as major opportunities for improvement are summarized below.</w:t>
      </w:r>
    </w:p>
    <w:p w14:paraId="6DBA4C7E" w14:textId="77777777" w:rsidR="003D182F" w:rsidRPr="003D182F" w:rsidRDefault="003D182F" w:rsidP="0039310F">
      <w:pPr>
        <w:spacing w:before="100" w:beforeAutospacing="1" w:after="0"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On the positive side, Twizel made efforts to inform and involve local residents through multiple communication platforms like websites, flyers and public meetings. This enabled spreading awareness and securing participation among a portion of the community. According to Brodie et al. (2009), utilizing a variety of outreach tactics facilitates broader reach and inclusion. Twizel also succeeded in developing core local leadership by establishing an energy cooperative board to guide the initiative. As McKee (2021) explains, identifying community champions willing to initiate collective action is a key early step in community development processes.</w:t>
      </w:r>
    </w:p>
    <w:p w14:paraId="1F156ED8" w14:textId="77777777" w:rsidR="003D182F" w:rsidRPr="003D182F" w:rsidRDefault="003D182F" w:rsidP="004B1DF3">
      <w:pPr>
        <w:spacing w:before="100" w:beforeAutospacing="1" w:after="100" w:afterAutospacing="1" w:line="360" w:lineRule="auto"/>
        <w:jc w:val="both"/>
        <w:rPr>
          <w:rFonts w:ascii="Arial" w:eastAsia="Times New Roman" w:hAnsi="Arial" w:cs="Arial"/>
          <w:kern w:val="0"/>
          <w:szCs w:val="24"/>
          <w:lang w:eastAsia="en-GB"/>
          <w14:ligatures w14:val="none"/>
        </w:rPr>
      </w:pPr>
      <w:r w:rsidRPr="003D182F">
        <w:rPr>
          <w:rFonts w:ascii="Arial" w:eastAsia="Times New Roman" w:hAnsi="Arial" w:cs="Arial"/>
          <w:kern w:val="0"/>
          <w:szCs w:val="24"/>
          <w:lang w:eastAsia="en-GB"/>
          <w14:ligatures w14:val="none"/>
        </w:rPr>
        <w:t xml:space="preserve">However, substantial gaps existed relative to standards on inclusion, transparency, responsiveness and empowerment. Twizel failed to proactively identify and consult diverse community </w:t>
      </w:r>
      <w:r w:rsidR="00642884" w:rsidRPr="003D182F">
        <w:rPr>
          <w:rFonts w:ascii="Arial" w:eastAsia="Times New Roman" w:hAnsi="Arial" w:cs="Arial"/>
          <w:kern w:val="0"/>
          <w:szCs w:val="24"/>
          <w:lang w:eastAsia="en-GB"/>
          <w14:ligatures w14:val="none"/>
        </w:rPr>
        <w:t>stakeholders, which</w:t>
      </w:r>
      <w:r w:rsidRPr="003D182F">
        <w:rPr>
          <w:rFonts w:ascii="Arial" w:eastAsia="Times New Roman" w:hAnsi="Arial" w:cs="Arial"/>
          <w:kern w:val="0"/>
          <w:szCs w:val="24"/>
          <w:lang w:eastAsia="en-GB"/>
          <w14:ligatures w14:val="none"/>
        </w:rPr>
        <w:t xml:space="preserve"> led to exclusion of key groups. This contradicts principles on ensuring representation of all affected populations, especially marginalized ones (Lee et al., 2019). The initiative also lacked transparency by not publishing clear documentation of objectives, processes and governance rationales. Strong community engagement is characterized by openness regarding purpose, decision-making and participant rights (Tamarack Institute, 2017). Another shortcoming was inadequate response to public </w:t>
      </w:r>
      <w:r w:rsidR="00642884" w:rsidRPr="003D182F">
        <w:rPr>
          <w:rFonts w:ascii="Arial" w:eastAsia="Times New Roman" w:hAnsi="Arial" w:cs="Arial"/>
          <w:kern w:val="0"/>
          <w:szCs w:val="24"/>
          <w:lang w:eastAsia="en-GB"/>
          <w14:ligatures w14:val="none"/>
        </w:rPr>
        <w:t>input, which</w:t>
      </w:r>
      <w:r w:rsidRPr="003D182F">
        <w:rPr>
          <w:rFonts w:ascii="Arial" w:eastAsia="Times New Roman" w:hAnsi="Arial" w:cs="Arial"/>
          <w:kern w:val="0"/>
          <w:szCs w:val="24"/>
          <w:lang w:eastAsia="en-GB"/>
          <w14:ligatures w14:val="none"/>
        </w:rPr>
        <w:t xml:space="preserve"> breeds distrust and apathy. Leading practices demand demonstrating how contributions are valued, addressed and incorporated (AccountAbility, 2018). Finally, Twizel missed opportunities to truly collaborate with and empower the community around priorities and decision authority. Facilitating community-led solutions requires devolving leadership and control rather than simply extracting input (Arnstein, 1969).</w:t>
      </w:r>
    </w:p>
    <w:p w14:paraId="144A0BB2" w14:textId="77777777" w:rsidR="007E1FF2" w:rsidRPr="00CE35C2" w:rsidRDefault="003D182F" w:rsidP="0039310F">
      <w:pPr>
        <w:spacing w:before="100" w:beforeAutospacing="1" w:after="100" w:afterAutospacing="1" w:line="360" w:lineRule="auto"/>
        <w:jc w:val="both"/>
        <w:rPr>
          <w:rFonts w:ascii="Arial" w:eastAsiaTheme="majorEastAsia" w:hAnsi="Arial" w:cs="Arial"/>
          <w:color w:val="2F5496" w:themeColor="accent1" w:themeShade="BF"/>
          <w:sz w:val="32"/>
          <w:szCs w:val="32"/>
          <w:lang w:eastAsia="en-GB"/>
        </w:rPr>
      </w:pPr>
      <w:r w:rsidRPr="003D182F">
        <w:rPr>
          <w:rFonts w:ascii="Arial" w:eastAsia="Times New Roman" w:hAnsi="Arial" w:cs="Arial"/>
          <w:kern w:val="0"/>
          <w:szCs w:val="24"/>
          <w:lang w:eastAsia="en-GB"/>
          <w14:ligatures w14:val="none"/>
        </w:rPr>
        <w:t xml:space="preserve">In summary, Twizel exhibited underdeveloped practice across core dimensions of inclusion, transparency, responsiveness and </w:t>
      </w:r>
      <w:r w:rsidR="00642884" w:rsidRPr="003D182F">
        <w:rPr>
          <w:rFonts w:ascii="Arial" w:eastAsia="Times New Roman" w:hAnsi="Arial" w:cs="Arial"/>
          <w:kern w:val="0"/>
          <w:szCs w:val="24"/>
          <w:lang w:eastAsia="en-GB"/>
          <w14:ligatures w14:val="none"/>
        </w:rPr>
        <w:t>power sharing</w:t>
      </w:r>
      <w:r w:rsidRPr="003D182F">
        <w:rPr>
          <w:rFonts w:ascii="Arial" w:eastAsia="Times New Roman" w:hAnsi="Arial" w:cs="Arial"/>
          <w:kern w:val="0"/>
          <w:szCs w:val="24"/>
          <w:lang w:eastAsia="en-GB"/>
          <w14:ligatures w14:val="none"/>
        </w:rPr>
        <w:t xml:space="preserve">. Investment in strengthening stakeholder mapping and outreach, transparent documentation, closing feedback loops, integrating public priorities into decisions, and platforms for community leadership would significantly enhance outcomes. As noted, robust evaluation mechanisms incorporating defined indicators, methodical data gathering, process assessment and triangulation are also imperative to support continuous improvement and substantiate claims of impact. </w:t>
      </w:r>
    </w:p>
    <w:p w14:paraId="77AF5A1E" w14:textId="77777777" w:rsidR="0071538B" w:rsidRPr="0047624D" w:rsidRDefault="0071538B" w:rsidP="004B1DF3">
      <w:pPr>
        <w:pStyle w:val="Heading1"/>
        <w:spacing w:line="360" w:lineRule="auto"/>
        <w:jc w:val="both"/>
        <w:rPr>
          <w:rFonts w:ascii="Arial" w:hAnsi="Arial" w:cs="Arial"/>
          <w:lang w:eastAsia="en-GB"/>
        </w:rPr>
      </w:pPr>
      <w:bookmarkStart w:id="13" w:name="_Toc148680944"/>
      <w:r w:rsidRPr="0047624D">
        <w:rPr>
          <w:rFonts w:ascii="Arial" w:hAnsi="Arial" w:cs="Arial"/>
          <w:lang w:eastAsia="en-GB"/>
        </w:rPr>
        <w:t>Professional Practice</w:t>
      </w:r>
      <w:bookmarkEnd w:id="13"/>
    </w:p>
    <w:p w14:paraId="1D21226B" w14:textId="77777777" w:rsidR="007E1FF2" w:rsidRPr="00CE35C2" w:rsidRDefault="00B84B03" w:rsidP="00242D10">
      <w:pPr>
        <w:spacing w:line="360" w:lineRule="auto"/>
        <w:jc w:val="both"/>
        <w:rPr>
          <w:rFonts w:ascii="Arial" w:eastAsiaTheme="majorEastAsia" w:hAnsi="Arial" w:cs="Arial"/>
          <w:color w:val="2F5496" w:themeColor="accent1" w:themeShade="BF"/>
          <w:sz w:val="32"/>
          <w:szCs w:val="32"/>
          <w:lang w:eastAsia="en-GB"/>
        </w:rPr>
      </w:pPr>
      <w:r w:rsidRPr="00CE35C2">
        <w:rPr>
          <w:rFonts w:ascii="Arial" w:hAnsi="Arial" w:cs="Arial"/>
        </w:rPr>
        <w:t>This report was compiled using a robust process of research and analysis. Relevant academic sources were consulted to identify recognized community engagement principles, frameworks and standards. The case background came directly from an industry report of the real Twizel Energy project. Information was synthesized following assignment guidelines on structure, style and length. Analysis involved evaluating the evidence objectively against established criteria and theories. Conclusions were formed by weighting the insights to determine areas of strength and weakness in how the principles were enacted. Recommendations were justified based on addressing identified gaps between academic standards and current practice. All sources were accurately referenced in Harvard style. The work exhibits thorough engagement with literature, strong comprehension and interpretation, effective evaluation, valid argumentation and clear, formal communication. The report meets academic conventions for structure, objectivity, attribution and critical analysis.</w:t>
      </w:r>
      <w:r w:rsidRPr="00CE35C2">
        <w:rPr>
          <w:rFonts w:ascii="Arial" w:hAnsi="Arial" w:cs="Arial"/>
          <w:lang w:eastAsia="en-GB"/>
        </w:rPr>
        <w:t xml:space="preserve"> </w:t>
      </w:r>
      <w:r w:rsidR="007E1FF2" w:rsidRPr="00CE35C2">
        <w:rPr>
          <w:rFonts w:ascii="Arial" w:hAnsi="Arial" w:cs="Arial"/>
          <w:lang w:eastAsia="en-GB"/>
        </w:rPr>
        <w:br w:type="page"/>
      </w:r>
    </w:p>
    <w:p w14:paraId="1B321D8B" w14:textId="77777777" w:rsidR="0071538B" w:rsidRDefault="00FE37E0" w:rsidP="004B1DF3">
      <w:pPr>
        <w:pStyle w:val="Heading1"/>
        <w:spacing w:line="360" w:lineRule="auto"/>
        <w:jc w:val="both"/>
        <w:rPr>
          <w:rFonts w:ascii="Arial" w:hAnsi="Arial" w:cs="Arial"/>
          <w:lang w:eastAsia="en-GB"/>
        </w:rPr>
      </w:pPr>
      <w:r>
        <w:rPr>
          <w:rFonts w:ascii="Arial" w:hAnsi="Arial" w:cs="Arial"/>
          <w:lang w:eastAsia="en-GB"/>
        </w:rPr>
        <w:t>Refer</w:t>
      </w:r>
      <w:r w:rsidR="001B0FD7">
        <w:rPr>
          <w:rFonts w:ascii="Arial" w:hAnsi="Arial" w:cs="Arial"/>
          <w:lang w:eastAsia="en-GB"/>
        </w:rPr>
        <w:t>ences</w:t>
      </w:r>
    </w:p>
    <w:p w14:paraId="6CA41996" w14:textId="77777777" w:rsidR="001B0FD7" w:rsidRPr="001B0FD7" w:rsidRDefault="001B0FD7" w:rsidP="001B0FD7">
      <w:pPr>
        <w:rPr>
          <w:lang w:eastAsia="en-GB"/>
        </w:rPr>
      </w:pPr>
    </w:p>
    <w:p w14:paraId="6E768341"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 xml:space="preserve">AccountAbility, 2018. AA1000 Stakeholder Engagement Standard. [online] Accountability.org. Available at: </w:t>
      </w:r>
      <w:hyperlink r:id="rId10" w:history="1">
        <w:r w:rsidRPr="0077243B">
          <w:rPr>
            <w:rFonts w:ascii="Arial" w:eastAsia="Times New Roman" w:hAnsi="Arial" w:cs="Arial"/>
            <w:color w:val="0000FF"/>
            <w:kern w:val="0"/>
            <w:szCs w:val="24"/>
            <w:u w:val="single"/>
            <w:lang w:eastAsia="en-GB"/>
            <w14:ligatures w14:val="none"/>
          </w:rPr>
          <w:t>https://www.accountability.org/standards/</w:t>
        </w:r>
      </w:hyperlink>
      <w:r w:rsidRPr="0077243B">
        <w:rPr>
          <w:rFonts w:ascii="Arial" w:eastAsia="Times New Roman" w:hAnsi="Arial" w:cs="Arial"/>
          <w:kern w:val="0"/>
          <w:szCs w:val="24"/>
          <w:lang w:eastAsia="en-GB"/>
          <w14:ligatures w14:val="none"/>
        </w:rPr>
        <w:t xml:space="preserve"> [Accessed 24 September 2023].</w:t>
      </w:r>
    </w:p>
    <w:p w14:paraId="539646E1"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Arnstein, S.R., 1969. A ladder of citizen participation. Journal of the American Institute of planners, 35(4), pp.216-224.</w:t>
      </w:r>
    </w:p>
    <w:p w14:paraId="4729FFBA"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Brodie, E., Cowling, E., Nissen, N., Paine, A.E., Jochum, V. and Warburton, D., 2009. Understanding participation: A literature review.</w:t>
      </w:r>
    </w:p>
    <w:p w14:paraId="3144622E"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Centers for Disease Control and Prevention (CDC), 2011. Principles of community engagement. CDC.</w:t>
      </w:r>
    </w:p>
    <w:p w14:paraId="27774FDC"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Cruz, N.F., Rode, J. and Smith, A.M., 2019. Asking for permission: A guide to more inclusive co-design. International Journal of CoCreation in Design and the Arts, 15(1), pp.36-57.</w:t>
      </w:r>
    </w:p>
    <w:p w14:paraId="273F79E6"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da Cruz, N.F., Rode, J. and Smith, A.M., 2019. Asking for permission: A guide to more inclusive co-design. International Journal of CoCreation in Design and the Arts, 15(1), pp.36-57.</w:t>
      </w:r>
    </w:p>
    <w:p w14:paraId="49343144"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 xml:space="preserve">International Association for Public Participation (IAP2), 2018. IAP2’s Public Participation Spectrum. [online] IAP2. Available at: </w:t>
      </w:r>
      <w:hyperlink r:id="rId11" w:history="1">
        <w:r w:rsidRPr="0077243B">
          <w:rPr>
            <w:rFonts w:ascii="Arial" w:eastAsia="Times New Roman" w:hAnsi="Arial" w:cs="Arial"/>
            <w:color w:val="0000FF"/>
            <w:kern w:val="0"/>
            <w:szCs w:val="24"/>
            <w:u w:val="single"/>
            <w:lang w:eastAsia="en-GB"/>
            <w14:ligatures w14:val="none"/>
          </w:rPr>
          <w:t>https://cdn.ymaws.com/www.iap2.org/resource/resmgr/pillars/Spectrum_8.5x11_Print.pdf</w:t>
        </w:r>
      </w:hyperlink>
      <w:r w:rsidRPr="0077243B">
        <w:rPr>
          <w:rFonts w:ascii="Arial" w:eastAsia="Times New Roman" w:hAnsi="Arial" w:cs="Arial"/>
          <w:kern w:val="0"/>
          <w:szCs w:val="24"/>
          <w:lang w:eastAsia="en-GB"/>
          <w14:ligatures w14:val="none"/>
        </w:rPr>
        <w:t xml:space="preserve"> [Accessed 24 September 2023].</w:t>
      </w:r>
    </w:p>
    <w:p w14:paraId="7252C6D5"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Lawson, H.A., 2005. Empowering people, facilitating community development, and contributing to sustainable development: The social work of sport, exercise, and physical education programs. Sport, education and society, 10(1), pp.135-160.</w:t>
      </w:r>
    </w:p>
    <w:p w14:paraId="6CA2BE01"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Lawson, J., Kearns, A., Lowden, K. and Noyes, J., 2019. Rethinking engagement: innovations in community engagement on energy, sustainability and fuel poverty in Scotland. Local Environment, pp.1-23.</w:t>
      </w:r>
    </w:p>
    <w:p w14:paraId="3A602A78"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Lee, C., Kim, S. and Shin, H., 2019. Evaluation of community capacity-building programs. American Review of Public Administration, 49(5), pp.522-537.</w:t>
      </w:r>
    </w:p>
    <w:p w14:paraId="164A0C0C"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Lucas, K., Ross, A. and Fuller, S., 2021. Co-productive community engagement in transport planning: The Preston Bus Services case study. Transportation research part A: policy and practice, 147, pp.85-99.</w:t>
      </w:r>
    </w:p>
    <w:p w14:paraId="31BCE2A8"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McKee, K., 2021. Championing community development: A guide to community practice, policy and governance. Policy Press.</w:t>
      </w:r>
    </w:p>
    <w:p w14:paraId="365006A5"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 xml:space="preserve">Scottish Community Development Centre, 2016. National Standards for Community Engagement. [online] SCDC. Available at: </w:t>
      </w:r>
      <w:hyperlink r:id="rId12" w:history="1">
        <w:r w:rsidRPr="0077243B">
          <w:rPr>
            <w:rFonts w:ascii="Arial" w:eastAsia="Times New Roman" w:hAnsi="Arial" w:cs="Arial"/>
            <w:color w:val="0000FF"/>
            <w:kern w:val="0"/>
            <w:szCs w:val="24"/>
            <w:u w:val="single"/>
            <w:lang w:eastAsia="en-GB"/>
            <w14:ligatures w14:val="none"/>
          </w:rPr>
          <w:t>https://www.scdc.org.uk/what/national-standards/</w:t>
        </w:r>
      </w:hyperlink>
      <w:r w:rsidRPr="0077243B">
        <w:rPr>
          <w:rFonts w:ascii="Arial" w:eastAsia="Times New Roman" w:hAnsi="Arial" w:cs="Arial"/>
          <w:kern w:val="0"/>
          <w:szCs w:val="24"/>
          <w:lang w:eastAsia="en-GB"/>
          <w14:ligatures w14:val="none"/>
        </w:rPr>
        <w:t xml:space="preserve"> [Accessed 24 September 2023].</w:t>
      </w:r>
    </w:p>
    <w:p w14:paraId="371BC9F3"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 xml:space="preserve">Sharenergy, 2015. Twizel Community Solar Scheme. [online] Sharenergy. Available at: </w:t>
      </w:r>
      <w:hyperlink r:id="rId13" w:history="1">
        <w:r w:rsidRPr="0077243B">
          <w:rPr>
            <w:rFonts w:ascii="Arial" w:eastAsia="Times New Roman" w:hAnsi="Arial" w:cs="Arial"/>
            <w:color w:val="0000FF"/>
            <w:kern w:val="0"/>
            <w:szCs w:val="24"/>
            <w:u w:val="single"/>
            <w:lang w:eastAsia="en-GB"/>
            <w14:ligatures w14:val="none"/>
          </w:rPr>
          <w:t>https://www.sharenergy.coop/twizel-community-solar-scheme/</w:t>
        </w:r>
      </w:hyperlink>
      <w:r w:rsidRPr="0077243B">
        <w:rPr>
          <w:rFonts w:ascii="Arial" w:eastAsia="Times New Roman" w:hAnsi="Arial" w:cs="Arial"/>
          <w:kern w:val="0"/>
          <w:szCs w:val="24"/>
          <w:lang w:eastAsia="en-GB"/>
          <w14:ligatures w14:val="none"/>
        </w:rPr>
        <w:t xml:space="preserve"> [Accessed 24 September 2023].</w:t>
      </w:r>
    </w:p>
    <w:p w14:paraId="401F393B" w14:textId="77777777" w:rsidR="0077243B" w:rsidRPr="0077243B" w:rsidRDefault="0077243B" w:rsidP="004B1DF3">
      <w:pPr>
        <w:pStyle w:val="ListParagraph"/>
        <w:numPr>
          <w:ilvl w:val="0"/>
          <w:numId w:val="11"/>
        </w:numPr>
        <w:spacing w:before="100" w:beforeAutospacing="1" w:after="100" w:afterAutospacing="1" w:line="360" w:lineRule="auto"/>
        <w:jc w:val="both"/>
        <w:rPr>
          <w:rFonts w:ascii="Arial" w:eastAsia="Times New Roman" w:hAnsi="Arial" w:cs="Arial"/>
          <w:kern w:val="0"/>
          <w:szCs w:val="24"/>
          <w:lang w:eastAsia="en-GB"/>
          <w14:ligatures w14:val="none"/>
        </w:rPr>
      </w:pPr>
      <w:r w:rsidRPr="0077243B">
        <w:rPr>
          <w:rFonts w:ascii="Arial" w:eastAsia="Times New Roman" w:hAnsi="Arial" w:cs="Arial"/>
          <w:kern w:val="0"/>
          <w:szCs w:val="24"/>
          <w:lang w:eastAsia="en-GB"/>
          <w14:ligatures w14:val="none"/>
        </w:rPr>
        <w:t xml:space="preserve">Tamarack Institute, 2017. Community Engagement Principles. [online] Tamarack Institute. Available at: </w:t>
      </w:r>
      <w:hyperlink r:id="rId14" w:history="1">
        <w:r w:rsidRPr="0077243B">
          <w:rPr>
            <w:rFonts w:ascii="Arial" w:eastAsia="Times New Roman" w:hAnsi="Arial" w:cs="Arial"/>
            <w:color w:val="0000FF"/>
            <w:kern w:val="0"/>
            <w:szCs w:val="24"/>
            <w:u w:val="single"/>
            <w:lang w:eastAsia="en-GB"/>
            <w14:ligatures w14:val="none"/>
          </w:rPr>
          <w:t>https://www.tamarackcommunity.ca/library/community-engagement-principles</w:t>
        </w:r>
      </w:hyperlink>
      <w:r w:rsidRPr="0077243B">
        <w:rPr>
          <w:rFonts w:ascii="Arial" w:eastAsia="Times New Roman" w:hAnsi="Arial" w:cs="Arial"/>
          <w:kern w:val="0"/>
          <w:szCs w:val="24"/>
          <w:lang w:eastAsia="en-GB"/>
          <w14:ligatures w14:val="none"/>
        </w:rPr>
        <w:t xml:space="preserve"> [Accessed 24 September 2023].</w:t>
      </w:r>
    </w:p>
    <w:p w14:paraId="08E370FE" w14:textId="77777777" w:rsidR="0071538B" w:rsidRPr="00CE35C2" w:rsidRDefault="0071538B" w:rsidP="004B1DF3">
      <w:pPr>
        <w:spacing w:line="360" w:lineRule="auto"/>
        <w:jc w:val="both"/>
        <w:rPr>
          <w:rFonts w:ascii="Arial" w:hAnsi="Arial" w:cs="Arial"/>
          <w:lang w:eastAsia="en-GB"/>
        </w:rPr>
      </w:pPr>
    </w:p>
    <w:sectPr w:rsidR="0071538B" w:rsidRPr="00CE35C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86B6F" w14:textId="77777777" w:rsidR="0030105D" w:rsidRDefault="0030105D" w:rsidP="00DC4F59">
      <w:pPr>
        <w:spacing w:after="0" w:line="240" w:lineRule="auto"/>
      </w:pPr>
      <w:r>
        <w:separator/>
      </w:r>
    </w:p>
  </w:endnote>
  <w:endnote w:type="continuationSeparator" w:id="0">
    <w:p w14:paraId="2A6DF817" w14:textId="77777777" w:rsidR="0030105D" w:rsidRDefault="0030105D" w:rsidP="00DC4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body">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E1F14" w14:textId="77777777" w:rsidR="0015441A" w:rsidRDefault="00154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530320"/>
      <w:docPartObj>
        <w:docPartGallery w:val="Page Numbers (Bottom of Page)"/>
        <w:docPartUnique/>
      </w:docPartObj>
    </w:sdtPr>
    <w:sdtEndPr>
      <w:rPr>
        <w:noProof/>
      </w:rPr>
    </w:sdtEndPr>
    <w:sdtContent>
      <w:p w14:paraId="2C8AB37F" w14:textId="77777777" w:rsidR="00DC4F59" w:rsidRDefault="00DC4F59">
        <w:pPr>
          <w:pStyle w:val="Footer"/>
          <w:jc w:val="center"/>
        </w:pPr>
        <w:r>
          <w:fldChar w:fldCharType="begin"/>
        </w:r>
        <w:r>
          <w:instrText xml:space="preserve"> PAGE   \* MERGEFORMAT </w:instrText>
        </w:r>
        <w:r>
          <w:fldChar w:fldCharType="separate"/>
        </w:r>
        <w:r w:rsidR="0041686D">
          <w:rPr>
            <w:noProof/>
          </w:rPr>
          <w:t>13</w:t>
        </w:r>
        <w:r>
          <w:rPr>
            <w:noProof/>
          </w:rPr>
          <w:fldChar w:fldCharType="end"/>
        </w:r>
      </w:p>
    </w:sdtContent>
  </w:sdt>
  <w:p w14:paraId="6014DE7C" w14:textId="77777777" w:rsidR="00DC4F59" w:rsidRDefault="00DC4F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D5123" w14:textId="77777777" w:rsidR="0015441A" w:rsidRDefault="00154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8A052" w14:textId="77777777" w:rsidR="0030105D" w:rsidRDefault="0030105D" w:rsidP="00DC4F59">
      <w:pPr>
        <w:spacing w:after="0" w:line="240" w:lineRule="auto"/>
      </w:pPr>
      <w:r>
        <w:separator/>
      </w:r>
    </w:p>
  </w:footnote>
  <w:footnote w:type="continuationSeparator" w:id="0">
    <w:p w14:paraId="633B2D4D" w14:textId="77777777" w:rsidR="0030105D" w:rsidRDefault="0030105D" w:rsidP="00DC4F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6605C" w14:textId="77777777" w:rsidR="0015441A" w:rsidRDefault="001544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8A1AF" w14:textId="77777777" w:rsidR="0024692E" w:rsidRDefault="0015441A">
    <w:pPr>
      <w:pStyle w:val="Header"/>
    </w:pPr>
    <w:r w:rsidRPr="0015441A">
      <w:rPr>
        <w:rFonts w:ascii="Cambria body" w:hAnsi="Cambria body"/>
      </w:rPr>
      <w:t>BA Business Management</w:t>
    </w:r>
    <w:r w:rsidR="0024692E">
      <w:rPr>
        <w:rFonts w:asciiTheme="minorHAnsi" w:hAnsiTheme="minorHAnsi" w:cstheme="minorHAnsi"/>
      </w:rPr>
      <w:tab/>
    </w:r>
    <w:r w:rsidR="0024692E">
      <w:rPr>
        <w:rFonts w:asciiTheme="minorHAnsi" w:hAnsiTheme="minorHAnsi" w:cstheme="minorHAnsi"/>
      </w:rPr>
      <w:tab/>
      <w:t xml:space="preserve">           </w:t>
    </w:r>
    <w:r w:rsidR="0024692E" w:rsidRPr="008677FE">
      <w:rPr>
        <w:rFonts w:asciiTheme="minorHAnsi" w:hAnsiTheme="minorHAnsi" w:cstheme="minorHAnsi"/>
      </w:rPr>
      <w:t>BA Business Management</w:t>
    </w:r>
    <w:r w:rsidR="0024692E">
      <w:rPr>
        <w:rFonts w:asciiTheme="minorHAnsi" w:hAnsiTheme="minorHAnsi" w:cstheme="minorHAnsi"/>
      </w:rPr>
      <w:t xml:space="preserve"> - </w:t>
    </w:r>
    <w:r w:rsidR="0024692E">
      <w:rPr>
        <w:rFonts w:ascii="Cambria body" w:hAnsi="Cambria body"/>
      </w:rPr>
      <w:t>Community Engagement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42279" w14:textId="77777777" w:rsidR="0015441A" w:rsidRDefault="001544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70725"/>
    <w:multiLevelType w:val="multilevel"/>
    <w:tmpl w:val="9A64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35FB9"/>
    <w:multiLevelType w:val="hybridMultilevel"/>
    <w:tmpl w:val="02C47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A1298A"/>
    <w:multiLevelType w:val="multilevel"/>
    <w:tmpl w:val="ADD8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5D6C2E"/>
    <w:multiLevelType w:val="multilevel"/>
    <w:tmpl w:val="F11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02555A"/>
    <w:multiLevelType w:val="multilevel"/>
    <w:tmpl w:val="4700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C4F87"/>
    <w:multiLevelType w:val="multilevel"/>
    <w:tmpl w:val="5A4A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3D1AF2"/>
    <w:multiLevelType w:val="multilevel"/>
    <w:tmpl w:val="F53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0D2D70"/>
    <w:multiLevelType w:val="multilevel"/>
    <w:tmpl w:val="DFDA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4F1467"/>
    <w:multiLevelType w:val="multilevel"/>
    <w:tmpl w:val="C3E2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5664D2"/>
    <w:multiLevelType w:val="hybridMultilevel"/>
    <w:tmpl w:val="0C36C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103B22"/>
    <w:multiLevelType w:val="hybridMultilevel"/>
    <w:tmpl w:val="A1F49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3951683">
    <w:abstractNumId w:val="4"/>
  </w:num>
  <w:num w:numId="2" w16cid:durableId="1421636006">
    <w:abstractNumId w:val="0"/>
  </w:num>
  <w:num w:numId="3" w16cid:durableId="76557015">
    <w:abstractNumId w:val="8"/>
  </w:num>
  <w:num w:numId="4" w16cid:durableId="481770830">
    <w:abstractNumId w:val="7"/>
  </w:num>
  <w:num w:numId="5" w16cid:durableId="1506165548">
    <w:abstractNumId w:val="5"/>
  </w:num>
  <w:num w:numId="6" w16cid:durableId="996497741">
    <w:abstractNumId w:val="3"/>
  </w:num>
  <w:num w:numId="7" w16cid:durableId="1384518527">
    <w:abstractNumId w:val="1"/>
  </w:num>
  <w:num w:numId="8" w16cid:durableId="27688748">
    <w:abstractNumId w:val="10"/>
  </w:num>
  <w:num w:numId="9" w16cid:durableId="1751541513">
    <w:abstractNumId w:val="6"/>
  </w:num>
  <w:num w:numId="10" w16cid:durableId="403648439">
    <w:abstractNumId w:val="2"/>
  </w:num>
  <w:num w:numId="11" w16cid:durableId="1971325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7AA"/>
    <w:rsid w:val="000230F2"/>
    <w:rsid w:val="00023ED1"/>
    <w:rsid w:val="00082CB3"/>
    <w:rsid w:val="0015441A"/>
    <w:rsid w:val="001B0FD7"/>
    <w:rsid w:val="0021768A"/>
    <w:rsid w:val="00242D10"/>
    <w:rsid w:val="0024692E"/>
    <w:rsid w:val="00261EC8"/>
    <w:rsid w:val="002668A5"/>
    <w:rsid w:val="002E6F9C"/>
    <w:rsid w:val="0030105D"/>
    <w:rsid w:val="003073AA"/>
    <w:rsid w:val="0039310F"/>
    <w:rsid w:val="003B7F30"/>
    <w:rsid w:val="003D182F"/>
    <w:rsid w:val="0041686D"/>
    <w:rsid w:val="00417454"/>
    <w:rsid w:val="00425F7E"/>
    <w:rsid w:val="004577AA"/>
    <w:rsid w:val="0047624D"/>
    <w:rsid w:val="0047674E"/>
    <w:rsid w:val="004A7654"/>
    <w:rsid w:val="004B1DF3"/>
    <w:rsid w:val="004D3C56"/>
    <w:rsid w:val="00511772"/>
    <w:rsid w:val="00534C7F"/>
    <w:rsid w:val="00556F63"/>
    <w:rsid w:val="005822F4"/>
    <w:rsid w:val="00642884"/>
    <w:rsid w:val="006812E4"/>
    <w:rsid w:val="00692AA1"/>
    <w:rsid w:val="006B1398"/>
    <w:rsid w:val="0071538B"/>
    <w:rsid w:val="0075200F"/>
    <w:rsid w:val="0077243B"/>
    <w:rsid w:val="00791531"/>
    <w:rsid w:val="007B1FF4"/>
    <w:rsid w:val="007D2899"/>
    <w:rsid w:val="007E1FF2"/>
    <w:rsid w:val="008F01AD"/>
    <w:rsid w:val="00917410"/>
    <w:rsid w:val="009C4580"/>
    <w:rsid w:val="00A61D2A"/>
    <w:rsid w:val="00AD35A9"/>
    <w:rsid w:val="00B42A66"/>
    <w:rsid w:val="00B43F42"/>
    <w:rsid w:val="00B45BF1"/>
    <w:rsid w:val="00B52B84"/>
    <w:rsid w:val="00B6210F"/>
    <w:rsid w:val="00B84B03"/>
    <w:rsid w:val="00BB6503"/>
    <w:rsid w:val="00BC1220"/>
    <w:rsid w:val="00C2362C"/>
    <w:rsid w:val="00C5066D"/>
    <w:rsid w:val="00C5578C"/>
    <w:rsid w:val="00C8334B"/>
    <w:rsid w:val="00CA758D"/>
    <w:rsid w:val="00CC7E6F"/>
    <w:rsid w:val="00CD0D0F"/>
    <w:rsid w:val="00CE2356"/>
    <w:rsid w:val="00CE35C2"/>
    <w:rsid w:val="00D244E3"/>
    <w:rsid w:val="00D30928"/>
    <w:rsid w:val="00D8319D"/>
    <w:rsid w:val="00DC4F59"/>
    <w:rsid w:val="00DE62E6"/>
    <w:rsid w:val="00E24767"/>
    <w:rsid w:val="00E772FD"/>
    <w:rsid w:val="00EE2E8D"/>
    <w:rsid w:val="00EE3B66"/>
    <w:rsid w:val="00F70D05"/>
    <w:rsid w:val="00FB2638"/>
    <w:rsid w:val="00FE3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2CDE3B"/>
  <w15:chartTrackingRefBased/>
  <w15:docId w15:val="{BAA02EDD-5F63-49DB-AB00-D6C2386F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7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6210F"/>
    <w:pPr>
      <w:keepNext/>
      <w:spacing w:after="0" w:line="240" w:lineRule="auto"/>
      <w:jc w:val="both"/>
      <w:outlineLvl w:val="1"/>
    </w:pPr>
    <w:rPr>
      <w:rFonts w:ascii="Times New Roman" w:eastAsia="Times New Roman" w:hAnsi="Times New Roman" w:cs="Times New Roman"/>
      <w:b/>
      <w:kern w:val="0"/>
      <w:sz w:val="24"/>
      <w:szCs w:val="20"/>
      <w:lang w:eastAsia="en-GB"/>
      <w14:ligatures w14:val="none"/>
    </w:rPr>
  </w:style>
  <w:style w:type="paragraph" w:styleId="Heading4">
    <w:name w:val="heading 4"/>
    <w:basedOn w:val="Normal"/>
    <w:next w:val="Normal"/>
    <w:link w:val="Heading4Char"/>
    <w:qFormat/>
    <w:rsid w:val="00B6210F"/>
    <w:pPr>
      <w:keepNext/>
      <w:spacing w:before="120" w:after="120" w:line="240" w:lineRule="auto"/>
      <w:jc w:val="center"/>
      <w:outlineLvl w:val="3"/>
    </w:pPr>
    <w:rPr>
      <w:rFonts w:ascii="Times New Roman" w:eastAsia="Times New Roman" w:hAnsi="Times New Roman" w:cs="Times New Roman"/>
      <w:kern w:val="0"/>
      <w:sz w:val="4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DE62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6210F"/>
    <w:rPr>
      <w:color w:val="0000FF"/>
      <w:u w:val="single"/>
    </w:rPr>
  </w:style>
  <w:style w:type="paragraph" w:styleId="ListParagraph">
    <w:name w:val="List Paragraph"/>
    <w:basedOn w:val="Normal"/>
    <w:uiPriority w:val="34"/>
    <w:qFormat/>
    <w:rsid w:val="00B6210F"/>
    <w:pPr>
      <w:ind w:left="720"/>
      <w:contextualSpacing/>
    </w:pPr>
  </w:style>
  <w:style w:type="character" w:customStyle="1" w:styleId="Heading2Char">
    <w:name w:val="Heading 2 Char"/>
    <w:basedOn w:val="DefaultParagraphFont"/>
    <w:link w:val="Heading2"/>
    <w:rsid w:val="00B6210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B6210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B6210F"/>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B6210F"/>
    <w:rPr>
      <w:rFonts w:ascii="Times New Roman" w:eastAsia="Times New Roman" w:hAnsi="Times New Roman" w:cs="Times New Roman"/>
      <w:kern w:val="0"/>
      <w:sz w:val="20"/>
      <w:szCs w:val="20"/>
      <w:lang w:eastAsia="en-GB"/>
      <w14:ligatures w14:val="none"/>
    </w:rPr>
  </w:style>
  <w:style w:type="paragraph" w:customStyle="1" w:styleId="TableParagraph">
    <w:name w:val="Table Paragraph"/>
    <w:basedOn w:val="Normal"/>
    <w:uiPriority w:val="1"/>
    <w:qFormat/>
    <w:rsid w:val="00B6210F"/>
    <w:pPr>
      <w:widowControl w:val="0"/>
      <w:autoSpaceDE w:val="0"/>
      <w:autoSpaceDN w:val="0"/>
      <w:spacing w:after="0" w:line="240" w:lineRule="auto"/>
    </w:pPr>
    <w:rPr>
      <w:rFonts w:ascii="Arial" w:eastAsia="Arial" w:hAnsi="Arial" w:cs="Arial"/>
      <w:kern w:val="0"/>
      <w:lang w:val="en-US"/>
      <w14:ligatures w14:val="none"/>
    </w:rPr>
  </w:style>
  <w:style w:type="character" w:customStyle="1" w:styleId="Heading1Char">
    <w:name w:val="Heading 1 Char"/>
    <w:basedOn w:val="DefaultParagraphFont"/>
    <w:link w:val="Heading1"/>
    <w:uiPriority w:val="9"/>
    <w:rsid w:val="004767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674E"/>
    <w:pPr>
      <w:outlineLvl w:val="9"/>
    </w:pPr>
    <w:rPr>
      <w:kern w:val="0"/>
      <w:lang w:val="en-US"/>
      <w14:ligatures w14:val="none"/>
    </w:rPr>
  </w:style>
  <w:style w:type="paragraph" w:styleId="TOC2">
    <w:name w:val="toc 2"/>
    <w:basedOn w:val="Normal"/>
    <w:next w:val="Normal"/>
    <w:autoRedefine/>
    <w:uiPriority w:val="39"/>
    <w:unhideWhenUsed/>
    <w:rsid w:val="0047674E"/>
    <w:pPr>
      <w:spacing w:after="100"/>
      <w:ind w:left="220"/>
    </w:pPr>
  </w:style>
  <w:style w:type="paragraph" w:styleId="TOC1">
    <w:name w:val="toc 1"/>
    <w:basedOn w:val="Normal"/>
    <w:next w:val="Normal"/>
    <w:autoRedefine/>
    <w:uiPriority w:val="39"/>
    <w:unhideWhenUsed/>
    <w:rsid w:val="007E1FF2"/>
    <w:pPr>
      <w:spacing w:after="100"/>
    </w:pPr>
  </w:style>
  <w:style w:type="paragraph" w:styleId="Footer">
    <w:name w:val="footer"/>
    <w:basedOn w:val="Normal"/>
    <w:link w:val="FooterChar"/>
    <w:uiPriority w:val="99"/>
    <w:unhideWhenUsed/>
    <w:rsid w:val="00DC4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F59"/>
  </w:style>
  <w:style w:type="character" w:styleId="FollowedHyperlink">
    <w:name w:val="FollowedHyperlink"/>
    <w:basedOn w:val="DefaultParagraphFont"/>
    <w:uiPriority w:val="99"/>
    <w:semiHidden/>
    <w:unhideWhenUsed/>
    <w:rsid w:val="00C833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7896">
      <w:bodyDiv w:val="1"/>
      <w:marLeft w:val="0"/>
      <w:marRight w:val="0"/>
      <w:marTop w:val="0"/>
      <w:marBottom w:val="0"/>
      <w:divBdr>
        <w:top w:val="none" w:sz="0" w:space="0" w:color="auto"/>
        <w:left w:val="none" w:sz="0" w:space="0" w:color="auto"/>
        <w:bottom w:val="none" w:sz="0" w:space="0" w:color="auto"/>
        <w:right w:val="none" w:sz="0" w:space="0" w:color="auto"/>
      </w:divBdr>
    </w:div>
    <w:div w:id="163399104">
      <w:bodyDiv w:val="1"/>
      <w:marLeft w:val="0"/>
      <w:marRight w:val="0"/>
      <w:marTop w:val="0"/>
      <w:marBottom w:val="0"/>
      <w:divBdr>
        <w:top w:val="none" w:sz="0" w:space="0" w:color="auto"/>
        <w:left w:val="none" w:sz="0" w:space="0" w:color="auto"/>
        <w:bottom w:val="none" w:sz="0" w:space="0" w:color="auto"/>
        <w:right w:val="none" w:sz="0" w:space="0" w:color="auto"/>
      </w:divBdr>
    </w:div>
    <w:div w:id="166098703">
      <w:bodyDiv w:val="1"/>
      <w:marLeft w:val="0"/>
      <w:marRight w:val="0"/>
      <w:marTop w:val="0"/>
      <w:marBottom w:val="0"/>
      <w:divBdr>
        <w:top w:val="none" w:sz="0" w:space="0" w:color="auto"/>
        <w:left w:val="none" w:sz="0" w:space="0" w:color="auto"/>
        <w:bottom w:val="none" w:sz="0" w:space="0" w:color="auto"/>
        <w:right w:val="none" w:sz="0" w:space="0" w:color="auto"/>
      </w:divBdr>
    </w:div>
    <w:div w:id="253780438">
      <w:bodyDiv w:val="1"/>
      <w:marLeft w:val="0"/>
      <w:marRight w:val="0"/>
      <w:marTop w:val="0"/>
      <w:marBottom w:val="0"/>
      <w:divBdr>
        <w:top w:val="none" w:sz="0" w:space="0" w:color="auto"/>
        <w:left w:val="none" w:sz="0" w:space="0" w:color="auto"/>
        <w:bottom w:val="none" w:sz="0" w:space="0" w:color="auto"/>
        <w:right w:val="none" w:sz="0" w:space="0" w:color="auto"/>
      </w:divBdr>
    </w:div>
    <w:div w:id="483005890">
      <w:bodyDiv w:val="1"/>
      <w:marLeft w:val="0"/>
      <w:marRight w:val="0"/>
      <w:marTop w:val="0"/>
      <w:marBottom w:val="0"/>
      <w:divBdr>
        <w:top w:val="none" w:sz="0" w:space="0" w:color="auto"/>
        <w:left w:val="none" w:sz="0" w:space="0" w:color="auto"/>
        <w:bottom w:val="none" w:sz="0" w:space="0" w:color="auto"/>
        <w:right w:val="none" w:sz="0" w:space="0" w:color="auto"/>
      </w:divBdr>
    </w:div>
    <w:div w:id="592784808">
      <w:bodyDiv w:val="1"/>
      <w:marLeft w:val="0"/>
      <w:marRight w:val="0"/>
      <w:marTop w:val="0"/>
      <w:marBottom w:val="0"/>
      <w:divBdr>
        <w:top w:val="none" w:sz="0" w:space="0" w:color="auto"/>
        <w:left w:val="none" w:sz="0" w:space="0" w:color="auto"/>
        <w:bottom w:val="none" w:sz="0" w:space="0" w:color="auto"/>
        <w:right w:val="none" w:sz="0" w:space="0" w:color="auto"/>
      </w:divBdr>
    </w:div>
    <w:div w:id="1110389855">
      <w:bodyDiv w:val="1"/>
      <w:marLeft w:val="0"/>
      <w:marRight w:val="0"/>
      <w:marTop w:val="0"/>
      <w:marBottom w:val="0"/>
      <w:divBdr>
        <w:top w:val="none" w:sz="0" w:space="0" w:color="auto"/>
        <w:left w:val="none" w:sz="0" w:space="0" w:color="auto"/>
        <w:bottom w:val="none" w:sz="0" w:space="0" w:color="auto"/>
        <w:right w:val="none" w:sz="0" w:space="0" w:color="auto"/>
      </w:divBdr>
    </w:div>
    <w:div w:id="1248617271">
      <w:bodyDiv w:val="1"/>
      <w:marLeft w:val="0"/>
      <w:marRight w:val="0"/>
      <w:marTop w:val="0"/>
      <w:marBottom w:val="0"/>
      <w:divBdr>
        <w:top w:val="none" w:sz="0" w:space="0" w:color="auto"/>
        <w:left w:val="none" w:sz="0" w:space="0" w:color="auto"/>
        <w:bottom w:val="none" w:sz="0" w:space="0" w:color="auto"/>
        <w:right w:val="none" w:sz="0" w:space="0" w:color="auto"/>
      </w:divBdr>
    </w:div>
    <w:div w:id="1287539394">
      <w:bodyDiv w:val="1"/>
      <w:marLeft w:val="0"/>
      <w:marRight w:val="0"/>
      <w:marTop w:val="0"/>
      <w:marBottom w:val="0"/>
      <w:divBdr>
        <w:top w:val="none" w:sz="0" w:space="0" w:color="auto"/>
        <w:left w:val="none" w:sz="0" w:space="0" w:color="auto"/>
        <w:bottom w:val="none" w:sz="0" w:space="0" w:color="auto"/>
        <w:right w:val="none" w:sz="0" w:space="0" w:color="auto"/>
      </w:divBdr>
    </w:div>
    <w:div w:id="1381251043">
      <w:bodyDiv w:val="1"/>
      <w:marLeft w:val="0"/>
      <w:marRight w:val="0"/>
      <w:marTop w:val="0"/>
      <w:marBottom w:val="0"/>
      <w:divBdr>
        <w:top w:val="none" w:sz="0" w:space="0" w:color="auto"/>
        <w:left w:val="none" w:sz="0" w:space="0" w:color="auto"/>
        <w:bottom w:val="none" w:sz="0" w:space="0" w:color="auto"/>
        <w:right w:val="none" w:sz="0" w:space="0" w:color="auto"/>
      </w:divBdr>
    </w:div>
    <w:div w:id="1449740817">
      <w:bodyDiv w:val="1"/>
      <w:marLeft w:val="0"/>
      <w:marRight w:val="0"/>
      <w:marTop w:val="0"/>
      <w:marBottom w:val="0"/>
      <w:divBdr>
        <w:top w:val="none" w:sz="0" w:space="0" w:color="auto"/>
        <w:left w:val="none" w:sz="0" w:space="0" w:color="auto"/>
        <w:bottom w:val="none" w:sz="0" w:space="0" w:color="auto"/>
        <w:right w:val="none" w:sz="0" w:space="0" w:color="auto"/>
      </w:divBdr>
    </w:div>
    <w:div w:id="1471284891">
      <w:bodyDiv w:val="1"/>
      <w:marLeft w:val="0"/>
      <w:marRight w:val="0"/>
      <w:marTop w:val="0"/>
      <w:marBottom w:val="0"/>
      <w:divBdr>
        <w:top w:val="none" w:sz="0" w:space="0" w:color="auto"/>
        <w:left w:val="none" w:sz="0" w:space="0" w:color="auto"/>
        <w:bottom w:val="none" w:sz="0" w:space="0" w:color="auto"/>
        <w:right w:val="none" w:sz="0" w:space="0" w:color="auto"/>
      </w:divBdr>
    </w:div>
    <w:div w:id="1503856169">
      <w:bodyDiv w:val="1"/>
      <w:marLeft w:val="0"/>
      <w:marRight w:val="0"/>
      <w:marTop w:val="0"/>
      <w:marBottom w:val="0"/>
      <w:divBdr>
        <w:top w:val="none" w:sz="0" w:space="0" w:color="auto"/>
        <w:left w:val="none" w:sz="0" w:space="0" w:color="auto"/>
        <w:bottom w:val="none" w:sz="0" w:space="0" w:color="auto"/>
        <w:right w:val="none" w:sz="0" w:space="0" w:color="auto"/>
      </w:divBdr>
    </w:div>
    <w:div w:id="1789158676">
      <w:bodyDiv w:val="1"/>
      <w:marLeft w:val="0"/>
      <w:marRight w:val="0"/>
      <w:marTop w:val="0"/>
      <w:marBottom w:val="0"/>
      <w:divBdr>
        <w:top w:val="none" w:sz="0" w:space="0" w:color="auto"/>
        <w:left w:val="none" w:sz="0" w:space="0" w:color="auto"/>
        <w:bottom w:val="none" w:sz="0" w:space="0" w:color="auto"/>
        <w:right w:val="none" w:sz="0" w:space="0" w:color="auto"/>
      </w:divBdr>
    </w:div>
    <w:div w:id="180036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harenergy.coop/twizel-community-solar-scheme/" TargetMode="External" /><Relationship Id="rId18" Type="http://schemas.openxmlformats.org/officeDocument/2006/relationships/footer" Target="footer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scdc.org.uk/what/national-standards/"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dn.ymaws.com/www.iap2.org/resource/resmgr/pillars/Spectrum_8.5x11_Print.pdf"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hyperlink" Target="https://www.accountability.org/standards/" TargetMode="External" /><Relationship Id="rId19"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image" Target="cid:image001.png@01D0EA4A.2BD679A0" TargetMode="External" /><Relationship Id="rId14" Type="http://schemas.openxmlformats.org/officeDocument/2006/relationships/hyperlink" Target="https://www.tamarackcommunity.ca/library/community-engagement-principles"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B9BE4-5683-488F-B6DE-8ECF04EC9E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3084</Words>
  <Characters>17584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Pain Industries</Company>
  <LinksUpToDate>false</LinksUpToDate>
  <CharactersWithSpaces>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dc:creator>
  <cp:keywords/>
  <dc:description/>
  <cp:lastModifiedBy>aurel apopei</cp:lastModifiedBy>
  <cp:revision>2</cp:revision>
  <dcterms:created xsi:type="dcterms:W3CDTF">2023-10-20T07:10:00Z</dcterms:created>
  <dcterms:modified xsi:type="dcterms:W3CDTF">2023-10-20T07:10:00Z</dcterms:modified>
</cp:coreProperties>
</file>