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F84FB4" w14:textId="77777777" w:rsidR="00C922CB" w:rsidRPr="00884DAF" w:rsidRDefault="00C922CB" w:rsidP="00884DAF">
      <w:pPr>
        <w:pStyle w:val="ydpc595d14dyiv9060547353ydp6438de93msonormal"/>
        <w:spacing w:line="480" w:lineRule="auto"/>
        <w:jc w:val="both"/>
        <w:rPr>
          <w:rFonts w:ascii="Arial" w:hAnsi="Arial" w:cs="Arial"/>
        </w:rPr>
      </w:pPr>
      <w:bookmarkStart w:id="0" w:name="_Hlk119965281"/>
      <w:bookmarkStart w:id="1" w:name="_Hlk120275637"/>
      <w:r w:rsidRPr="00884DAF">
        <w:rPr>
          <w:rFonts w:ascii="Arial" w:hAnsi="Arial" w:cs="Arial"/>
        </w:rPr>
        <w:t>This essay seeks to analyse when an easement may have been created by prescription.</w:t>
      </w:r>
    </w:p>
    <w:p w14:paraId="326FBCA4" w14:textId="6357884F" w:rsidR="002606BB" w:rsidRPr="00884DAF" w:rsidRDefault="002606BB" w:rsidP="00884DAF">
      <w:pPr>
        <w:pStyle w:val="ydpc595d14dyiv9060547353ydp6438de93msonormal"/>
        <w:spacing w:line="480" w:lineRule="auto"/>
        <w:jc w:val="both"/>
        <w:rPr>
          <w:rFonts w:ascii="Arial" w:hAnsi="Arial" w:cs="Arial"/>
        </w:rPr>
      </w:pPr>
      <w:r w:rsidRPr="00884DAF">
        <w:rPr>
          <w:rFonts w:ascii="Arial" w:hAnsi="Arial" w:cs="Arial"/>
        </w:rPr>
        <w:t>A</w:t>
      </w:r>
      <w:r w:rsidR="00981E89" w:rsidRPr="00884DAF">
        <w:rPr>
          <w:rFonts w:ascii="Arial" w:hAnsi="Arial" w:cs="Arial"/>
          <w:color w:val="26282A"/>
          <w:shd w:val="clear" w:color="auto" w:fill="FFFFFF"/>
        </w:rPr>
        <w:t>n easement is</w:t>
      </w:r>
      <w:r w:rsidR="00460E4D" w:rsidRPr="00884DAF">
        <w:rPr>
          <w:rFonts w:ascii="Arial" w:hAnsi="Arial" w:cs="Arial"/>
          <w:color w:val="26282A"/>
          <w:shd w:val="clear" w:color="auto" w:fill="FFFFFF"/>
        </w:rPr>
        <w:t xml:space="preserve"> a</w:t>
      </w:r>
      <w:r w:rsidR="00BB29E9" w:rsidRPr="00884DAF">
        <w:rPr>
          <w:rFonts w:ascii="Arial" w:hAnsi="Arial" w:cs="Arial"/>
          <w:color w:val="26282A"/>
          <w:shd w:val="clear" w:color="auto" w:fill="FFFFFF"/>
        </w:rPr>
        <w:t xml:space="preserve"> </w:t>
      </w:r>
      <w:r w:rsidR="00EC13CC" w:rsidRPr="00884DAF">
        <w:rPr>
          <w:rFonts w:ascii="Arial" w:hAnsi="Arial" w:cs="Arial"/>
          <w:color w:val="26282A"/>
          <w:shd w:val="clear" w:color="auto" w:fill="FFFFFF"/>
        </w:rPr>
        <w:t>third-party</w:t>
      </w:r>
      <w:r w:rsidR="00981E89" w:rsidRPr="00884DAF">
        <w:rPr>
          <w:rFonts w:ascii="Arial" w:hAnsi="Arial" w:cs="Arial"/>
          <w:color w:val="26282A"/>
          <w:shd w:val="clear" w:color="auto" w:fill="FFFFFF"/>
        </w:rPr>
        <w:t xml:space="preserve"> right</w:t>
      </w:r>
      <w:r w:rsidR="00BB29E9" w:rsidRPr="00884DAF">
        <w:rPr>
          <w:rFonts w:ascii="Arial" w:hAnsi="Arial" w:cs="Arial"/>
          <w:color w:val="26282A"/>
          <w:shd w:val="clear" w:color="auto" w:fill="FFFFFF"/>
        </w:rPr>
        <w:t xml:space="preserve"> a landowner has</w:t>
      </w:r>
      <w:r w:rsidR="00981E89" w:rsidRPr="00884DAF">
        <w:rPr>
          <w:rFonts w:ascii="Arial" w:hAnsi="Arial" w:cs="Arial"/>
          <w:color w:val="26282A"/>
          <w:shd w:val="clear" w:color="auto" w:fill="FFFFFF"/>
        </w:rPr>
        <w:t xml:space="preserve"> over anothe</w:t>
      </w:r>
      <w:r w:rsidR="00BB29E9" w:rsidRPr="00884DAF">
        <w:rPr>
          <w:rFonts w:ascii="Arial" w:hAnsi="Arial" w:cs="Arial"/>
          <w:color w:val="26282A"/>
          <w:shd w:val="clear" w:color="auto" w:fill="FFFFFF"/>
        </w:rPr>
        <w:t>r</w:t>
      </w:r>
      <w:r w:rsidR="00945E06" w:rsidRPr="00884DAF">
        <w:rPr>
          <w:rFonts w:ascii="Arial" w:hAnsi="Arial" w:cs="Arial"/>
          <w:color w:val="26282A"/>
          <w:shd w:val="clear" w:color="auto" w:fill="FFFFFF"/>
        </w:rPr>
        <w:t>’s</w:t>
      </w:r>
      <w:r w:rsidR="00981E89" w:rsidRPr="00884DAF">
        <w:rPr>
          <w:rFonts w:ascii="Arial" w:hAnsi="Arial" w:cs="Arial"/>
          <w:color w:val="26282A"/>
          <w:shd w:val="clear" w:color="auto" w:fill="FFFFFF"/>
        </w:rPr>
        <w:t xml:space="preserve"> land in a particular way (</w:t>
      </w:r>
      <w:r w:rsidR="00981E89" w:rsidRPr="00884DAF">
        <w:rPr>
          <w:rFonts w:ascii="Arial" w:hAnsi="Arial" w:cs="Arial"/>
        </w:rPr>
        <w:t>Kennerly v Beech and A’nor, 2012)</w:t>
      </w:r>
      <w:r w:rsidR="00981E89" w:rsidRPr="00884DAF">
        <w:rPr>
          <w:rFonts w:ascii="Arial" w:hAnsi="Arial" w:cs="Arial"/>
          <w:color w:val="26282A"/>
          <w:shd w:val="clear" w:color="auto" w:fill="FFFFFF"/>
        </w:rPr>
        <w:t xml:space="preserve">, and the extent </w:t>
      </w:r>
      <w:r w:rsidR="00592468" w:rsidRPr="00884DAF">
        <w:rPr>
          <w:rFonts w:ascii="Arial" w:hAnsi="Arial" w:cs="Arial"/>
          <w:color w:val="26282A"/>
          <w:shd w:val="clear" w:color="auto" w:fill="FFFFFF"/>
        </w:rPr>
        <w:t xml:space="preserve">to </w:t>
      </w:r>
      <w:r w:rsidRPr="00884DAF">
        <w:rPr>
          <w:rFonts w:ascii="Arial" w:hAnsi="Arial" w:cs="Arial"/>
          <w:color w:val="26282A"/>
          <w:shd w:val="clear" w:color="auto" w:fill="FFFFFF"/>
        </w:rPr>
        <w:t xml:space="preserve">which </w:t>
      </w:r>
      <w:r w:rsidR="00981E89" w:rsidRPr="00884DAF">
        <w:rPr>
          <w:rFonts w:ascii="Arial" w:hAnsi="Arial" w:cs="Arial"/>
          <w:color w:val="26282A"/>
          <w:shd w:val="clear" w:color="auto" w:fill="FFFFFF"/>
        </w:rPr>
        <w:t>it can be used (</w:t>
      </w:r>
      <w:bookmarkStart w:id="2" w:name="_Hlk118071174"/>
      <w:r w:rsidR="00981E89" w:rsidRPr="00884DAF">
        <w:rPr>
          <w:rFonts w:ascii="Arial" w:hAnsi="Arial" w:cs="Arial"/>
          <w:color w:val="26282A"/>
          <w:shd w:val="clear" w:color="auto" w:fill="FFFFFF"/>
        </w:rPr>
        <w:t>Brownie v Flower, 1911</w:t>
      </w:r>
      <w:bookmarkEnd w:id="2"/>
      <w:r w:rsidR="00981E89" w:rsidRPr="00884DAF">
        <w:rPr>
          <w:rFonts w:ascii="Arial" w:hAnsi="Arial" w:cs="Arial"/>
          <w:color w:val="26282A"/>
          <w:shd w:val="clear" w:color="auto" w:fill="FFFFFF"/>
        </w:rPr>
        <w:t>), (</w:t>
      </w:r>
      <w:r w:rsidR="00981E89" w:rsidRPr="00884DAF">
        <w:rPr>
          <w:rFonts w:ascii="Arial" w:hAnsi="Arial" w:cs="Arial"/>
        </w:rPr>
        <w:t>Hatfiled, 2017).</w:t>
      </w:r>
      <w:r w:rsidR="00BB29E9" w:rsidRPr="00884DAF">
        <w:rPr>
          <w:rFonts w:ascii="Arial" w:hAnsi="Arial" w:cs="Arial"/>
        </w:rPr>
        <w:t xml:space="preserve"> Such as</w:t>
      </w:r>
      <w:r w:rsidR="00C922CB" w:rsidRPr="00884DAF">
        <w:rPr>
          <w:rFonts w:ascii="Arial" w:hAnsi="Arial" w:cs="Arial"/>
        </w:rPr>
        <w:t>,</w:t>
      </w:r>
      <w:r w:rsidR="00BB29E9" w:rsidRPr="00884DAF">
        <w:rPr>
          <w:rFonts w:ascii="Arial" w:hAnsi="Arial" w:cs="Arial"/>
        </w:rPr>
        <w:t xml:space="preserve"> </w:t>
      </w:r>
      <w:r w:rsidRPr="00884DAF">
        <w:rPr>
          <w:rFonts w:ascii="Arial" w:hAnsi="Arial" w:cs="Arial"/>
        </w:rPr>
        <w:t>a</w:t>
      </w:r>
      <w:r w:rsidR="00F25C9D" w:rsidRPr="00884DAF">
        <w:rPr>
          <w:rFonts w:ascii="Arial" w:hAnsi="Arial" w:cs="Arial"/>
        </w:rPr>
        <w:t xml:space="preserve"> </w:t>
      </w:r>
      <w:r w:rsidR="00F25C9D" w:rsidRPr="00884DAF">
        <w:rPr>
          <w:rFonts w:ascii="Arial" w:hAnsi="Arial" w:cs="Arial"/>
          <w:color w:val="26282A"/>
          <w:shd w:val="clear" w:color="auto" w:fill="FFFFFF"/>
        </w:rPr>
        <w:t xml:space="preserve">right of way (Jalnarne Ltd v Ridewood 1989, </w:t>
      </w:r>
      <w:r w:rsidRPr="00884DAF">
        <w:rPr>
          <w:rFonts w:ascii="Arial" w:hAnsi="Arial" w:cs="Arial"/>
          <w:color w:val="26282A"/>
          <w:shd w:val="clear" w:color="auto" w:fill="FFFFFF"/>
        </w:rPr>
        <w:t xml:space="preserve">a </w:t>
      </w:r>
      <w:r w:rsidR="00F25C9D" w:rsidRPr="00884DAF">
        <w:rPr>
          <w:rFonts w:ascii="Arial" w:hAnsi="Arial" w:cs="Arial"/>
          <w:color w:val="26282A"/>
          <w:shd w:val="clear" w:color="auto" w:fill="FFFFFF"/>
        </w:rPr>
        <w:t>right of light (Beaumont Business Centres Ltd v Florala Properties Ltd, 2020),</w:t>
      </w:r>
      <w:r w:rsidR="00945E06" w:rsidRPr="00884DAF">
        <w:rPr>
          <w:rFonts w:ascii="Arial" w:hAnsi="Arial" w:cs="Arial"/>
          <w:color w:val="26282A"/>
          <w:shd w:val="clear" w:color="auto" w:fill="FFFFFF"/>
        </w:rPr>
        <w:t xml:space="preserve"> a </w:t>
      </w:r>
      <w:r w:rsidR="00F25C9D" w:rsidRPr="00884DAF">
        <w:rPr>
          <w:rFonts w:ascii="Arial" w:hAnsi="Arial" w:cs="Arial"/>
          <w:color w:val="26282A"/>
          <w:shd w:val="clear" w:color="auto" w:fill="FFFFFF"/>
        </w:rPr>
        <w:t>right to run services like water, electricity, gas (Bate v Affinity Water Ltd 2019), right to park (Batchelor Marlow (2003).</w:t>
      </w:r>
      <w:r w:rsidRPr="00884DAF">
        <w:rPr>
          <w:rFonts w:ascii="Arial" w:hAnsi="Arial" w:cs="Arial"/>
          <w:color w:val="26282A"/>
          <w:shd w:val="clear" w:color="auto" w:fill="FFFFFF"/>
        </w:rPr>
        <w:t xml:space="preserve"> Common law has recognised that new easements</w:t>
      </w:r>
      <w:r w:rsidR="00336EF8" w:rsidRPr="00884DAF">
        <w:rPr>
          <w:rFonts w:ascii="Arial" w:hAnsi="Arial" w:cs="Arial"/>
          <w:color w:val="26282A"/>
          <w:shd w:val="clear" w:color="auto" w:fill="FFFFFF"/>
        </w:rPr>
        <w:t xml:space="preserve"> (Regency Villas Title Ltd v Diamond Resorts (Europe) (2017),</w:t>
      </w:r>
      <w:r w:rsidRPr="00884DAF">
        <w:rPr>
          <w:rFonts w:ascii="Arial" w:hAnsi="Arial" w:cs="Arial"/>
          <w:color w:val="26282A"/>
          <w:shd w:val="clear" w:color="auto" w:fill="FFFFFF"/>
        </w:rPr>
        <w:t xml:space="preserve"> such as</w:t>
      </w:r>
      <w:r w:rsidR="00336EF8" w:rsidRPr="00884DAF">
        <w:rPr>
          <w:rFonts w:ascii="Arial" w:hAnsi="Arial" w:cs="Arial"/>
          <w:color w:val="26282A"/>
          <w:shd w:val="clear" w:color="auto" w:fill="FFFFFF"/>
        </w:rPr>
        <w:t xml:space="preserve"> sports,</w:t>
      </w:r>
      <w:r w:rsidRPr="00884DAF">
        <w:rPr>
          <w:rFonts w:ascii="Arial" w:hAnsi="Arial" w:cs="Arial"/>
          <w:color w:val="26282A"/>
          <w:shd w:val="clear" w:color="auto" w:fill="FFFFFF"/>
        </w:rPr>
        <w:t xml:space="preserve"> right to support, right of storage, right to use a letter box,</w:t>
      </w:r>
      <w:r w:rsidR="00684E7C" w:rsidRPr="00884DAF">
        <w:rPr>
          <w:rFonts w:ascii="Arial" w:hAnsi="Arial" w:cs="Arial"/>
          <w:color w:val="26282A"/>
          <w:shd w:val="clear" w:color="auto" w:fill="FFFFFF"/>
        </w:rPr>
        <w:t xml:space="preserve"> </w:t>
      </w:r>
      <w:r w:rsidRPr="00884DAF">
        <w:rPr>
          <w:rFonts w:ascii="Arial" w:hAnsi="Arial" w:cs="Arial"/>
          <w:color w:val="26282A"/>
          <w:shd w:val="clear" w:color="auto" w:fill="FFFFFF"/>
        </w:rPr>
        <w:t>right to erect a satellite dish (MacKenzie,2016)</w:t>
      </w:r>
      <w:r w:rsidR="00684E7C" w:rsidRPr="00884DAF">
        <w:rPr>
          <w:rFonts w:ascii="Arial" w:hAnsi="Arial" w:cs="Arial"/>
          <w:color w:val="26282A"/>
          <w:shd w:val="clear" w:color="auto" w:fill="FFFFFF"/>
        </w:rPr>
        <w:t xml:space="preserve"> etc</w:t>
      </w:r>
      <w:r w:rsidRPr="00884DAF">
        <w:rPr>
          <w:rFonts w:ascii="Arial" w:hAnsi="Arial" w:cs="Arial"/>
          <w:color w:val="26282A"/>
          <w:shd w:val="clear" w:color="auto" w:fill="FFFFFF"/>
        </w:rPr>
        <w:t xml:space="preserve"> would be coming up as the needs of society change (Dyce v Lady James Hay 1852)</w:t>
      </w:r>
      <w:r w:rsidR="00336EF8" w:rsidRPr="00884DAF">
        <w:rPr>
          <w:rFonts w:ascii="Arial" w:hAnsi="Arial" w:cs="Arial"/>
          <w:color w:val="26282A"/>
          <w:shd w:val="clear" w:color="auto" w:fill="FFFFFF"/>
        </w:rPr>
        <w:t>.</w:t>
      </w:r>
      <w:r w:rsidRPr="00884DAF">
        <w:rPr>
          <w:rFonts w:ascii="Arial" w:hAnsi="Arial" w:cs="Arial"/>
          <w:color w:val="26282A"/>
          <w:shd w:val="clear" w:color="auto" w:fill="FFFFFF"/>
        </w:rPr>
        <w:t xml:space="preserve"> </w:t>
      </w:r>
      <w:r w:rsidR="00945E06" w:rsidRPr="00884DAF">
        <w:rPr>
          <w:rFonts w:ascii="Arial" w:hAnsi="Arial" w:cs="Arial"/>
        </w:rPr>
        <w:t>Although there is no legal definition of an easement</w:t>
      </w:r>
      <w:r w:rsidR="00C922CB" w:rsidRPr="00884DAF">
        <w:rPr>
          <w:rFonts w:ascii="Arial" w:hAnsi="Arial" w:cs="Arial"/>
        </w:rPr>
        <w:t>, section 1</w:t>
      </w:r>
      <w:r w:rsidR="00EB3E2C" w:rsidRPr="00884DAF">
        <w:rPr>
          <w:rFonts w:ascii="Arial" w:hAnsi="Arial" w:cs="Arial"/>
        </w:rPr>
        <w:t xml:space="preserve"> (s</w:t>
      </w:r>
      <w:r w:rsidR="00213DF0" w:rsidRPr="00884DAF">
        <w:rPr>
          <w:rFonts w:ascii="Arial" w:hAnsi="Arial" w:cs="Arial"/>
        </w:rPr>
        <w:t>1) Law</w:t>
      </w:r>
      <w:r w:rsidR="00945E06" w:rsidRPr="00884DAF">
        <w:rPr>
          <w:rFonts w:ascii="Arial" w:hAnsi="Arial" w:cs="Arial"/>
        </w:rPr>
        <w:t xml:space="preserve"> of Property Act 1925 (LPA 1925) recognises that land could be the land itself along with various rights</w:t>
      </w:r>
      <w:r w:rsidR="00C922CB" w:rsidRPr="00884DAF">
        <w:rPr>
          <w:rFonts w:ascii="Arial" w:hAnsi="Arial" w:cs="Arial"/>
        </w:rPr>
        <w:t xml:space="preserve"> or privileges</w:t>
      </w:r>
      <w:r w:rsidR="00945E06" w:rsidRPr="00884DAF">
        <w:rPr>
          <w:rFonts w:ascii="Arial" w:hAnsi="Arial" w:cs="Arial"/>
        </w:rPr>
        <w:t xml:space="preserve"> including easement</w:t>
      </w:r>
      <w:r w:rsidR="00C922CB" w:rsidRPr="00884DAF">
        <w:rPr>
          <w:rFonts w:ascii="Arial" w:hAnsi="Arial" w:cs="Arial"/>
        </w:rPr>
        <w:t>.</w:t>
      </w:r>
    </w:p>
    <w:p w14:paraId="2253EEC5" w14:textId="000E04F6" w:rsidR="00986EA6" w:rsidRPr="00884DAF" w:rsidRDefault="00F25C9D" w:rsidP="00884DAF">
      <w:pPr>
        <w:pStyle w:val="ydpc595d14dyiv9060547353ydp6438de93msonormal"/>
        <w:spacing w:line="480" w:lineRule="auto"/>
        <w:jc w:val="both"/>
        <w:rPr>
          <w:rFonts w:ascii="Arial" w:hAnsi="Arial" w:cs="Arial"/>
          <w:color w:val="26282A"/>
          <w:shd w:val="clear" w:color="auto" w:fill="FFFFFF"/>
        </w:rPr>
      </w:pPr>
      <w:r w:rsidRPr="00884DAF">
        <w:rPr>
          <w:rFonts w:ascii="Arial" w:hAnsi="Arial" w:cs="Arial"/>
        </w:rPr>
        <w:t>An easement can be legal or equitable</w:t>
      </w:r>
      <w:r w:rsidR="004276DD" w:rsidRPr="00884DAF">
        <w:rPr>
          <w:rFonts w:ascii="Arial" w:hAnsi="Arial" w:cs="Arial"/>
        </w:rPr>
        <w:t xml:space="preserve"> if they meet the requirements of s1 LPA 1925</w:t>
      </w:r>
      <w:r w:rsidRPr="00884DAF">
        <w:rPr>
          <w:rFonts w:ascii="Arial" w:hAnsi="Arial" w:cs="Arial"/>
        </w:rPr>
        <w:t>.</w:t>
      </w:r>
      <w:r w:rsidR="00981E89" w:rsidRPr="00884DAF">
        <w:rPr>
          <w:rFonts w:ascii="Arial" w:hAnsi="Arial" w:cs="Arial"/>
        </w:rPr>
        <w:t xml:space="preserve"> An easement is legal when </w:t>
      </w:r>
      <w:r w:rsidR="00981E89" w:rsidRPr="00884DAF">
        <w:rPr>
          <w:rFonts w:ascii="Arial" w:hAnsi="Arial" w:cs="Arial"/>
          <w:color w:val="26282A"/>
          <w:shd w:val="clear" w:color="auto" w:fill="FFFFFF"/>
        </w:rPr>
        <w:t>created by deed (</w:t>
      </w:r>
      <w:r w:rsidR="00986EA6" w:rsidRPr="00884DAF">
        <w:rPr>
          <w:rFonts w:ascii="Arial" w:hAnsi="Arial" w:cs="Arial"/>
          <w:color w:val="26282A"/>
          <w:shd w:val="clear" w:color="auto" w:fill="FFFFFF"/>
        </w:rPr>
        <w:t>s</w:t>
      </w:r>
      <w:r w:rsidR="00981E89" w:rsidRPr="00884DAF">
        <w:rPr>
          <w:rFonts w:ascii="Arial" w:hAnsi="Arial" w:cs="Arial"/>
          <w:color w:val="26282A"/>
          <w:shd w:val="clear" w:color="auto" w:fill="FFFFFF"/>
        </w:rPr>
        <w:t>1</w:t>
      </w:r>
      <w:r w:rsidR="00986EA6" w:rsidRPr="00884DAF">
        <w:rPr>
          <w:rFonts w:ascii="Arial" w:hAnsi="Arial" w:cs="Arial"/>
          <w:color w:val="26282A"/>
          <w:shd w:val="clear" w:color="auto" w:fill="FFFFFF"/>
        </w:rPr>
        <w:t xml:space="preserve"> </w:t>
      </w:r>
      <w:r w:rsidR="00981E89" w:rsidRPr="00884DAF">
        <w:rPr>
          <w:rFonts w:ascii="Arial" w:hAnsi="Arial" w:cs="Arial"/>
          <w:color w:val="26282A"/>
          <w:shd w:val="clear" w:color="auto" w:fill="FFFFFF"/>
        </w:rPr>
        <w:t>LPA), or equitable (s1(2), s52 LPA</w:t>
      </w:r>
      <w:r w:rsidR="00986EA6" w:rsidRPr="00884DAF">
        <w:rPr>
          <w:rFonts w:ascii="Arial" w:hAnsi="Arial" w:cs="Arial"/>
          <w:color w:val="26282A"/>
          <w:shd w:val="clear" w:color="auto" w:fill="FFFFFF"/>
        </w:rPr>
        <w:t xml:space="preserve"> </w:t>
      </w:r>
      <w:r w:rsidR="00981E89" w:rsidRPr="00884DAF">
        <w:rPr>
          <w:rFonts w:ascii="Arial" w:hAnsi="Arial" w:cs="Arial"/>
          <w:color w:val="26282A"/>
          <w:shd w:val="clear" w:color="auto" w:fill="FFFFFF"/>
        </w:rPr>
        <w:t>1925).</w:t>
      </w:r>
      <w:r w:rsidR="00986EA6" w:rsidRPr="00884DAF">
        <w:rPr>
          <w:rFonts w:ascii="Arial" w:hAnsi="Arial" w:cs="Arial"/>
          <w:color w:val="26282A"/>
          <w:shd w:val="clear" w:color="auto" w:fill="FFFFFF"/>
        </w:rPr>
        <w:t xml:space="preserve"> </w:t>
      </w:r>
      <w:r w:rsidR="00986EA6" w:rsidRPr="00884DAF">
        <w:rPr>
          <w:rFonts w:ascii="Arial" w:hAnsi="Arial" w:cs="Arial"/>
        </w:rPr>
        <w:t xml:space="preserve">A legal easement </w:t>
      </w:r>
      <w:r w:rsidR="00986EA6" w:rsidRPr="00884DAF">
        <w:rPr>
          <w:rFonts w:ascii="Arial" w:hAnsi="Arial" w:cs="Arial"/>
          <w:color w:val="26282A"/>
          <w:shd w:val="clear" w:color="auto" w:fill="FFFFFF"/>
        </w:rPr>
        <w:t>binds everyone that buys the property, whether they are aware of the easement or not, but</w:t>
      </w:r>
      <w:r w:rsidR="00213DF0" w:rsidRPr="00884DAF">
        <w:rPr>
          <w:rFonts w:ascii="Arial" w:hAnsi="Arial" w:cs="Arial"/>
          <w:color w:val="26282A"/>
          <w:shd w:val="clear" w:color="auto" w:fill="FFFFFF"/>
        </w:rPr>
        <w:t xml:space="preserve"> an equitable easement </w:t>
      </w:r>
      <w:r w:rsidR="00A74C7E" w:rsidRPr="00884DAF">
        <w:rPr>
          <w:rFonts w:ascii="Arial" w:hAnsi="Arial" w:cs="Arial"/>
          <w:color w:val="26282A"/>
          <w:shd w:val="clear" w:color="auto" w:fill="FFFFFF"/>
        </w:rPr>
        <w:t>binds</w:t>
      </w:r>
      <w:r w:rsidR="00986EA6" w:rsidRPr="00884DAF">
        <w:rPr>
          <w:rFonts w:ascii="Arial" w:hAnsi="Arial" w:cs="Arial"/>
          <w:color w:val="26282A"/>
          <w:shd w:val="clear" w:color="auto" w:fill="FFFFFF"/>
        </w:rPr>
        <w:t xml:space="preserve"> only the person that buys the land at that time</w:t>
      </w:r>
      <w:r w:rsidR="00213DF0" w:rsidRPr="00884DAF">
        <w:rPr>
          <w:rFonts w:ascii="Arial" w:hAnsi="Arial" w:cs="Arial"/>
          <w:color w:val="26282A"/>
          <w:shd w:val="clear" w:color="auto" w:fill="FFFFFF"/>
        </w:rPr>
        <w:t xml:space="preserve"> (Richard, 2021).</w:t>
      </w:r>
    </w:p>
    <w:p w14:paraId="7E0F2602" w14:textId="03B317B7" w:rsidR="00D0793C" w:rsidRPr="00884DAF" w:rsidRDefault="00000000" w:rsidP="00884DAF">
      <w:pPr>
        <w:pStyle w:val="ydpc595d14dyiv9060547353ydp6438de93msonormal"/>
        <w:spacing w:line="480" w:lineRule="auto"/>
        <w:jc w:val="both"/>
        <w:rPr>
          <w:rFonts w:ascii="Arial" w:hAnsi="Arial" w:cs="Arial"/>
          <w:color w:val="26282A"/>
          <w:shd w:val="clear" w:color="auto" w:fill="FFFFFF"/>
        </w:rPr>
      </w:pPr>
      <w:r w:rsidRPr="00884DAF">
        <w:rPr>
          <w:rFonts w:ascii="Arial" w:hAnsi="Arial" w:cs="Arial"/>
          <w:color w:val="26282A"/>
          <w:shd w:val="clear" w:color="auto" w:fill="FFFFFF"/>
        </w:rPr>
        <w:t>However, for a right</w:t>
      </w:r>
      <w:r w:rsidR="00981E89" w:rsidRPr="00884DAF">
        <w:rPr>
          <w:rFonts w:ascii="Arial" w:hAnsi="Arial" w:cs="Arial"/>
          <w:color w:val="26282A"/>
          <w:shd w:val="clear" w:color="auto" w:fill="FFFFFF"/>
        </w:rPr>
        <w:t xml:space="preserve"> to be </w:t>
      </w:r>
      <w:r w:rsidRPr="00884DAF">
        <w:rPr>
          <w:rFonts w:ascii="Arial" w:hAnsi="Arial" w:cs="Arial"/>
          <w:color w:val="26282A"/>
          <w:shd w:val="clear" w:color="auto" w:fill="FFFFFF"/>
        </w:rPr>
        <w:t>capable of being an easement</w:t>
      </w:r>
      <w:r w:rsidR="0018410B" w:rsidRPr="00884DAF">
        <w:rPr>
          <w:rFonts w:ascii="Arial" w:hAnsi="Arial" w:cs="Arial"/>
          <w:color w:val="26282A"/>
          <w:shd w:val="clear" w:color="auto" w:fill="FFFFFF"/>
        </w:rPr>
        <w:t>,</w:t>
      </w:r>
      <w:r w:rsidR="00981E89" w:rsidRPr="00884DAF">
        <w:rPr>
          <w:rFonts w:ascii="Arial" w:hAnsi="Arial" w:cs="Arial"/>
          <w:color w:val="26282A"/>
          <w:shd w:val="clear" w:color="auto" w:fill="FFFFFF"/>
        </w:rPr>
        <w:t xml:space="preserve"> </w:t>
      </w:r>
      <w:r w:rsidRPr="00884DAF">
        <w:rPr>
          <w:rFonts w:ascii="Arial" w:hAnsi="Arial" w:cs="Arial"/>
          <w:color w:val="26282A"/>
          <w:shd w:val="clear" w:color="auto" w:fill="FFFFFF"/>
        </w:rPr>
        <w:t>it must satisf</w:t>
      </w:r>
      <w:r w:rsidR="00981E89" w:rsidRPr="00884DAF">
        <w:rPr>
          <w:rFonts w:ascii="Arial" w:hAnsi="Arial" w:cs="Arial"/>
          <w:color w:val="26282A"/>
          <w:shd w:val="clear" w:color="auto" w:fill="FFFFFF"/>
        </w:rPr>
        <w:t xml:space="preserve">y the </w:t>
      </w:r>
      <w:r w:rsidRPr="00884DAF">
        <w:rPr>
          <w:rFonts w:ascii="Arial" w:hAnsi="Arial" w:cs="Arial"/>
          <w:color w:val="26282A"/>
          <w:shd w:val="clear" w:color="auto" w:fill="FFFFFF"/>
        </w:rPr>
        <w:t>conditions</w:t>
      </w:r>
      <w:r w:rsidR="00981E89" w:rsidRPr="00884DAF">
        <w:rPr>
          <w:rFonts w:ascii="Arial" w:hAnsi="Arial" w:cs="Arial"/>
          <w:color w:val="26282A"/>
          <w:shd w:val="clear" w:color="auto" w:fill="FFFFFF"/>
        </w:rPr>
        <w:t xml:space="preserve"> laid</w:t>
      </w:r>
      <w:r w:rsidR="00B55F82" w:rsidRPr="00884DAF">
        <w:rPr>
          <w:rFonts w:ascii="Arial" w:hAnsi="Arial" w:cs="Arial"/>
          <w:color w:val="26282A"/>
          <w:shd w:val="clear" w:color="auto" w:fill="FFFFFF"/>
        </w:rPr>
        <w:t xml:space="preserve"> out</w:t>
      </w:r>
      <w:r w:rsidRPr="00884DAF">
        <w:rPr>
          <w:rFonts w:ascii="Arial" w:hAnsi="Arial" w:cs="Arial"/>
          <w:color w:val="26282A"/>
          <w:shd w:val="clear" w:color="auto" w:fill="FFFFFF"/>
        </w:rPr>
        <w:t xml:space="preserve"> in Re Ellenborough Park (1955)</w:t>
      </w:r>
      <w:r w:rsidR="00981E89" w:rsidRPr="00884DAF">
        <w:rPr>
          <w:rFonts w:ascii="Arial" w:hAnsi="Arial" w:cs="Arial"/>
          <w:color w:val="26282A"/>
          <w:shd w:val="clear" w:color="auto" w:fill="FFFFFF"/>
        </w:rPr>
        <w:t>. F</w:t>
      </w:r>
      <w:r w:rsidRPr="00884DAF">
        <w:rPr>
          <w:rFonts w:ascii="Arial" w:hAnsi="Arial" w:cs="Arial"/>
          <w:color w:val="26282A"/>
          <w:shd w:val="clear" w:color="auto" w:fill="FFFFFF"/>
        </w:rPr>
        <w:t>irstly, there must be a dominant tenement</w:t>
      </w:r>
      <w:r w:rsidR="002C06FD" w:rsidRPr="00884DAF">
        <w:rPr>
          <w:rFonts w:ascii="Arial" w:hAnsi="Arial" w:cs="Arial"/>
          <w:color w:val="26282A"/>
          <w:shd w:val="clear" w:color="auto" w:fill="FFFFFF"/>
        </w:rPr>
        <w:t xml:space="preserve"> and a servient tenement</w:t>
      </w:r>
      <w:r w:rsidR="00213DF0" w:rsidRPr="00884DAF">
        <w:rPr>
          <w:rFonts w:ascii="Arial" w:hAnsi="Arial" w:cs="Arial"/>
          <w:color w:val="26282A"/>
          <w:shd w:val="clear" w:color="auto" w:fill="FFFFFF"/>
        </w:rPr>
        <w:t xml:space="preserve">. </w:t>
      </w:r>
      <w:r w:rsidR="008F3E56" w:rsidRPr="00884DAF">
        <w:rPr>
          <w:rFonts w:ascii="Arial" w:hAnsi="Arial" w:cs="Arial"/>
          <w:color w:val="26282A"/>
          <w:shd w:val="clear" w:color="auto" w:fill="FFFFFF"/>
        </w:rPr>
        <w:t>Th</w:t>
      </w:r>
      <w:r w:rsidR="00213DF0" w:rsidRPr="00884DAF">
        <w:rPr>
          <w:rFonts w:ascii="Arial" w:hAnsi="Arial" w:cs="Arial"/>
          <w:color w:val="26282A"/>
          <w:shd w:val="clear" w:color="auto" w:fill="FFFFFF"/>
        </w:rPr>
        <w:t xml:space="preserve">is means that </w:t>
      </w:r>
      <w:r w:rsidR="002C06FD" w:rsidRPr="00884DAF">
        <w:rPr>
          <w:rFonts w:ascii="Arial" w:hAnsi="Arial" w:cs="Arial"/>
          <w:color w:val="26282A"/>
          <w:shd w:val="clear" w:color="auto" w:fill="FFFFFF"/>
        </w:rPr>
        <w:t>t</w:t>
      </w:r>
      <w:r w:rsidR="007D4D0B" w:rsidRPr="00884DAF">
        <w:rPr>
          <w:rFonts w:ascii="Arial" w:hAnsi="Arial" w:cs="Arial"/>
          <w:color w:val="26282A"/>
          <w:shd w:val="clear" w:color="auto" w:fill="FFFFFF"/>
        </w:rPr>
        <w:t xml:space="preserve">here must be two pieces of land, one that benefits from the land, and the other land that bears the burden </w:t>
      </w:r>
      <w:r w:rsidRPr="00884DAF">
        <w:rPr>
          <w:rFonts w:ascii="Arial" w:hAnsi="Arial" w:cs="Arial"/>
          <w:color w:val="26282A"/>
          <w:shd w:val="clear" w:color="auto" w:fill="FFFFFF"/>
        </w:rPr>
        <w:t>(</w:t>
      </w:r>
      <w:bookmarkStart w:id="3" w:name="_Hlk118069962"/>
      <w:r w:rsidRPr="00884DAF">
        <w:rPr>
          <w:rFonts w:ascii="Arial" w:hAnsi="Arial" w:cs="Arial"/>
          <w:color w:val="26282A"/>
          <w:shd w:val="clear" w:color="auto" w:fill="FFFFFF"/>
        </w:rPr>
        <w:t>London and Blenheim Estates Ltd v Ladbroke Retail Parks Ltd</w:t>
      </w:r>
      <w:r w:rsidR="00981E89" w:rsidRPr="00884DAF">
        <w:rPr>
          <w:rFonts w:ascii="Arial" w:hAnsi="Arial" w:cs="Arial"/>
          <w:color w:val="26282A"/>
          <w:shd w:val="clear" w:color="auto" w:fill="FFFFFF"/>
        </w:rPr>
        <w:t xml:space="preserve"> </w:t>
      </w:r>
      <w:r w:rsidRPr="00884DAF">
        <w:rPr>
          <w:rFonts w:ascii="Arial" w:hAnsi="Arial" w:cs="Arial"/>
          <w:color w:val="26282A"/>
          <w:shd w:val="clear" w:color="auto" w:fill="FFFFFF"/>
        </w:rPr>
        <w:t>1993</w:t>
      </w:r>
      <w:bookmarkEnd w:id="3"/>
      <w:r w:rsidR="00981E89" w:rsidRPr="00884DAF">
        <w:rPr>
          <w:rFonts w:ascii="Arial" w:hAnsi="Arial" w:cs="Arial"/>
          <w:color w:val="26282A"/>
          <w:shd w:val="clear" w:color="auto" w:fill="FFFFFF"/>
        </w:rPr>
        <w:t>.</w:t>
      </w:r>
      <w:r w:rsidR="007D4D0B" w:rsidRPr="00884DAF">
        <w:rPr>
          <w:rFonts w:ascii="Arial" w:hAnsi="Arial" w:cs="Arial"/>
          <w:color w:val="26282A"/>
          <w:shd w:val="clear" w:color="auto" w:fill="FFFFFF"/>
        </w:rPr>
        <w:t xml:space="preserve"> Even though the land bears the burden,</w:t>
      </w:r>
      <w:r w:rsidR="00BA444D" w:rsidRPr="00884DAF">
        <w:rPr>
          <w:rFonts w:ascii="Arial" w:hAnsi="Arial" w:cs="Arial"/>
          <w:color w:val="26282A"/>
          <w:shd w:val="clear" w:color="auto" w:fill="FFFFFF"/>
        </w:rPr>
        <w:t xml:space="preserve"> an easement will not be recognised if </w:t>
      </w:r>
      <w:r w:rsidR="007D4D0B" w:rsidRPr="00884DAF">
        <w:rPr>
          <w:rFonts w:ascii="Arial" w:hAnsi="Arial" w:cs="Arial"/>
          <w:color w:val="26282A"/>
          <w:shd w:val="clear" w:color="auto" w:fill="FFFFFF"/>
        </w:rPr>
        <w:t>the landowner</w:t>
      </w:r>
      <w:r w:rsidR="00BA444D" w:rsidRPr="00884DAF">
        <w:rPr>
          <w:rFonts w:ascii="Arial" w:hAnsi="Arial" w:cs="Arial"/>
          <w:color w:val="26282A"/>
          <w:shd w:val="clear" w:color="auto" w:fill="FFFFFF"/>
        </w:rPr>
        <w:t xml:space="preserve"> </w:t>
      </w:r>
      <w:r w:rsidR="007D4D0B" w:rsidRPr="00884DAF">
        <w:rPr>
          <w:rFonts w:ascii="Arial" w:hAnsi="Arial" w:cs="Arial"/>
          <w:color w:val="26282A"/>
          <w:shd w:val="clear" w:color="auto" w:fill="FFFFFF"/>
        </w:rPr>
        <w:lastRenderedPageBreak/>
        <w:t>bear</w:t>
      </w:r>
      <w:r w:rsidR="00BA444D" w:rsidRPr="00884DAF">
        <w:rPr>
          <w:rFonts w:ascii="Arial" w:hAnsi="Arial" w:cs="Arial"/>
          <w:color w:val="26282A"/>
          <w:shd w:val="clear" w:color="auto" w:fill="FFFFFF"/>
        </w:rPr>
        <w:t>s</w:t>
      </w:r>
      <w:r w:rsidR="007D4D0B" w:rsidRPr="00884DAF">
        <w:rPr>
          <w:rFonts w:ascii="Arial" w:hAnsi="Arial" w:cs="Arial"/>
          <w:color w:val="26282A"/>
          <w:shd w:val="clear" w:color="auto" w:fill="FFFFFF"/>
        </w:rPr>
        <w:t xml:space="preserve"> the cost</w:t>
      </w:r>
      <w:r w:rsidR="00BA444D" w:rsidRPr="00884DAF">
        <w:rPr>
          <w:rFonts w:ascii="Arial" w:hAnsi="Arial" w:cs="Arial"/>
          <w:color w:val="26282A"/>
          <w:shd w:val="clear" w:color="auto" w:fill="FFFFFF"/>
        </w:rPr>
        <w:t xml:space="preserve"> of maintaining the land (Jones v Price (1965), (Rance v Elvin 1985).</w:t>
      </w:r>
      <w:r w:rsidR="00B15ED1" w:rsidRPr="00884DAF">
        <w:rPr>
          <w:rFonts w:ascii="Arial" w:hAnsi="Arial" w:cs="Arial"/>
          <w:color w:val="26282A"/>
          <w:shd w:val="clear" w:color="auto" w:fill="FFFFFF"/>
        </w:rPr>
        <w:t xml:space="preserve"> Although there are some exceptio</w:t>
      </w:r>
      <w:r w:rsidR="004276DD" w:rsidRPr="00884DAF">
        <w:rPr>
          <w:rFonts w:ascii="Arial" w:hAnsi="Arial" w:cs="Arial"/>
          <w:color w:val="26282A"/>
          <w:shd w:val="clear" w:color="auto" w:fill="FFFFFF"/>
        </w:rPr>
        <w:t>ns</w:t>
      </w:r>
      <w:r w:rsidR="002C06FD" w:rsidRPr="00884DAF">
        <w:rPr>
          <w:rFonts w:ascii="Arial" w:hAnsi="Arial" w:cs="Arial"/>
          <w:color w:val="26282A"/>
          <w:shd w:val="clear" w:color="auto" w:fill="FFFFFF"/>
        </w:rPr>
        <w:t xml:space="preserve"> to this</w:t>
      </w:r>
      <w:r w:rsidR="0018410B" w:rsidRPr="00884DAF">
        <w:rPr>
          <w:rFonts w:ascii="Arial" w:hAnsi="Arial" w:cs="Arial"/>
          <w:color w:val="26282A"/>
          <w:shd w:val="clear" w:color="auto" w:fill="FFFFFF"/>
        </w:rPr>
        <w:t xml:space="preserve">, </w:t>
      </w:r>
      <w:r w:rsidR="002C06FD" w:rsidRPr="00884DAF">
        <w:rPr>
          <w:rFonts w:ascii="Arial" w:hAnsi="Arial" w:cs="Arial"/>
          <w:color w:val="26282A"/>
          <w:shd w:val="clear" w:color="auto" w:fill="FFFFFF"/>
        </w:rPr>
        <w:t xml:space="preserve">an </w:t>
      </w:r>
      <w:r w:rsidR="0018410B" w:rsidRPr="00884DAF">
        <w:rPr>
          <w:rFonts w:ascii="Arial" w:hAnsi="Arial" w:cs="Arial"/>
          <w:color w:val="26282A"/>
          <w:shd w:val="clear" w:color="auto" w:fill="FFFFFF"/>
        </w:rPr>
        <w:t>e</w:t>
      </w:r>
      <w:r w:rsidR="004276DD" w:rsidRPr="00884DAF">
        <w:rPr>
          <w:rFonts w:ascii="Arial" w:hAnsi="Arial" w:cs="Arial"/>
          <w:color w:val="26282A"/>
          <w:shd w:val="clear" w:color="auto" w:fill="FFFFFF"/>
        </w:rPr>
        <w:t>asement to maintain a fence has been recognised in Crow v Wood 1971, and easement to maintain a communal building</w:t>
      </w:r>
      <w:r w:rsidR="0018410B" w:rsidRPr="00884DAF">
        <w:rPr>
          <w:rFonts w:ascii="Arial" w:hAnsi="Arial" w:cs="Arial"/>
          <w:color w:val="26282A"/>
          <w:shd w:val="clear" w:color="auto" w:fill="FFFFFF"/>
        </w:rPr>
        <w:t xml:space="preserve"> in</w:t>
      </w:r>
      <w:r w:rsidR="004276DD" w:rsidRPr="00884DAF">
        <w:rPr>
          <w:rFonts w:ascii="Arial" w:hAnsi="Arial" w:cs="Arial"/>
          <w:color w:val="26282A"/>
          <w:shd w:val="clear" w:color="auto" w:fill="FFFFFF"/>
        </w:rPr>
        <w:t xml:space="preserve"> Liverpool City Council v Irwin 1977. </w:t>
      </w:r>
      <w:r w:rsidR="008F3E56" w:rsidRPr="00884DAF">
        <w:rPr>
          <w:rFonts w:ascii="Arial" w:hAnsi="Arial" w:cs="Arial"/>
          <w:color w:val="26282A"/>
          <w:shd w:val="clear" w:color="auto" w:fill="FFFFFF"/>
        </w:rPr>
        <w:t>Another argument is that a</w:t>
      </w:r>
      <w:r w:rsidR="002C06FD" w:rsidRPr="00884DAF">
        <w:rPr>
          <w:rFonts w:ascii="Arial" w:hAnsi="Arial" w:cs="Arial"/>
          <w:color w:val="26282A"/>
          <w:shd w:val="clear" w:color="auto" w:fill="FFFFFF"/>
        </w:rPr>
        <w:t xml:space="preserve"> dominant</w:t>
      </w:r>
      <w:r w:rsidR="008F3E56" w:rsidRPr="00884DAF">
        <w:rPr>
          <w:rFonts w:ascii="Arial" w:hAnsi="Arial" w:cs="Arial"/>
          <w:color w:val="26282A"/>
          <w:shd w:val="clear" w:color="auto" w:fill="FFFFFF"/>
        </w:rPr>
        <w:t xml:space="preserve"> owner who buys another land close to a land he enjoys an easement, and desires to use the right of way he enjoys </w:t>
      </w:r>
      <w:r w:rsidR="00213DF0" w:rsidRPr="00884DAF">
        <w:rPr>
          <w:rFonts w:ascii="Arial" w:hAnsi="Arial" w:cs="Arial"/>
          <w:color w:val="26282A"/>
          <w:shd w:val="clear" w:color="auto" w:fill="FFFFFF"/>
        </w:rPr>
        <w:t>accessing</w:t>
      </w:r>
      <w:r w:rsidR="008F3E56" w:rsidRPr="00884DAF">
        <w:rPr>
          <w:rFonts w:ascii="Arial" w:hAnsi="Arial" w:cs="Arial"/>
          <w:color w:val="26282A"/>
          <w:shd w:val="clear" w:color="auto" w:fill="FFFFFF"/>
        </w:rPr>
        <w:t xml:space="preserve"> the newly acquired land cannot enjoy an easement over that newly acquired land (Harris v Flower</w:t>
      </w:r>
      <w:r w:rsidR="00A2198D" w:rsidRPr="00884DAF">
        <w:rPr>
          <w:rFonts w:ascii="Arial" w:hAnsi="Arial" w:cs="Arial"/>
          <w:color w:val="26282A"/>
          <w:shd w:val="clear" w:color="auto" w:fill="FFFFFF"/>
        </w:rPr>
        <w:t>, 1904</w:t>
      </w:r>
      <w:r w:rsidR="008F3E56" w:rsidRPr="00884DAF">
        <w:rPr>
          <w:rFonts w:ascii="Arial" w:hAnsi="Arial" w:cs="Arial"/>
          <w:color w:val="26282A"/>
          <w:shd w:val="clear" w:color="auto" w:fill="FFFFFF"/>
        </w:rPr>
        <w:t>). Paton and Seabourne</w:t>
      </w:r>
      <w:r w:rsidR="00A2198D" w:rsidRPr="00884DAF">
        <w:rPr>
          <w:rFonts w:ascii="Arial" w:hAnsi="Arial" w:cs="Arial"/>
          <w:color w:val="26282A"/>
          <w:shd w:val="clear" w:color="auto" w:fill="FFFFFF"/>
        </w:rPr>
        <w:t>, (</w:t>
      </w:r>
      <w:r w:rsidR="00AE72AD" w:rsidRPr="00884DAF">
        <w:rPr>
          <w:rFonts w:ascii="Arial" w:hAnsi="Arial" w:cs="Arial"/>
          <w:color w:val="26282A"/>
          <w:shd w:val="clear" w:color="auto" w:fill="FFFFFF"/>
        </w:rPr>
        <w:t xml:space="preserve">2003) </w:t>
      </w:r>
      <w:r w:rsidR="008F3E56" w:rsidRPr="00884DAF">
        <w:rPr>
          <w:rFonts w:ascii="Arial" w:hAnsi="Arial" w:cs="Arial"/>
          <w:color w:val="26282A"/>
          <w:shd w:val="clear" w:color="auto" w:fill="FFFFFF"/>
        </w:rPr>
        <w:t>argued</w:t>
      </w:r>
      <w:r w:rsidR="00AE72AD" w:rsidRPr="00884DAF">
        <w:rPr>
          <w:rFonts w:ascii="Arial" w:hAnsi="Arial" w:cs="Arial"/>
          <w:color w:val="26282A"/>
          <w:shd w:val="clear" w:color="auto" w:fill="FFFFFF"/>
        </w:rPr>
        <w:t xml:space="preserve"> </w:t>
      </w:r>
      <w:r w:rsidR="008F3E56" w:rsidRPr="00884DAF">
        <w:rPr>
          <w:rFonts w:ascii="Arial" w:hAnsi="Arial" w:cs="Arial"/>
          <w:color w:val="26282A"/>
          <w:shd w:val="clear" w:color="auto" w:fill="FFFFFF"/>
        </w:rPr>
        <w:t>the rule in Harris and F</w:t>
      </w:r>
      <w:r w:rsidR="00AE72AD" w:rsidRPr="00884DAF">
        <w:rPr>
          <w:rFonts w:ascii="Arial" w:hAnsi="Arial" w:cs="Arial"/>
          <w:color w:val="26282A"/>
          <w:shd w:val="clear" w:color="auto" w:fill="FFFFFF"/>
        </w:rPr>
        <w:t>lower</w:t>
      </w:r>
      <w:r w:rsidR="00A2198D" w:rsidRPr="00884DAF">
        <w:rPr>
          <w:rFonts w:ascii="Arial" w:hAnsi="Arial" w:cs="Arial"/>
          <w:color w:val="26282A"/>
          <w:shd w:val="clear" w:color="auto" w:fill="FFFFFF"/>
        </w:rPr>
        <w:t>,</w:t>
      </w:r>
      <w:r w:rsidR="008F3E56" w:rsidRPr="00884DAF">
        <w:rPr>
          <w:rFonts w:ascii="Arial" w:hAnsi="Arial" w:cs="Arial"/>
          <w:color w:val="26282A"/>
          <w:shd w:val="clear" w:color="auto" w:fill="FFFFFF"/>
        </w:rPr>
        <w:t xml:space="preserve"> that there is no reason why</w:t>
      </w:r>
      <w:r w:rsidR="00AE72AD" w:rsidRPr="00884DAF">
        <w:rPr>
          <w:rFonts w:ascii="Arial" w:hAnsi="Arial" w:cs="Arial"/>
          <w:color w:val="26282A"/>
          <w:shd w:val="clear" w:color="auto" w:fill="FFFFFF"/>
        </w:rPr>
        <w:t xml:space="preserve"> a </w:t>
      </w:r>
      <w:r w:rsidR="008F3E56" w:rsidRPr="00884DAF">
        <w:rPr>
          <w:rFonts w:ascii="Arial" w:hAnsi="Arial" w:cs="Arial"/>
          <w:color w:val="26282A"/>
          <w:shd w:val="clear" w:color="auto" w:fill="FFFFFF"/>
        </w:rPr>
        <w:t>right of way</w:t>
      </w:r>
      <w:r w:rsidR="00AE72AD" w:rsidRPr="00884DAF">
        <w:rPr>
          <w:rFonts w:ascii="Arial" w:hAnsi="Arial" w:cs="Arial"/>
          <w:color w:val="26282A"/>
          <w:shd w:val="clear" w:color="auto" w:fill="FFFFFF"/>
        </w:rPr>
        <w:t xml:space="preserve"> cannot be recognised on the </w:t>
      </w:r>
      <w:r w:rsidR="008F3E56" w:rsidRPr="00884DAF">
        <w:rPr>
          <w:rFonts w:ascii="Arial" w:hAnsi="Arial" w:cs="Arial"/>
          <w:color w:val="26282A"/>
          <w:shd w:val="clear" w:color="auto" w:fill="FFFFFF"/>
        </w:rPr>
        <w:t xml:space="preserve">newly acquired land since the </w:t>
      </w:r>
      <w:r w:rsidR="00AE72AD" w:rsidRPr="00884DAF">
        <w:rPr>
          <w:rFonts w:ascii="Arial" w:hAnsi="Arial" w:cs="Arial"/>
          <w:color w:val="26282A"/>
          <w:shd w:val="clear" w:color="auto" w:fill="FFFFFF"/>
        </w:rPr>
        <w:t>dominant</w:t>
      </w:r>
      <w:r w:rsidR="008F3E56" w:rsidRPr="00884DAF">
        <w:rPr>
          <w:rFonts w:ascii="Arial" w:hAnsi="Arial" w:cs="Arial"/>
          <w:color w:val="26282A"/>
          <w:shd w:val="clear" w:color="auto" w:fill="FFFFFF"/>
        </w:rPr>
        <w:t xml:space="preserve"> owner owns</w:t>
      </w:r>
      <w:r w:rsidR="00AE72AD" w:rsidRPr="00884DAF">
        <w:rPr>
          <w:rFonts w:ascii="Arial" w:hAnsi="Arial" w:cs="Arial"/>
          <w:color w:val="26282A"/>
          <w:shd w:val="clear" w:color="auto" w:fill="FFFFFF"/>
        </w:rPr>
        <w:t xml:space="preserve"> both </w:t>
      </w:r>
      <w:r w:rsidR="00213DF0" w:rsidRPr="00884DAF">
        <w:rPr>
          <w:rFonts w:ascii="Arial" w:hAnsi="Arial" w:cs="Arial"/>
          <w:color w:val="26282A"/>
          <w:shd w:val="clear" w:color="auto" w:fill="FFFFFF"/>
        </w:rPr>
        <w:t>lands</w:t>
      </w:r>
      <w:r w:rsidR="00AE72AD" w:rsidRPr="00884DAF">
        <w:rPr>
          <w:rFonts w:ascii="Arial" w:hAnsi="Arial" w:cs="Arial"/>
          <w:color w:val="26282A"/>
          <w:shd w:val="clear" w:color="auto" w:fill="FFFFFF"/>
        </w:rPr>
        <w:t>.</w:t>
      </w:r>
    </w:p>
    <w:p w14:paraId="39A6EFB7" w14:textId="1BF27CE3" w:rsidR="00431180" w:rsidRPr="00884DAF" w:rsidRDefault="00981E89" w:rsidP="00884DAF">
      <w:pPr>
        <w:pStyle w:val="ydpc595d14dyiv9060547353ydp6438de93msonormal"/>
        <w:spacing w:line="480" w:lineRule="auto"/>
        <w:jc w:val="both"/>
        <w:rPr>
          <w:rFonts w:ascii="Arial" w:hAnsi="Arial" w:cs="Arial"/>
          <w:color w:val="26282A"/>
          <w:shd w:val="clear" w:color="auto" w:fill="FFFFFF"/>
        </w:rPr>
      </w:pPr>
      <w:r w:rsidRPr="00884DAF">
        <w:rPr>
          <w:rFonts w:ascii="Arial" w:hAnsi="Arial" w:cs="Arial"/>
          <w:color w:val="26282A"/>
          <w:shd w:val="clear" w:color="auto" w:fill="FFFFFF"/>
        </w:rPr>
        <w:t>Secondly, the right must benefit the dominant tenement (Moody v Steggles 1879),</w:t>
      </w:r>
      <w:r w:rsidR="00BA2816" w:rsidRPr="00884DAF">
        <w:rPr>
          <w:rFonts w:ascii="Arial" w:hAnsi="Arial" w:cs="Arial"/>
          <w:color w:val="26282A"/>
          <w:shd w:val="clear" w:color="auto" w:fill="FFFFFF"/>
        </w:rPr>
        <w:t xml:space="preserve"> (P &amp; S Platt Ltd v Crouch 2003),</w:t>
      </w:r>
      <w:r w:rsidR="00577C19" w:rsidRPr="00884DAF">
        <w:rPr>
          <w:rFonts w:ascii="Arial" w:hAnsi="Arial" w:cs="Arial"/>
          <w:color w:val="26282A"/>
          <w:shd w:val="clear" w:color="auto" w:fill="FFFFFF"/>
        </w:rPr>
        <w:t xml:space="preserve"> </w:t>
      </w:r>
      <w:r w:rsidRPr="00884DAF">
        <w:rPr>
          <w:rFonts w:ascii="Arial" w:hAnsi="Arial" w:cs="Arial"/>
          <w:color w:val="26282A"/>
          <w:shd w:val="clear" w:color="auto" w:fill="FFFFFF"/>
        </w:rPr>
        <w:t xml:space="preserve">and not be for the personal benefit </w:t>
      </w:r>
      <w:r w:rsidR="00B55F82" w:rsidRPr="00884DAF">
        <w:rPr>
          <w:rFonts w:ascii="Arial" w:hAnsi="Arial" w:cs="Arial"/>
          <w:color w:val="26282A"/>
          <w:shd w:val="clear" w:color="auto" w:fill="FFFFFF"/>
        </w:rPr>
        <w:t>of</w:t>
      </w:r>
      <w:r w:rsidRPr="00884DAF">
        <w:rPr>
          <w:rFonts w:ascii="Arial" w:hAnsi="Arial" w:cs="Arial"/>
          <w:color w:val="26282A"/>
          <w:shd w:val="clear" w:color="auto" w:fill="FFFFFF"/>
        </w:rPr>
        <w:t xml:space="preserve"> the landowner (Hill v Tupper, 1863)</w:t>
      </w:r>
      <w:r w:rsidR="00FE2031" w:rsidRPr="00884DAF">
        <w:rPr>
          <w:rFonts w:ascii="Arial" w:hAnsi="Arial" w:cs="Arial"/>
          <w:color w:val="26282A"/>
          <w:shd w:val="clear" w:color="auto" w:fill="FFFFFF"/>
        </w:rPr>
        <w:t>.</w:t>
      </w:r>
      <w:r w:rsidR="00BA2816" w:rsidRPr="00884DAF">
        <w:rPr>
          <w:rFonts w:ascii="Arial" w:hAnsi="Arial" w:cs="Arial"/>
          <w:color w:val="26282A"/>
          <w:shd w:val="clear" w:color="auto" w:fill="FFFFFF"/>
        </w:rPr>
        <w:t xml:space="preserve"> </w:t>
      </w:r>
      <w:r w:rsidR="00BA2816" w:rsidRPr="00884DAF">
        <w:rPr>
          <w:rFonts w:ascii="Arial" w:hAnsi="Arial" w:cs="Arial"/>
          <w:color w:val="181817"/>
          <w:shd w:val="clear" w:color="auto" w:fill="FFFFFF"/>
        </w:rPr>
        <w:t>Bridge</w:t>
      </w:r>
      <w:r w:rsidR="00111B57" w:rsidRPr="00884DAF">
        <w:rPr>
          <w:rFonts w:ascii="Arial" w:hAnsi="Arial" w:cs="Arial"/>
          <w:color w:val="181817"/>
          <w:shd w:val="clear" w:color="auto" w:fill="FFFFFF"/>
        </w:rPr>
        <w:t xml:space="preserve">, </w:t>
      </w:r>
      <w:r w:rsidR="00BA2816" w:rsidRPr="00884DAF">
        <w:rPr>
          <w:rFonts w:ascii="Arial" w:hAnsi="Arial" w:cs="Arial"/>
          <w:color w:val="181817"/>
          <w:shd w:val="clear" w:color="auto" w:fill="FFFFFF"/>
        </w:rPr>
        <w:t>Cookie</w:t>
      </w:r>
      <w:r w:rsidR="00111B57" w:rsidRPr="00884DAF">
        <w:rPr>
          <w:rFonts w:ascii="Arial" w:hAnsi="Arial" w:cs="Arial"/>
          <w:color w:val="181817"/>
          <w:shd w:val="clear" w:color="auto" w:fill="FFFFFF"/>
        </w:rPr>
        <w:t>,</w:t>
      </w:r>
      <w:r w:rsidR="00BA2816" w:rsidRPr="00884DAF">
        <w:rPr>
          <w:rFonts w:ascii="Arial" w:hAnsi="Arial" w:cs="Arial"/>
          <w:color w:val="181817"/>
          <w:shd w:val="clear" w:color="auto" w:fill="FFFFFF"/>
        </w:rPr>
        <w:t xml:space="preserve"> and Dixon, M. (2019)</w:t>
      </w:r>
      <w:r w:rsidR="00577C19" w:rsidRPr="00884DAF">
        <w:rPr>
          <w:rFonts w:ascii="Arial" w:hAnsi="Arial" w:cs="Arial"/>
          <w:color w:val="26282A"/>
          <w:shd w:val="clear" w:color="auto" w:fill="FFFFFF"/>
        </w:rPr>
        <w:t xml:space="preserve"> suggest</w:t>
      </w:r>
      <w:r w:rsidR="00111B57" w:rsidRPr="00884DAF">
        <w:rPr>
          <w:rFonts w:ascii="Arial" w:hAnsi="Arial" w:cs="Arial"/>
          <w:color w:val="26282A"/>
          <w:shd w:val="clear" w:color="auto" w:fill="FFFFFF"/>
        </w:rPr>
        <w:t>ed</w:t>
      </w:r>
      <w:r w:rsidR="00577C19" w:rsidRPr="00884DAF">
        <w:rPr>
          <w:rFonts w:ascii="Arial" w:hAnsi="Arial" w:cs="Arial"/>
          <w:color w:val="26282A"/>
          <w:shd w:val="clear" w:color="auto" w:fill="FFFFFF"/>
        </w:rPr>
        <w:t xml:space="preserve"> </w:t>
      </w:r>
      <w:r w:rsidR="00BA2816" w:rsidRPr="00884DAF">
        <w:rPr>
          <w:rFonts w:ascii="Arial" w:hAnsi="Arial" w:cs="Arial"/>
          <w:color w:val="26282A"/>
          <w:shd w:val="clear" w:color="auto" w:fill="FFFFFF"/>
        </w:rPr>
        <w:t xml:space="preserve">that the one-way test to determine if a right </w:t>
      </w:r>
      <w:r w:rsidR="00401763" w:rsidRPr="00884DAF">
        <w:rPr>
          <w:rFonts w:ascii="Arial" w:hAnsi="Arial" w:cs="Arial"/>
          <w:color w:val="26282A"/>
          <w:shd w:val="clear" w:color="auto" w:fill="FFFFFF"/>
        </w:rPr>
        <w:t>exists</w:t>
      </w:r>
      <w:r w:rsidR="00BA2816" w:rsidRPr="00884DAF">
        <w:rPr>
          <w:rFonts w:ascii="Arial" w:hAnsi="Arial" w:cs="Arial"/>
          <w:color w:val="26282A"/>
          <w:shd w:val="clear" w:color="auto" w:fill="FFFFFF"/>
        </w:rPr>
        <w:t xml:space="preserve"> on</w:t>
      </w:r>
      <w:r w:rsidR="00401763" w:rsidRPr="00884DAF">
        <w:rPr>
          <w:rFonts w:ascii="Arial" w:hAnsi="Arial" w:cs="Arial"/>
          <w:color w:val="26282A"/>
          <w:shd w:val="clear" w:color="auto" w:fill="FFFFFF"/>
        </w:rPr>
        <w:t xml:space="preserve"> the </w:t>
      </w:r>
      <w:r w:rsidR="00BA2816" w:rsidRPr="00884DAF">
        <w:rPr>
          <w:rFonts w:ascii="Arial" w:hAnsi="Arial" w:cs="Arial"/>
          <w:color w:val="26282A"/>
          <w:shd w:val="clear" w:color="auto" w:fill="FFFFFF"/>
        </w:rPr>
        <w:t xml:space="preserve">land is if </w:t>
      </w:r>
      <w:r w:rsidR="00577C19" w:rsidRPr="00884DAF">
        <w:rPr>
          <w:rFonts w:ascii="Arial" w:hAnsi="Arial" w:cs="Arial"/>
          <w:color w:val="26282A"/>
          <w:shd w:val="clear" w:color="auto" w:fill="FFFFFF"/>
        </w:rPr>
        <w:t>the easement</w:t>
      </w:r>
      <w:r w:rsidR="00BA2816" w:rsidRPr="00884DAF">
        <w:rPr>
          <w:rFonts w:ascii="Arial" w:hAnsi="Arial" w:cs="Arial"/>
          <w:color w:val="26282A"/>
          <w:shd w:val="clear" w:color="auto" w:fill="FFFFFF"/>
        </w:rPr>
        <w:t xml:space="preserve"> benefits, </w:t>
      </w:r>
      <w:r w:rsidR="00577C19" w:rsidRPr="00884DAF">
        <w:rPr>
          <w:rFonts w:ascii="Arial" w:hAnsi="Arial" w:cs="Arial"/>
          <w:color w:val="26282A"/>
          <w:shd w:val="clear" w:color="auto" w:fill="FFFFFF"/>
        </w:rPr>
        <w:t>enhance</w:t>
      </w:r>
      <w:r w:rsidR="00BA2816" w:rsidRPr="00884DAF">
        <w:rPr>
          <w:rFonts w:ascii="Arial" w:hAnsi="Arial" w:cs="Arial"/>
          <w:color w:val="26282A"/>
          <w:shd w:val="clear" w:color="auto" w:fill="FFFFFF"/>
        </w:rPr>
        <w:t>s</w:t>
      </w:r>
      <w:r w:rsidR="00401763" w:rsidRPr="00884DAF">
        <w:rPr>
          <w:rFonts w:ascii="Arial" w:hAnsi="Arial" w:cs="Arial"/>
          <w:color w:val="26282A"/>
          <w:shd w:val="clear" w:color="auto" w:fill="FFFFFF"/>
        </w:rPr>
        <w:t>,</w:t>
      </w:r>
      <w:r w:rsidR="00577C19" w:rsidRPr="00884DAF">
        <w:rPr>
          <w:rFonts w:ascii="Arial" w:hAnsi="Arial" w:cs="Arial"/>
          <w:color w:val="26282A"/>
          <w:shd w:val="clear" w:color="auto" w:fill="FFFFFF"/>
        </w:rPr>
        <w:t xml:space="preserve"> and add</w:t>
      </w:r>
      <w:r w:rsidR="00BA2816" w:rsidRPr="00884DAF">
        <w:rPr>
          <w:rFonts w:ascii="Arial" w:hAnsi="Arial" w:cs="Arial"/>
          <w:color w:val="26282A"/>
          <w:shd w:val="clear" w:color="auto" w:fill="FFFFFF"/>
        </w:rPr>
        <w:t>s</w:t>
      </w:r>
      <w:r w:rsidR="00577C19" w:rsidRPr="00884DAF">
        <w:rPr>
          <w:rFonts w:ascii="Arial" w:hAnsi="Arial" w:cs="Arial"/>
          <w:color w:val="26282A"/>
          <w:shd w:val="clear" w:color="auto" w:fill="FFFFFF"/>
        </w:rPr>
        <w:t xml:space="preserve"> value to the </w:t>
      </w:r>
      <w:r w:rsidR="00BA2816" w:rsidRPr="00884DAF">
        <w:rPr>
          <w:rFonts w:ascii="Arial" w:hAnsi="Arial" w:cs="Arial"/>
          <w:color w:val="26282A"/>
          <w:shd w:val="clear" w:color="auto" w:fill="FFFFFF"/>
        </w:rPr>
        <w:t xml:space="preserve">dominant </w:t>
      </w:r>
      <w:r w:rsidR="00577C19" w:rsidRPr="00884DAF">
        <w:rPr>
          <w:rFonts w:ascii="Arial" w:hAnsi="Arial" w:cs="Arial"/>
          <w:color w:val="26282A"/>
          <w:shd w:val="clear" w:color="auto" w:fill="FFFFFF"/>
        </w:rPr>
        <w:t>land</w:t>
      </w:r>
      <w:r w:rsidR="00BA2816" w:rsidRPr="00884DAF">
        <w:rPr>
          <w:rFonts w:ascii="Arial" w:hAnsi="Arial" w:cs="Arial"/>
          <w:color w:val="26282A"/>
          <w:shd w:val="clear" w:color="auto" w:fill="FFFFFF"/>
        </w:rPr>
        <w:t xml:space="preserve"> (Re Webb’s Lease 1951).</w:t>
      </w:r>
      <w:r w:rsidR="00D0793C" w:rsidRPr="00884DAF">
        <w:rPr>
          <w:rFonts w:ascii="Arial" w:hAnsi="Arial" w:cs="Arial"/>
          <w:color w:val="26282A"/>
          <w:shd w:val="clear" w:color="auto" w:fill="FFFFFF"/>
        </w:rPr>
        <w:t xml:space="preserve"> This was what the court relied upon when deciding the case Regency Villas Title Ltd v Diamond Resorts (Europe) Ltd 2018.</w:t>
      </w:r>
      <w:r w:rsidR="00401763" w:rsidRPr="00884DAF">
        <w:rPr>
          <w:rFonts w:ascii="Arial" w:hAnsi="Arial" w:cs="Arial"/>
          <w:color w:val="26282A"/>
          <w:shd w:val="clear" w:color="auto" w:fill="FFFFFF"/>
        </w:rPr>
        <w:t xml:space="preserve"> In this case, it was held that an easement existed for occupants of the timeshare apartments to use the recreational</w:t>
      </w:r>
      <w:r w:rsidR="00EC46C8" w:rsidRPr="00884DAF">
        <w:rPr>
          <w:rFonts w:ascii="Arial" w:hAnsi="Arial" w:cs="Arial"/>
          <w:color w:val="26282A"/>
          <w:shd w:val="clear" w:color="auto" w:fill="FFFFFF"/>
        </w:rPr>
        <w:t xml:space="preserve"> facilities</w:t>
      </w:r>
      <w:r w:rsidR="00FC3226" w:rsidRPr="00884DAF">
        <w:rPr>
          <w:rFonts w:ascii="Arial" w:hAnsi="Arial" w:cs="Arial"/>
          <w:color w:val="26282A"/>
          <w:shd w:val="clear" w:color="auto" w:fill="FFFFFF"/>
        </w:rPr>
        <w:t xml:space="preserve">. This raised the question as to whether an easement would still be recognised if the dominant tenement was not a shared apartment. </w:t>
      </w:r>
      <w:r w:rsidR="00814114" w:rsidRPr="00884DAF">
        <w:rPr>
          <w:rFonts w:ascii="Arial" w:hAnsi="Arial" w:cs="Arial"/>
          <w:color w:val="26282A"/>
          <w:shd w:val="clear" w:color="auto" w:fill="FFFFFF"/>
        </w:rPr>
        <w:t>B</w:t>
      </w:r>
      <w:r w:rsidR="00D0793C" w:rsidRPr="00884DAF">
        <w:rPr>
          <w:rFonts w:ascii="Arial" w:hAnsi="Arial" w:cs="Arial"/>
          <w:color w:val="26282A"/>
          <w:shd w:val="clear" w:color="auto" w:fill="FFFFFF"/>
        </w:rPr>
        <w:t>efore this case, recreational facilities were seen as more of personal interest than proprietary rights</w:t>
      </w:r>
      <w:r w:rsidR="00526117" w:rsidRPr="00884DAF">
        <w:rPr>
          <w:rFonts w:ascii="Arial" w:hAnsi="Arial" w:cs="Arial"/>
          <w:color w:val="26282A"/>
          <w:shd w:val="clear" w:color="auto" w:fill="FFFFFF"/>
        </w:rPr>
        <w:t>, and therefore, cannot amount to an easement (</w:t>
      </w:r>
      <w:r w:rsidR="00CA2C9C" w:rsidRPr="00884DAF">
        <w:rPr>
          <w:rFonts w:ascii="Arial" w:hAnsi="Arial" w:cs="Arial"/>
        </w:rPr>
        <w:t>Harris and Rodell, 2020)</w:t>
      </w:r>
      <w:r w:rsidR="00D0793C" w:rsidRPr="00884DAF">
        <w:rPr>
          <w:rFonts w:ascii="Arial" w:hAnsi="Arial" w:cs="Arial"/>
          <w:color w:val="26282A"/>
          <w:shd w:val="clear" w:color="auto" w:fill="FFFFFF"/>
        </w:rPr>
        <w:t>.</w:t>
      </w:r>
      <w:r w:rsidR="00111B57" w:rsidRPr="00884DAF">
        <w:rPr>
          <w:rFonts w:ascii="Arial" w:hAnsi="Arial" w:cs="Arial"/>
          <w:color w:val="26282A"/>
          <w:shd w:val="clear" w:color="auto" w:fill="FFFFFF"/>
        </w:rPr>
        <w:t xml:space="preserve"> </w:t>
      </w:r>
      <w:r w:rsidR="00516FD2" w:rsidRPr="00884DAF">
        <w:rPr>
          <w:rFonts w:ascii="Arial" w:hAnsi="Arial" w:cs="Arial"/>
          <w:color w:val="26282A"/>
          <w:shd w:val="clear" w:color="auto" w:fill="FFFFFF"/>
        </w:rPr>
        <w:t xml:space="preserve">The </w:t>
      </w:r>
      <w:r w:rsidR="00401763" w:rsidRPr="00884DAF">
        <w:rPr>
          <w:rFonts w:ascii="Arial" w:hAnsi="Arial" w:cs="Arial"/>
          <w:color w:val="26282A"/>
          <w:shd w:val="clear" w:color="auto" w:fill="FFFFFF"/>
        </w:rPr>
        <w:t>judgment</w:t>
      </w:r>
      <w:r w:rsidR="00516FD2" w:rsidRPr="00884DAF">
        <w:rPr>
          <w:rFonts w:ascii="Arial" w:hAnsi="Arial" w:cs="Arial"/>
          <w:color w:val="26282A"/>
          <w:shd w:val="clear" w:color="auto" w:fill="FFFFFF"/>
        </w:rPr>
        <w:t xml:space="preserve"> of this case attracted</w:t>
      </w:r>
      <w:r w:rsidR="00814114" w:rsidRPr="00884DAF">
        <w:rPr>
          <w:rFonts w:ascii="Arial" w:hAnsi="Arial" w:cs="Arial"/>
          <w:color w:val="26282A"/>
          <w:shd w:val="clear" w:color="auto" w:fill="FFFFFF"/>
        </w:rPr>
        <w:t xml:space="preserve"> </w:t>
      </w:r>
      <w:r w:rsidR="00401763" w:rsidRPr="00884DAF">
        <w:rPr>
          <w:rFonts w:ascii="Arial" w:hAnsi="Arial" w:cs="Arial"/>
          <w:color w:val="26282A"/>
          <w:shd w:val="clear" w:color="auto" w:fill="FFFFFF"/>
        </w:rPr>
        <w:t>criticism</w:t>
      </w:r>
      <w:r w:rsidR="00516FD2" w:rsidRPr="00884DAF">
        <w:rPr>
          <w:rFonts w:ascii="Arial" w:hAnsi="Arial" w:cs="Arial"/>
          <w:color w:val="26282A"/>
          <w:shd w:val="clear" w:color="auto" w:fill="FFFFFF"/>
        </w:rPr>
        <w:t>.</w:t>
      </w:r>
      <w:r w:rsidR="00526117" w:rsidRPr="00884DAF">
        <w:rPr>
          <w:rFonts w:ascii="Arial" w:hAnsi="Arial" w:cs="Arial"/>
          <w:color w:val="26282A"/>
          <w:shd w:val="clear" w:color="auto" w:fill="FFFFFF"/>
        </w:rPr>
        <w:t xml:space="preserve"> (McLeod 2019</w:t>
      </w:r>
      <w:r w:rsidR="00111B57" w:rsidRPr="00884DAF">
        <w:rPr>
          <w:rFonts w:ascii="Arial" w:hAnsi="Arial" w:cs="Arial"/>
          <w:color w:val="26282A"/>
          <w:shd w:val="clear" w:color="auto" w:fill="FFFFFF"/>
        </w:rPr>
        <w:t xml:space="preserve"> believes</w:t>
      </w:r>
      <w:r w:rsidR="00526117" w:rsidRPr="00884DAF">
        <w:rPr>
          <w:rFonts w:ascii="Arial" w:hAnsi="Arial" w:cs="Arial"/>
          <w:color w:val="26282A"/>
          <w:shd w:val="clear" w:color="auto" w:fill="FFFFFF"/>
        </w:rPr>
        <w:t xml:space="preserve"> that</w:t>
      </w:r>
      <w:r w:rsidR="00D0793C" w:rsidRPr="00884DAF">
        <w:rPr>
          <w:rFonts w:ascii="Arial" w:hAnsi="Arial" w:cs="Arial"/>
          <w:color w:val="26282A"/>
          <w:shd w:val="clear" w:color="auto" w:fill="FFFFFF"/>
        </w:rPr>
        <w:t xml:space="preserve"> it </w:t>
      </w:r>
      <w:r w:rsidR="00401763" w:rsidRPr="00884DAF">
        <w:rPr>
          <w:rFonts w:ascii="Arial" w:hAnsi="Arial" w:cs="Arial"/>
          <w:color w:val="26282A"/>
          <w:shd w:val="clear" w:color="auto" w:fill="FFFFFF"/>
        </w:rPr>
        <w:t>i</w:t>
      </w:r>
      <w:r w:rsidR="00D0793C" w:rsidRPr="00884DAF">
        <w:rPr>
          <w:rFonts w:ascii="Arial" w:hAnsi="Arial" w:cs="Arial"/>
          <w:color w:val="26282A"/>
          <w:shd w:val="clear" w:color="auto" w:fill="FFFFFF"/>
        </w:rPr>
        <w:t>s a new right, and an opportunity to put undue pressure on the serviete land</w:t>
      </w:r>
      <w:r w:rsidR="00526117" w:rsidRPr="00884DAF">
        <w:rPr>
          <w:rFonts w:ascii="Arial" w:hAnsi="Arial" w:cs="Arial"/>
          <w:color w:val="26282A"/>
          <w:shd w:val="clear" w:color="auto" w:fill="FFFFFF"/>
        </w:rPr>
        <w:t xml:space="preserve">. Bevan 2019 </w:t>
      </w:r>
      <w:r w:rsidR="00111B57" w:rsidRPr="00884DAF">
        <w:rPr>
          <w:rFonts w:ascii="Arial" w:hAnsi="Arial" w:cs="Arial"/>
          <w:color w:val="26282A"/>
          <w:shd w:val="clear" w:color="auto" w:fill="FFFFFF"/>
        </w:rPr>
        <w:t xml:space="preserve">also </w:t>
      </w:r>
      <w:r w:rsidR="00526117" w:rsidRPr="00884DAF">
        <w:rPr>
          <w:rFonts w:ascii="Arial" w:hAnsi="Arial" w:cs="Arial"/>
          <w:color w:val="26282A"/>
          <w:shd w:val="clear" w:color="auto" w:fill="FFFFFF"/>
        </w:rPr>
        <w:t>expressed his displeasure</w:t>
      </w:r>
      <w:r w:rsidR="00516FD2" w:rsidRPr="00884DAF">
        <w:rPr>
          <w:rFonts w:ascii="Arial" w:hAnsi="Arial" w:cs="Arial"/>
          <w:color w:val="26282A"/>
          <w:shd w:val="clear" w:color="auto" w:fill="FFFFFF"/>
        </w:rPr>
        <w:t xml:space="preserve"> and</w:t>
      </w:r>
      <w:r w:rsidR="00526117" w:rsidRPr="00884DAF">
        <w:rPr>
          <w:rFonts w:ascii="Arial" w:hAnsi="Arial" w:cs="Arial"/>
          <w:color w:val="26282A"/>
          <w:shd w:val="clear" w:color="auto" w:fill="FFFFFF"/>
        </w:rPr>
        <w:t xml:space="preserve"> recognises that the court is opening the way for, and creating a </w:t>
      </w:r>
      <w:r w:rsidR="00526117" w:rsidRPr="00884DAF">
        <w:rPr>
          <w:rFonts w:ascii="Arial" w:hAnsi="Arial" w:cs="Arial"/>
          <w:color w:val="26282A"/>
          <w:shd w:val="clear" w:color="auto" w:fill="FFFFFF"/>
        </w:rPr>
        <w:lastRenderedPageBreak/>
        <w:t>new right of recreation and sports, departing from this second condition</w:t>
      </w:r>
      <w:r w:rsidR="00111B57" w:rsidRPr="00884DAF">
        <w:rPr>
          <w:rFonts w:ascii="Arial" w:hAnsi="Arial" w:cs="Arial"/>
          <w:color w:val="26282A"/>
          <w:shd w:val="clear" w:color="auto" w:fill="FFFFFF"/>
        </w:rPr>
        <w:t xml:space="preserve"> laid out in Re Ellenborough Park (1955),</w:t>
      </w:r>
      <w:r w:rsidR="00526117" w:rsidRPr="00884DAF">
        <w:rPr>
          <w:rFonts w:ascii="Arial" w:hAnsi="Arial" w:cs="Arial"/>
          <w:color w:val="26282A"/>
          <w:shd w:val="clear" w:color="auto" w:fill="FFFFFF"/>
        </w:rPr>
        <w:t xml:space="preserve"> and </w:t>
      </w:r>
      <w:r w:rsidR="00516FD2" w:rsidRPr="00884DAF">
        <w:rPr>
          <w:rFonts w:ascii="Arial" w:hAnsi="Arial" w:cs="Arial"/>
          <w:color w:val="26282A"/>
          <w:shd w:val="clear" w:color="auto" w:fill="FFFFFF"/>
        </w:rPr>
        <w:t xml:space="preserve">previous </w:t>
      </w:r>
      <w:r w:rsidR="00526117" w:rsidRPr="00884DAF">
        <w:rPr>
          <w:rFonts w:ascii="Arial" w:hAnsi="Arial" w:cs="Arial"/>
          <w:color w:val="26282A"/>
          <w:shd w:val="clear" w:color="auto" w:fill="FFFFFF"/>
        </w:rPr>
        <w:t>common law in England and Wales</w:t>
      </w:r>
      <w:r w:rsidR="00D13305" w:rsidRPr="00884DAF">
        <w:rPr>
          <w:rFonts w:ascii="Arial" w:hAnsi="Arial" w:cs="Arial"/>
          <w:color w:val="26282A"/>
          <w:shd w:val="clear" w:color="auto" w:fill="FFFFFF"/>
        </w:rPr>
        <w:t>, thereby giving room for other types of obscure easements to emerge</w:t>
      </w:r>
      <w:r w:rsidR="00526117" w:rsidRPr="00884DAF">
        <w:rPr>
          <w:rFonts w:ascii="Arial" w:hAnsi="Arial" w:cs="Arial"/>
          <w:color w:val="26282A"/>
          <w:shd w:val="clear" w:color="auto" w:fill="FFFFFF"/>
        </w:rPr>
        <w:t>.</w:t>
      </w:r>
      <w:r w:rsidR="00516FD2" w:rsidRPr="00884DAF">
        <w:rPr>
          <w:rFonts w:ascii="Arial" w:hAnsi="Arial" w:cs="Arial"/>
          <w:color w:val="26282A"/>
          <w:shd w:val="clear" w:color="auto" w:fill="FFFFFF"/>
        </w:rPr>
        <w:t xml:space="preserve"> </w:t>
      </w:r>
      <w:r w:rsidR="00FC3226" w:rsidRPr="00884DAF">
        <w:rPr>
          <w:rFonts w:ascii="Arial" w:hAnsi="Arial" w:cs="Arial"/>
          <w:color w:val="26282A"/>
          <w:shd w:val="clear" w:color="auto" w:fill="FFFFFF"/>
        </w:rPr>
        <w:t>In contrast, (</w:t>
      </w:r>
      <w:r w:rsidR="00516FD2" w:rsidRPr="00884DAF">
        <w:rPr>
          <w:rFonts w:ascii="Arial" w:hAnsi="Arial" w:cs="Arial"/>
          <w:color w:val="26282A"/>
          <w:shd w:val="clear" w:color="auto" w:fill="FFFFFF"/>
        </w:rPr>
        <w:t>Cardwell 2019</w:t>
      </w:r>
      <w:r w:rsidR="00FC3226" w:rsidRPr="00884DAF">
        <w:rPr>
          <w:rFonts w:ascii="Arial" w:hAnsi="Arial" w:cs="Arial"/>
          <w:color w:val="26282A"/>
          <w:shd w:val="clear" w:color="auto" w:fill="FFFFFF"/>
        </w:rPr>
        <w:t xml:space="preserve">) acknowledged </w:t>
      </w:r>
      <w:r w:rsidR="00516FD2" w:rsidRPr="00884DAF">
        <w:rPr>
          <w:rFonts w:ascii="Arial" w:hAnsi="Arial" w:cs="Arial"/>
          <w:color w:val="26282A"/>
          <w:shd w:val="clear" w:color="auto" w:fill="FFFFFF"/>
        </w:rPr>
        <w:t>that although the court recognises that it is opening a new type of easement, nevertheless, the aim of the Supreme Court was to use</w:t>
      </w:r>
      <w:r w:rsidR="00FC3226" w:rsidRPr="00884DAF">
        <w:rPr>
          <w:rFonts w:ascii="Arial" w:hAnsi="Arial" w:cs="Arial"/>
          <w:color w:val="26282A"/>
          <w:shd w:val="clear" w:color="auto" w:fill="FFFFFF"/>
        </w:rPr>
        <w:t xml:space="preserve"> </w:t>
      </w:r>
      <w:r w:rsidR="00516FD2" w:rsidRPr="00884DAF">
        <w:rPr>
          <w:rFonts w:ascii="Arial" w:hAnsi="Arial" w:cs="Arial"/>
          <w:color w:val="26282A"/>
          <w:shd w:val="clear" w:color="auto" w:fill="FFFFFF"/>
        </w:rPr>
        <w:t xml:space="preserve">to see recreational activities as adding value to a property thereby changing people’s perception that recreation and sports are not just for </w:t>
      </w:r>
      <w:r w:rsidR="00814114" w:rsidRPr="00884DAF">
        <w:rPr>
          <w:rFonts w:ascii="Arial" w:hAnsi="Arial" w:cs="Arial"/>
          <w:color w:val="26282A"/>
          <w:shd w:val="clear" w:color="auto" w:fill="FFFFFF"/>
        </w:rPr>
        <w:t>fun,</w:t>
      </w:r>
      <w:r w:rsidR="00516FD2" w:rsidRPr="00884DAF">
        <w:rPr>
          <w:rFonts w:ascii="Arial" w:hAnsi="Arial" w:cs="Arial"/>
          <w:color w:val="26282A"/>
          <w:shd w:val="clear" w:color="auto" w:fill="FFFFFF"/>
        </w:rPr>
        <w:t xml:space="preserve"> but that people have </w:t>
      </w:r>
      <w:r w:rsidR="00FC3226" w:rsidRPr="00884DAF">
        <w:rPr>
          <w:rFonts w:ascii="Arial" w:hAnsi="Arial" w:cs="Arial"/>
          <w:color w:val="26282A"/>
          <w:shd w:val="clear" w:color="auto" w:fill="FFFFFF"/>
        </w:rPr>
        <w:t>a</w:t>
      </w:r>
      <w:r w:rsidR="00516FD2" w:rsidRPr="00884DAF">
        <w:rPr>
          <w:rFonts w:ascii="Arial" w:hAnsi="Arial" w:cs="Arial"/>
          <w:color w:val="26282A"/>
          <w:shd w:val="clear" w:color="auto" w:fill="FFFFFF"/>
        </w:rPr>
        <w:t xml:space="preserve"> right to fun</w:t>
      </w:r>
      <w:r w:rsidR="00FC3226" w:rsidRPr="00884DAF">
        <w:rPr>
          <w:rFonts w:ascii="Arial" w:hAnsi="Arial" w:cs="Arial"/>
          <w:color w:val="26282A"/>
          <w:shd w:val="clear" w:color="auto" w:fill="FFFFFF"/>
        </w:rPr>
        <w:t>.</w:t>
      </w:r>
      <w:r w:rsidR="002A30C1" w:rsidRPr="00884DAF">
        <w:rPr>
          <w:rFonts w:ascii="Arial" w:hAnsi="Arial" w:cs="Arial"/>
          <w:color w:val="26282A"/>
          <w:shd w:val="clear" w:color="auto" w:fill="FFFFFF"/>
        </w:rPr>
        <w:t xml:space="preserve"> </w:t>
      </w:r>
    </w:p>
    <w:p w14:paraId="391FBBB8" w14:textId="5AD66A6D" w:rsidR="00F126ED" w:rsidRPr="00884DAF" w:rsidRDefault="00B55F82" w:rsidP="00884DAF">
      <w:pPr>
        <w:pStyle w:val="ydpc595d14dyiv9060547353ydp6438de93msonormal"/>
        <w:spacing w:line="480" w:lineRule="auto"/>
        <w:jc w:val="both"/>
        <w:rPr>
          <w:rFonts w:ascii="Arial" w:hAnsi="Arial" w:cs="Arial"/>
          <w:color w:val="26282A"/>
          <w:shd w:val="clear" w:color="auto" w:fill="FFFFFF"/>
        </w:rPr>
      </w:pPr>
      <w:r w:rsidRPr="00884DAF">
        <w:rPr>
          <w:rFonts w:ascii="Arial" w:hAnsi="Arial" w:cs="Arial"/>
          <w:color w:val="26282A"/>
          <w:shd w:val="clear" w:color="auto" w:fill="FFFFFF"/>
        </w:rPr>
        <w:t>Thirdly, there must be different ownership plus occupation of the dominant and servient land.</w:t>
      </w:r>
      <w:r w:rsidR="005F54ED" w:rsidRPr="00884DAF">
        <w:rPr>
          <w:rFonts w:ascii="Arial" w:hAnsi="Arial" w:cs="Arial"/>
          <w:color w:val="26282A"/>
          <w:shd w:val="clear" w:color="auto" w:fill="FFFFFF"/>
        </w:rPr>
        <w:t xml:space="preserve"> you cannot have an easement over your own land (Metropolitan Railway Co Fowler 1893).</w:t>
      </w:r>
      <w:r w:rsidRPr="00884DAF">
        <w:rPr>
          <w:rFonts w:ascii="Arial" w:hAnsi="Arial" w:cs="Arial"/>
          <w:color w:val="26282A"/>
          <w:shd w:val="clear" w:color="auto" w:fill="FFFFFF"/>
        </w:rPr>
        <w:t xml:space="preserve"> Th</w:t>
      </w:r>
      <w:r w:rsidR="00CA2C9C" w:rsidRPr="00884DAF">
        <w:rPr>
          <w:rFonts w:ascii="Arial" w:hAnsi="Arial" w:cs="Arial"/>
          <w:color w:val="26282A"/>
          <w:shd w:val="clear" w:color="auto" w:fill="FFFFFF"/>
        </w:rPr>
        <w:t>e</w:t>
      </w:r>
      <w:r w:rsidRPr="00884DAF">
        <w:rPr>
          <w:rFonts w:ascii="Arial" w:hAnsi="Arial" w:cs="Arial"/>
          <w:color w:val="26282A"/>
          <w:shd w:val="clear" w:color="auto" w:fill="FFFFFF"/>
        </w:rPr>
        <w:t xml:space="preserve"> land on which there is an easement, and the other party benefitting from the land cannot be owned by the same person (</w:t>
      </w:r>
      <w:bookmarkStart w:id="4" w:name="_Hlk118070144"/>
      <w:r w:rsidRPr="00884DAF">
        <w:rPr>
          <w:rFonts w:ascii="Arial" w:hAnsi="Arial" w:cs="Arial"/>
          <w:color w:val="26282A"/>
          <w:shd w:val="clear" w:color="auto" w:fill="FFFFFF"/>
        </w:rPr>
        <w:t>Peckham v Ellison, 2000</w:t>
      </w:r>
      <w:bookmarkEnd w:id="4"/>
      <w:r w:rsidRPr="00884DAF">
        <w:rPr>
          <w:rFonts w:ascii="Arial" w:hAnsi="Arial" w:cs="Arial"/>
          <w:color w:val="26282A"/>
          <w:shd w:val="clear" w:color="auto" w:fill="FFFFFF"/>
        </w:rPr>
        <w:t>), though a tenant can enjoy an easement over the land they are renting since they are not the owner (</w:t>
      </w:r>
      <w:bookmarkStart w:id="5" w:name="_Hlk118070768"/>
      <w:r w:rsidRPr="00884DAF">
        <w:rPr>
          <w:rFonts w:ascii="Arial" w:hAnsi="Arial" w:cs="Arial"/>
          <w:color w:val="26282A"/>
          <w:shd w:val="clear" w:color="auto" w:fill="FFFFFF"/>
        </w:rPr>
        <w:t>Roe v Siddons, 1888</w:t>
      </w:r>
      <w:bookmarkEnd w:id="5"/>
      <w:r w:rsidRPr="00884DAF">
        <w:rPr>
          <w:rFonts w:ascii="Arial" w:hAnsi="Arial" w:cs="Arial"/>
          <w:color w:val="26282A"/>
          <w:shd w:val="clear" w:color="auto" w:fill="FFFFFF"/>
        </w:rPr>
        <w:t>)</w:t>
      </w:r>
      <w:r w:rsidR="00431180" w:rsidRPr="00884DAF">
        <w:rPr>
          <w:rFonts w:ascii="Arial" w:hAnsi="Arial" w:cs="Arial"/>
          <w:color w:val="26282A"/>
          <w:shd w:val="clear" w:color="auto" w:fill="FFFFFF"/>
        </w:rPr>
        <w:t xml:space="preserve">. </w:t>
      </w:r>
    </w:p>
    <w:p w14:paraId="1B59BF08" w14:textId="6F742A0E" w:rsidR="00F126ED" w:rsidRPr="00884DAF" w:rsidRDefault="00431180" w:rsidP="00884DAF">
      <w:pPr>
        <w:pStyle w:val="ydpc595d14dyiv9060547353ydp6438de93msonormal"/>
        <w:spacing w:line="480" w:lineRule="auto"/>
        <w:jc w:val="both"/>
        <w:rPr>
          <w:rFonts w:ascii="Arial" w:hAnsi="Arial" w:cs="Arial"/>
        </w:rPr>
      </w:pPr>
      <w:r w:rsidRPr="00884DAF">
        <w:rPr>
          <w:rFonts w:ascii="Arial" w:hAnsi="Arial" w:cs="Arial"/>
          <w:color w:val="26282A"/>
          <w:shd w:val="clear" w:color="auto" w:fill="FFFFFF"/>
        </w:rPr>
        <w:t>Lastly, the right must be capable of forming the subject matter of a grant</w:t>
      </w:r>
      <w:r w:rsidR="00F102BA" w:rsidRPr="00884DAF">
        <w:rPr>
          <w:rFonts w:ascii="Arial" w:hAnsi="Arial" w:cs="Arial"/>
          <w:color w:val="26282A"/>
          <w:shd w:val="clear" w:color="auto" w:fill="FFFFFF"/>
        </w:rPr>
        <w:t>. There are three requirements to consider this. The first requirement is that</w:t>
      </w:r>
      <w:r w:rsidRPr="00884DAF">
        <w:rPr>
          <w:rFonts w:ascii="Arial" w:hAnsi="Arial" w:cs="Arial"/>
          <w:color w:val="26282A"/>
          <w:shd w:val="clear" w:color="auto" w:fill="FFFFFF"/>
        </w:rPr>
        <w:t xml:space="preserve"> the servient landowner must be in </w:t>
      </w:r>
      <w:r w:rsidR="007E318A" w:rsidRPr="00884DAF">
        <w:rPr>
          <w:rFonts w:ascii="Arial" w:hAnsi="Arial" w:cs="Arial"/>
          <w:color w:val="26282A"/>
          <w:shd w:val="clear" w:color="auto" w:fill="FFFFFF"/>
        </w:rPr>
        <w:t>the</w:t>
      </w:r>
      <w:r w:rsidRPr="00884DAF">
        <w:rPr>
          <w:rFonts w:ascii="Arial" w:hAnsi="Arial" w:cs="Arial"/>
          <w:color w:val="26282A"/>
          <w:shd w:val="clear" w:color="auto" w:fill="FFFFFF"/>
        </w:rPr>
        <w:t xml:space="preserve"> right frame of mind to grant an easement, and the dominant landowner must also be in a position to accept the grant of an easement</w:t>
      </w:r>
      <w:r w:rsidR="00C01980" w:rsidRPr="00884DAF">
        <w:rPr>
          <w:rFonts w:ascii="Arial" w:hAnsi="Arial" w:cs="Arial"/>
          <w:color w:val="26282A"/>
          <w:shd w:val="clear" w:color="auto" w:fill="FFFFFF"/>
        </w:rPr>
        <w:t xml:space="preserve"> (Walls and Collins 2007)</w:t>
      </w:r>
      <w:r w:rsidR="00F102BA" w:rsidRPr="00884DAF">
        <w:rPr>
          <w:rFonts w:ascii="Arial" w:hAnsi="Arial" w:cs="Arial"/>
          <w:color w:val="26282A"/>
          <w:shd w:val="clear" w:color="auto" w:fill="FFFFFF"/>
        </w:rPr>
        <w:t>. The second requirement is that</w:t>
      </w:r>
      <w:r w:rsidR="00F126ED" w:rsidRPr="00884DAF">
        <w:rPr>
          <w:rFonts w:ascii="Arial" w:hAnsi="Arial" w:cs="Arial"/>
          <w:color w:val="26282A"/>
          <w:shd w:val="clear" w:color="auto" w:fill="FFFFFF"/>
        </w:rPr>
        <w:t xml:space="preserve"> the right must not exist in isolation as per the case of William Aldred’s Case </w:t>
      </w:r>
      <w:r w:rsidR="00CA2C9C" w:rsidRPr="00884DAF">
        <w:rPr>
          <w:rFonts w:ascii="Arial" w:hAnsi="Arial" w:cs="Arial"/>
          <w:color w:val="26282A"/>
          <w:shd w:val="clear" w:color="auto" w:fill="FFFFFF"/>
        </w:rPr>
        <w:t>(</w:t>
      </w:r>
      <w:r w:rsidR="00F126ED" w:rsidRPr="00884DAF">
        <w:rPr>
          <w:rFonts w:ascii="Arial" w:hAnsi="Arial" w:cs="Arial"/>
          <w:color w:val="26282A"/>
          <w:shd w:val="clear" w:color="auto" w:fill="FFFFFF"/>
        </w:rPr>
        <w:t>1610</w:t>
      </w:r>
      <w:r w:rsidR="00CA2C9C" w:rsidRPr="00884DAF">
        <w:rPr>
          <w:rFonts w:ascii="Arial" w:hAnsi="Arial" w:cs="Arial"/>
          <w:color w:val="26282A"/>
          <w:shd w:val="clear" w:color="auto" w:fill="FFFFFF"/>
        </w:rPr>
        <w:t>)</w:t>
      </w:r>
      <w:r w:rsidR="00F126ED" w:rsidRPr="00884DAF">
        <w:rPr>
          <w:rFonts w:ascii="Arial" w:hAnsi="Arial" w:cs="Arial"/>
          <w:color w:val="26282A"/>
          <w:shd w:val="clear" w:color="auto" w:fill="FFFFFF"/>
        </w:rPr>
        <w:t>,</w:t>
      </w:r>
      <w:r w:rsidR="00CA2C9C" w:rsidRPr="00884DAF">
        <w:rPr>
          <w:rFonts w:ascii="Arial" w:hAnsi="Arial" w:cs="Arial"/>
          <w:color w:val="26282A"/>
          <w:shd w:val="clear" w:color="auto" w:fill="FFFFFF"/>
        </w:rPr>
        <w:t xml:space="preserve"> it </w:t>
      </w:r>
      <w:r w:rsidR="007E318A" w:rsidRPr="00884DAF">
        <w:rPr>
          <w:rFonts w:ascii="Arial" w:hAnsi="Arial" w:cs="Arial"/>
          <w:color w:val="26282A"/>
          <w:shd w:val="clear" w:color="auto" w:fill="FFFFFF"/>
        </w:rPr>
        <w:t>must be</w:t>
      </w:r>
      <w:r w:rsidR="00F102BA" w:rsidRPr="00884DAF">
        <w:rPr>
          <w:rFonts w:ascii="Arial" w:hAnsi="Arial" w:cs="Arial"/>
          <w:color w:val="26282A"/>
          <w:shd w:val="clear" w:color="auto" w:fill="FFFFFF"/>
        </w:rPr>
        <w:t xml:space="preserve"> well</w:t>
      </w:r>
      <w:r w:rsidR="007E318A" w:rsidRPr="00884DAF">
        <w:rPr>
          <w:rFonts w:ascii="Arial" w:hAnsi="Arial" w:cs="Arial"/>
          <w:color w:val="26282A"/>
          <w:shd w:val="clear" w:color="auto" w:fill="FFFFFF"/>
        </w:rPr>
        <w:t xml:space="preserve"> defin</w:t>
      </w:r>
      <w:r w:rsidR="00F102BA" w:rsidRPr="00884DAF">
        <w:rPr>
          <w:rFonts w:ascii="Arial" w:hAnsi="Arial" w:cs="Arial"/>
          <w:color w:val="26282A"/>
          <w:shd w:val="clear" w:color="auto" w:fill="FFFFFF"/>
        </w:rPr>
        <w:t>ed (Hill v Tupper 1863</w:t>
      </w:r>
      <w:r w:rsidR="00CA2C9C" w:rsidRPr="00884DAF">
        <w:rPr>
          <w:rFonts w:ascii="Arial" w:hAnsi="Arial" w:cs="Arial"/>
          <w:color w:val="26282A"/>
          <w:shd w:val="clear" w:color="auto" w:fill="FFFFFF"/>
        </w:rPr>
        <w:t xml:space="preserve">, </w:t>
      </w:r>
      <w:r w:rsidR="00F102BA" w:rsidRPr="00884DAF">
        <w:rPr>
          <w:rFonts w:ascii="Arial" w:hAnsi="Arial" w:cs="Arial"/>
          <w:color w:val="26282A"/>
          <w:shd w:val="clear" w:color="auto" w:fill="FFFFFF"/>
        </w:rPr>
        <w:t>and not vague or abstract</w:t>
      </w:r>
      <w:r w:rsidR="00C01980" w:rsidRPr="00884DAF">
        <w:rPr>
          <w:rFonts w:ascii="Arial" w:hAnsi="Arial" w:cs="Arial"/>
          <w:color w:val="26282A"/>
          <w:shd w:val="clear" w:color="auto" w:fill="FFFFFF"/>
        </w:rPr>
        <w:t xml:space="preserve"> </w:t>
      </w:r>
      <w:r w:rsidR="00F102BA" w:rsidRPr="00884DAF">
        <w:rPr>
          <w:rFonts w:ascii="Arial" w:hAnsi="Arial" w:cs="Arial"/>
          <w:color w:val="26282A"/>
          <w:shd w:val="clear" w:color="auto" w:fill="FFFFFF"/>
        </w:rPr>
        <w:t xml:space="preserve">such as the right to a good view </w:t>
      </w:r>
      <w:r w:rsidR="00C01980" w:rsidRPr="00884DAF">
        <w:rPr>
          <w:rFonts w:ascii="Arial" w:hAnsi="Arial" w:cs="Arial"/>
          <w:color w:val="26282A"/>
          <w:shd w:val="clear" w:color="auto" w:fill="FFFFFF"/>
        </w:rPr>
        <w:t>(Hunter v Canary Wharf 1997)</w:t>
      </w:r>
      <w:r w:rsidR="00F102BA" w:rsidRPr="00884DAF">
        <w:rPr>
          <w:rFonts w:ascii="Arial" w:hAnsi="Arial" w:cs="Arial"/>
          <w:color w:val="26282A"/>
          <w:shd w:val="clear" w:color="auto" w:fill="FFFFFF"/>
        </w:rPr>
        <w:t xml:space="preserve"> or right to wander aimlessly over another person’s land (Attorney-General v Antrobus 1905</w:t>
      </w:r>
      <w:r w:rsidR="00F126ED" w:rsidRPr="00884DAF">
        <w:rPr>
          <w:rFonts w:ascii="Arial" w:hAnsi="Arial" w:cs="Arial"/>
          <w:color w:val="26282A"/>
          <w:shd w:val="clear" w:color="auto" w:fill="FFFFFF"/>
        </w:rPr>
        <w:t xml:space="preserve">). The third requirement is that </w:t>
      </w:r>
      <w:r w:rsidR="007E318A" w:rsidRPr="00884DAF">
        <w:rPr>
          <w:rFonts w:ascii="Arial" w:hAnsi="Arial" w:cs="Arial"/>
          <w:color w:val="26282A"/>
          <w:shd w:val="clear" w:color="auto" w:fill="FFFFFF"/>
        </w:rPr>
        <w:t>the</w:t>
      </w:r>
      <w:r w:rsidR="00F126ED" w:rsidRPr="00884DAF">
        <w:rPr>
          <w:rFonts w:ascii="Arial" w:hAnsi="Arial" w:cs="Arial"/>
          <w:color w:val="26282A"/>
          <w:shd w:val="clear" w:color="auto" w:fill="FFFFFF"/>
        </w:rPr>
        <w:t xml:space="preserve"> </w:t>
      </w:r>
      <w:r w:rsidR="007E318A" w:rsidRPr="00884DAF">
        <w:rPr>
          <w:rFonts w:ascii="Arial" w:hAnsi="Arial" w:cs="Arial"/>
          <w:color w:val="26282A"/>
          <w:shd w:val="clear" w:color="auto" w:fill="FFFFFF"/>
        </w:rPr>
        <w:t>right</w:t>
      </w:r>
      <w:r w:rsidR="00F126ED" w:rsidRPr="00884DAF">
        <w:rPr>
          <w:rFonts w:ascii="Arial" w:hAnsi="Arial" w:cs="Arial"/>
          <w:color w:val="26282A"/>
          <w:shd w:val="clear" w:color="auto" w:fill="FFFFFF"/>
        </w:rPr>
        <w:t xml:space="preserve"> </w:t>
      </w:r>
      <w:r w:rsidR="007E318A" w:rsidRPr="00884DAF">
        <w:rPr>
          <w:rFonts w:ascii="Arial" w:hAnsi="Arial" w:cs="Arial"/>
          <w:color w:val="26282A"/>
          <w:shd w:val="clear" w:color="auto" w:fill="FFFFFF"/>
        </w:rPr>
        <w:t xml:space="preserve">must be similar to an existing </w:t>
      </w:r>
      <w:r w:rsidR="00F126ED" w:rsidRPr="00884DAF">
        <w:rPr>
          <w:rFonts w:ascii="Arial" w:hAnsi="Arial" w:cs="Arial"/>
          <w:color w:val="26282A"/>
          <w:shd w:val="clear" w:color="auto" w:fill="FFFFFF"/>
        </w:rPr>
        <w:t xml:space="preserve">recognised </w:t>
      </w:r>
      <w:r w:rsidR="007E318A" w:rsidRPr="00884DAF">
        <w:rPr>
          <w:rFonts w:ascii="Arial" w:hAnsi="Arial" w:cs="Arial"/>
          <w:color w:val="26282A"/>
          <w:shd w:val="clear" w:color="auto" w:fill="FFFFFF"/>
        </w:rPr>
        <w:t>easement</w:t>
      </w:r>
      <w:r w:rsidR="00F126ED" w:rsidRPr="00884DAF">
        <w:rPr>
          <w:rFonts w:ascii="Arial" w:hAnsi="Arial" w:cs="Arial"/>
          <w:color w:val="26282A"/>
          <w:shd w:val="clear" w:color="auto" w:fill="FFFFFF"/>
        </w:rPr>
        <w:t xml:space="preserve"> (Miller v Jackson 1977</w:t>
      </w:r>
      <w:r w:rsidR="00CA2C9C" w:rsidRPr="00884DAF">
        <w:rPr>
          <w:rFonts w:ascii="Arial" w:hAnsi="Arial" w:cs="Arial"/>
          <w:color w:val="26282A"/>
          <w:shd w:val="clear" w:color="auto" w:fill="FFFFFF"/>
        </w:rPr>
        <w:t>).</w:t>
      </w:r>
      <w:r w:rsidRPr="00884DAF">
        <w:rPr>
          <w:rFonts w:ascii="Arial" w:hAnsi="Arial" w:cs="Arial"/>
        </w:rPr>
        <w:t xml:space="preserve"> </w:t>
      </w:r>
    </w:p>
    <w:p w14:paraId="0425C74B" w14:textId="126ECB29" w:rsidR="00F126ED" w:rsidRPr="00884DAF" w:rsidRDefault="00FD6E10" w:rsidP="00884DAF">
      <w:pPr>
        <w:pStyle w:val="ydpc595d14dyiv9060547353ydp6438de93msonormal"/>
        <w:spacing w:line="480" w:lineRule="auto"/>
        <w:jc w:val="both"/>
        <w:rPr>
          <w:rFonts w:ascii="Arial" w:hAnsi="Arial" w:cs="Arial"/>
        </w:rPr>
      </w:pPr>
      <w:r w:rsidRPr="00884DAF">
        <w:rPr>
          <w:rFonts w:ascii="Arial" w:hAnsi="Arial" w:cs="Arial"/>
        </w:rPr>
        <w:lastRenderedPageBreak/>
        <w:t>However</w:t>
      </w:r>
      <w:r w:rsidR="00F126ED" w:rsidRPr="00884DAF">
        <w:rPr>
          <w:rFonts w:ascii="Arial" w:hAnsi="Arial" w:cs="Arial"/>
        </w:rPr>
        <w:t xml:space="preserve">, the fourth condition laid out in </w:t>
      </w:r>
      <w:r w:rsidRPr="00884DAF">
        <w:rPr>
          <w:rFonts w:ascii="Arial" w:hAnsi="Arial" w:cs="Arial"/>
        </w:rPr>
        <w:t xml:space="preserve">Re Ellenborough Park 1956 has been heavily criticised as being archaic and </w:t>
      </w:r>
      <w:r w:rsidR="00A37468" w:rsidRPr="00884DAF">
        <w:rPr>
          <w:rFonts w:ascii="Arial" w:hAnsi="Arial" w:cs="Arial"/>
        </w:rPr>
        <w:t>‘</w:t>
      </w:r>
      <w:r w:rsidRPr="00884DAF">
        <w:rPr>
          <w:rFonts w:ascii="Arial" w:hAnsi="Arial" w:cs="Arial"/>
        </w:rPr>
        <w:t>not</w:t>
      </w:r>
      <w:r w:rsidR="00A37468" w:rsidRPr="00884DAF">
        <w:rPr>
          <w:rFonts w:ascii="Arial" w:hAnsi="Arial" w:cs="Arial"/>
        </w:rPr>
        <w:t xml:space="preserve"> entirely</w:t>
      </w:r>
      <w:r w:rsidRPr="00884DAF">
        <w:rPr>
          <w:rFonts w:ascii="Arial" w:hAnsi="Arial" w:cs="Arial"/>
        </w:rPr>
        <w:t xml:space="preserve"> clear</w:t>
      </w:r>
      <w:r w:rsidR="00A37468" w:rsidRPr="00884DAF">
        <w:rPr>
          <w:rFonts w:ascii="Arial" w:hAnsi="Arial" w:cs="Arial"/>
        </w:rPr>
        <w:t>’ (McClean</w:t>
      </w:r>
      <w:r w:rsidR="00CA2C9C" w:rsidRPr="00884DAF">
        <w:rPr>
          <w:rFonts w:ascii="Arial" w:hAnsi="Arial" w:cs="Arial"/>
        </w:rPr>
        <w:t>,</w:t>
      </w:r>
      <w:r w:rsidR="00A37468" w:rsidRPr="00884DAF">
        <w:rPr>
          <w:rFonts w:ascii="Arial" w:hAnsi="Arial" w:cs="Arial"/>
        </w:rPr>
        <w:t xml:space="preserve"> 1966)</w:t>
      </w:r>
      <w:r w:rsidRPr="00884DAF">
        <w:rPr>
          <w:rFonts w:ascii="Arial" w:hAnsi="Arial" w:cs="Arial"/>
        </w:rPr>
        <w:t xml:space="preserve"> as only the title owner of a property has the right to grant an easement</w:t>
      </w:r>
      <w:r w:rsidR="00D0793C" w:rsidRPr="00884DAF">
        <w:rPr>
          <w:rFonts w:ascii="Arial" w:hAnsi="Arial" w:cs="Arial"/>
        </w:rPr>
        <w:t xml:space="preserve"> (</w:t>
      </w:r>
      <w:r w:rsidR="00CA2C9C" w:rsidRPr="00884DAF">
        <w:rPr>
          <w:rFonts w:ascii="Arial" w:hAnsi="Arial" w:cs="Arial"/>
        </w:rPr>
        <w:t>Burn and Cartwright, 2011).</w:t>
      </w:r>
    </w:p>
    <w:p w14:paraId="3818E64D" w14:textId="7C1A28DF" w:rsidR="0063324C" w:rsidRPr="00884DAF" w:rsidRDefault="007E318A" w:rsidP="00884DAF">
      <w:pPr>
        <w:pStyle w:val="ydpc595d14dyiv9060547353ydp6438de93msonormal"/>
        <w:spacing w:line="480" w:lineRule="auto"/>
        <w:jc w:val="both"/>
        <w:rPr>
          <w:rFonts w:ascii="Arial" w:hAnsi="Arial" w:cs="Arial"/>
        </w:rPr>
      </w:pPr>
      <w:r w:rsidRPr="00884DAF">
        <w:rPr>
          <w:rFonts w:ascii="Arial" w:hAnsi="Arial" w:cs="Arial"/>
        </w:rPr>
        <w:t xml:space="preserve">It must be emphasised that the right must also not overburden the servient owner; the use must be reasonable (Moncrieff v Jamieson, 2007), and not be too excessive as to deprive the owner of the land </w:t>
      </w:r>
      <w:r w:rsidR="00B55F82" w:rsidRPr="00884DAF">
        <w:rPr>
          <w:rFonts w:ascii="Arial" w:hAnsi="Arial" w:cs="Arial"/>
        </w:rPr>
        <w:t>their</w:t>
      </w:r>
      <w:r w:rsidRPr="00884DAF">
        <w:rPr>
          <w:rFonts w:ascii="Arial" w:hAnsi="Arial" w:cs="Arial"/>
        </w:rPr>
        <w:t xml:space="preserve"> possessions or also the use of the land</w:t>
      </w:r>
      <w:r w:rsidR="00A67F04" w:rsidRPr="00884DAF">
        <w:rPr>
          <w:rFonts w:ascii="Arial" w:hAnsi="Arial" w:cs="Arial"/>
        </w:rPr>
        <w:t>, known as the ouster principle</w:t>
      </w:r>
      <w:r w:rsidRPr="00884DAF">
        <w:rPr>
          <w:rFonts w:ascii="Arial" w:hAnsi="Arial" w:cs="Arial"/>
        </w:rPr>
        <w:t xml:space="preserve"> (Grigsby v Melville, 1972)</w:t>
      </w:r>
      <w:r w:rsidR="00A67F04" w:rsidRPr="00884DAF">
        <w:rPr>
          <w:rFonts w:ascii="Arial" w:hAnsi="Arial" w:cs="Arial"/>
        </w:rPr>
        <w:t xml:space="preserve">. </w:t>
      </w:r>
      <w:r w:rsidRPr="00884DAF">
        <w:rPr>
          <w:rFonts w:ascii="Arial" w:hAnsi="Arial" w:cs="Arial"/>
        </w:rPr>
        <w:t>if it does, it cannot be the subject matter of a grant of an easement (</w:t>
      </w:r>
      <w:bookmarkStart w:id="6" w:name="_Hlk118072274"/>
      <w:r w:rsidRPr="00884DAF">
        <w:rPr>
          <w:rFonts w:ascii="Arial" w:hAnsi="Arial" w:cs="Arial"/>
        </w:rPr>
        <w:t xml:space="preserve">Copeland v Greenhalf </w:t>
      </w:r>
      <w:bookmarkEnd w:id="6"/>
      <w:r w:rsidRPr="00884DAF">
        <w:rPr>
          <w:rFonts w:ascii="Arial" w:hAnsi="Arial" w:cs="Arial"/>
        </w:rPr>
        <w:t>1952).</w:t>
      </w:r>
      <w:r w:rsidR="0020774A" w:rsidRPr="00884DAF">
        <w:rPr>
          <w:rFonts w:ascii="Arial" w:hAnsi="Arial" w:cs="Arial"/>
        </w:rPr>
        <w:t xml:space="preserve"> ‘This raises the question of whether the right to park a car and right of storage can amount to an easement without not necessarily leading to excessive possession</w:t>
      </w:r>
      <w:r w:rsidR="009D0214" w:rsidRPr="00884DAF">
        <w:rPr>
          <w:rFonts w:ascii="Arial" w:hAnsi="Arial" w:cs="Arial"/>
        </w:rPr>
        <w:t xml:space="preserve"> </w:t>
      </w:r>
    </w:p>
    <w:p w14:paraId="6E56849D" w14:textId="31C49C35" w:rsidR="0020774A" w:rsidRPr="00884DAF" w:rsidRDefault="0063324C" w:rsidP="00884DAF">
      <w:pPr>
        <w:pStyle w:val="ydpc595d14dyiv9060547353ydp6438de93msonormal"/>
        <w:spacing w:line="480" w:lineRule="auto"/>
        <w:jc w:val="both"/>
        <w:rPr>
          <w:rFonts w:ascii="Arial" w:hAnsi="Arial" w:cs="Arial"/>
        </w:rPr>
      </w:pPr>
      <w:r w:rsidRPr="00884DAF">
        <w:rPr>
          <w:rFonts w:ascii="Arial" w:hAnsi="Arial" w:cs="Arial"/>
        </w:rPr>
        <w:t>The Law Commission observed that the ouster principle is not useful and suggested that it be abolished. They recommended that a right should not be rejected as an easement because the servient owner would not have any reasonable use of the land. Although, Xu (2012) recognise</w:t>
      </w:r>
      <w:r w:rsidR="000E2B5E" w:rsidRPr="00884DAF">
        <w:rPr>
          <w:rFonts w:ascii="Arial" w:hAnsi="Arial" w:cs="Arial"/>
        </w:rPr>
        <w:t>d</w:t>
      </w:r>
      <w:r w:rsidRPr="00884DAF">
        <w:rPr>
          <w:rFonts w:ascii="Arial" w:hAnsi="Arial" w:cs="Arial"/>
        </w:rPr>
        <w:t xml:space="preserve"> that there are lots of issues to be resolved in the ouster principle, nevertheless,</w:t>
      </w:r>
      <w:r w:rsidR="007434BC" w:rsidRPr="00884DAF">
        <w:rPr>
          <w:rFonts w:ascii="Arial" w:hAnsi="Arial" w:cs="Arial"/>
        </w:rPr>
        <w:t xml:space="preserve"> </w:t>
      </w:r>
      <w:r w:rsidR="000E2B5E" w:rsidRPr="00884DAF">
        <w:rPr>
          <w:rFonts w:ascii="Arial" w:hAnsi="Arial" w:cs="Arial"/>
        </w:rPr>
        <w:t xml:space="preserve">he argued that </w:t>
      </w:r>
      <w:r w:rsidR="007434BC" w:rsidRPr="00884DAF">
        <w:rPr>
          <w:rFonts w:ascii="Arial" w:hAnsi="Arial" w:cs="Arial"/>
        </w:rPr>
        <w:t>it has been very useful in creating boundaries in easement cases by the court. H</w:t>
      </w:r>
      <w:r w:rsidRPr="00884DAF">
        <w:rPr>
          <w:rFonts w:ascii="Arial" w:hAnsi="Arial" w:cs="Arial"/>
        </w:rPr>
        <w:t>e advises against the call that the ouster principle be abolishe</w:t>
      </w:r>
      <w:r w:rsidR="00A67F04" w:rsidRPr="00884DAF">
        <w:rPr>
          <w:rFonts w:ascii="Arial" w:hAnsi="Arial" w:cs="Arial"/>
        </w:rPr>
        <w:t>d because it may encourage the</w:t>
      </w:r>
      <w:r w:rsidR="007434BC" w:rsidRPr="00884DAF">
        <w:rPr>
          <w:rFonts w:ascii="Arial" w:hAnsi="Arial" w:cs="Arial"/>
        </w:rPr>
        <w:t xml:space="preserve"> flood of</w:t>
      </w:r>
      <w:r w:rsidR="00A67F04" w:rsidRPr="00884DAF">
        <w:rPr>
          <w:rFonts w:ascii="Arial" w:hAnsi="Arial" w:cs="Arial"/>
        </w:rPr>
        <w:t xml:space="preserve"> other</w:t>
      </w:r>
      <w:r w:rsidR="007434BC" w:rsidRPr="00884DAF">
        <w:rPr>
          <w:rFonts w:ascii="Arial" w:hAnsi="Arial" w:cs="Arial"/>
        </w:rPr>
        <w:t xml:space="preserve"> rights.  </w:t>
      </w:r>
      <w:r w:rsidRPr="00884DAF">
        <w:rPr>
          <w:rFonts w:ascii="Arial" w:hAnsi="Arial" w:cs="Arial"/>
        </w:rPr>
        <w:t xml:space="preserve">According to him, car parking is different from every other right because of its peculiarities and should be treated as such. </w:t>
      </w:r>
    </w:p>
    <w:p w14:paraId="2342320F" w14:textId="77777777" w:rsidR="002C06FD" w:rsidRPr="00884DAF" w:rsidRDefault="00245FDA" w:rsidP="00884DAF">
      <w:pPr>
        <w:pStyle w:val="ydpc595d14dyiv9060547353ydp6438de93msonormal"/>
        <w:spacing w:line="480" w:lineRule="auto"/>
        <w:jc w:val="both"/>
        <w:rPr>
          <w:rFonts w:ascii="Arial" w:hAnsi="Arial" w:cs="Arial"/>
          <w:color w:val="26282A"/>
          <w:shd w:val="clear" w:color="auto" w:fill="FFFFFF"/>
        </w:rPr>
      </w:pPr>
      <w:r w:rsidRPr="00884DAF">
        <w:rPr>
          <w:rFonts w:ascii="Arial" w:hAnsi="Arial" w:cs="Arial"/>
          <w:color w:val="26282A"/>
          <w:shd w:val="clear" w:color="auto" w:fill="FFFFFF"/>
        </w:rPr>
        <w:t>Once an easement has been established,</w:t>
      </w:r>
      <w:r w:rsidR="00EC10E6" w:rsidRPr="00884DAF">
        <w:rPr>
          <w:rFonts w:ascii="Arial" w:hAnsi="Arial" w:cs="Arial"/>
          <w:color w:val="26282A"/>
          <w:shd w:val="clear" w:color="auto" w:fill="FFFFFF"/>
        </w:rPr>
        <w:t xml:space="preserve"> </w:t>
      </w:r>
      <w:r w:rsidR="00EC10E6" w:rsidRPr="00884DAF">
        <w:rPr>
          <w:rFonts w:ascii="Arial" w:hAnsi="Arial" w:cs="Arial"/>
        </w:rPr>
        <w:t>then the next thing to be considered is how the easement has been acquired.</w:t>
      </w:r>
      <w:r w:rsidR="001422F6" w:rsidRPr="00884DAF">
        <w:rPr>
          <w:rFonts w:ascii="Arial" w:hAnsi="Arial" w:cs="Arial"/>
        </w:rPr>
        <w:t xml:space="preserve"> </w:t>
      </w:r>
      <w:r w:rsidR="001422F6" w:rsidRPr="00884DAF">
        <w:rPr>
          <w:rFonts w:ascii="Arial" w:hAnsi="Arial" w:cs="Arial"/>
          <w:color w:val="26282A"/>
          <w:shd w:val="clear" w:color="auto" w:fill="FFFFFF"/>
        </w:rPr>
        <w:t xml:space="preserve">An easement can be granted or reserved by the servient owner of the land. </w:t>
      </w:r>
      <w:r w:rsidR="00EC10E6" w:rsidRPr="00884DAF">
        <w:rPr>
          <w:rFonts w:ascii="Arial" w:hAnsi="Arial" w:cs="Arial"/>
          <w:color w:val="26282A"/>
          <w:shd w:val="clear" w:color="auto" w:fill="FFFFFF"/>
        </w:rPr>
        <w:t>T</w:t>
      </w:r>
      <w:r w:rsidRPr="00884DAF">
        <w:rPr>
          <w:rFonts w:ascii="Arial" w:hAnsi="Arial" w:cs="Arial"/>
          <w:color w:val="26282A"/>
          <w:shd w:val="clear" w:color="auto" w:fill="FFFFFF"/>
        </w:rPr>
        <w:t xml:space="preserve">here are various ways easement may be created. These </w:t>
      </w:r>
      <w:r w:rsidR="00BB29E9" w:rsidRPr="00884DAF">
        <w:rPr>
          <w:rFonts w:ascii="Arial" w:hAnsi="Arial" w:cs="Arial"/>
          <w:color w:val="26282A"/>
          <w:shd w:val="clear" w:color="auto" w:fill="FFFFFF"/>
        </w:rPr>
        <w:t>methods of creation</w:t>
      </w:r>
      <w:r w:rsidRPr="00884DAF">
        <w:rPr>
          <w:rFonts w:ascii="Arial" w:hAnsi="Arial" w:cs="Arial"/>
          <w:color w:val="26282A"/>
          <w:shd w:val="clear" w:color="auto" w:fill="FFFFFF"/>
        </w:rPr>
        <w:t xml:space="preserve"> are by express grant or reservation</w:t>
      </w:r>
      <w:r w:rsidR="00922C40" w:rsidRPr="00884DAF">
        <w:rPr>
          <w:rFonts w:ascii="Arial" w:hAnsi="Arial" w:cs="Arial"/>
          <w:color w:val="26282A"/>
          <w:shd w:val="clear" w:color="auto" w:fill="FFFFFF"/>
        </w:rPr>
        <w:t xml:space="preserve">, </w:t>
      </w:r>
      <w:r w:rsidRPr="00884DAF">
        <w:rPr>
          <w:rFonts w:ascii="Arial" w:hAnsi="Arial" w:cs="Arial"/>
          <w:color w:val="26282A"/>
          <w:shd w:val="clear" w:color="auto" w:fill="FFFFFF"/>
        </w:rPr>
        <w:t xml:space="preserve">implied grant or </w:t>
      </w:r>
      <w:r w:rsidRPr="00884DAF">
        <w:rPr>
          <w:rFonts w:ascii="Arial" w:hAnsi="Arial" w:cs="Arial"/>
          <w:color w:val="26282A"/>
          <w:shd w:val="clear" w:color="auto" w:fill="FFFFFF"/>
        </w:rPr>
        <w:lastRenderedPageBreak/>
        <w:t>reservation</w:t>
      </w:r>
      <w:r w:rsidR="00B504A7" w:rsidRPr="00884DAF">
        <w:rPr>
          <w:rFonts w:ascii="Arial" w:hAnsi="Arial" w:cs="Arial"/>
          <w:color w:val="26282A"/>
          <w:shd w:val="clear" w:color="auto" w:fill="FFFFFF"/>
        </w:rPr>
        <w:t xml:space="preserve"> (necessity, common intention, the rule in Wheeldon v Burrows, s62 LPA)</w:t>
      </w:r>
      <w:r w:rsidRPr="00884DAF">
        <w:rPr>
          <w:rFonts w:ascii="Arial" w:hAnsi="Arial" w:cs="Arial"/>
          <w:color w:val="26282A"/>
          <w:shd w:val="clear" w:color="auto" w:fill="FFFFFF"/>
        </w:rPr>
        <w:t>,</w:t>
      </w:r>
      <w:r w:rsidR="00922C40" w:rsidRPr="00884DAF">
        <w:rPr>
          <w:rFonts w:ascii="Arial" w:hAnsi="Arial" w:cs="Arial"/>
          <w:color w:val="26282A"/>
          <w:shd w:val="clear" w:color="auto" w:fill="FFFFFF"/>
        </w:rPr>
        <w:t xml:space="preserve"> statute</w:t>
      </w:r>
      <w:r w:rsidR="00415399" w:rsidRPr="00884DAF">
        <w:rPr>
          <w:rFonts w:ascii="Arial" w:hAnsi="Arial" w:cs="Arial"/>
          <w:color w:val="26282A"/>
          <w:shd w:val="clear" w:color="auto" w:fill="FFFFFF"/>
        </w:rPr>
        <w:t xml:space="preserve">, </w:t>
      </w:r>
      <w:r w:rsidR="005E7E91" w:rsidRPr="00884DAF">
        <w:rPr>
          <w:rFonts w:ascii="Arial" w:hAnsi="Arial" w:cs="Arial"/>
          <w:color w:val="26282A"/>
          <w:shd w:val="clear" w:color="auto" w:fill="FFFFFF"/>
        </w:rPr>
        <w:t>and</w:t>
      </w:r>
      <w:r w:rsidRPr="00884DAF">
        <w:rPr>
          <w:rFonts w:ascii="Arial" w:hAnsi="Arial" w:cs="Arial"/>
          <w:color w:val="26282A"/>
          <w:shd w:val="clear" w:color="auto" w:fill="FFFFFF"/>
        </w:rPr>
        <w:t xml:space="preserve"> prescription (Gaunt and Morgan, 2020).</w:t>
      </w:r>
    </w:p>
    <w:p w14:paraId="0DB9E7BE" w14:textId="54D4201F" w:rsidR="00B504A7" w:rsidRPr="00884DAF" w:rsidRDefault="002C06FD" w:rsidP="00884DAF">
      <w:pPr>
        <w:pStyle w:val="ydpc595d14dyiv9060547353ydp6438de93msonormal"/>
        <w:spacing w:line="480" w:lineRule="auto"/>
        <w:jc w:val="both"/>
        <w:rPr>
          <w:rFonts w:ascii="Arial" w:hAnsi="Arial" w:cs="Arial"/>
        </w:rPr>
      </w:pPr>
      <w:r w:rsidRPr="00884DAF">
        <w:rPr>
          <w:rFonts w:ascii="Arial" w:hAnsi="Arial" w:cs="Arial"/>
          <w:color w:val="26282A"/>
          <w:shd w:val="clear" w:color="auto" w:fill="FFFFFF"/>
        </w:rPr>
        <w:t>An easement can be created by statute. This is determined by an Act of Parliament. This could be a right recognised under the local act, or for some purposes relating to public facilities like water, light, gas, rail, etc</w:t>
      </w:r>
      <w:r w:rsidR="00A67F04" w:rsidRPr="00884DAF">
        <w:rPr>
          <w:rFonts w:ascii="Arial" w:hAnsi="Arial" w:cs="Arial"/>
          <w:color w:val="26282A"/>
          <w:shd w:val="clear" w:color="auto" w:fill="FFFFFF"/>
        </w:rPr>
        <w:t xml:space="preserve"> (Bevan, 2022).</w:t>
      </w:r>
    </w:p>
    <w:p w14:paraId="33496333" w14:textId="3219C337" w:rsidR="00922C40" w:rsidRPr="00884DAF" w:rsidRDefault="00245FDA" w:rsidP="00884DAF">
      <w:pPr>
        <w:pStyle w:val="ydpc595d14dyiv9060547353ydp6438de93msonormal"/>
        <w:spacing w:line="480" w:lineRule="auto"/>
        <w:jc w:val="both"/>
        <w:rPr>
          <w:rFonts w:ascii="Arial" w:hAnsi="Arial" w:cs="Arial"/>
          <w:color w:val="26282A"/>
          <w:shd w:val="clear" w:color="auto" w:fill="FFFFFF"/>
        </w:rPr>
      </w:pPr>
      <w:r w:rsidRPr="00884DAF">
        <w:rPr>
          <w:rFonts w:ascii="Arial" w:hAnsi="Arial" w:cs="Arial"/>
          <w:color w:val="26282A"/>
          <w:shd w:val="clear" w:color="auto" w:fill="FFFFFF"/>
        </w:rPr>
        <w:t>For an easement to be granted or reserved expressly</w:t>
      </w:r>
      <w:r w:rsidR="00EC10E6" w:rsidRPr="00884DAF">
        <w:rPr>
          <w:rFonts w:ascii="Arial" w:hAnsi="Arial" w:cs="Arial"/>
          <w:color w:val="26282A"/>
          <w:shd w:val="clear" w:color="auto" w:fill="FFFFFF"/>
        </w:rPr>
        <w:t>, it must be created by deed</w:t>
      </w:r>
      <w:r w:rsidR="00074596" w:rsidRPr="00884DAF">
        <w:rPr>
          <w:rFonts w:ascii="Arial" w:hAnsi="Arial" w:cs="Arial"/>
          <w:color w:val="26282A"/>
          <w:shd w:val="clear" w:color="auto" w:fill="FFFFFF"/>
        </w:rPr>
        <w:t xml:space="preserve"> (Carter v Cole, 2006),</w:t>
      </w:r>
      <w:r w:rsidR="00EC10E6" w:rsidRPr="00884DAF">
        <w:rPr>
          <w:rFonts w:ascii="Arial" w:hAnsi="Arial" w:cs="Arial"/>
          <w:color w:val="26282A"/>
          <w:shd w:val="clear" w:color="auto" w:fill="FFFFFF"/>
        </w:rPr>
        <w:t xml:space="preserve"> and </w:t>
      </w:r>
      <w:r w:rsidR="005F6836" w:rsidRPr="00884DAF">
        <w:rPr>
          <w:rFonts w:ascii="Arial" w:hAnsi="Arial" w:cs="Arial"/>
          <w:color w:val="26282A"/>
          <w:shd w:val="clear" w:color="auto" w:fill="FFFFFF"/>
        </w:rPr>
        <w:t>‘</w:t>
      </w:r>
      <w:r w:rsidR="00EC10E6" w:rsidRPr="00884DAF">
        <w:rPr>
          <w:rFonts w:ascii="Arial" w:hAnsi="Arial" w:cs="Arial"/>
          <w:color w:val="26282A"/>
          <w:shd w:val="clear" w:color="auto" w:fill="FFFFFF"/>
        </w:rPr>
        <w:t>equivalent to a</w:t>
      </w:r>
      <w:r w:rsidR="00074596" w:rsidRPr="00884DAF">
        <w:rPr>
          <w:rFonts w:ascii="Arial" w:hAnsi="Arial" w:cs="Arial"/>
          <w:color w:val="26282A"/>
          <w:shd w:val="clear" w:color="auto" w:fill="FFFFFF"/>
        </w:rPr>
        <w:t>n estate i</w:t>
      </w:r>
      <w:r w:rsidR="005F6836" w:rsidRPr="00884DAF">
        <w:rPr>
          <w:rFonts w:ascii="Arial" w:hAnsi="Arial" w:cs="Arial"/>
          <w:color w:val="26282A"/>
          <w:shd w:val="clear" w:color="auto" w:fill="FFFFFF"/>
        </w:rPr>
        <w:t xml:space="preserve">n </w:t>
      </w:r>
      <w:r w:rsidR="00EC10E6" w:rsidRPr="00884DAF">
        <w:rPr>
          <w:rFonts w:ascii="Arial" w:hAnsi="Arial" w:cs="Arial"/>
          <w:color w:val="26282A"/>
          <w:shd w:val="clear" w:color="auto" w:fill="FFFFFF"/>
        </w:rPr>
        <w:t>fee simple absolute in possession,</w:t>
      </w:r>
      <w:r w:rsidR="00074596" w:rsidRPr="00884DAF">
        <w:rPr>
          <w:rFonts w:ascii="Arial" w:hAnsi="Arial" w:cs="Arial"/>
          <w:color w:val="26282A"/>
          <w:shd w:val="clear" w:color="auto" w:fill="FFFFFF"/>
        </w:rPr>
        <w:t xml:space="preserve"> or a term of years absolute’ (</w:t>
      </w:r>
      <w:r w:rsidR="00EC10E6" w:rsidRPr="00884DAF">
        <w:rPr>
          <w:rFonts w:ascii="Arial" w:hAnsi="Arial" w:cs="Arial"/>
          <w:color w:val="26282A"/>
          <w:shd w:val="clear" w:color="auto" w:fill="FFFFFF"/>
        </w:rPr>
        <w:t>s1</w:t>
      </w:r>
      <w:r w:rsidR="005F6836" w:rsidRPr="00884DAF">
        <w:rPr>
          <w:rFonts w:ascii="Arial" w:hAnsi="Arial" w:cs="Arial"/>
          <w:color w:val="26282A"/>
          <w:shd w:val="clear" w:color="auto" w:fill="FFFFFF"/>
        </w:rPr>
        <w:t>(2)(a)</w:t>
      </w:r>
      <w:r w:rsidR="00074596" w:rsidRPr="00884DAF">
        <w:rPr>
          <w:rFonts w:ascii="Arial" w:hAnsi="Arial" w:cs="Arial"/>
          <w:color w:val="26282A"/>
          <w:shd w:val="clear" w:color="auto" w:fill="FFFFFF"/>
        </w:rPr>
        <w:t xml:space="preserve"> </w:t>
      </w:r>
      <w:r w:rsidR="00EC10E6" w:rsidRPr="00884DAF">
        <w:rPr>
          <w:rFonts w:ascii="Arial" w:hAnsi="Arial" w:cs="Arial"/>
          <w:color w:val="26282A"/>
          <w:shd w:val="clear" w:color="auto" w:fill="FFFFFF"/>
        </w:rPr>
        <w:t>LPA 1925</w:t>
      </w:r>
      <w:r w:rsidR="00B504A7" w:rsidRPr="00884DAF">
        <w:rPr>
          <w:rFonts w:ascii="Arial" w:hAnsi="Arial" w:cs="Arial"/>
          <w:color w:val="26282A"/>
          <w:shd w:val="clear" w:color="auto" w:fill="FFFFFF"/>
        </w:rPr>
        <w:t xml:space="preserve">. </w:t>
      </w:r>
      <w:r w:rsidR="00EC10E6" w:rsidRPr="00884DAF">
        <w:rPr>
          <w:rFonts w:ascii="Arial" w:hAnsi="Arial" w:cs="Arial"/>
          <w:color w:val="26282A"/>
          <w:shd w:val="clear" w:color="auto" w:fill="FFFFFF"/>
        </w:rPr>
        <w:t>If the easement is created in writing,</w:t>
      </w:r>
      <w:r w:rsidR="00074596" w:rsidRPr="00884DAF">
        <w:rPr>
          <w:rFonts w:ascii="Arial" w:hAnsi="Arial" w:cs="Arial"/>
          <w:color w:val="26282A"/>
          <w:shd w:val="clear" w:color="auto" w:fill="FFFFFF"/>
        </w:rPr>
        <w:t xml:space="preserve"> and it</w:t>
      </w:r>
      <w:r w:rsidR="00EC10E6" w:rsidRPr="00884DAF">
        <w:rPr>
          <w:rFonts w:ascii="Arial" w:hAnsi="Arial" w:cs="Arial"/>
          <w:color w:val="26282A"/>
          <w:shd w:val="clear" w:color="auto" w:fill="FFFFFF"/>
        </w:rPr>
        <w:t xml:space="preserve"> meets the requirements of s2 Law of Property (Miscellaneous Provisions) Act 1989</w:t>
      </w:r>
      <w:r w:rsidR="00074596" w:rsidRPr="00884DAF">
        <w:rPr>
          <w:rFonts w:ascii="Arial" w:hAnsi="Arial" w:cs="Arial"/>
          <w:color w:val="26282A"/>
          <w:shd w:val="clear" w:color="auto" w:fill="FFFFFF"/>
        </w:rPr>
        <w:t xml:space="preserve"> (LPMPA 1989)</w:t>
      </w:r>
      <w:r w:rsidR="00EC10E6" w:rsidRPr="00884DAF">
        <w:rPr>
          <w:rFonts w:ascii="Arial" w:hAnsi="Arial" w:cs="Arial"/>
          <w:color w:val="26282A"/>
          <w:shd w:val="clear" w:color="auto" w:fill="FFFFFF"/>
        </w:rPr>
        <w:t>, the easement will be equitable</w:t>
      </w:r>
      <w:r w:rsidR="00074596" w:rsidRPr="00884DAF">
        <w:rPr>
          <w:rFonts w:ascii="Arial" w:hAnsi="Arial" w:cs="Arial"/>
          <w:color w:val="26282A"/>
          <w:shd w:val="clear" w:color="auto" w:fill="FFFFFF"/>
        </w:rPr>
        <w:t>.</w:t>
      </w:r>
    </w:p>
    <w:p w14:paraId="2E74FEBD" w14:textId="39A3B43C" w:rsidR="00BF191C" w:rsidRPr="00884DAF" w:rsidRDefault="001422F6" w:rsidP="00884DAF">
      <w:pPr>
        <w:pStyle w:val="ydpc595d14dyiv9060547353ydp6438de93msonormal"/>
        <w:spacing w:line="480" w:lineRule="auto"/>
        <w:jc w:val="both"/>
        <w:rPr>
          <w:rFonts w:ascii="Arial" w:hAnsi="Arial" w:cs="Arial"/>
          <w:color w:val="26282A"/>
          <w:shd w:val="clear" w:color="auto" w:fill="FFFFFF"/>
        </w:rPr>
      </w:pPr>
      <w:r w:rsidRPr="00884DAF">
        <w:rPr>
          <w:rFonts w:ascii="Arial" w:hAnsi="Arial" w:cs="Arial"/>
          <w:color w:val="26282A"/>
          <w:shd w:val="clear" w:color="auto" w:fill="FFFFFF"/>
        </w:rPr>
        <w:t xml:space="preserve"> </w:t>
      </w:r>
      <w:r w:rsidR="00B55F82" w:rsidRPr="00884DAF">
        <w:rPr>
          <w:rFonts w:ascii="Arial" w:hAnsi="Arial" w:cs="Arial"/>
          <w:color w:val="26282A"/>
          <w:shd w:val="clear" w:color="auto" w:fill="FFFFFF"/>
        </w:rPr>
        <w:t>T</w:t>
      </w:r>
      <w:r w:rsidRPr="00884DAF">
        <w:rPr>
          <w:rFonts w:ascii="Arial" w:hAnsi="Arial" w:cs="Arial"/>
          <w:color w:val="26282A"/>
          <w:shd w:val="clear" w:color="auto" w:fill="FFFFFF"/>
        </w:rPr>
        <w:t xml:space="preserve">he </w:t>
      </w:r>
      <w:r w:rsidR="00BF191C" w:rsidRPr="00884DAF">
        <w:rPr>
          <w:rFonts w:ascii="Arial" w:hAnsi="Arial" w:cs="Arial"/>
          <w:color w:val="26282A"/>
          <w:shd w:val="clear" w:color="auto" w:fill="FFFFFF"/>
        </w:rPr>
        <w:t>second-way easement can be created is by</w:t>
      </w:r>
      <w:r w:rsidR="00415399" w:rsidRPr="00884DAF">
        <w:rPr>
          <w:rFonts w:ascii="Arial" w:hAnsi="Arial" w:cs="Arial"/>
          <w:color w:val="26282A"/>
          <w:shd w:val="clear" w:color="auto" w:fill="FFFFFF"/>
        </w:rPr>
        <w:t xml:space="preserve"> implied grant</w:t>
      </w:r>
      <w:r w:rsidR="00BF191C" w:rsidRPr="00884DAF">
        <w:rPr>
          <w:rFonts w:ascii="Arial" w:hAnsi="Arial" w:cs="Arial"/>
          <w:color w:val="26282A"/>
          <w:shd w:val="clear" w:color="auto" w:fill="FFFFFF"/>
        </w:rPr>
        <w:t xml:space="preserve"> (</w:t>
      </w:r>
      <w:r w:rsidRPr="00884DAF">
        <w:rPr>
          <w:rFonts w:ascii="Arial" w:hAnsi="Arial" w:cs="Arial"/>
          <w:color w:val="26282A"/>
          <w:shd w:val="clear" w:color="auto" w:fill="FFFFFF"/>
        </w:rPr>
        <w:t>Jones v Pritchard, 1908)</w:t>
      </w:r>
      <w:r w:rsidR="00415399" w:rsidRPr="00884DAF">
        <w:rPr>
          <w:rFonts w:ascii="Arial" w:hAnsi="Arial" w:cs="Arial"/>
          <w:color w:val="26282A"/>
          <w:shd w:val="clear" w:color="auto" w:fill="FFFFFF"/>
        </w:rPr>
        <w:t>. There are four ways this may be granted. They are necessity, common intention, the rule in Wheeldon v Burrows and s62 LPA</w:t>
      </w:r>
      <w:r w:rsidR="00EC13CC" w:rsidRPr="00884DAF">
        <w:rPr>
          <w:rFonts w:ascii="Arial" w:hAnsi="Arial" w:cs="Arial"/>
          <w:color w:val="26282A"/>
          <w:shd w:val="clear" w:color="auto" w:fill="FFFFFF"/>
        </w:rPr>
        <w:t xml:space="preserve"> (</w:t>
      </w:r>
      <w:r w:rsidR="00EC13CC" w:rsidRPr="00884DAF">
        <w:rPr>
          <w:rFonts w:ascii="Arial" w:hAnsi="Arial" w:cs="Arial"/>
        </w:rPr>
        <w:t>Dixon, 2016)</w:t>
      </w:r>
      <w:r w:rsidR="00415399" w:rsidRPr="00884DAF">
        <w:rPr>
          <w:rFonts w:ascii="Arial" w:hAnsi="Arial" w:cs="Arial"/>
          <w:color w:val="26282A"/>
          <w:shd w:val="clear" w:color="auto" w:fill="FFFFFF"/>
        </w:rPr>
        <w:t xml:space="preserve">. </w:t>
      </w:r>
      <w:r w:rsidR="00544214" w:rsidRPr="00884DAF">
        <w:rPr>
          <w:rFonts w:ascii="Arial" w:hAnsi="Arial" w:cs="Arial"/>
          <w:color w:val="26282A"/>
          <w:shd w:val="clear" w:color="auto" w:fill="FFFFFF"/>
        </w:rPr>
        <w:t>An easement</w:t>
      </w:r>
      <w:r w:rsidR="00415399" w:rsidRPr="00884DAF">
        <w:rPr>
          <w:rFonts w:ascii="Arial" w:hAnsi="Arial" w:cs="Arial"/>
          <w:color w:val="26282A"/>
          <w:shd w:val="clear" w:color="auto" w:fill="FFFFFF"/>
        </w:rPr>
        <w:t xml:space="preserve"> can be</w:t>
      </w:r>
      <w:r w:rsidR="00EC13CC" w:rsidRPr="00884DAF">
        <w:rPr>
          <w:rFonts w:ascii="Arial" w:hAnsi="Arial" w:cs="Arial"/>
          <w:color w:val="26282A"/>
          <w:shd w:val="clear" w:color="auto" w:fill="FFFFFF"/>
        </w:rPr>
        <w:t xml:space="preserve"> implied</w:t>
      </w:r>
      <w:r w:rsidRPr="00884DAF">
        <w:rPr>
          <w:rFonts w:ascii="Arial" w:hAnsi="Arial" w:cs="Arial"/>
          <w:color w:val="26282A"/>
          <w:shd w:val="clear" w:color="auto" w:fill="FFFFFF"/>
        </w:rPr>
        <w:t xml:space="preserve"> through necessity</w:t>
      </w:r>
      <w:r w:rsidR="00544214" w:rsidRPr="00884DAF">
        <w:rPr>
          <w:rFonts w:ascii="Arial" w:hAnsi="Arial" w:cs="Arial"/>
          <w:color w:val="26282A"/>
          <w:shd w:val="clear" w:color="auto" w:fill="FFFFFF"/>
        </w:rPr>
        <w:t xml:space="preserve"> and granted</w:t>
      </w:r>
      <w:r w:rsidR="00415399" w:rsidRPr="00884DAF">
        <w:rPr>
          <w:rFonts w:ascii="Arial" w:hAnsi="Arial" w:cs="Arial"/>
          <w:color w:val="26282A"/>
          <w:shd w:val="clear" w:color="auto" w:fill="FFFFFF"/>
        </w:rPr>
        <w:t xml:space="preserve"> if there is no other way to access the land</w:t>
      </w:r>
      <w:r w:rsidR="00544214" w:rsidRPr="00884DAF">
        <w:rPr>
          <w:rFonts w:ascii="Arial" w:hAnsi="Arial" w:cs="Arial"/>
          <w:color w:val="26282A"/>
          <w:shd w:val="clear" w:color="auto" w:fill="FFFFFF"/>
        </w:rPr>
        <w:t>, or if the land cannot be put to any use without an easement (Wong v Beaumont Property Trust Ltd 1965)</w:t>
      </w:r>
      <w:r w:rsidR="00BF191C" w:rsidRPr="00884DAF">
        <w:rPr>
          <w:rFonts w:ascii="Arial" w:hAnsi="Arial" w:cs="Arial"/>
          <w:color w:val="26282A"/>
          <w:shd w:val="clear" w:color="auto" w:fill="FFFFFF"/>
        </w:rPr>
        <w:t>.</w:t>
      </w:r>
      <w:r w:rsidR="00544214" w:rsidRPr="00884DAF">
        <w:rPr>
          <w:rFonts w:ascii="Arial" w:hAnsi="Arial" w:cs="Arial"/>
          <w:color w:val="26282A"/>
          <w:shd w:val="clear" w:color="auto" w:fill="FFFFFF"/>
        </w:rPr>
        <w:t xml:space="preserve"> </w:t>
      </w:r>
      <w:r w:rsidR="007E1942" w:rsidRPr="00884DAF">
        <w:rPr>
          <w:rFonts w:ascii="Arial" w:hAnsi="Arial" w:cs="Arial"/>
          <w:color w:val="26282A"/>
          <w:shd w:val="clear" w:color="auto" w:fill="FFFFFF"/>
        </w:rPr>
        <w:t>O</w:t>
      </w:r>
      <w:r w:rsidR="00EC13CC" w:rsidRPr="00884DAF">
        <w:rPr>
          <w:rFonts w:ascii="Arial" w:hAnsi="Arial" w:cs="Arial"/>
          <w:color w:val="26282A"/>
          <w:shd w:val="clear" w:color="auto" w:fill="FFFFFF"/>
        </w:rPr>
        <w:t xml:space="preserve">ne situation is </w:t>
      </w:r>
      <w:r w:rsidRPr="00884DAF">
        <w:rPr>
          <w:rFonts w:ascii="Arial" w:hAnsi="Arial" w:cs="Arial"/>
          <w:color w:val="26282A"/>
          <w:shd w:val="clear" w:color="auto" w:fill="FFFFFF"/>
        </w:rPr>
        <w:t>if the land is landlocked</w:t>
      </w:r>
      <w:r w:rsidR="00922F90" w:rsidRPr="00884DAF">
        <w:rPr>
          <w:rFonts w:ascii="Arial" w:hAnsi="Arial" w:cs="Arial"/>
          <w:color w:val="26282A"/>
          <w:shd w:val="clear" w:color="auto" w:fill="FFFFFF"/>
        </w:rPr>
        <w:t>, that is</w:t>
      </w:r>
      <w:r w:rsidR="00415399" w:rsidRPr="00884DAF">
        <w:rPr>
          <w:rFonts w:ascii="Arial" w:hAnsi="Arial" w:cs="Arial"/>
          <w:color w:val="26282A"/>
          <w:shd w:val="clear" w:color="auto" w:fill="FFFFFF"/>
        </w:rPr>
        <w:t>,</w:t>
      </w:r>
      <w:r w:rsidR="00922F90" w:rsidRPr="00884DAF">
        <w:rPr>
          <w:rFonts w:ascii="Arial" w:hAnsi="Arial" w:cs="Arial"/>
          <w:color w:val="26282A"/>
          <w:shd w:val="clear" w:color="auto" w:fill="FFFFFF"/>
        </w:rPr>
        <w:t xml:space="preserve"> </w:t>
      </w:r>
      <w:r w:rsidRPr="00884DAF">
        <w:rPr>
          <w:rFonts w:ascii="Arial" w:hAnsi="Arial" w:cs="Arial"/>
          <w:color w:val="26282A"/>
          <w:shd w:val="clear" w:color="auto" w:fill="FFFFFF"/>
        </w:rPr>
        <w:t>the land</w:t>
      </w:r>
      <w:r w:rsidR="00922F90" w:rsidRPr="00884DAF">
        <w:rPr>
          <w:rFonts w:ascii="Arial" w:hAnsi="Arial" w:cs="Arial"/>
          <w:color w:val="26282A"/>
          <w:shd w:val="clear" w:color="auto" w:fill="FFFFFF"/>
        </w:rPr>
        <w:t xml:space="preserve"> is</w:t>
      </w:r>
      <w:r w:rsidRPr="00884DAF">
        <w:rPr>
          <w:rFonts w:ascii="Arial" w:hAnsi="Arial" w:cs="Arial"/>
          <w:color w:val="26282A"/>
          <w:shd w:val="clear" w:color="auto" w:fill="FFFFFF"/>
        </w:rPr>
        <w:t xml:space="preserve"> inaccessible without a right of way),</w:t>
      </w:r>
      <w:r w:rsidR="00A74C7E" w:rsidRPr="00884DAF">
        <w:rPr>
          <w:rFonts w:ascii="Arial" w:hAnsi="Arial" w:cs="Arial"/>
          <w:color w:val="26282A"/>
          <w:shd w:val="clear" w:color="auto" w:fill="FFFFFF"/>
        </w:rPr>
        <w:t xml:space="preserve"> </w:t>
      </w:r>
      <w:r w:rsidRPr="00884DAF">
        <w:rPr>
          <w:rFonts w:ascii="Arial" w:hAnsi="Arial" w:cs="Arial"/>
          <w:color w:val="26282A"/>
          <w:shd w:val="clear" w:color="auto" w:fill="FFFFFF"/>
        </w:rPr>
        <w:t>(</w:t>
      </w:r>
      <w:bookmarkStart w:id="7" w:name="_Hlk118122396"/>
      <w:r w:rsidRPr="00884DAF">
        <w:rPr>
          <w:rFonts w:ascii="Arial" w:hAnsi="Arial" w:cs="Arial"/>
          <w:color w:val="26282A"/>
          <w:shd w:val="clear" w:color="auto" w:fill="FFFFFF"/>
        </w:rPr>
        <w:t>MRA Engineering Ltd v Trimster Co Ltd, 1987</w:t>
      </w:r>
      <w:bookmarkEnd w:id="7"/>
      <w:r w:rsidRPr="00884DAF">
        <w:rPr>
          <w:rFonts w:ascii="Arial" w:hAnsi="Arial" w:cs="Arial"/>
          <w:color w:val="26282A"/>
          <w:shd w:val="clear" w:color="auto" w:fill="FFFFFF"/>
        </w:rPr>
        <w:t>)</w:t>
      </w:r>
      <w:r w:rsidR="00EC13CC" w:rsidRPr="00884DAF">
        <w:rPr>
          <w:rFonts w:ascii="Arial" w:hAnsi="Arial" w:cs="Arial"/>
          <w:color w:val="26282A"/>
          <w:shd w:val="clear" w:color="auto" w:fill="FFFFFF"/>
        </w:rPr>
        <w:t>.  I</w:t>
      </w:r>
      <w:r w:rsidRPr="00884DAF">
        <w:rPr>
          <w:rFonts w:ascii="Arial" w:hAnsi="Arial" w:cs="Arial"/>
          <w:color w:val="26282A"/>
          <w:shd w:val="clear" w:color="auto" w:fill="FFFFFF"/>
        </w:rPr>
        <w:t>n contrast</w:t>
      </w:r>
      <w:r w:rsidR="00BF191C" w:rsidRPr="00884DAF">
        <w:rPr>
          <w:rFonts w:ascii="Arial" w:hAnsi="Arial" w:cs="Arial"/>
          <w:color w:val="26282A"/>
          <w:shd w:val="clear" w:color="auto" w:fill="FFFFFF"/>
        </w:rPr>
        <w:t>,</w:t>
      </w:r>
      <w:r w:rsidRPr="00884DAF">
        <w:rPr>
          <w:rFonts w:ascii="Arial" w:hAnsi="Arial" w:cs="Arial"/>
          <w:color w:val="26282A"/>
          <w:shd w:val="clear" w:color="auto" w:fill="FFFFFF"/>
        </w:rPr>
        <w:t xml:space="preserve"> a claim of</w:t>
      </w:r>
      <w:r w:rsidR="00B55F82" w:rsidRPr="00884DAF">
        <w:rPr>
          <w:rFonts w:ascii="Arial" w:hAnsi="Arial" w:cs="Arial"/>
          <w:color w:val="26282A"/>
          <w:shd w:val="clear" w:color="auto" w:fill="FFFFFF"/>
        </w:rPr>
        <w:t xml:space="preserve"> necessity</w:t>
      </w:r>
      <w:r w:rsidRPr="00884DAF">
        <w:rPr>
          <w:rFonts w:ascii="Arial" w:hAnsi="Arial" w:cs="Arial"/>
          <w:color w:val="26282A"/>
          <w:shd w:val="clear" w:color="auto" w:fill="FFFFFF"/>
        </w:rPr>
        <w:t xml:space="preserve"> will fail if a right of way can be identified</w:t>
      </w:r>
      <w:r w:rsidR="00EC13CC" w:rsidRPr="00884DAF">
        <w:rPr>
          <w:rFonts w:ascii="Arial" w:hAnsi="Arial" w:cs="Arial"/>
          <w:color w:val="26282A"/>
          <w:shd w:val="clear" w:color="auto" w:fill="FFFFFF"/>
        </w:rPr>
        <w:t xml:space="preserve"> (</w:t>
      </w:r>
      <w:r w:rsidR="007E1942" w:rsidRPr="00884DAF">
        <w:rPr>
          <w:rFonts w:ascii="Arial" w:hAnsi="Arial" w:cs="Arial"/>
          <w:color w:val="26282A"/>
          <w:shd w:val="clear" w:color="auto" w:fill="FFFFFF"/>
        </w:rPr>
        <w:t>Titchmarsh</w:t>
      </w:r>
      <w:r w:rsidR="00EC13CC" w:rsidRPr="00884DAF">
        <w:rPr>
          <w:rFonts w:ascii="Arial" w:hAnsi="Arial" w:cs="Arial"/>
          <w:color w:val="26282A"/>
          <w:shd w:val="clear" w:color="auto" w:fill="FFFFFF"/>
        </w:rPr>
        <w:t xml:space="preserve"> v Royston Water Co 1899)</w:t>
      </w:r>
      <w:r w:rsidRPr="00884DAF">
        <w:rPr>
          <w:rFonts w:ascii="Arial" w:hAnsi="Arial" w:cs="Arial"/>
          <w:color w:val="26282A"/>
          <w:shd w:val="clear" w:color="auto" w:fill="FFFFFF"/>
        </w:rPr>
        <w:t>, even if it is inconvenien</w:t>
      </w:r>
      <w:r w:rsidR="00B55F82" w:rsidRPr="00884DAF">
        <w:rPr>
          <w:rFonts w:ascii="Arial" w:hAnsi="Arial" w:cs="Arial"/>
          <w:color w:val="26282A"/>
          <w:shd w:val="clear" w:color="auto" w:fill="FFFFFF"/>
        </w:rPr>
        <w:t>t</w:t>
      </w:r>
      <w:r w:rsidRPr="00884DAF">
        <w:rPr>
          <w:rFonts w:ascii="Arial" w:hAnsi="Arial" w:cs="Arial"/>
          <w:color w:val="26282A"/>
          <w:shd w:val="clear" w:color="auto" w:fill="FFFFFF"/>
        </w:rPr>
        <w:t xml:space="preserve"> (</w:t>
      </w:r>
      <w:bookmarkStart w:id="8" w:name="_Hlk118122644"/>
      <w:r w:rsidRPr="00884DAF">
        <w:rPr>
          <w:rFonts w:ascii="Arial" w:hAnsi="Arial" w:cs="Arial"/>
          <w:color w:val="26282A"/>
          <w:shd w:val="clear" w:color="auto" w:fill="FFFFFF"/>
        </w:rPr>
        <w:t>Manjang v Danmeh, 1990</w:t>
      </w:r>
      <w:bookmarkEnd w:id="8"/>
      <w:r w:rsidRPr="00884DAF">
        <w:rPr>
          <w:rFonts w:ascii="Arial" w:hAnsi="Arial" w:cs="Arial"/>
          <w:color w:val="26282A"/>
          <w:shd w:val="clear" w:color="auto" w:fill="FFFFFF"/>
        </w:rPr>
        <w:t>)</w:t>
      </w:r>
      <w:r w:rsidR="00B55F82" w:rsidRPr="00884DAF">
        <w:rPr>
          <w:rFonts w:ascii="Arial" w:hAnsi="Arial" w:cs="Arial"/>
          <w:color w:val="26282A"/>
          <w:shd w:val="clear" w:color="auto" w:fill="FFFFFF"/>
        </w:rPr>
        <w:t xml:space="preserve">. </w:t>
      </w:r>
    </w:p>
    <w:p w14:paraId="2CEB1C33" w14:textId="70F6AD7D" w:rsidR="00FE339B" w:rsidRPr="00884DAF" w:rsidRDefault="00B55F82" w:rsidP="00884DAF">
      <w:pPr>
        <w:spacing w:line="480" w:lineRule="auto"/>
        <w:jc w:val="both"/>
        <w:rPr>
          <w:rFonts w:ascii="Arial" w:hAnsi="Arial" w:cs="Arial"/>
          <w:color w:val="26282A"/>
          <w:sz w:val="24"/>
          <w:szCs w:val="24"/>
          <w:shd w:val="clear" w:color="auto" w:fill="FFFFFF"/>
        </w:rPr>
      </w:pPr>
      <w:r w:rsidRPr="00884DAF">
        <w:rPr>
          <w:rFonts w:ascii="Arial" w:hAnsi="Arial" w:cs="Arial"/>
          <w:color w:val="26282A"/>
          <w:sz w:val="24"/>
          <w:szCs w:val="24"/>
          <w:shd w:val="clear" w:color="auto" w:fill="FFFFFF"/>
        </w:rPr>
        <w:t>Another way easement can be</w:t>
      </w:r>
      <w:r w:rsidR="004F16AE" w:rsidRPr="00884DAF">
        <w:rPr>
          <w:rFonts w:ascii="Arial" w:hAnsi="Arial" w:cs="Arial"/>
          <w:color w:val="26282A"/>
          <w:sz w:val="24"/>
          <w:szCs w:val="24"/>
          <w:shd w:val="clear" w:color="auto" w:fill="FFFFFF"/>
        </w:rPr>
        <w:t xml:space="preserve"> implied</w:t>
      </w:r>
      <w:r w:rsidRPr="00884DAF">
        <w:rPr>
          <w:rFonts w:ascii="Arial" w:hAnsi="Arial" w:cs="Arial"/>
          <w:color w:val="26282A"/>
          <w:sz w:val="24"/>
          <w:szCs w:val="24"/>
          <w:shd w:val="clear" w:color="auto" w:fill="FFFFFF"/>
        </w:rPr>
        <w:t xml:space="preserve"> is by common intention</w:t>
      </w:r>
      <w:r w:rsidR="004F16AE" w:rsidRPr="00884DAF">
        <w:rPr>
          <w:rFonts w:ascii="Arial" w:hAnsi="Arial" w:cs="Arial"/>
          <w:color w:val="26282A"/>
          <w:sz w:val="24"/>
          <w:szCs w:val="24"/>
          <w:shd w:val="clear" w:color="auto" w:fill="FFFFFF"/>
        </w:rPr>
        <w:t xml:space="preserve">. </w:t>
      </w:r>
      <w:r w:rsidR="00FE339B" w:rsidRPr="00884DAF">
        <w:rPr>
          <w:rFonts w:ascii="Arial" w:hAnsi="Arial" w:cs="Arial"/>
          <w:color w:val="26282A"/>
          <w:sz w:val="24"/>
          <w:szCs w:val="24"/>
          <w:shd w:val="clear" w:color="auto" w:fill="FFFFFF"/>
        </w:rPr>
        <w:t>This means that easement is implied in the sale of land</w:t>
      </w:r>
      <w:r w:rsidR="004570C2" w:rsidRPr="00884DAF">
        <w:rPr>
          <w:rFonts w:ascii="Arial" w:hAnsi="Arial" w:cs="Arial"/>
          <w:color w:val="26282A"/>
          <w:sz w:val="24"/>
          <w:szCs w:val="24"/>
          <w:shd w:val="clear" w:color="auto" w:fill="FFFFFF"/>
        </w:rPr>
        <w:t xml:space="preserve"> by the common intention of the buyer</w:t>
      </w:r>
      <w:r w:rsidR="004F16AE" w:rsidRPr="00884DAF">
        <w:rPr>
          <w:rFonts w:ascii="Arial" w:hAnsi="Arial" w:cs="Arial"/>
          <w:color w:val="26282A"/>
          <w:sz w:val="24"/>
          <w:szCs w:val="24"/>
          <w:shd w:val="clear" w:color="auto" w:fill="FFFFFF"/>
        </w:rPr>
        <w:t xml:space="preserve"> and</w:t>
      </w:r>
      <w:r w:rsidR="004570C2" w:rsidRPr="00884DAF">
        <w:rPr>
          <w:rFonts w:ascii="Arial" w:hAnsi="Arial" w:cs="Arial"/>
          <w:color w:val="26282A"/>
          <w:sz w:val="24"/>
          <w:szCs w:val="24"/>
          <w:shd w:val="clear" w:color="auto" w:fill="FFFFFF"/>
        </w:rPr>
        <w:t xml:space="preserve"> seller</w:t>
      </w:r>
      <w:r w:rsidR="004F16AE" w:rsidRPr="00884DAF">
        <w:rPr>
          <w:rFonts w:ascii="Arial" w:hAnsi="Arial" w:cs="Arial"/>
          <w:color w:val="26282A"/>
          <w:sz w:val="24"/>
          <w:szCs w:val="24"/>
          <w:shd w:val="clear" w:color="auto" w:fill="FFFFFF"/>
        </w:rPr>
        <w:t xml:space="preserve">, which could be in either of their favour </w:t>
      </w:r>
      <w:r w:rsidR="00E64EC6" w:rsidRPr="00884DAF">
        <w:rPr>
          <w:rFonts w:ascii="Arial" w:hAnsi="Arial" w:cs="Arial"/>
          <w:color w:val="26282A"/>
          <w:sz w:val="24"/>
          <w:szCs w:val="24"/>
          <w:shd w:val="clear" w:color="auto" w:fill="FFFFFF"/>
        </w:rPr>
        <w:t>because it is necessary (Davies v Bramwell 2007)</w:t>
      </w:r>
      <w:r w:rsidR="004570C2" w:rsidRPr="00884DAF">
        <w:rPr>
          <w:rFonts w:ascii="Arial" w:hAnsi="Arial" w:cs="Arial"/>
          <w:color w:val="26282A"/>
          <w:sz w:val="24"/>
          <w:szCs w:val="24"/>
          <w:shd w:val="clear" w:color="auto" w:fill="FFFFFF"/>
        </w:rPr>
        <w:t>.</w:t>
      </w:r>
      <w:r w:rsidR="004F16AE" w:rsidRPr="00884DAF">
        <w:rPr>
          <w:rFonts w:ascii="Arial" w:hAnsi="Arial" w:cs="Arial"/>
          <w:color w:val="26282A"/>
          <w:sz w:val="24"/>
          <w:szCs w:val="24"/>
          <w:shd w:val="clear" w:color="auto" w:fill="FFFFFF"/>
        </w:rPr>
        <w:t xml:space="preserve"> This type of easement must also be implied in a deed.</w:t>
      </w:r>
    </w:p>
    <w:p w14:paraId="0B0A9CE0" w14:textId="3B7363EF" w:rsidR="004F16AE" w:rsidRPr="00884DAF" w:rsidRDefault="004F16AE" w:rsidP="00884DAF">
      <w:pPr>
        <w:spacing w:line="480" w:lineRule="auto"/>
        <w:jc w:val="both"/>
        <w:rPr>
          <w:rFonts w:ascii="Arial" w:hAnsi="Arial" w:cs="Arial"/>
          <w:sz w:val="24"/>
          <w:szCs w:val="24"/>
        </w:rPr>
      </w:pPr>
      <w:r w:rsidRPr="00884DAF">
        <w:rPr>
          <w:rFonts w:ascii="Arial" w:hAnsi="Arial" w:cs="Arial"/>
          <w:color w:val="26282A"/>
          <w:sz w:val="24"/>
          <w:szCs w:val="24"/>
          <w:shd w:val="clear" w:color="auto" w:fill="FFFFFF"/>
        </w:rPr>
        <w:lastRenderedPageBreak/>
        <w:t xml:space="preserve">It is worth mentioning that there is a significant overlap between easement implied by necessity or common intention as per the cases of Wong v Beaumont 1965 and Liverpool City Council v Irwin 1977. In the first case, the easement was implied as necessary because, without it, the purpose of using the premises would be defeated. It could also be granted </w:t>
      </w:r>
      <w:r w:rsidR="002C06FD" w:rsidRPr="00884DAF">
        <w:rPr>
          <w:rFonts w:ascii="Arial" w:hAnsi="Arial" w:cs="Arial"/>
          <w:color w:val="26282A"/>
          <w:sz w:val="24"/>
          <w:szCs w:val="24"/>
          <w:shd w:val="clear" w:color="auto" w:fill="FFFFFF"/>
        </w:rPr>
        <w:t>based on</w:t>
      </w:r>
      <w:r w:rsidRPr="00884DAF">
        <w:rPr>
          <w:rFonts w:ascii="Arial" w:hAnsi="Arial" w:cs="Arial"/>
          <w:color w:val="26282A"/>
          <w:sz w:val="24"/>
          <w:szCs w:val="24"/>
          <w:shd w:val="clear" w:color="auto" w:fill="FFFFFF"/>
        </w:rPr>
        <w:t xml:space="preserve"> common intention. The same goes for the second case which was granted </w:t>
      </w:r>
      <w:r w:rsidR="002C06FD" w:rsidRPr="00884DAF">
        <w:rPr>
          <w:rFonts w:ascii="Arial" w:hAnsi="Arial" w:cs="Arial"/>
          <w:color w:val="26282A"/>
          <w:sz w:val="24"/>
          <w:szCs w:val="24"/>
          <w:shd w:val="clear" w:color="auto" w:fill="FFFFFF"/>
        </w:rPr>
        <w:t>based on</w:t>
      </w:r>
      <w:r w:rsidRPr="00884DAF">
        <w:rPr>
          <w:rFonts w:ascii="Arial" w:hAnsi="Arial" w:cs="Arial"/>
          <w:color w:val="26282A"/>
          <w:sz w:val="24"/>
          <w:szCs w:val="24"/>
          <w:shd w:val="clear" w:color="auto" w:fill="FFFFFF"/>
        </w:rPr>
        <w:t xml:space="preserve"> common intention, it could also be granted on necessity</w:t>
      </w:r>
      <w:r w:rsidR="005F6836" w:rsidRPr="00884DAF">
        <w:rPr>
          <w:rFonts w:ascii="Arial" w:hAnsi="Arial" w:cs="Arial"/>
          <w:color w:val="26282A"/>
          <w:sz w:val="24"/>
          <w:szCs w:val="24"/>
          <w:shd w:val="clear" w:color="auto" w:fill="FFFFFF"/>
        </w:rPr>
        <w:t xml:space="preserve"> (Burn and Cartwright, 2011).</w:t>
      </w:r>
    </w:p>
    <w:p w14:paraId="5D9EB1EB" w14:textId="4B6015FB" w:rsidR="003301F4" w:rsidRPr="00884DAF" w:rsidRDefault="002C06FD" w:rsidP="00884DAF">
      <w:pPr>
        <w:spacing w:line="480" w:lineRule="auto"/>
        <w:jc w:val="both"/>
        <w:rPr>
          <w:rFonts w:ascii="Arial" w:hAnsi="Arial" w:cs="Arial"/>
          <w:color w:val="26282A"/>
          <w:sz w:val="24"/>
          <w:szCs w:val="24"/>
          <w:shd w:val="clear" w:color="auto" w:fill="FFFFFF"/>
        </w:rPr>
      </w:pPr>
      <w:r w:rsidRPr="00884DAF">
        <w:rPr>
          <w:rFonts w:ascii="Arial" w:hAnsi="Arial" w:cs="Arial"/>
          <w:color w:val="26282A"/>
          <w:sz w:val="24"/>
          <w:szCs w:val="24"/>
          <w:shd w:val="clear" w:color="auto" w:fill="FFFFFF"/>
        </w:rPr>
        <w:t>An easement can also be implied by</w:t>
      </w:r>
      <w:r w:rsidR="00B55F82" w:rsidRPr="00884DAF">
        <w:rPr>
          <w:rFonts w:ascii="Arial" w:hAnsi="Arial" w:cs="Arial"/>
          <w:color w:val="26282A"/>
          <w:sz w:val="24"/>
          <w:szCs w:val="24"/>
          <w:shd w:val="clear" w:color="auto" w:fill="FFFFFF"/>
        </w:rPr>
        <w:t xml:space="preserve"> the rule in the case Wheeldon v Burrows (1879)</w:t>
      </w:r>
      <w:r w:rsidRPr="00884DAF">
        <w:rPr>
          <w:rFonts w:ascii="Arial" w:hAnsi="Arial" w:cs="Arial"/>
          <w:color w:val="26282A"/>
          <w:sz w:val="24"/>
          <w:szCs w:val="24"/>
          <w:shd w:val="clear" w:color="auto" w:fill="FFFFFF"/>
        </w:rPr>
        <w:t>. This means that</w:t>
      </w:r>
      <w:r w:rsidR="00952083" w:rsidRPr="00884DAF">
        <w:rPr>
          <w:rFonts w:ascii="Arial" w:hAnsi="Arial" w:cs="Arial"/>
          <w:color w:val="26282A"/>
          <w:sz w:val="24"/>
          <w:szCs w:val="24"/>
          <w:shd w:val="clear" w:color="auto" w:fill="FFFFFF"/>
        </w:rPr>
        <w:t xml:space="preserve"> </w:t>
      </w:r>
      <w:r w:rsidR="00B0749D" w:rsidRPr="00884DAF">
        <w:rPr>
          <w:rFonts w:ascii="Arial" w:hAnsi="Arial" w:cs="Arial"/>
          <w:color w:val="26282A"/>
          <w:sz w:val="24"/>
          <w:szCs w:val="24"/>
          <w:shd w:val="clear" w:color="auto" w:fill="FFFFFF"/>
        </w:rPr>
        <w:t>a seller of a part of a land (grantor) must ensure the buyer of the land (grantee) enjoys full rights over that land and does not receive less, because they (seller) keep part of the land</w:t>
      </w:r>
      <w:r w:rsidR="000313D2" w:rsidRPr="00884DAF">
        <w:rPr>
          <w:rFonts w:ascii="Arial" w:hAnsi="Arial" w:cs="Arial"/>
          <w:color w:val="26282A"/>
          <w:sz w:val="24"/>
          <w:szCs w:val="24"/>
          <w:shd w:val="clear" w:color="auto" w:fill="FFFFFF"/>
        </w:rPr>
        <w:t xml:space="preserve"> (Schwann v Cotton 1916)</w:t>
      </w:r>
      <w:r w:rsidR="00B0749D" w:rsidRPr="00884DAF">
        <w:rPr>
          <w:rFonts w:ascii="Arial" w:hAnsi="Arial" w:cs="Arial"/>
          <w:color w:val="26282A"/>
          <w:sz w:val="24"/>
          <w:szCs w:val="24"/>
          <w:shd w:val="clear" w:color="auto" w:fill="FFFFFF"/>
        </w:rPr>
        <w:t>.</w:t>
      </w:r>
      <w:r w:rsidR="002D7CAF" w:rsidRPr="00884DAF">
        <w:rPr>
          <w:rFonts w:ascii="Arial" w:hAnsi="Arial" w:cs="Arial"/>
          <w:color w:val="26282A"/>
          <w:sz w:val="24"/>
          <w:szCs w:val="24"/>
          <w:shd w:val="clear" w:color="auto" w:fill="FFFFFF"/>
        </w:rPr>
        <w:t xml:space="preserve"> A landowner cannot enjoy an easement over his own land (2</w:t>
      </w:r>
      <w:r w:rsidR="002D7CAF" w:rsidRPr="00884DAF">
        <w:rPr>
          <w:rFonts w:ascii="Arial" w:hAnsi="Arial" w:cs="Arial"/>
          <w:color w:val="26282A"/>
          <w:sz w:val="24"/>
          <w:szCs w:val="24"/>
          <w:shd w:val="clear" w:color="auto" w:fill="FFFFFF"/>
          <w:vertAlign w:val="superscript"/>
        </w:rPr>
        <w:t>nd</w:t>
      </w:r>
      <w:r w:rsidR="002D7CAF" w:rsidRPr="00884DAF">
        <w:rPr>
          <w:rFonts w:ascii="Arial" w:hAnsi="Arial" w:cs="Arial"/>
          <w:color w:val="26282A"/>
          <w:sz w:val="24"/>
          <w:szCs w:val="24"/>
          <w:shd w:val="clear" w:color="auto" w:fill="FFFFFF"/>
        </w:rPr>
        <w:t xml:space="preserve"> condition of the rule in Re Ellenborough Park</w:t>
      </w:r>
      <w:r w:rsidR="003301F4" w:rsidRPr="00884DAF">
        <w:rPr>
          <w:rFonts w:ascii="Arial" w:hAnsi="Arial" w:cs="Arial"/>
          <w:color w:val="26282A"/>
          <w:sz w:val="24"/>
          <w:szCs w:val="24"/>
          <w:shd w:val="clear" w:color="auto" w:fill="FFFFFF"/>
        </w:rPr>
        <w:t xml:space="preserve">, </w:t>
      </w:r>
      <w:r w:rsidR="002D7CAF" w:rsidRPr="00884DAF">
        <w:rPr>
          <w:rFonts w:ascii="Arial" w:hAnsi="Arial" w:cs="Arial"/>
          <w:color w:val="26282A"/>
          <w:sz w:val="24"/>
          <w:szCs w:val="24"/>
          <w:shd w:val="clear" w:color="auto" w:fill="FFFFFF"/>
        </w:rPr>
        <w:t>1955)</w:t>
      </w:r>
      <w:r w:rsidR="000313D2" w:rsidRPr="00884DAF">
        <w:rPr>
          <w:rFonts w:ascii="Arial" w:hAnsi="Arial" w:cs="Arial"/>
          <w:color w:val="26282A"/>
          <w:sz w:val="24"/>
          <w:szCs w:val="24"/>
          <w:shd w:val="clear" w:color="auto" w:fill="FFFFFF"/>
        </w:rPr>
        <w:t>.</w:t>
      </w:r>
      <w:r w:rsidR="003301F4" w:rsidRPr="00884DAF">
        <w:rPr>
          <w:rFonts w:ascii="Arial" w:hAnsi="Arial" w:cs="Arial"/>
          <w:color w:val="26282A"/>
          <w:sz w:val="24"/>
          <w:szCs w:val="24"/>
          <w:shd w:val="clear" w:color="auto" w:fill="FFFFFF"/>
        </w:rPr>
        <w:t xml:space="preserve"> If he has been using one part of his land to access another land, and he sells the land</w:t>
      </w:r>
      <w:r w:rsidR="00E909C1" w:rsidRPr="00884DAF">
        <w:rPr>
          <w:rFonts w:ascii="Arial" w:hAnsi="Arial" w:cs="Arial"/>
          <w:color w:val="26282A"/>
          <w:sz w:val="24"/>
          <w:szCs w:val="24"/>
          <w:shd w:val="clear" w:color="auto" w:fill="FFFFFF"/>
        </w:rPr>
        <w:t xml:space="preserve">, </w:t>
      </w:r>
      <w:r w:rsidR="003301F4" w:rsidRPr="00884DAF">
        <w:rPr>
          <w:rFonts w:ascii="Arial" w:hAnsi="Arial" w:cs="Arial"/>
          <w:color w:val="26282A"/>
          <w:sz w:val="24"/>
          <w:szCs w:val="24"/>
          <w:shd w:val="clear" w:color="auto" w:fill="FFFFFF"/>
        </w:rPr>
        <w:t>that land will enjoy full easement, and he will not have any right of way to that land.</w:t>
      </w:r>
      <w:r w:rsidR="002D7CAF" w:rsidRPr="00884DAF">
        <w:rPr>
          <w:rFonts w:ascii="Arial" w:hAnsi="Arial" w:cs="Arial"/>
          <w:color w:val="26282A"/>
          <w:sz w:val="24"/>
          <w:szCs w:val="24"/>
          <w:shd w:val="clear" w:color="auto" w:fill="FFFFFF"/>
        </w:rPr>
        <w:t xml:space="preserve"> </w:t>
      </w:r>
      <w:r w:rsidR="00B0749D" w:rsidRPr="00884DAF">
        <w:rPr>
          <w:rFonts w:ascii="Arial" w:hAnsi="Arial" w:cs="Arial"/>
          <w:color w:val="26282A"/>
          <w:sz w:val="24"/>
          <w:szCs w:val="24"/>
          <w:shd w:val="clear" w:color="auto" w:fill="FFFFFF"/>
        </w:rPr>
        <w:t xml:space="preserve">This is </w:t>
      </w:r>
      <w:r w:rsidR="00B55F82" w:rsidRPr="00884DAF">
        <w:rPr>
          <w:rFonts w:ascii="Arial" w:hAnsi="Arial" w:cs="Arial"/>
          <w:color w:val="26282A"/>
          <w:sz w:val="24"/>
          <w:szCs w:val="24"/>
          <w:shd w:val="clear" w:color="auto" w:fill="FFFFFF"/>
        </w:rPr>
        <w:t>called ‘quasi- easement</w:t>
      </w:r>
      <w:r w:rsidR="000313D2" w:rsidRPr="00884DAF">
        <w:rPr>
          <w:rFonts w:ascii="Arial" w:hAnsi="Arial" w:cs="Arial"/>
          <w:color w:val="26282A"/>
          <w:sz w:val="24"/>
          <w:szCs w:val="24"/>
          <w:shd w:val="clear" w:color="auto" w:fill="FFFFFF"/>
        </w:rPr>
        <w:t xml:space="preserve"> (Wheeldon v Burrows (1879).</w:t>
      </w:r>
    </w:p>
    <w:p w14:paraId="56D6D229" w14:textId="33850024" w:rsidR="0005277A" w:rsidRPr="00884DAF" w:rsidRDefault="00B0749D" w:rsidP="00884DAF">
      <w:pPr>
        <w:spacing w:line="480" w:lineRule="auto"/>
        <w:jc w:val="both"/>
        <w:rPr>
          <w:rFonts w:ascii="Arial" w:hAnsi="Arial" w:cs="Arial"/>
          <w:sz w:val="24"/>
          <w:szCs w:val="24"/>
        </w:rPr>
      </w:pPr>
      <w:r w:rsidRPr="00884DAF">
        <w:rPr>
          <w:rFonts w:ascii="Arial" w:hAnsi="Arial" w:cs="Arial"/>
          <w:color w:val="26282A"/>
          <w:sz w:val="24"/>
          <w:szCs w:val="24"/>
          <w:shd w:val="clear" w:color="auto" w:fill="FFFFFF"/>
        </w:rPr>
        <w:t>There are three requirements for th</w:t>
      </w:r>
      <w:r w:rsidR="003301F4" w:rsidRPr="00884DAF">
        <w:rPr>
          <w:rFonts w:ascii="Arial" w:hAnsi="Arial" w:cs="Arial"/>
          <w:color w:val="26282A"/>
          <w:sz w:val="24"/>
          <w:szCs w:val="24"/>
          <w:shd w:val="clear" w:color="auto" w:fill="FFFFFF"/>
        </w:rPr>
        <w:t xml:space="preserve">e rule in Wheeldon v Burrows (1879) </w:t>
      </w:r>
      <w:r w:rsidRPr="00884DAF">
        <w:rPr>
          <w:rFonts w:ascii="Arial" w:hAnsi="Arial" w:cs="Arial"/>
          <w:color w:val="26282A"/>
          <w:sz w:val="24"/>
          <w:szCs w:val="24"/>
          <w:shd w:val="clear" w:color="auto" w:fill="FFFFFF"/>
        </w:rPr>
        <w:t xml:space="preserve">to apply. </w:t>
      </w:r>
      <w:r w:rsidR="00B55F82" w:rsidRPr="00884DAF">
        <w:rPr>
          <w:rFonts w:ascii="Arial" w:hAnsi="Arial" w:cs="Arial"/>
          <w:color w:val="26282A"/>
          <w:sz w:val="24"/>
          <w:szCs w:val="24"/>
          <w:shd w:val="clear" w:color="auto" w:fill="FFFFFF"/>
        </w:rPr>
        <w:t>Th</w:t>
      </w:r>
      <w:r w:rsidRPr="00884DAF">
        <w:rPr>
          <w:rFonts w:ascii="Arial" w:hAnsi="Arial" w:cs="Arial"/>
          <w:color w:val="26282A"/>
          <w:sz w:val="24"/>
          <w:szCs w:val="24"/>
          <w:shd w:val="clear" w:color="auto" w:fill="FFFFFF"/>
        </w:rPr>
        <w:t>e</w:t>
      </w:r>
      <w:r w:rsidR="00B55F82" w:rsidRPr="00884DAF">
        <w:rPr>
          <w:rFonts w:ascii="Arial" w:hAnsi="Arial" w:cs="Arial"/>
          <w:color w:val="26282A"/>
          <w:sz w:val="24"/>
          <w:szCs w:val="24"/>
          <w:shd w:val="clear" w:color="auto" w:fill="FFFFFF"/>
        </w:rPr>
        <w:t xml:space="preserve"> right must have been continuous</w:t>
      </w:r>
      <w:r w:rsidR="00DB227B" w:rsidRPr="00884DAF">
        <w:rPr>
          <w:rFonts w:ascii="Arial" w:hAnsi="Arial" w:cs="Arial"/>
          <w:color w:val="26282A"/>
          <w:sz w:val="24"/>
          <w:szCs w:val="24"/>
          <w:shd w:val="clear" w:color="auto" w:fill="FFFFFF"/>
        </w:rPr>
        <w:t xml:space="preserve"> (Wood v Waddington (2015) and apparent (Ward v Kirkland, (1967). That is, </w:t>
      </w:r>
      <w:r w:rsidR="003301F4" w:rsidRPr="00884DAF">
        <w:rPr>
          <w:rFonts w:ascii="Arial" w:hAnsi="Arial" w:cs="Arial"/>
          <w:color w:val="26282A"/>
          <w:sz w:val="24"/>
          <w:szCs w:val="24"/>
          <w:shd w:val="clear" w:color="auto" w:fill="FFFFFF"/>
        </w:rPr>
        <w:t xml:space="preserve">the land must have been used over a reasonable </w:t>
      </w:r>
      <w:r w:rsidR="00DB227B" w:rsidRPr="00884DAF">
        <w:rPr>
          <w:rFonts w:ascii="Arial" w:hAnsi="Arial" w:cs="Arial"/>
          <w:color w:val="26282A"/>
          <w:sz w:val="24"/>
          <w:szCs w:val="24"/>
          <w:shd w:val="clear" w:color="auto" w:fill="FFFFFF"/>
        </w:rPr>
        <w:t>period</w:t>
      </w:r>
      <w:r w:rsidR="003301F4" w:rsidRPr="00884DAF">
        <w:rPr>
          <w:rFonts w:ascii="Arial" w:hAnsi="Arial" w:cs="Arial"/>
          <w:color w:val="26282A"/>
          <w:sz w:val="24"/>
          <w:szCs w:val="24"/>
          <w:shd w:val="clear" w:color="auto" w:fill="FFFFFF"/>
        </w:rPr>
        <w:t>, with no expectations from the dominant owner to take any positive actions. The</w:t>
      </w:r>
      <w:r w:rsidR="00F62FB8" w:rsidRPr="00884DAF">
        <w:rPr>
          <w:rFonts w:ascii="Arial" w:hAnsi="Arial" w:cs="Arial"/>
          <w:color w:val="26282A"/>
          <w:sz w:val="24"/>
          <w:szCs w:val="24"/>
          <w:shd w:val="clear" w:color="auto" w:fill="FFFFFF"/>
        </w:rPr>
        <w:t xml:space="preserve"> second requirement is that the</w:t>
      </w:r>
      <w:r w:rsidR="003301F4" w:rsidRPr="00884DAF">
        <w:rPr>
          <w:rFonts w:ascii="Arial" w:hAnsi="Arial" w:cs="Arial"/>
          <w:color w:val="26282A"/>
          <w:sz w:val="24"/>
          <w:szCs w:val="24"/>
          <w:shd w:val="clear" w:color="auto" w:fill="FFFFFF"/>
        </w:rPr>
        <w:t xml:space="preserve"> right of way must be </w:t>
      </w:r>
      <w:r w:rsidR="00B55F82" w:rsidRPr="00884DAF">
        <w:rPr>
          <w:rFonts w:ascii="Arial" w:hAnsi="Arial" w:cs="Arial"/>
          <w:color w:val="26282A"/>
          <w:sz w:val="24"/>
          <w:szCs w:val="24"/>
          <w:shd w:val="clear" w:color="auto" w:fill="FFFFFF"/>
        </w:rPr>
        <w:t>absolutely necessary</w:t>
      </w:r>
      <w:r w:rsidR="00F62FB8" w:rsidRPr="00884DAF">
        <w:rPr>
          <w:rFonts w:ascii="Arial" w:hAnsi="Arial" w:cs="Arial"/>
          <w:color w:val="26282A"/>
          <w:sz w:val="24"/>
          <w:szCs w:val="24"/>
          <w:shd w:val="clear" w:color="auto" w:fill="FFFFFF"/>
        </w:rPr>
        <w:t xml:space="preserve"> (Goldberg v Edwards 1950),</w:t>
      </w:r>
      <w:r w:rsidR="00B55F82" w:rsidRPr="00884DAF">
        <w:rPr>
          <w:rFonts w:ascii="Arial" w:hAnsi="Arial" w:cs="Arial"/>
          <w:color w:val="26282A"/>
          <w:sz w:val="24"/>
          <w:szCs w:val="24"/>
          <w:shd w:val="clear" w:color="auto" w:fill="FFFFFF"/>
        </w:rPr>
        <w:t xml:space="preserve"> for the enjoyment of the property (Hansford v Jago (1921)</w:t>
      </w:r>
      <w:r w:rsidR="000313D2" w:rsidRPr="00884DAF">
        <w:rPr>
          <w:rFonts w:ascii="Arial" w:hAnsi="Arial" w:cs="Arial"/>
          <w:sz w:val="24"/>
          <w:szCs w:val="24"/>
        </w:rPr>
        <w:t>. The third requirement for the rule to apply is that the</w:t>
      </w:r>
      <w:r w:rsidR="009E3107" w:rsidRPr="00884DAF">
        <w:rPr>
          <w:rFonts w:ascii="Arial" w:hAnsi="Arial" w:cs="Arial"/>
          <w:sz w:val="24"/>
          <w:szCs w:val="24"/>
        </w:rPr>
        <w:t xml:space="preserve"> land on which there is a quasi-easement must be originally owned by the servient owner</w:t>
      </w:r>
      <w:r w:rsidR="00DB4F4E" w:rsidRPr="00884DAF">
        <w:rPr>
          <w:rFonts w:ascii="Arial" w:hAnsi="Arial" w:cs="Arial"/>
          <w:sz w:val="24"/>
          <w:szCs w:val="24"/>
        </w:rPr>
        <w:t xml:space="preserve"> (</w:t>
      </w:r>
      <w:bookmarkStart w:id="9" w:name="_Hlk120278342"/>
      <w:r w:rsidR="00DB4F4E" w:rsidRPr="00884DAF">
        <w:rPr>
          <w:rFonts w:ascii="Arial" w:hAnsi="Arial" w:cs="Arial"/>
          <w:sz w:val="24"/>
          <w:szCs w:val="24"/>
        </w:rPr>
        <w:t>Wheeler v Saunders, 1996)</w:t>
      </w:r>
    </w:p>
    <w:bookmarkEnd w:id="9"/>
    <w:p w14:paraId="147E07BA" w14:textId="0CA71096" w:rsidR="00705E36" w:rsidRPr="00884DAF" w:rsidRDefault="000313D2" w:rsidP="00884DAF">
      <w:pPr>
        <w:spacing w:line="480" w:lineRule="auto"/>
        <w:jc w:val="both"/>
        <w:rPr>
          <w:rFonts w:ascii="Arial" w:hAnsi="Arial" w:cs="Arial"/>
          <w:color w:val="26282A"/>
          <w:sz w:val="24"/>
          <w:szCs w:val="24"/>
          <w:shd w:val="clear" w:color="auto" w:fill="FFFFFF"/>
        </w:rPr>
      </w:pPr>
      <w:r w:rsidRPr="00884DAF">
        <w:rPr>
          <w:rFonts w:ascii="Arial" w:hAnsi="Arial" w:cs="Arial"/>
          <w:sz w:val="24"/>
          <w:szCs w:val="24"/>
        </w:rPr>
        <w:lastRenderedPageBreak/>
        <w:t xml:space="preserve">The last way an easement can be implied is </w:t>
      </w:r>
      <w:r w:rsidR="00B55F82" w:rsidRPr="00884DAF">
        <w:rPr>
          <w:rFonts w:ascii="Arial" w:hAnsi="Arial" w:cs="Arial"/>
          <w:color w:val="26282A"/>
          <w:sz w:val="24"/>
          <w:szCs w:val="24"/>
          <w:shd w:val="clear" w:color="auto" w:fill="FFFFFF"/>
        </w:rPr>
        <w:t>by the application of s62 LPA (1925)</w:t>
      </w:r>
      <w:r w:rsidR="0005277A" w:rsidRPr="00884DAF">
        <w:rPr>
          <w:rFonts w:ascii="Arial" w:hAnsi="Arial" w:cs="Arial"/>
          <w:color w:val="26282A"/>
          <w:sz w:val="24"/>
          <w:szCs w:val="24"/>
          <w:shd w:val="clear" w:color="auto" w:fill="FFFFFF"/>
        </w:rPr>
        <w:t>. This section has been referred to as a short-cut</w:t>
      </w:r>
      <w:r w:rsidR="00D66963" w:rsidRPr="00884DAF">
        <w:rPr>
          <w:rFonts w:ascii="Arial" w:hAnsi="Arial" w:cs="Arial"/>
          <w:color w:val="26282A"/>
          <w:sz w:val="24"/>
          <w:szCs w:val="24"/>
          <w:shd w:val="clear" w:color="auto" w:fill="FFFFFF"/>
        </w:rPr>
        <w:t xml:space="preserve"> to conveyancing. </w:t>
      </w:r>
      <w:r w:rsidR="0005277A" w:rsidRPr="00884DAF">
        <w:rPr>
          <w:rFonts w:ascii="Arial" w:hAnsi="Arial" w:cs="Arial"/>
          <w:color w:val="26282A"/>
          <w:sz w:val="24"/>
          <w:szCs w:val="24"/>
          <w:shd w:val="clear" w:color="auto" w:fill="FFFFFF"/>
        </w:rPr>
        <w:t>Under s62 LPA 1925,</w:t>
      </w:r>
      <w:r w:rsidR="001E2A2F" w:rsidRPr="00884DAF">
        <w:rPr>
          <w:rFonts w:ascii="Arial" w:hAnsi="Arial" w:cs="Arial"/>
          <w:color w:val="26282A"/>
          <w:sz w:val="24"/>
          <w:szCs w:val="24"/>
          <w:shd w:val="clear" w:color="auto" w:fill="FFFFFF"/>
        </w:rPr>
        <w:t xml:space="preserve"> </w:t>
      </w:r>
      <w:r w:rsidR="00D66963" w:rsidRPr="00884DAF">
        <w:rPr>
          <w:rFonts w:ascii="Arial" w:hAnsi="Arial" w:cs="Arial"/>
          <w:color w:val="26282A"/>
          <w:sz w:val="24"/>
          <w:szCs w:val="24"/>
          <w:shd w:val="clear" w:color="auto" w:fill="FFFFFF"/>
        </w:rPr>
        <w:t xml:space="preserve">it must be </w:t>
      </w:r>
      <w:r w:rsidR="00D66963" w:rsidRPr="00884DAF">
        <w:rPr>
          <w:rFonts w:ascii="Arial" w:hAnsi="Arial" w:cs="Arial"/>
          <w:color w:val="26282A"/>
          <w:sz w:val="24"/>
          <w:szCs w:val="24"/>
          <w:shd w:val="clear" w:color="auto" w:fill="FFFFFF"/>
        </w:rPr>
        <w:t>demonstrate</w:t>
      </w:r>
      <w:r w:rsidR="00D66963" w:rsidRPr="00884DAF">
        <w:rPr>
          <w:rFonts w:ascii="Arial" w:hAnsi="Arial" w:cs="Arial"/>
          <w:color w:val="26282A"/>
          <w:sz w:val="24"/>
          <w:szCs w:val="24"/>
          <w:shd w:val="clear" w:color="auto" w:fill="FFFFFF"/>
        </w:rPr>
        <w:t>d</w:t>
      </w:r>
      <w:r w:rsidR="00D66963" w:rsidRPr="00884DAF">
        <w:rPr>
          <w:rFonts w:ascii="Arial" w:hAnsi="Arial" w:cs="Arial"/>
          <w:color w:val="26282A"/>
          <w:sz w:val="24"/>
          <w:szCs w:val="24"/>
          <w:shd w:val="clear" w:color="auto" w:fill="FFFFFF"/>
        </w:rPr>
        <w:t xml:space="preserve"> that the right of way has been continuous, and apparent (Wood v Waddington (2015).</w:t>
      </w:r>
      <w:r w:rsidR="00D66963" w:rsidRPr="00884DAF">
        <w:rPr>
          <w:rFonts w:ascii="Arial" w:hAnsi="Arial" w:cs="Arial"/>
          <w:color w:val="26282A"/>
          <w:sz w:val="24"/>
          <w:szCs w:val="24"/>
          <w:shd w:val="clear" w:color="auto" w:fill="FFFFFF"/>
        </w:rPr>
        <w:t xml:space="preserve"> It</w:t>
      </w:r>
      <w:r w:rsidR="001E2A2F" w:rsidRPr="00884DAF">
        <w:rPr>
          <w:rFonts w:ascii="Arial" w:hAnsi="Arial" w:cs="Arial"/>
          <w:color w:val="26282A"/>
          <w:sz w:val="24"/>
          <w:szCs w:val="24"/>
          <w:shd w:val="clear" w:color="auto" w:fill="FFFFFF"/>
        </w:rPr>
        <w:t xml:space="preserve"> is implied that easements </w:t>
      </w:r>
      <w:r w:rsidR="0005277A" w:rsidRPr="00884DAF">
        <w:rPr>
          <w:rFonts w:ascii="Arial" w:hAnsi="Arial" w:cs="Arial"/>
          <w:color w:val="26282A"/>
          <w:sz w:val="24"/>
          <w:szCs w:val="24"/>
          <w:shd w:val="clear" w:color="auto" w:fill="FFFFFF"/>
        </w:rPr>
        <w:t xml:space="preserve">are transferred automatically </w:t>
      </w:r>
      <w:r w:rsidR="001E2A2F" w:rsidRPr="00884DAF">
        <w:rPr>
          <w:rFonts w:ascii="Arial" w:hAnsi="Arial" w:cs="Arial"/>
          <w:color w:val="26282A"/>
          <w:sz w:val="24"/>
          <w:szCs w:val="24"/>
          <w:shd w:val="clear" w:color="auto" w:fill="FFFFFF"/>
        </w:rPr>
        <w:t xml:space="preserve">to the new buyer in the conveyance unless there is a contrary instruction against that. As long as the conveyance </w:t>
      </w:r>
      <w:r w:rsidR="00B55F82" w:rsidRPr="00884DAF">
        <w:rPr>
          <w:rFonts w:ascii="Arial" w:hAnsi="Arial" w:cs="Arial"/>
          <w:color w:val="26282A"/>
          <w:sz w:val="24"/>
          <w:szCs w:val="24"/>
          <w:shd w:val="clear" w:color="auto" w:fill="FFFFFF"/>
        </w:rPr>
        <w:t xml:space="preserve">clearly </w:t>
      </w:r>
      <w:r w:rsidR="0005277A" w:rsidRPr="00884DAF">
        <w:rPr>
          <w:rFonts w:ascii="Arial" w:hAnsi="Arial" w:cs="Arial"/>
          <w:color w:val="26282A"/>
          <w:sz w:val="24"/>
          <w:szCs w:val="24"/>
          <w:shd w:val="clear" w:color="auto" w:fill="FFFFFF"/>
        </w:rPr>
        <w:t>shows</w:t>
      </w:r>
      <w:r w:rsidR="00B55F82" w:rsidRPr="00884DAF">
        <w:rPr>
          <w:rFonts w:ascii="Arial" w:hAnsi="Arial" w:cs="Arial"/>
          <w:color w:val="26282A"/>
          <w:sz w:val="24"/>
          <w:szCs w:val="24"/>
          <w:shd w:val="clear" w:color="auto" w:fill="FFFFFF"/>
        </w:rPr>
        <w:t xml:space="preserve"> that some rights of way exis</w:t>
      </w:r>
      <w:r w:rsidR="00D66963" w:rsidRPr="00884DAF">
        <w:rPr>
          <w:rFonts w:ascii="Arial" w:hAnsi="Arial" w:cs="Arial"/>
          <w:color w:val="26282A"/>
          <w:sz w:val="24"/>
          <w:szCs w:val="24"/>
          <w:shd w:val="clear" w:color="auto" w:fill="FFFFFF"/>
        </w:rPr>
        <w:t>t</w:t>
      </w:r>
      <w:r w:rsidR="00B55F82" w:rsidRPr="00884DAF">
        <w:rPr>
          <w:rFonts w:ascii="Arial" w:hAnsi="Arial" w:cs="Arial"/>
          <w:color w:val="26282A"/>
          <w:sz w:val="24"/>
          <w:szCs w:val="24"/>
          <w:shd w:val="clear" w:color="auto" w:fill="FFFFFF"/>
        </w:rPr>
        <w:t xml:space="preserve"> (Platt v Crouch,</w:t>
      </w:r>
      <w:r w:rsidR="00D66963" w:rsidRPr="00884DAF">
        <w:rPr>
          <w:rFonts w:ascii="Arial" w:hAnsi="Arial" w:cs="Arial"/>
          <w:color w:val="26282A"/>
          <w:sz w:val="24"/>
          <w:szCs w:val="24"/>
          <w:shd w:val="clear" w:color="auto" w:fill="FFFFFF"/>
        </w:rPr>
        <w:t xml:space="preserve"> </w:t>
      </w:r>
      <w:r w:rsidR="00B55F82" w:rsidRPr="00884DAF">
        <w:rPr>
          <w:rFonts w:ascii="Arial" w:hAnsi="Arial" w:cs="Arial"/>
          <w:color w:val="26282A"/>
          <w:sz w:val="24"/>
          <w:szCs w:val="24"/>
          <w:shd w:val="clear" w:color="auto" w:fill="FFFFFF"/>
        </w:rPr>
        <w:t>2003)</w:t>
      </w:r>
      <w:r w:rsidR="001E2A2F" w:rsidRPr="00884DAF">
        <w:rPr>
          <w:rFonts w:ascii="Arial" w:hAnsi="Arial" w:cs="Arial"/>
          <w:color w:val="26282A"/>
          <w:sz w:val="24"/>
          <w:szCs w:val="24"/>
          <w:shd w:val="clear" w:color="auto" w:fill="FFFFFF"/>
        </w:rPr>
        <w:t xml:space="preserve"> Creation of a new easement under s62 can be allowed in two situations</w:t>
      </w:r>
      <w:r w:rsidR="00DF3DBF" w:rsidRPr="00884DAF">
        <w:rPr>
          <w:rFonts w:ascii="Arial" w:hAnsi="Arial" w:cs="Arial"/>
          <w:color w:val="26282A"/>
          <w:sz w:val="24"/>
          <w:szCs w:val="24"/>
          <w:shd w:val="clear" w:color="auto" w:fill="FFFFFF"/>
        </w:rPr>
        <w:t>,</w:t>
      </w:r>
      <w:r w:rsidR="001E2A2F" w:rsidRPr="00884DAF">
        <w:rPr>
          <w:rFonts w:ascii="Arial" w:hAnsi="Arial" w:cs="Arial"/>
          <w:color w:val="26282A"/>
          <w:sz w:val="24"/>
          <w:szCs w:val="24"/>
          <w:shd w:val="clear" w:color="auto" w:fill="FFFFFF"/>
        </w:rPr>
        <w:t xml:space="preserve"> when one person is the owner and occupant of the land that has an easement</w:t>
      </w:r>
      <w:r w:rsidR="002874CB" w:rsidRPr="00884DAF">
        <w:rPr>
          <w:rFonts w:ascii="Arial" w:hAnsi="Arial" w:cs="Arial"/>
          <w:color w:val="26282A"/>
          <w:sz w:val="24"/>
          <w:szCs w:val="24"/>
          <w:shd w:val="clear" w:color="auto" w:fill="FFFFFF"/>
        </w:rPr>
        <w:t xml:space="preserve"> as long as the right is continuous and apparent</w:t>
      </w:r>
      <w:r w:rsidR="00DF3DBF" w:rsidRPr="00884DAF">
        <w:rPr>
          <w:rFonts w:ascii="Arial" w:hAnsi="Arial" w:cs="Arial"/>
          <w:color w:val="26282A"/>
          <w:sz w:val="24"/>
          <w:szCs w:val="24"/>
          <w:shd w:val="clear" w:color="auto" w:fill="FFFFFF"/>
        </w:rPr>
        <w:t xml:space="preserve"> Wood v Waddington 2015)</w:t>
      </w:r>
      <w:r w:rsidR="002874CB" w:rsidRPr="00884DAF">
        <w:rPr>
          <w:rFonts w:ascii="Arial" w:hAnsi="Arial" w:cs="Arial"/>
          <w:color w:val="26282A"/>
          <w:sz w:val="24"/>
          <w:szCs w:val="24"/>
          <w:shd w:val="clear" w:color="auto" w:fill="FFFFFF"/>
        </w:rPr>
        <w:t xml:space="preserve">, and the use is for the benefit of the land. (P and S Platt v Crouch 2003) </w:t>
      </w:r>
      <w:r w:rsidR="00DF3DBF" w:rsidRPr="00884DAF">
        <w:rPr>
          <w:rFonts w:ascii="Arial" w:hAnsi="Arial" w:cs="Arial"/>
          <w:color w:val="26282A"/>
          <w:sz w:val="24"/>
          <w:szCs w:val="24"/>
          <w:shd w:val="clear" w:color="auto" w:fill="FFFFFF"/>
        </w:rPr>
        <w:t>and when there is a different owner and occupant of the land that has an easement</w:t>
      </w:r>
      <w:r w:rsidR="00DB4F4E" w:rsidRPr="00884DAF">
        <w:rPr>
          <w:rFonts w:ascii="Arial" w:hAnsi="Arial" w:cs="Arial"/>
          <w:color w:val="26282A"/>
          <w:sz w:val="24"/>
          <w:szCs w:val="24"/>
          <w:shd w:val="clear" w:color="auto" w:fill="FFFFFF"/>
        </w:rPr>
        <w:t xml:space="preserve"> (Alfrod v Hannaford 2011)</w:t>
      </w:r>
      <w:r w:rsidR="00DF3DBF" w:rsidRPr="00884DAF">
        <w:rPr>
          <w:rFonts w:ascii="Arial" w:hAnsi="Arial" w:cs="Arial"/>
          <w:color w:val="26282A"/>
          <w:sz w:val="24"/>
          <w:szCs w:val="24"/>
          <w:shd w:val="clear" w:color="auto" w:fill="FFFFFF"/>
        </w:rPr>
        <w:t>.</w:t>
      </w:r>
      <w:r w:rsidR="00D66963" w:rsidRPr="00884DAF">
        <w:rPr>
          <w:rFonts w:ascii="Arial" w:hAnsi="Arial" w:cs="Arial"/>
          <w:color w:val="26282A"/>
          <w:sz w:val="24"/>
          <w:szCs w:val="24"/>
          <w:shd w:val="clear" w:color="auto" w:fill="FFFFFF"/>
        </w:rPr>
        <w:t xml:space="preserve"> </w:t>
      </w:r>
      <w:r w:rsidR="008A7A25" w:rsidRPr="00884DAF">
        <w:rPr>
          <w:rFonts w:ascii="Arial" w:hAnsi="Arial" w:cs="Arial"/>
          <w:color w:val="26282A"/>
          <w:sz w:val="24"/>
          <w:szCs w:val="24"/>
          <w:shd w:val="clear" w:color="auto" w:fill="FFFFFF"/>
        </w:rPr>
        <w:t>However, for a claim to succeed under s62, the right must be capable of existing as an easement (McFarlane, Hopkins and Nield, 2021).</w:t>
      </w:r>
    </w:p>
    <w:p w14:paraId="5BE35FCD" w14:textId="52655155" w:rsidR="004850E3" w:rsidRPr="00884DAF" w:rsidRDefault="004850E3" w:rsidP="00884DAF">
      <w:pPr>
        <w:spacing w:line="480" w:lineRule="auto"/>
        <w:jc w:val="both"/>
        <w:rPr>
          <w:rFonts w:ascii="Arial" w:hAnsi="Arial" w:cs="Arial"/>
          <w:color w:val="26282A"/>
          <w:sz w:val="24"/>
          <w:szCs w:val="24"/>
          <w:shd w:val="clear" w:color="auto" w:fill="FFFFFF"/>
        </w:rPr>
      </w:pPr>
      <w:r w:rsidRPr="00884DAF">
        <w:rPr>
          <w:rFonts w:ascii="Arial" w:hAnsi="Arial" w:cs="Arial"/>
          <w:color w:val="26282A"/>
          <w:sz w:val="24"/>
          <w:szCs w:val="24"/>
          <w:shd w:val="clear" w:color="auto" w:fill="FFFFFF"/>
        </w:rPr>
        <w:t>An easement can be created by prescription. Prescription is the acquisition of a right of way through long use or enjoyment (Bakewell Management Ltd v Brandwood 2004). It is created by means of a legal fiction that there has been a long user as of right</w:t>
      </w:r>
      <w:r w:rsidR="00D66963" w:rsidRPr="00884DAF">
        <w:rPr>
          <w:rFonts w:ascii="Arial" w:hAnsi="Arial" w:cs="Arial"/>
          <w:color w:val="26282A"/>
          <w:sz w:val="24"/>
          <w:szCs w:val="24"/>
          <w:shd w:val="clear" w:color="auto" w:fill="FFFFFF"/>
        </w:rPr>
        <w:t xml:space="preserve">, </w:t>
      </w:r>
      <w:r w:rsidR="00D66963" w:rsidRPr="00884DAF">
        <w:rPr>
          <w:rFonts w:ascii="Arial" w:hAnsi="Arial" w:cs="Arial"/>
          <w:color w:val="26282A"/>
          <w:sz w:val="24"/>
          <w:szCs w:val="24"/>
          <w:shd w:val="clear" w:color="auto" w:fill="FFFFFF"/>
        </w:rPr>
        <w:t>and assumed that an easement has been granted at some point in the past</w:t>
      </w:r>
      <w:r w:rsidRPr="00884DAF">
        <w:rPr>
          <w:rFonts w:ascii="Arial" w:hAnsi="Arial" w:cs="Arial"/>
          <w:color w:val="26282A"/>
          <w:sz w:val="24"/>
          <w:szCs w:val="24"/>
          <w:shd w:val="clear" w:color="auto" w:fill="FFFFFF"/>
        </w:rPr>
        <w:t xml:space="preserve"> (Gardner v Hodgson’s Kingston Brewery 1903)</w:t>
      </w:r>
      <w:r w:rsidR="00D66963" w:rsidRPr="00884DAF">
        <w:rPr>
          <w:rFonts w:ascii="Arial" w:hAnsi="Arial" w:cs="Arial"/>
          <w:color w:val="26282A"/>
          <w:sz w:val="24"/>
          <w:szCs w:val="24"/>
          <w:shd w:val="clear" w:color="auto" w:fill="FFFFFF"/>
        </w:rPr>
        <w:t>.</w:t>
      </w:r>
    </w:p>
    <w:p w14:paraId="3CDF1935" w14:textId="5589FDF9" w:rsidR="004850E3" w:rsidRPr="00884DAF" w:rsidRDefault="004850E3" w:rsidP="00884DAF">
      <w:pPr>
        <w:spacing w:line="480" w:lineRule="auto"/>
        <w:jc w:val="both"/>
        <w:rPr>
          <w:rFonts w:ascii="Arial" w:hAnsi="Arial" w:cs="Arial"/>
          <w:color w:val="26282A"/>
          <w:sz w:val="24"/>
          <w:szCs w:val="24"/>
          <w:shd w:val="clear" w:color="auto" w:fill="FFFFFF"/>
        </w:rPr>
      </w:pPr>
      <w:r w:rsidRPr="00884DAF">
        <w:rPr>
          <w:rFonts w:ascii="Arial" w:hAnsi="Arial" w:cs="Arial"/>
          <w:color w:val="26282A"/>
          <w:sz w:val="24"/>
          <w:szCs w:val="24"/>
          <w:shd w:val="clear" w:color="auto" w:fill="FFFFFF"/>
        </w:rPr>
        <w:t>The idea that an easement by prescription is assumed even when it never seemed to be granted has been the subject of many discussions and criticisms. McFarlane, (2008, p.864-865) offer a convincing argument that ‘prescription is simply another type of implied grant’, where an assumption exists that there was an easement that was granted at some poin</w:t>
      </w:r>
      <w:r w:rsidR="00D66963" w:rsidRPr="00884DAF">
        <w:rPr>
          <w:rFonts w:ascii="Arial" w:hAnsi="Arial" w:cs="Arial"/>
          <w:color w:val="26282A"/>
          <w:sz w:val="24"/>
          <w:szCs w:val="24"/>
          <w:shd w:val="clear" w:color="auto" w:fill="FFFFFF"/>
        </w:rPr>
        <w:t>t</w:t>
      </w:r>
      <w:r w:rsidRPr="00884DAF">
        <w:rPr>
          <w:rFonts w:ascii="Arial" w:hAnsi="Arial" w:cs="Arial"/>
          <w:color w:val="26282A"/>
          <w:sz w:val="24"/>
          <w:szCs w:val="24"/>
          <w:shd w:val="clear" w:color="auto" w:fill="FFFFFF"/>
        </w:rPr>
        <w:t xml:space="preserve">. Goymour (2007) demonstrates why this line of reasoning is unacceptable by noting that an easement by prescription in itself is a legal fiction, </w:t>
      </w:r>
      <w:r w:rsidRPr="00884DAF">
        <w:rPr>
          <w:rFonts w:ascii="Arial" w:hAnsi="Arial" w:cs="Arial"/>
          <w:color w:val="26282A"/>
          <w:sz w:val="24"/>
          <w:szCs w:val="24"/>
          <w:shd w:val="clear" w:color="auto" w:fill="FFFFFF"/>
        </w:rPr>
        <w:lastRenderedPageBreak/>
        <w:t>which should not be taken seriously as anything assumed may be inconsistent and unsatisfactory. He disagrees that long use should be assumed to be a prescriptive right.</w:t>
      </w:r>
    </w:p>
    <w:p w14:paraId="55D6E902" w14:textId="77777777" w:rsidR="004850E3" w:rsidRPr="00884DAF" w:rsidRDefault="004850E3" w:rsidP="00884DAF">
      <w:pPr>
        <w:spacing w:line="480" w:lineRule="auto"/>
        <w:jc w:val="both"/>
        <w:rPr>
          <w:rFonts w:ascii="Arial" w:hAnsi="Arial" w:cs="Arial"/>
          <w:color w:val="26282A"/>
          <w:sz w:val="24"/>
          <w:szCs w:val="24"/>
          <w:shd w:val="clear" w:color="auto" w:fill="FFFFFF"/>
        </w:rPr>
      </w:pPr>
      <w:r w:rsidRPr="00884DAF">
        <w:rPr>
          <w:rFonts w:ascii="Arial" w:hAnsi="Arial" w:cs="Arial"/>
          <w:color w:val="26282A"/>
          <w:sz w:val="24"/>
          <w:szCs w:val="24"/>
          <w:shd w:val="clear" w:color="auto" w:fill="FFFFFF"/>
        </w:rPr>
        <w:t xml:space="preserve"> For an easement to be created by prescription, the use must be for a period of 20 years or more (s2 Prescription Act 1832 (PA, 1832) and the following requirements would be considered, user as of rights (Bright v Walker 1834), continuous user, user by the fee simple, and user against the fee simple (Gardner and MacKenzie 2015). </w:t>
      </w:r>
    </w:p>
    <w:p w14:paraId="30B5DB01" w14:textId="71C37F7C" w:rsidR="004850E3" w:rsidRPr="00884DAF" w:rsidRDefault="004850E3" w:rsidP="00884DAF">
      <w:pPr>
        <w:spacing w:line="480" w:lineRule="auto"/>
        <w:jc w:val="both"/>
        <w:rPr>
          <w:rFonts w:ascii="Arial" w:hAnsi="Arial" w:cs="Arial"/>
          <w:color w:val="26282A"/>
          <w:sz w:val="24"/>
          <w:szCs w:val="24"/>
          <w:shd w:val="clear" w:color="auto" w:fill="FFFFFF"/>
        </w:rPr>
      </w:pPr>
      <w:r w:rsidRPr="00884DAF">
        <w:rPr>
          <w:rFonts w:ascii="Arial" w:hAnsi="Arial" w:cs="Arial"/>
          <w:color w:val="26282A"/>
          <w:sz w:val="24"/>
          <w:szCs w:val="24"/>
          <w:shd w:val="clear" w:color="auto" w:fill="FFFFFF"/>
        </w:rPr>
        <w:t>The easement must be exercised as of right (Gardner v Hodgson’s Kingston Brewery (1903), which means that it must be without force</w:t>
      </w:r>
      <w:bookmarkStart w:id="10" w:name="_Hlk117365586"/>
      <w:r w:rsidRPr="00884DAF">
        <w:rPr>
          <w:rFonts w:ascii="Arial" w:hAnsi="Arial" w:cs="Arial"/>
          <w:color w:val="26282A"/>
          <w:sz w:val="24"/>
          <w:szCs w:val="24"/>
          <w:shd w:val="clear" w:color="auto" w:fill="FFFFFF"/>
        </w:rPr>
        <w:t xml:space="preserve"> (Winterburn v Bennett 2016),</w:t>
      </w:r>
      <w:bookmarkEnd w:id="10"/>
      <w:r w:rsidRPr="00884DAF">
        <w:rPr>
          <w:rFonts w:ascii="Arial" w:hAnsi="Arial" w:cs="Arial"/>
          <w:color w:val="26282A"/>
          <w:sz w:val="24"/>
          <w:szCs w:val="24"/>
          <w:shd w:val="clear" w:color="auto" w:fill="FFFFFF"/>
        </w:rPr>
        <w:t xml:space="preserve"> without secrecy (Liverpool Corp v Coghill (1918), or without permission</w:t>
      </w:r>
      <w:r w:rsidR="00D66963" w:rsidRPr="00884DAF">
        <w:rPr>
          <w:rFonts w:ascii="Arial" w:hAnsi="Arial" w:cs="Arial"/>
          <w:color w:val="26282A"/>
          <w:sz w:val="24"/>
          <w:szCs w:val="24"/>
          <w:shd w:val="clear" w:color="auto" w:fill="FFFFFF"/>
        </w:rPr>
        <w:t xml:space="preserve"> </w:t>
      </w:r>
      <w:r w:rsidRPr="00884DAF">
        <w:rPr>
          <w:rFonts w:ascii="Arial" w:hAnsi="Arial" w:cs="Arial"/>
          <w:color w:val="26282A"/>
          <w:sz w:val="24"/>
          <w:szCs w:val="24"/>
          <w:shd w:val="clear" w:color="auto" w:fill="FFFFFF"/>
        </w:rPr>
        <w:t>(Odey v Barber 2006). Riddall, (1997) and Meager, (2011) discuss the challenges faced by the serviette owner when the easement is exercised as of right. Ridall observed whether the user can really be as of right where the person benefiting from the easement is depriving the servient owner of the continued use of their land, while Meager explained that any step taken by the servient landowner to bring an end to the easement will be used as a yardstick to determine the user of right.</w:t>
      </w:r>
    </w:p>
    <w:p w14:paraId="4B9F70B5" w14:textId="71F42197" w:rsidR="004850E3" w:rsidRPr="00884DAF" w:rsidRDefault="004850E3" w:rsidP="00884DAF">
      <w:pPr>
        <w:spacing w:line="480" w:lineRule="auto"/>
        <w:jc w:val="both"/>
        <w:rPr>
          <w:rFonts w:ascii="Arial" w:hAnsi="Arial" w:cs="Arial"/>
          <w:color w:val="26282A"/>
          <w:sz w:val="24"/>
          <w:szCs w:val="24"/>
          <w:shd w:val="clear" w:color="auto" w:fill="FFFFFF"/>
        </w:rPr>
      </w:pPr>
      <w:r w:rsidRPr="00884DAF">
        <w:rPr>
          <w:rFonts w:ascii="Arial" w:hAnsi="Arial" w:cs="Arial"/>
          <w:color w:val="26282A"/>
          <w:sz w:val="24"/>
          <w:szCs w:val="24"/>
          <w:shd w:val="clear" w:color="auto" w:fill="FFFFFF"/>
        </w:rPr>
        <w:t>The second requirement is that the user must have used the land continuously for 20 years and above</w:t>
      </w:r>
      <w:r w:rsidRPr="00884DAF">
        <w:rPr>
          <w:rFonts w:ascii="Arial" w:hAnsi="Arial" w:cs="Arial"/>
          <w:sz w:val="24"/>
          <w:szCs w:val="24"/>
        </w:rPr>
        <w:t xml:space="preserve"> as per Orme v Lyons, (2012</w:t>
      </w:r>
      <w:r w:rsidR="00D66963" w:rsidRPr="00884DAF">
        <w:rPr>
          <w:rFonts w:ascii="Arial" w:hAnsi="Arial" w:cs="Arial"/>
          <w:sz w:val="24"/>
          <w:szCs w:val="24"/>
        </w:rPr>
        <w:t>).</w:t>
      </w:r>
    </w:p>
    <w:p w14:paraId="3EB3A433" w14:textId="438AB2CA" w:rsidR="004850E3" w:rsidRPr="00884DAF" w:rsidRDefault="004850E3" w:rsidP="00884DAF">
      <w:pPr>
        <w:spacing w:line="480" w:lineRule="auto"/>
        <w:jc w:val="both"/>
        <w:rPr>
          <w:rFonts w:ascii="Arial" w:hAnsi="Arial" w:cs="Arial"/>
          <w:sz w:val="24"/>
          <w:szCs w:val="24"/>
        </w:rPr>
      </w:pPr>
      <w:r w:rsidRPr="00884DAF">
        <w:rPr>
          <w:rFonts w:ascii="Arial" w:hAnsi="Arial" w:cs="Arial"/>
          <w:color w:val="26282A"/>
          <w:sz w:val="24"/>
          <w:szCs w:val="24"/>
          <w:shd w:val="clear" w:color="auto" w:fill="FFFFFF"/>
        </w:rPr>
        <w:t>The third requirement is that an easement by prescription must be exercised by the user by the fee simple, i.e. a freehold owner against a freehold owner</w:t>
      </w:r>
      <w:r w:rsidR="00D66963" w:rsidRPr="00884DAF">
        <w:rPr>
          <w:rFonts w:ascii="Arial" w:hAnsi="Arial" w:cs="Arial"/>
          <w:color w:val="26282A"/>
          <w:sz w:val="24"/>
          <w:szCs w:val="24"/>
          <w:shd w:val="clear" w:color="auto" w:fill="FFFFFF"/>
        </w:rPr>
        <w:t xml:space="preserve"> (s1(2) (a) LPA 1925)</w:t>
      </w:r>
      <w:r w:rsidRPr="00884DAF">
        <w:rPr>
          <w:rFonts w:ascii="Arial" w:hAnsi="Arial" w:cs="Arial"/>
          <w:sz w:val="24"/>
          <w:szCs w:val="24"/>
        </w:rPr>
        <w:t>,</w:t>
      </w:r>
      <w:r w:rsidRPr="00884DAF">
        <w:rPr>
          <w:rFonts w:ascii="Arial" w:hAnsi="Arial" w:cs="Arial"/>
          <w:color w:val="26282A"/>
          <w:sz w:val="24"/>
          <w:szCs w:val="24"/>
          <w:shd w:val="clear" w:color="auto" w:fill="FFFFFF"/>
        </w:rPr>
        <w:t xml:space="preserve"> and not someone who is leasing the land, even if the tenant occupies the land, as long as there is an easement by prescription (</w:t>
      </w:r>
      <w:bookmarkStart w:id="11" w:name="_Hlk117166678"/>
      <w:r w:rsidRPr="00884DAF">
        <w:rPr>
          <w:rFonts w:ascii="Arial" w:hAnsi="Arial" w:cs="Arial"/>
          <w:color w:val="26282A"/>
          <w:sz w:val="24"/>
          <w:szCs w:val="24"/>
          <w:shd w:val="clear" w:color="auto" w:fill="FFFFFF"/>
        </w:rPr>
        <w:t>Williams v Sandy Lane (Chester) Ltd (2006</w:t>
      </w:r>
      <w:bookmarkEnd w:id="11"/>
      <w:r w:rsidRPr="00884DAF">
        <w:rPr>
          <w:rFonts w:ascii="Arial" w:hAnsi="Arial" w:cs="Arial"/>
          <w:color w:val="26282A"/>
          <w:sz w:val="24"/>
          <w:szCs w:val="24"/>
          <w:shd w:val="clear" w:color="auto" w:fill="FFFFFF"/>
        </w:rPr>
        <w:t xml:space="preserve"> This is because, an easement by prescription is forever, and it is only a </w:t>
      </w:r>
      <w:r w:rsidRPr="00884DAF">
        <w:rPr>
          <w:rFonts w:ascii="Arial" w:hAnsi="Arial" w:cs="Arial"/>
          <w:color w:val="26282A"/>
          <w:sz w:val="24"/>
          <w:szCs w:val="24"/>
          <w:shd w:val="clear" w:color="auto" w:fill="FFFFFF"/>
        </w:rPr>
        <w:lastRenderedPageBreak/>
        <w:t xml:space="preserve">landowner that can exercise this rights. That is when </w:t>
      </w:r>
      <w:r w:rsidRPr="00884DAF">
        <w:rPr>
          <w:rFonts w:ascii="Arial" w:hAnsi="Arial" w:cs="Arial"/>
          <w:sz w:val="24"/>
          <w:szCs w:val="24"/>
        </w:rPr>
        <w:t>an easement may be said to be created by prescription (HM Land Registry, 2021).</w:t>
      </w:r>
    </w:p>
    <w:p w14:paraId="0CAF0735" w14:textId="2D6AD2D0" w:rsidR="004850E3" w:rsidRPr="00884DAF" w:rsidRDefault="004850E3" w:rsidP="00884DAF">
      <w:pPr>
        <w:spacing w:line="480" w:lineRule="auto"/>
        <w:jc w:val="both"/>
        <w:rPr>
          <w:rFonts w:ascii="Arial" w:hAnsi="Arial" w:cs="Arial"/>
          <w:color w:val="26282A"/>
          <w:sz w:val="24"/>
          <w:szCs w:val="24"/>
          <w:shd w:val="clear" w:color="auto" w:fill="FFFFFF"/>
        </w:rPr>
      </w:pPr>
      <w:r w:rsidRPr="00884DAF">
        <w:rPr>
          <w:rFonts w:ascii="Arial" w:hAnsi="Arial" w:cs="Arial"/>
          <w:color w:val="26282A"/>
          <w:sz w:val="24"/>
          <w:szCs w:val="24"/>
          <w:shd w:val="clear" w:color="auto" w:fill="FFFFFF"/>
        </w:rPr>
        <w:t>The fourth requirement is that an easement by prescription can only be exercised by a user against the fee simple. This means that a prescription can only be created against a servient owner and his successors.</w:t>
      </w:r>
      <w:r w:rsidR="00D66963" w:rsidRPr="00884DAF">
        <w:rPr>
          <w:rFonts w:ascii="Arial" w:hAnsi="Arial" w:cs="Arial"/>
          <w:color w:val="26282A"/>
          <w:sz w:val="24"/>
          <w:szCs w:val="24"/>
          <w:shd w:val="clear" w:color="auto" w:fill="FFFFFF"/>
        </w:rPr>
        <w:t xml:space="preserve"> A</w:t>
      </w:r>
      <w:r w:rsidRPr="00884DAF">
        <w:rPr>
          <w:rFonts w:ascii="Arial" w:hAnsi="Arial" w:cs="Arial"/>
          <w:color w:val="26282A"/>
          <w:sz w:val="24"/>
          <w:szCs w:val="24"/>
          <w:shd w:val="clear" w:color="auto" w:fill="FFFFFF"/>
        </w:rPr>
        <w:t xml:space="preserve"> tenant cannot claim a prescriptive easement against their landlords, a landlord cannot claim a prescriptive easement against their tenants, and a tenant cannot claim a prescriptive easement against another tenant.</w:t>
      </w:r>
    </w:p>
    <w:p w14:paraId="31B42517" w14:textId="77777777" w:rsidR="004850E3" w:rsidRPr="00884DAF" w:rsidRDefault="004850E3" w:rsidP="00884DAF">
      <w:pPr>
        <w:spacing w:line="480" w:lineRule="auto"/>
        <w:jc w:val="both"/>
        <w:rPr>
          <w:rFonts w:ascii="Arial" w:hAnsi="Arial" w:cs="Arial"/>
          <w:color w:val="26282A"/>
          <w:sz w:val="24"/>
          <w:szCs w:val="24"/>
          <w:shd w:val="clear" w:color="auto" w:fill="FFFFFF"/>
        </w:rPr>
      </w:pPr>
      <w:r w:rsidRPr="00884DAF">
        <w:rPr>
          <w:rFonts w:ascii="Arial" w:hAnsi="Arial" w:cs="Arial"/>
          <w:color w:val="26282A"/>
          <w:sz w:val="24"/>
          <w:szCs w:val="24"/>
          <w:shd w:val="clear" w:color="auto" w:fill="FFFFFF"/>
        </w:rPr>
        <w:t xml:space="preserve">Once all these requirements have been established, the user must prove the long use or enjoyment of the land for the prescriptive period. There are 3 different prescriptive periods of acquiring an easement by prescription; at common law, by lost modern grant, and under the PA 1832. Whichever period is relied on, the user must be for at least 20 years and above (HM Land Registry, 2001). </w:t>
      </w:r>
    </w:p>
    <w:p w14:paraId="66FFBCF8" w14:textId="27CD5373" w:rsidR="004850E3" w:rsidRPr="00884DAF" w:rsidRDefault="004850E3" w:rsidP="00884DAF">
      <w:pPr>
        <w:spacing w:line="480" w:lineRule="auto"/>
        <w:jc w:val="both"/>
        <w:rPr>
          <w:rFonts w:ascii="Arial" w:hAnsi="Arial" w:cs="Arial"/>
          <w:color w:val="26282A"/>
          <w:sz w:val="24"/>
          <w:szCs w:val="24"/>
          <w:shd w:val="clear" w:color="auto" w:fill="FFFFFF"/>
        </w:rPr>
      </w:pPr>
      <w:r w:rsidRPr="00884DAF">
        <w:rPr>
          <w:rFonts w:ascii="Arial" w:hAnsi="Arial" w:cs="Arial"/>
          <w:color w:val="26282A"/>
          <w:sz w:val="24"/>
          <w:szCs w:val="24"/>
          <w:shd w:val="clear" w:color="auto" w:fill="FFFFFF"/>
        </w:rPr>
        <w:t>Under the common law method, the claimant must establish that the right has been continuously enjoyed, and as of right for more than 20 years and above since 1189 AD,</w:t>
      </w:r>
      <w:r w:rsidR="00D66963" w:rsidRPr="00884DAF">
        <w:rPr>
          <w:rFonts w:ascii="Arial" w:hAnsi="Arial" w:cs="Arial"/>
          <w:color w:val="26282A"/>
          <w:sz w:val="24"/>
          <w:szCs w:val="24"/>
          <w:shd w:val="clear" w:color="auto" w:fill="FFFFFF"/>
        </w:rPr>
        <w:t xml:space="preserve"> </w:t>
      </w:r>
      <w:r w:rsidRPr="00884DAF">
        <w:rPr>
          <w:rFonts w:ascii="Arial" w:hAnsi="Arial" w:cs="Arial"/>
          <w:color w:val="26282A"/>
          <w:sz w:val="24"/>
          <w:szCs w:val="24"/>
          <w:shd w:val="clear" w:color="auto" w:fill="FFFFFF"/>
        </w:rPr>
        <w:t xml:space="preserve">time immemorial (Duke of Norfolk v Arbuthnot 1880). Time immemorial is the period, the year 1189 when King Richard 1 became the King of England. Thus, anyone relying on this period must be able to show that the use has been since 1189. This is difficult to prove and easy to rebut. Even if you can prove that the user has been for 20 years, it cannot still be since time immemorial. For example, a claim of a right to light for a building failed because the building has not been in existence since time immemorial (Duke of Norfolk v Arbuthnot 1880). </w:t>
      </w:r>
    </w:p>
    <w:p w14:paraId="5AC8C575" w14:textId="4A5ABF7B" w:rsidR="004850E3" w:rsidRPr="00884DAF" w:rsidRDefault="004850E3" w:rsidP="00884DAF">
      <w:pPr>
        <w:spacing w:line="480" w:lineRule="auto"/>
        <w:jc w:val="both"/>
        <w:rPr>
          <w:rFonts w:ascii="Arial" w:hAnsi="Arial" w:cs="Arial"/>
          <w:color w:val="26282A"/>
          <w:sz w:val="24"/>
          <w:szCs w:val="24"/>
          <w:shd w:val="clear" w:color="auto" w:fill="FFFFFF"/>
        </w:rPr>
      </w:pPr>
      <w:r w:rsidRPr="00884DAF">
        <w:rPr>
          <w:rFonts w:ascii="Arial" w:hAnsi="Arial" w:cs="Arial"/>
          <w:color w:val="26282A"/>
          <w:sz w:val="24"/>
          <w:szCs w:val="24"/>
          <w:shd w:val="clear" w:color="auto" w:fill="FFFFFF"/>
        </w:rPr>
        <w:t xml:space="preserve">The Doctrine of Lost Modern Grant is the most important method of granting an easement by prescription. As the name implies is a legal fiction introduced by the </w:t>
      </w:r>
      <w:r w:rsidRPr="00884DAF">
        <w:rPr>
          <w:rFonts w:ascii="Arial" w:hAnsi="Arial" w:cs="Arial"/>
          <w:color w:val="26282A"/>
          <w:sz w:val="24"/>
          <w:szCs w:val="24"/>
          <w:shd w:val="clear" w:color="auto" w:fill="FFFFFF"/>
        </w:rPr>
        <w:lastRenderedPageBreak/>
        <w:t>court as per the case of Dalton v Angus 1881, that at some point in time immemorial, an easement was granted by deed, but the deed is lost.</w:t>
      </w:r>
      <w:r w:rsidR="00F7727B" w:rsidRPr="00884DAF">
        <w:rPr>
          <w:rFonts w:ascii="Arial" w:hAnsi="Arial" w:cs="Arial"/>
          <w:color w:val="26282A"/>
          <w:sz w:val="24"/>
          <w:szCs w:val="24"/>
          <w:shd w:val="clear" w:color="auto" w:fill="FFFFFF"/>
        </w:rPr>
        <w:t xml:space="preserve"> If </w:t>
      </w:r>
      <w:r w:rsidRPr="00884DAF">
        <w:rPr>
          <w:rFonts w:ascii="Arial" w:hAnsi="Arial" w:cs="Arial"/>
          <w:color w:val="26282A"/>
          <w:sz w:val="24"/>
          <w:szCs w:val="24"/>
          <w:shd w:val="clear" w:color="auto" w:fill="FFFFFF"/>
        </w:rPr>
        <w:t>it can be proved that there had been a long use (Orme v Lyons 2012), and the owner of the dominant tenement does not need to provide evidence that a formal grant was ever made over the prescription period (European Urban St Pancras 2 Ltd v Glynn 2013</w:t>
      </w:r>
      <w:r w:rsidR="00F7727B" w:rsidRPr="00884DAF">
        <w:rPr>
          <w:rFonts w:ascii="Arial" w:hAnsi="Arial" w:cs="Arial"/>
          <w:color w:val="26282A"/>
          <w:sz w:val="24"/>
          <w:szCs w:val="24"/>
          <w:shd w:val="clear" w:color="auto" w:fill="FFFFFF"/>
        </w:rPr>
        <w:t>).,</w:t>
      </w:r>
    </w:p>
    <w:p w14:paraId="634C0D1E" w14:textId="72270092" w:rsidR="004850E3" w:rsidRPr="00884DAF" w:rsidRDefault="004850E3" w:rsidP="00884DAF">
      <w:pPr>
        <w:spacing w:line="480" w:lineRule="auto"/>
        <w:jc w:val="both"/>
        <w:rPr>
          <w:rFonts w:ascii="Arial" w:hAnsi="Arial" w:cs="Arial"/>
          <w:color w:val="26282A"/>
          <w:sz w:val="24"/>
          <w:szCs w:val="24"/>
          <w:shd w:val="clear" w:color="auto" w:fill="FFFFFF"/>
        </w:rPr>
      </w:pPr>
      <w:r w:rsidRPr="00884DAF">
        <w:rPr>
          <w:rFonts w:ascii="Arial" w:hAnsi="Arial" w:cs="Arial"/>
          <w:color w:val="26282A"/>
          <w:sz w:val="24"/>
          <w:szCs w:val="24"/>
          <w:shd w:val="clear" w:color="auto" w:fill="FFFFFF"/>
        </w:rPr>
        <w:t xml:space="preserve"> Although in practice, this doctrine is the most suitable method and most relied upon in the court for creating an easement by prescription, because of the shortcomings of the common law and PA 1832 method. ‘The doctrine is the most convenient method of creating an easement by prescription but as it is a legal fiction</w:t>
      </w:r>
      <w:r w:rsidR="00F7727B" w:rsidRPr="00884DAF">
        <w:rPr>
          <w:rFonts w:ascii="Arial" w:hAnsi="Arial" w:cs="Arial"/>
          <w:color w:val="26282A"/>
          <w:sz w:val="24"/>
          <w:szCs w:val="24"/>
          <w:shd w:val="clear" w:color="auto" w:fill="FFFFFF"/>
        </w:rPr>
        <w:t xml:space="preserve"> and i</w:t>
      </w:r>
      <w:r w:rsidRPr="00884DAF">
        <w:rPr>
          <w:rFonts w:ascii="Arial" w:hAnsi="Arial" w:cs="Arial"/>
          <w:color w:val="26282A"/>
          <w:sz w:val="24"/>
          <w:szCs w:val="24"/>
          <w:shd w:val="clear" w:color="auto" w:fill="FFFFFF"/>
        </w:rPr>
        <w:t>t has</w:t>
      </w:r>
      <w:r w:rsidR="00F7727B" w:rsidRPr="00884DAF">
        <w:rPr>
          <w:rFonts w:ascii="Arial" w:hAnsi="Arial" w:cs="Arial"/>
          <w:color w:val="26282A"/>
          <w:sz w:val="24"/>
          <w:szCs w:val="24"/>
          <w:shd w:val="clear" w:color="auto" w:fill="FFFFFF"/>
        </w:rPr>
        <w:t xml:space="preserve"> </w:t>
      </w:r>
      <w:r w:rsidRPr="00884DAF">
        <w:rPr>
          <w:rFonts w:ascii="Arial" w:hAnsi="Arial" w:cs="Arial"/>
          <w:color w:val="26282A"/>
          <w:sz w:val="24"/>
          <w:szCs w:val="24"/>
          <w:shd w:val="clear" w:color="auto" w:fill="FFFFFF"/>
        </w:rPr>
        <w:t xml:space="preserve">been criticsed because the existence of an easement by prescription that may not even exist.  </w:t>
      </w:r>
    </w:p>
    <w:p w14:paraId="77A01C26" w14:textId="714913B1" w:rsidR="004850E3" w:rsidRPr="00884DAF" w:rsidRDefault="004850E3" w:rsidP="00884DAF">
      <w:pPr>
        <w:spacing w:before="240" w:line="480" w:lineRule="auto"/>
        <w:jc w:val="both"/>
        <w:rPr>
          <w:rFonts w:ascii="Arial" w:hAnsi="Arial" w:cs="Arial"/>
          <w:color w:val="26282A"/>
          <w:sz w:val="24"/>
          <w:szCs w:val="24"/>
          <w:shd w:val="clear" w:color="auto" w:fill="FFFFFF"/>
        </w:rPr>
      </w:pPr>
      <w:r w:rsidRPr="00884DAF">
        <w:rPr>
          <w:rFonts w:ascii="Arial" w:hAnsi="Arial" w:cs="Arial"/>
          <w:color w:val="26282A"/>
          <w:sz w:val="24"/>
          <w:szCs w:val="24"/>
          <w:shd w:val="clear" w:color="auto" w:fill="FFFFFF"/>
        </w:rPr>
        <w:t>The Prescription Act 1932 (PA 1832) was introduced to solve the problem of the legal fiction of the common law and lost modern grant, which assumes an easement has been granted at one point or the other in the past since time immemorial 1189, even when it was not so</w:t>
      </w:r>
      <w:r w:rsidR="00F7727B" w:rsidRPr="00884DAF">
        <w:rPr>
          <w:rFonts w:ascii="Arial" w:hAnsi="Arial" w:cs="Arial"/>
          <w:color w:val="26282A"/>
          <w:sz w:val="24"/>
          <w:szCs w:val="24"/>
          <w:shd w:val="clear" w:color="auto" w:fill="FFFFFF"/>
        </w:rPr>
        <w:t xml:space="preserve"> (</w:t>
      </w:r>
      <w:r w:rsidR="00F7727B" w:rsidRPr="00884DAF">
        <w:rPr>
          <w:rFonts w:ascii="Arial" w:hAnsi="Arial" w:cs="Arial"/>
          <w:sz w:val="24"/>
          <w:szCs w:val="24"/>
        </w:rPr>
        <w:t>Cooke,</w:t>
      </w:r>
      <w:r w:rsidR="00F7727B" w:rsidRPr="00884DAF">
        <w:rPr>
          <w:rFonts w:ascii="Arial" w:hAnsi="Arial" w:cs="Arial"/>
          <w:sz w:val="24"/>
          <w:szCs w:val="24"/>
        </w:rPr>
        <w:t xml:space="preserve"> </w:t>
      </w:r>
      <w:r w:rsidR="00F7727B" w:rsidRPr="00884DAF">
        <w:rPr>
          <w:rFonts w:ascii="Arial" w:hAnsi="Arial" w:cs="Arial"/>
          <w:sz w:val="24"/>
          <w:szCs w:val="24"/>
        </w:rPr>
        <w:t>2012</w:t>
      </w:r>
      <w:r w:rsidR="00F7727B" w:rsidRPr="00884DAF">
        <w:rPr>
          <w:rFonts w:ascii="Arial" w:hAnsi="Arial" w:cs="Arial"/>
          <w:sz w:val="24"/>
          <w:szCs w:val="24"/>
        </w:rPr>
        <w:t>)</w:t>
      </w:r>
    </w:p>
    <w:p w14:paraId="3CD98225" w14:textId="180B3B7F" w:rsidR="004850E3" w:rsidRPr="00884DAF" w:rsidRDefault="004850E3" w:rsidP="00884DAF">
      <w:pPr>
        <w:spacing w:before="240" w:line="480" w:lineRule="auto"/>
        <w:jc w:val="both"/>
        <w:rPr>
          <w:rFonts w:ascii="Arial" w:hAnsi="Arial" w:cs="Arial"/>
          <w:color w:val="26282A"/>
          <w:sz w:val="24"/>
          <w:szCs w:val="24"/>
          <w:shd w:val="clear" w:color="auto" w:fill="FFFFFF"/>
        </w:rPr>
      </w:pPr>
      <w:r w:rsidRPr="00884DAF">
        <w:rPr>
          <w:rFonts w:ascii="Arial" w:hAnsi="Arial" w:cs="Arial"/>
          <w:color w:val="26282A"/>
          <w:sz w:val="24"/>
          <w:szCs w:val="24"/>
          <w:shd w:val="clear" w:color="auto" w:fill="FFFFFF"/>
        </w:rPr>
        <w:t xml:space="preserve">The PA 1832 is different from the other two methods in that the claim of an easement of light is treated differently from other types of easements, If the right of light is enjoyed for a period of 20 years without any interruptions (Dance v Triplow 1992), an easement of light by prescription will be established (s3 PA 1832). Unlike the other types of easement , the user of a right of life may not be against another owner of the land, by or on behalf of the legal landowner, and the user must not be as of right. To stop a landowner from claiming a prescriptive right of light over their land, a landowner may obstruct the passage of light by putting up a barricade to interrupt the prescription period. This was difficult and inconvenient. That led to the </w:t>
      </w:r>
      <w:r w:rsidRPr="00884DAF">
        <w:rPr>
          <w:rFonts w:ascii="Arial" w:hAnsi="Arial" w:cs="Arial"/>
          <w:color w:val="26282A"/>
          <w:sz w:val="24"/>
          <w:szCs w:val="24"/>
          <w:shd w:val="clear" w:color="auto" w:fill="FFFFFF"/>
        </w:rPr>
        <w:lastRenderedPageBreak/>
        <w:t>enactment of the Rights of Light Act 1959 (RLA 1959). The RLA 1959 allows a servient owner to register a light obstruction notice at the land registry, identifying both the land that will benefit and is burdened from a right of light and showing the size and position of the notional obstruction. A light obstruction notice interrupts a prescription right of light in the course of being acquired by another landowner without the necessity of physically obstructing the light</w:t>
      </w:r>
      <w:r w:rsidR="00F7727B" w:rsidRPr="00884DAF">
        <w:rPr>
          <w:rFonts w:ascii="Arial" w:hAnsi="Arial" w:cs="Arial"/>
          <w:color w:val="26282A"/>
          <w:sz w:val="24"/>
          <w:szCs w:val="24"/>
          <w:shd w:val="clear" w:color="auto" w:fill="FFFFFF"/>
        </w:rPr>
        <w:t xml:space="preserve"> (</w:t>
      </w:r>
      <w:r w:rsidR="00F7727B" w:rsidRPr="00884DAF">
        <w:rPr>
          <w:rFonts w:ascii="Arial" w:hAnsi="Arial" w:cs="Arial"/>
          <w:color w:val="181817"/>
          <w:sz w:val="24"/>
          <w:szCs w:val="24"/>
          <w:shd w:val="clear" w:color="auto" w:fill="FFFFFF"/>
        </w:rPr>
        <w:t>Chappelle,1999</w:t>
      </w:r>
      <w:r w:rsidR="00F7727B" w:rsidRPr="00884DAF">
        <w:rPr>
          <w:rFonts w:ascii="Arial" w:hAnsi="Arial" w:cs="Arial"/>
          <w:color w:val="181817"/>
          <w:sz w:val="24"/>
          <w:szCs w:val="24"/>
          <w:shd w:val="clear" w:color="auto" w:fill="FFFFFF"/>
        </w:rPr>
        <w:t>)</w:t>
      </w:r>
    </w:p>
    <w:p w14:paraId="78A024D1" w14:textId="657B45C1" w:rsidR="00F7727B" w:rsidRPr="00884DAF" w:rsidRDefault="00F7727B" w:rsidP="00884DAF">
      <w:pPr>
        <w:spacing w:before="240" w:line="480" w:lineRule="auto"/>
        <w:jc w:val="both"/>
        <w:rPr>
          <w:rFonts w:ascii="Arial" w:hAnsi="Arial" w:cs="Arial"/>
          <w:color w:val="26282A"/>
          <w:sz w:val="24"/>
          <w:szCs w:val="24"/>
          <w:shd w:val="clear" w:color="auto" w:fill="FFFFFF"/>
        </w:rPr>
      </w:pPr>
      <w:r w:rsidRPr="00884DAF">
        <w:rPr>
          <w:rFonts w:ascii="Arial" w:hAnsi="Arial" w:cs="Arial"/>
          <w:color w:val="26282A"/>
          <w:sz w:val="24"/>
          <w:szCs w:val="24"/>
          <w:shd w:val="clear" w:color="auto" w:fill="FFFFFF"/>
        </w:rPr>
        <w:t>The PA 1832</w:t>
      </w:r>
      <w:r w:rsidRPr="00884DAF">
        <w:rPr>
          <w:rFonts w:ascii="Arial" w:hAnsi="Arial" w:cs="Arial"/>
          <w:color w:val="26282A"/>
          <w:sz w:val="24"/>
          <w:szCs w:val="24"/>
          <w:shd w:val="clear" w:color="auto" w:fill="FFFFFF"/>
        </w:rPr>
        <w:t xml:space="preserve"> </w:t>
      </w:r>
      <w:r w:rsidRPr="00884DAF">
        <w:rPr>
          <w:rFonts w:ascii="Arial" w:hAnsi="Arial" w:cs="Arial"/>
          <w:color w:val="26282A"/>
          <w:sz w:val="24"/>
          <w:szCs w:val="24"/>
          <w:shd w:val="clear" w:color="auto" w:fill="FFFFFF"/>
        </w:rPr>
        <w:t xml:space="preserve">also makes provisions for two periods of user for other types of easements apart from light. These two periods are 20 years (short period) and 40 years (long period). </w:t>
      </w:r>
      <w:r w:rsidR="004850E3" w:rsidRPr="00884DAF">
        <w:rPr>
          <w:rFonts w:ascii="Arial" w:hAnsi="Arial" w:cs="Arial"/>
          <w:color w:val="26282A"/>
          <w:sz w:val="24"/>
          <w:szCs w:val="24"/>
          <w:shd w:val="clear" w:color="auto" w:fill="FFFFFF"/>
        </w:rPr>
        <w:t>Considering the two periods</w:t>
      </w:r>
      <w:r w:rsidR="00527025" w:rsidRPr="00884DAF">
        <w:rPr>
          <w:rFonts w:ascii="Arial" w:hAnsi="Arial" w:cs="Arial"/>
          <w:color w:val="26282A"/>
          <w:sz w:val="24"/>
          <w:szCs w:val="24"/>
          <w:shd w:val="clear" w:color="auto" w:fill="FFFFFF"/>
        </w:rPr>
        <w:t xml:space="preserve"> under PA 1832</w:t>
      </w:r>
      <w:r w:rsidR="004850E3" w:rsidRPr="00884DAF">
        <w:rPr>
          <w:rFonts w:ascii="Arial" w:hAnsi="Arial" w:cs="Arial"/>
          <w:color w:val="26282A"/>
          <w:sz w:val="24"/>
          <w:szCs w:val="24"/>
          <w:shd w:val="clear" w:color="auto" w:fill="FFFFFF"/>
        </w:rPr>
        <w:t>; 20 years</w:t>
      </w:r>
      <w:r w:rsidR="00527025" w:rsidRPr="00884DAF">
        <w:rPr>
          <w:rFonts w:ascii="Arial" w:hAnsi="Arial" w:cs="Arial"/>
          <w:color w:val="26282A"/>
          <w:sz w:val="24"/>
          <w:szCs w:val="24"/>
          <w:shd w:val="clear" w:color="auto" w:fill="FFFFFF"/>
        </w:rPr>
        <w:t xml:space="preserve"> is the short period of user while </w:t>
      </w:r>
      <w:r w:rsidR="004850E3" w:rsidRPr="00884DAF">
        <w:rPr>
          <w:rFonts w:ascii="Arial" w:hAnsi="Arial" w:cs="Arial"/>
          <w:color w:val="26282A"/>
          <w:sz w:val="24"/>
          <w:szCs w:val="24"/>
          <w:shd w:val="clear" w:color="auto" w:fill="FFFFFF"/>
        </w:rPr>
        <w:t>40 years</w:t>
      </w:r>
      <w:r w:rsidR="00527025" w:rsidRPr="00884DAF">
        <w:rPr>
          <w:rFonts w:ascii="Arial" w:hAnsi="Arial" w:cs="Arial"/>
          <w:color w:val="26282A"/>
          <w:sz w:val="24"/>
          <w:szCs w:val="24"/>
          <w:shd w:val="clear" w:color="auto" w:fill="FFFFFF"/>
        </w:rPr>
        <w:t xml:space="preserve"> is the long period of user. Under</w:t>
      </w:r>
      <w:r w:rsidR="004850E3" w:rsidRPr="00884DAF">
        <w:rPr>
          <w:rFonts w:ascii="Arial" w:hAnsi="Arial" w:cs="Arial"/>
          <w:color w:val="26282A"/>
          <w:sz w:val="24"/>
          <w:szCs w:val="24"/>
          <w:shd w:val="clear" w:color="auto" w:fill="FFFFFF"/>
        </w:rPr>
        <w:t xml:space="preserve"> the 20 years period, a claim that there has been an easement continuously for 20 years will succeed even if there are proofs that it didn’t start in 1189, which is the case in the common law method (s2 PA 1832), and also that it was not the subject of a grant, or that the right has been without force, secrecy, or by permission. The 20 years period is before the action is brought to court (s4 PA 1832). However, if it cannot be proved that the 20 years period was without any break (Reilly v Orange 1955). and was before the action was brought to the court, the claim will fail (Davies v Du Paver 1953).  </w:t>
      </w:r>
    </w:p>
    <w:p w14:paraId="452FFA78" w14:textId="4C8286A0" w:rsidR="00F7727B" w:rsidRPr="00884DAF" w:rsidRDefault="00F7727B" w:rsidP="00884DAF">
      <w:pPr>
        <w:spacing w:before="240" w:line="480" w:lineRule="auto"/>
        <w:jc w:val="both"/>
        <w:rPr>
          <w:rFonts w:ascii="Arial" w:hAnsi="Arial" w:cs="Arial"/>
          <w:color w:val="26282A"/>
          <w:sz w:val="24"/>
          <w:szCs w:val="24"/>
          <w:shd w:val="clear" w:color="auto" w:fill="FFFFFF"/>
        </w:rPr>
      </w:pPr>
      <w:r w:rsidRPr="00884DAF">
        <w:rPr>
          <w:rFonts w:ascii="Arial" w:hAnsi="Arial" w:cs="Arial"/>
          <w:sz w:val="24"/>
          <w:szCs w:val="24"/>
        </w:rPr>
        <w:t>Under the 40 years period, the easement must be absolute for forty years (Housden v Conservators of Wimbledon and Putney Commons 2008) except if there was a written agreement or if the agreement was incorporated in the deed (s2 PA 1832). The action must be brought before the court before the 40 years period elapses, without interruption of the use, as for the shorter period (s8 PA 1832).</w:t>
      </w:r>
    </w:p>
    <w:p w14:paraId="7F62A858" w14:textId="21D161C2" w:rsidR="004850E3" w:rsidRPr="00884DAF" w:rsidRDefault="004850E3" w:rsidP="00884DAF">
      <w:pPr>
        <w:spacing w:before="240" w:line="480" w:lineRule="auto"/>
        <w:jc w:val="both"/>
        <w:rPr>
          <w:rFonts w:ascii="Arial" w:hAnsi="Arial" w:cs="Arial"/>
          <w:color w:val="26282A"/>
          <w:sz w:val="24"/>
          <w:szCs w:val="24"/>
          <w:shd w:val="clear" w:color="auto" w:fill="FFFFFF"/>
        </w:rPr>
      </w:pPr>
      <w:r w:rsidRPr="00884DAF">
        <w:rPr>
          <w:rFonts w:ascii="Arial" w:hAnsi="Arial" w:cs="Arial"/>
          <w:color w:val="26282A"/>
          <w:sz w:val="24"/>
          <w:szCs w:val="24"/>
          <w:shd w:val="clear" w:color="auto" w:fill="FFFFFF"/>
        </w:rPr>
        <w:lastRenderedPageBreak/>
        <w:t>Nevertheless, there had been arguments that the PA, 1832, is the worst drafted act of Parliament because there are serious ‘misprints s. 8 (</w:t>
      </w:r>
      <w:r w:rsidRPr="00884DAF">
        <w:rPr>
          <w:rFonts w:ascii="Arial" w:hAnsi="Arial" w:cs="Arial"/>
          <w:sz w:val="24"/>
          <w:szCs w:val="24"/>
        </w:rPr>
        <w:t>MacKenizie, 2016).</w:t>
      </w:r>
    </w:p>
    <w:p w14:paraId="16F7606A" w14:textId="77777777" w:rsidR="004850E3" w:rsidRPr="00884DAF" w:rsidRDefault="004850E3" w:rsidP="00884DAF">
      <w:pPr>
        <w:spacing w:line="480" w:lineRule="auto"/>
        <w:jc w:val="both"/>
        <w:rPr>
          <w:rFonts w:ascii="Arial" w:hAnsi="Arial" w:cs="Arial"/>
          <w:color w:val="26282A"/>
          <w:sz w:val="24"/>
          <w:szCs w:val="24"/>
          <w:shd w:val="clear" w:color="auto" w:fill="FFFFFF"/>
        </w:rPr>
      </w:pPr>
      <w:r w:rsidRPr="00884DAF">
        <w:rPr>
          <w:rFonts w:ascii="Arial" w:hAnsi="Arial" w:cs="Arial"/>
          <w:color w:val="26282A"/>
          <w:sz w:val="24"/>
          <w:szCs w:val="24"/>
          <w:shd w:val="clear" w:color="auto" w:fill="FFFFFF"/>
        </w:rPr>
        <w:t xml:space="preserve">Some suggestions that the current LPA 1925 should be totally abolished and replaced with a single statutory law, strategically arranged, essential, they suggested the ‘Lost Modern Grant’ prescription. They also suggested the following: 20 years continuous qualifying use, without force, or permission, One method instead of three, Abolition of ‘next before action’ rule, Retention of the rule that prescription must be by a freeholder and against a freeholder (Earlier Law Commission had included abolishing this restriction), The Law Commission’s review in this area was criticised (See </w:t>
      </w:r>
      <w:bookmarkStart w:id="12" w:name="_Hlk117717547"/>
      <w:r w:rsidRPr="00884DAF">
        <w:rPr>
          <w:rFonts w:ascii="Arial" w:hAnsi="Arial" w:cs="Arial"/>
          <w:color w:val="26282A"/>
          <w:sz w:val="24"/>
          <w:szCs w:val="24"/>
          <w:shd w:val="clear" w:color="auto" w:fill="FFFFFF"/>
        </w:rPr>
        <w:t xml:space="preserve">B. Bogusz ‘The doctrine of Lost Modern Grant back to the future or time to move?’ Conveyancer (2013 198, Right to light Law Commission no. 356 (2014), Consultation Paper has suggested that prescription of the rights of light should be abolished, Subsequent backtracking by the Law Commission following opposition. </w:t>
      </w:r>
      <w:bookmarkEnd w:id="12"/>
    </w:p>
    <w:p w14:paraId="2B3A8605" w14:textId="77777777" w:rsidR="004850E3" w:rsidRPr="00884DAF" w:rsidRDefault="004850E3" w:rsidP="00884DAF">
      <w:pPr>
        <w:spacing w:line="480" w:lineRule="auto"/>
        <w:jc w:val="both"/>
        <w:rPr>
          <w:rFonts w:ascii="Arial" w:hAnsi="Arial" w:cs="Arial"/>
          <w:sz w:val="24"/>
          <w:szCs w:val="24"/>
        </w:rPr>
      </w:pPr>
      <w:r w:rsidRPr="00884DAF">
        <w:rPr>
          <w:rFonts w:ascii="Arial" w:hAnsi="Arial" w:cs="Arial"/>
          <w:color w:val="26282A"/>
          <w:sz w:val="24"/>
          <w:szCs w:val="24"/>
          <w:shd w:val="clear" w:color="auto" w:fill="FFFFFF"/>
        </w:rPr>
        <w:t>This, and many more have led to a lot of criticisms that the law relating to an easement created by prescription is too complex, archaic, not meeting the present day’s need, and not fit for purpose. In the Law Commission’s consultation paper, titled ‘</w:t>
      </w:r>
      <w:r w:rsidRPr="00884DAF">
        <w:rPr>
          <w:rFonts w:ascii="Arial" w:hAnsi="Arial" w:cs="Arial"/>
          <w:sz w:val="24"/>
          <w:szCs w:val="24"/>
        </w:rPr>
        <w:t>Making Land Work: Easements, Covenants, and Profits a Prendre’, the commission identified the complexity of the law in the case ‘</w:t>
      </w:r>
      <w:r w:rsidRPr="00884DAF">
        <w:rPr>
          <w:rFonts w:ascii="Arial" w:hAnsi="Arial" w:cs="Arial"/>
          <w:color w:val="26282A"/>
          <w:sz w:val="24"/>
          <w:szCs w:val="24"/>
        </w:rPr>
        <w:t>London Tara Hotel Ltd v Kensington Close Hotel where it was held that an easement existed by prescription on the basis of 20 years period, and also, the use of the land was</w:t>
      </w:r>
      <w:r w:rsidRPr="00884DAF">
        <w:rPr>
          <w:rFonts w:ascii="Arial" w:hAnsi="Arial" w:cs="Arial"/>
          <w:color w:val="26282A"/>
          <w:sz w:val="24"/>
          <w:szCs w:val="24"/>
          <w:shd w:val="clear" w:color="auto" w:fill="FFFFFF"/>
        </w:rPr>
        <w:t xml:space="preserve"> of right; without force, secrecy, or permission, inspite of the claimant not being aware it has changed ownership. ‘The commission recommends that the legal requirements for obtaining an easement by prescription be streamlined and restricted, proposing that acquisition of an easement by prescription would only be possible in circumstances meeting a new statutory definition of ‘qualifying use’. This will require 20 years of use, </w:t>
      </w:r>
      <w:r w:rsidRPr="00884DAF">
        <w:rPr>
          <w:rFonts w:ascii="Arial" w:hAnsi="Arial" w:cs="Arial"/>
          <w:color w:val="26282A"/>
          <w:sz w:val="24"/>
          <w:szCs w:val="24"/>
          <w:shd w:val="clear" w:color="auto" w:fill="FFFFFF"/>
        </w:rPr>
        <w:lastRenderedPageBreak/>
        <w:t>not involving force, and excluding those who casually trespass from qualification’. They also recommend that all rights should be registered with the Land Registry, so that people would be able to clearly establish any burden, or benefit on any land, and its extent, and make further clarifications, or adjustments where necessary. (</w:t>
      </w:r>
      <w:r w:rsidRPr="00884DAF">
        <w:rPr>
          <w:rFonts w:ascii="Arial" w:hAnsi="Arial" w:cs="Arial"/>
          <w:sz w:val="24"/>
          <w:szCs w:val="24"/>
        </w:rPr>
        <w:t>McFarlane, Hopkins, and Nield (2021)</w:t>
      </w:r>
      <w:r w:rsidRPr="00884DAF">
        <w:rPr>
          <w:rFonts w:ascii="Arial" w:hAnsi="Arial" w:cs="Arial"/>
          <w:color w:val="26282A"/>
          <w:sz w:val="24"/>
          <w:szCs w:val="24"/>
          <w:shd w:val="clear" w:color="auto" w:fill="FFFFFF"/>
        </w:rPr>
        <w:t>.</w:t>
      </w:r>
    </w:p>
    <w:p w14:paraId="7F343A8A" w14:textId="77777777" w:rsidR="004850E3" w:rsidRPr="00884DAF" w:rsidRDefault="004850E3" w:rsidP="00884DAF">
      <w:pPr>
        <w:spacing w:line="480" w:lineRule="auto"/>
        <w:jc w:val="both"/>
        <w:rPr>
          <w:rFonts w:ascii="Arial" w:hAnsi="Arial" w:cs="Arial"/>
          <w:color w:val="26282A"/>
          <w:sz w:val="24"/>
          <w:szCs w:val="24"/>
          <w:shd w:val="clear" w:color="auto" w:fill="FFFFFF"/>
        </w:rPr>
      </w:pPr>
      <w:r w:rsidRPr="00884DAF">
        <w:rPr>
          <w:rFonts w:ascii="Arial" w:hAnsi="Arial" w:cs="Arial"/>
          <w:color w:val="26282A"/>
          <w:sz w:val="24"/>
          <w:szCs w:val="24"/>
          <w:shd w:val="clear" w:color="auto" w:fill="FFFFFF"/>
        </w:rPr>
        <w:t>It was also proposed that the three methods by which an easement by prescription can be created (common law, lost modern grant, Prescription Act 1832) be abolished and replaced with a single statutory scheme to make the law simpler and to minimise the need for recourse to litigation where possible. (</w:t>
      </w:r>
      <w:r w:rsidRPr="00884DAF">
        <w:rPr>
          <w:rFonts w:ascii="Arial" w:hAnsi="Arial" w:cs="Arial"/>
          <w:sz w:val="24"/>
          <w:szCs w:val="24"/>
        </w:rPr>
        <w:t>Smith, 2000).</w:t>
      </w:r>
    </w:p>
    <w:p w14:paraId="11B6C057" w14:textId="77777777" w:rsidR="004850E3" w:rsidRPr="00884DAF" w:rsidRDefault="004850E3" w:rsidP="00884DAF">
      <w:pPr>
        <w:spacing w:line="480" w:lineRule="auto"/>
        <w:jc w:val="both"/>
        <w:rPr>
          <w:rFonts w:ascii="Arial" w:hAnsi="Arial" w:cs="Arial"/>
          <w:color w:val="26282A"/>
          <w:sz w:val="24"/>
          <w:szCs w:val="24"/>
          <w:shd w:val="clear" w:color="auto" w:fill="FFFFFF"/>
        </w:rPr>
      </w:pPr>
      <w:r w:rsidRPr="00884DAF">
        <w:rPr>
          <w:rFonts w:ascii="Arial" w:hAnsi="Arial" w:cs="Arial"/>
          <w:color w:val="26282A"/>
          <w:sz w:val="24"/>
          <w:szCs w:val="24"/>
          <w:shd w:val="clear" w:color="auto" w:fill="FFFFFF"/>
        </w:rPr>
        <w:t>Another identified controversy in the Act was s62 LPA 1925, as seen in the above case, a license that was granted to the original owner and because an easement has been created by prescription, it was seen as such. The proposal by Law Commission proposed that the section should be expunged, from the Act to avoid people being left in limbo. (Warenius, 2012).</w:t>
      </w:r>
    </w:p>
    <w:p w14:paraId="2AFD74FE" w14:textId="722477F0" w:rsidR="004850E3" w:rsidRPr="00884DAF" w:rsidRDefault="00C535C3" w:rsidP="00884DAF">
      <w:pPr>
        <w:spacing w:line="480" w:lineRule="auto"/>
        <w:jc w:val="both"/>
        <w:rPr>
          <w:rFonts w:ascii="Arial" w:hAnsi="Arial" w:cs="Arial"/>
          <w:color w:val="26282A"/>
          <w:sz w:val="24"/>
          <w:szCs w:val="24"/>
          <w:shd w:val="clear" w:color="auto" w:fill="FFFFFF"/>
        </w:rPr>
      </w:pPr>
      <w:r w:rsidRPr="00884DAF">
        <w:rPr>
          <w:rFonts w:ascii="Arial" w:hAnsi="Arial" w:cs="Arial"/>
          <w:color w:val="26282A"/>
          <w:sz w:val="24"/>
          <w:szCs w:val="24"/>
          <w:shd w:val="clear" w:color="auto" w:fill="FFFFFF"/>
        </w:rPr>
        <w:t>T</w:t>
      </w:r>
      <w:r w:rsidR="004850E3" w:rsidRPr="00884DAF">
        <w:rPr>
          <w:rFonts w:ascii="Arial" w:hAnsi="Arial" w:cs="Arial"/>
          <w:color w:val="26282A"/>
          <w:sz w:val="24"/>
          <w:szCs w:val="24"/>
          <w:shd w:val="clear" w:color="auto" w:fill="FFFFFF"/>
        </w:rPr>
        <w:t>here is an urgent need for the law to be reformed</w:t>
      </w:r>
      <w:r w:rsidRPr="00884DAF">
        <w:rPr>
          <w:rFonts w:ascii="Arial" w:hAnsi="Arial" w:cs="Arial"/>
          <w:color w:val="26282A"/>
          <w:sz w:val="24"/>
          <w:szCs w:val="24"/>
          <w:shd w:val="clear" w:color="auto" w:fill="FFFFFF"/>
        </w:rPr>
        <w:t xml:space="preserve">. Although, </w:t>
      </w:r>
      <w:r w:rsidR="004850E3" w:rsidRPr="00884DAF">
        <w:rPr>
          <w:rFonts w:ascii="Arial" w:hAnsi="Arial" w:cs="Arial"/>
          <w:color w:val="26282A"/>
          <w:sz w:val="24"/>
          <w:szCs w:val="24"/>
          <w:shd w:val="clear" w:color="auto" w:fill="FFFFFF"/>
        </w:rPr>
        <w:t>the Law Commission’s proposal was ‘well thought out, and beneficial’. Though there is still a long way to go in achieving this (</w:t>
      </w:r>
      <w:r w:rsidR="000B4FA9" w:rsidRPr="00884DAF">
        <w:rPr>
          <w:rFonts w:ascii="Arial" w:hAnsi="Arial" w:cs="Arial"/>
          <w:sz w:val="24"/>
          <w:szCs w:val="24"/>
        </w:rPr>
        <w:t>Gardner</w:t>
      </w:r>
      <w:r w:rsidR="000B4FA9" w:rsidRPr="00884DAF">
        <w:rPr>
          <w:rFonts w:ascii="Arial" w:hAnsi="Arial" w:cs="Arial"/>
          <w:sz w:val="24"/>
          <w:szCs w:val="24"/>
        </w:rPr>
        <w:t xml:space="preserve"> </w:t>
      </w:r>
      <w:r w:rsidR="000B4FA9" w:rsidRPr="00884DAF">
        <w:rPr>
          <w:rFonts w:ascii="Arial" w:hAnsi="Arial" w:cs="Arial"/>
          <w:sz w:val="24"/>
          <w:szCs w:val="24"/>
        </w:rPr>
        <w:t>and MacKenzie</w:t>
      </w:r>
      <w:r w:rsidR="000B4FA9" w:rsidRPr="00884DAF">
        <w:rPr>
          <w:rFonts w:ascii="Arial" w:hAnsi="Arial" w:cs="Arial"/>
          <w:sz w:val="24"/>
          <w:szCs w:val="24"/>
        </w:rPr>
        <w:t xml:space="preserve">, </w:t>
      </w:r>
      <w:r w:rsidR="000B4FA9" w:rsidRPr="00884DAF">
        <w:rPr>
          <w:rFonts w:ascii="Arial" w:hAnsi="Arial" w:cs="Arial"/>
          <w:sz w:val="24"/>
          <w:szCs w:val="24"/>
        </w:rPr>
        <w:t>2015)</w:t>
      </w:r>
      <w:r w:rsidR="004850E3" w:rsidRPr="00884DAF">
        <w:rPr>
          <w:rFonts w:ascii="Arial" w:hAnsi="Arial" w:cs="Arial"/>
          <w:color w:val="26282A"/>
          <w:sz w:val="24"/>
          <w:szCs w:val="24"/>
          <w:shd w:val="clear" w:color="auto" w:fill="FFFFFF"/>
        </w:rPr>
        <w:t>. This is recommended for further research.</w:t>
      </w:r>
    </w:p>
    <w:p w14:paraId="587DEE44" w14:textId="77777777" w:rsidR="004850E3" w:rsidRPr="00884DAF" w:rsidRDefault="004850E3" w:rsidP="00884DAF">
      <w:pPr>
        <w:spacing w:line="480" w:lineRule="auto"/>
        <w:jc w:val="both"/>
        <w:rPr>
          <w:rFonts w:ascii="Arial" w:hAnsi="Arial" w:cs="Arial"/>
          <w:color w:val="26282A"/>
          <w:sz w:val="24"/>
          <w:szCs w:val="24"/>
          <w:shd w:val="clear" w:color="auto" w:fill="FFFFFF"/>
        </w:rPr>
      </w:pPr>
    </w:p>
    <w:p w14:paraId="722A972B" w14:textId="77777777" w:rsidR="004850E3" w:rsidRPr="00884DAF" w:rsidRDefault="004850E3" w:rsidP="00884DAF">
      <w:pPr>
        <w:spacing w:line="480" w:lineRule="auto"/>
        <w:rPr>
          <w:rFonts w:ascii="Arial" w:hAnsi="Arial" w:cs="Arial"/>
          <w:sz w:val="24"/>
          <w:szCs w:val="24"/>
        </w:rPr>
      </w:pPr>
    </w:p>
    <w:p w14:paraId="5B8A18B9" w14:textId="77777777" w:rsidR="004850E3" w:rsidRPr="00884DAF" w:rsidRDefault="004850E3" w:rsidP="00884DAF">
      <w:pPr>
        <w:spacing w:line="480" w:lineRule="auto"/>
        <w:jc w:val="both"/>
        <w:rPr>
          <w:rFonts w:ascii="Arial" w:hAnsi="Arial" w:cs="Arial"/>
          <w:color w:val="26282A"/>
          <w:sz w:val="24"/>
          <w:szCs w:val="24"/>
          <w:shd w:val="clear" w:color="auto" w:fill="FFFFFF"/>
        </w:rPr>
      </w:pPr>
    </w:p>
    <w:p w14:paraId="0B08CC4B" w14:textId="77777777" w:rsidR="000A571A" w:rsidRPr="00884DAF" w:rsidRDefault="000A571A" w:rsidP="00884DAF">
      <w:pPr>
        <w:spacing w:line="480" w:lineRule="auto"/>
        <w:rPr>
          <w:rFonts w:ascii="Arial" w:hAnsi="Arial" w:cs="Arial"/>
          <w:sz w:val="24"/>
          <w:szCs w:val="24"/>
        </w:rPr>
      </w:pPr>
    </w:p>
    <w:p w14:paraId="43119B98" w14:textId="77777777" w:rsidR="00884DAF" w:rsidRDefault="00884DAF" w:rsidP="00884DAF">
      <w:pPr>
        <w:spacing w:line="480" w:lineRule="auto"/>
        <w:rPr>
          <w:rFonts w:ascii="Arial" w:hAnsi="Arial" w:cs="Arial"/>
          <w:sz w:val="24"/>
          <w:szCs w:val="24"/>
        </w:rPr>
      </w:pPr>
    </w:p>
    <w:p w14:paraId="1D6E75E5" w14:textId="7983744D" w:rsidR="00884DAF" w:rsidRPr="00884DAF" w:rsidRDefault="00884DAF" w:rsidP="00884DAF">
      <w:pPr>
        <w:spacing w:line="480" w:lineRule="auto"/>
        <w:jc w:val="center"/>
        <w:rPr>
          <w:rFonts w:ascii="Arial" w:hAnsi="Arial" w:cs="Arial"/>
          <w:sz w:val="24"/>
          <w:szCs w:val="24"/>
        </w:rPr>
      </w:pPr>
      <w:r w:rsidRPr="00884DAF">
        <w:rPr>
          <w:rFonts w:ascii="Arial" w:hAnsi="Arial" w:cs="Arial"/>
          <w:sz w:val="24"/>
          <w:szCs w:val="24"/>
        </w:rPr>
        <w:lastRenderedPageBreak/>
        <w:t>REFERENCES</w:t>
      </w:r>
    </w:p>
    <w:p w14:paraId="31AD964D" w14:textId="77777777" w:rsidR="00884DAF" w:rsidRPr="00884DAF" w:rsidRDefault="00884DAF" w:rsidP="00884DAF">
      <w:pPr>
        <w:spacing w:line="480" w:lineRule="auto"/>
        <w:rPr>
          <w:rFonts w:ascii="Arial" w:hAnsi="Arial" w:cs="Arial"/>
          <w:color w:val="181817"/>
          <w:sz w:val="24"/>
          <w:szCs w:val="24"/>
          <w:shd w:val="clear" w:color="auto" w:fill="FFFFFF"/>
        </w:rPr>
      </w:pPr>
      <w:r w:rsidRPr="00884DAF">
        <w:rPr>
          <w:rFonts w:ascii="Arial" w:hAnsi="Arial" w:cs="Arial"/>
          <w:sz w:val="24"/>
          <w:szCs w:val="24"/>
        </w:rPr>
        <w:t xml:space="preserve">Bell, C. (2000) </w:t>
      </w:r>
      <w:r w:rsidRPr="00884DAF">
        <w:rPr>
          <w:rFonts w:ascii="Arial" w:hAnsi="Arial" w:cs="Arial"/>
          <w:i/>
          <w:iCs/>
          <w:sz w:val="24"/>
          <w:szCs w:val="24"/>
        </w:rPr>
        <w:t>Land: The Law of Real Property.</w:t>
      </w:r>
      <w:r w:rsidRPr="00884DAF">
        <w:rPr>
          <w:rFonts w:ascii="Arial" w:hAnsi="Arial" w:cs="Arial"/>
          <w:sz w:val="24"/>
          <w:szCs w:val="24"/>
        </w:rPr>
        <w:t xml:space="preserve"> 5</w:t>
      </w:r>
      <w:r w:rsidRPr="00884DAF">
        <w:rPr>
          <w:rFonts w:ascii="Arial" w:hAnsi="Arial" w:cs="Arial"/>
          <w:sz w:val="24"/>
          <w:szCs w:val="24"/>
          <w:vertAlign w:val="superscript"/>
        </w:rPr>
        <w:t>th</w:t>
      </w:r>
      <w:r w:rsidRPr="00884DAF">
        <w:rPr>
          <w:rFonts w:ascii="Arial" w:hAnsi="Arial" w:cs="Arial"/>
          <w:sz w:val="24"/>
          <w:szCs w:val="24"/>
        </w:rPr>
        <w:t xml:space="preserve"> </w:t>
      </w:r>
      <w:r w:rsidRPr="00884DAF">
        <w:rPr>
          <w:rFonts w:ascii="Arial" w:hAnsi="Arial" w:cs="Arial"/>
          <w:color w:val="181817"/>
          <w:sz w:val="24"/>
          <w:szCs w:val="24"/>
          <w:shd w:val="clear" w:color="auto" w:fill="FFFFFF"/>
        </w:rPr>
        <w:t>edn. London: Old Bailey Press</w:t>
      </w:r>
    </w:p>
    <w:p w14:paraId="6B6BE615" w14:textId="77777777" w:rsidR="00884DAF" w:rsidRPr="00884DAF" w:rsidRDefault="00884DAF" w:rsidP="00884DAF">
      <w:pPr>
        <w:spacing w:line="480" w:lineRule="auto"/>
        <w:rPr>
          <w:rFonts w:ascii="Arial" w:hAnsi="Arial" w:cs="Arial"/>
          <w:sz w:val="24"/>
          <w:szCs w:val="24"/>
        </w:rPr>
      </w:pPr>
      <w:r w:rsidRPr="00884DAF">
        <w:rPr>
          <w:rFonts w:ascii="Arial" w:hAnsi="Arial" w:cs="Arial"/>
          <w:color w:val="181817"/>
          <w:sz w:val="24"/>
          <w:szCs w:val="24"/>
          <w:shd w:val="clear" w:color="auto" w:fill="FFFFFF"/>
        </w:rPr>
        <w:t xml:space="preserve">Bevan, C. (2019) </w:t>
      </w:r>
      <w:r w:rsidRPr="00884DAF">
        <w:rPr>
          <w:rFonts w:ascii="Arial" w:hAnsi="Arial" w:cs="Arial"/>
          <w:i/>
          <w:iCs/>
          <w:color w:val="181817"/>
          <w:sz w:val="24"/>
          <w:szCs w:val="24"/>
          <w:shd w:val="clear" w:color="auto" w:fill="FFFFFF"/>
        </w:rPr>
        <w:t>Opening Pandora’s Box? Recreation Pure and Simple: Easements in the Supreme Court: Regency Villas Title Ltd v Daimond Resorts (Europe) Ltd. Conveyancer and Property Lawyer Journal 15.</w:t>
      </w:r>
      <w:r w:rsidRPr="00884DAF">
        <w:rPr>
          <w:rFonts w:ascii="Arial" w:hAnsi="Arial" w:cs="Arial"/>
          <w:color w:val="181817"/>
          <w:sz w:val="24"/>
          <w:szCs w:val="24"/>
          <w:shd w:val="clear" w:color="auto" w:fill="FFFFFF"/>
        </w:rPr>
        <w:t xml:space="preserve"> 83(1) pp. 44-62</w:t>
      </w:r>
    </w:p>
    <w:p w14:paraId="256692DD"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 xml:space="preserve">Bevan, C. (2022) </w:t>
      </w:r>
      <w:r w:rsidRPr="00884DAF">
        <w:rPr>
          <w:rFonts w:ascii="Arial" w:hAnsi="Arial" w:cs="Arial"/>
          <w:i/>
          <w:iCs/>
          <w:sz w:val="24"/>
          <w:szCs w:val="24"/>
        </w:rPr>
        <w:t>Land Law.</w:t>
      </w:r>
      <w:r w:rsidRPr="00884DAF">
        <w:rPr>
          <w:rFonts w:ascii="Arial" w:hAnsi="Arial" w:cs="Arial"/>
          <w:sz w:val="24"/>
          <w:szCs w:val="24"/>
        </w:rPr>
        <w:t xml:space="preserve"> 3</w:t>
      </w:r>
      <w:r w:rsidRPr="00884DAF">
        <w:rPr>
          <w:rFonts w:ascii="Arial" w:hAnsi="Arial" w:cs="Arial"/>
          <w:sz w:val="24"/>
          <w:szCs w:val="24"/>
          <w:vertAlign w:val="superscript"/>
        </w:rPr>
        <w:t>rd</w:t>
      </w:r>
      <w:r w:rsidRPr="00884DAF">
        <w:rPr>
          <w:rFonts w:ascii="Arial" w:hAnsi="Arial" w:cs="Arial"/>
          <w:sz w:val="24"/>
          <w:szCs w:val="24"/>
        </w:rPr>
        <w:t xml:space="preserve"> edn. Oxford: Oxford University Press</w:t>
      </w:r>
    </w:p>
    <w:p w14:paraId="6B1CFD07" w14:textId="77777777" w:rsidR="00884DAF" w:rsidRPr="00884DAF" w:rsidRDefault="00884DAF" w:rsidP="00884DAF">
      <w:pPr>
        <w:spacing w:line="480" w:lineRule="auto"/>
        <w:rPr>
          <w:rFonts w:ascii="Arial" w:hAnsi="Arial" w:cs="Arial"/>
          <w:color w:val="181817"/>
          <w:sz w:val="24"/>
          <w:szCs w:val="24"/>
          <w:shd w:val="clear" w:color="auto" w:fill="FFFFFF"/>
        </w:rPr>
      </w:pPr>
      <w:r w:rsidRPr="00884DAF">
        <w:rPr>
          <w:rFonts w:ascii="Arial" w:hAnsi="Arial" w:cs="Arial"/>
          <w:color w:val="181817"/>
          <w:sz w:val="24"/>
          <w:szCs w:val="24"/>
          <w:shd w:val="clear" w:color="auto" w:fill="FFFFFF"/>
        </w:rPr>
        <w:t xml:space="preserve">Bridge, S. (2009) </w:t>
      </w:r>
      <w:r w:rsidRPr="00884DAF">
        <w:rPr>
          <w:rFonts w:ascii="Arial" w:hAnsi="Arial" w:cs="Arial"/>
          <w:i/>
          <w:iCs/>
          <w:color w:val="181817"/>
          <w:sz w:val="24"/>
          <w:szCs w:val="24"/>
          <w:shd w:val="clear" w:color="auto" w:fill="FFFFFF"/>
        </w:rPr>
        <w:t>‘Prescriptive Easement: Capacity To Grant’</w:t>
      </w:r>
      <w:r w:rsidRPr="00884DAF">
        <w:rPr>
          <w:rFonts w:ascii="Arial" w:hAnsi="Arial" w:cs="Arial"/>
          <w:color w:val="181817"/>
          <w:sz w:val="24"/>
          <w:szCs w:val="24"/>
          <w:shd w:val="clear" w:color="auto" w:fill="FFFFFF"/>
        </w:rPr>
        <w:t>, </w:t>
      </w:r>
      <w:r w:rsidRPr="00884DAF">
        <w:rPr>
          <w:rFonts w:ascii="Arial" w:hAnsi="Arial" w:cs="Arial"/>
          <w:i/>
          <w:iCs/>
          <w:color w:val="181817"/>
          <w:sz w:val="24"/>
          <w:szCs w:val="24"/>
          <w:bdr w:val="none" w:sz="0" w:space="0" w:color="auto" w:frame="1"/>
          <w:shd w:val="clear" w:color="auto" w:fill="FFFFFF"/>
        </w:rPr>
        <w:t>The Cambridge Law Journal</w:t>
      </w:r>
      <w:r w:rsidRPr="00884DAF">
        <w:rPr>
          <w:rFonts w:ascii="Arial" w:hAnsi="Arial" w:cs="Arial"/>
          <w:color w:val="181817"/>
          <w:sz w:val="24"/>
          <w:szCs w:val="24"/>
          <w:shd w:val="clear" w:color="auto" w:fill="FFFFFF"/>
        </w:rPr>
        <w:t>. Cambridge University Press, 68(1), pp. 40–42. doi: https://10.1017/S0008197309000312.</w:t>
      </w:r>
    </w:p>
    <w:p w14:paraId="5223E017" w14:textId="77777777" w:rsidR="00884DAF" w:rsidRPr="00884DAF" w:rsidRDefault="00884DAF" w:rsidP="00884DAF">
      <w:pPr>
        <w:spacing w:line="480" w:lineRule="auto"/>
        <w:jc w:val="both"/>
        <w:rPr>
          <w:rFonts w:ascii="Arial" w:hAnsi="Arial" w:cs="Arial"/>
          <w:color w:val="26282A"/>
          <w:sz w:val="24"/>
          <w:szCs w:val="24"/>
          <w:shd w:val="clear" w:color="auto" w:fill="FFFFFF"/>
        </w:rPr>
      </w:pPr>
      <w:r w:rsidRPr="00884DAF">
        <w:rPr>
          <w:rFonts w:ascii="Arial" w:hAnsi="Arial" w:cs="Arial"/>
          <w:color w:val="26282A"/>
          <w:sz w:val="24"/>
          <w:szCs w:val="24"/>
          <w:shd w:val="clear" w:color="auto" w:fill="FFFFFF"/>
        </w:rPr>
        <w:t>Bogusz, B. (2013) ‘</w:t>
      </w:r>
      <w:r w:rsidRPr="00884DAF">
        <w:rPr>
          <w:rFonts w:ascii="Arial" w:hAnsi="Arial" w:cs="Arial"/>
          <w:i/>
          <w:iCs/>
          <w:color w:val="26282A"/>
          <w:sz w:val="24"/>
          <w:szCs w:val="24"/>
          <w:shd w:val="clear" w:color="auto" w:fill="FFFFFF"/>
        </w:rPr>
        <w:t>The Doctrine of Lost Modern Grant back to the future or time to move on?’</w:t>
      </w:r>
      <w:r w:rsidRPr="00884DAF">
        <w:rPr>
          <w:rFonts w:ascii="Arial" w:hAnsi="Arial" w:cs="Arial"/>
          <w:color w:val="26282A"/>
          <w:sz w:val="24"/>
          <w:szCs w:val="24"/>
          <w:shd w:val="clear" w:color="auto" w:fill="FFFFFF"/>
        </w:rPr>
        <w:t xml:space="preserve"> </w:t>
      </w:r>
      <w:r w:rsidRPr="00884DAF">
        <w:rPr>
          <w:rFonts w:ascii="Arial" w:hAnsi="Arial" w:cs="Arial"/>
          <w:i/>
          <w:iCs/>
          <w:color w:val="26282A"/>
          <w:sz w:val="24"/>
          <w:szCs w:val="24"/>
          <w:shd w:val="clear" w:color="auto" w:fill="FFFFFF"/>
        </w:rPr>
        <w:t>Conveyancer and Property Lawyer</w:t>
      </w:r>
      <w:r w:rsidRPr="00884DAF">
        <w:rPr>
          <w:rFonts w:ascii="Arial" w:hAnsi="Arial" w:cs="Arial"/>
          <w:color w:val="26282A"/>
          <w:sz w:val="24"/>
          <w:szCs w:val="24"/>
          <w:shd w:val="clear" w:color="auto" w:fill="FFFFFF"/>
        </w:rPr>
        <w:t>. London:Sweet &amp; Maxwell</w:t>
      </w:r>
    </w:p>
    <w:p w14:paraId="4558B795" w14:textId="77777777" w:rsidR="00884DAF" w:rsidRPr="00884DAF" w:rsidRDefault="00884DAF" w:rsidP="00884DAF">
      <w:pPr>
        <w:spacing w:line="480" w:lineRule="auto"/>
        <w:jc w:val="both"/>
        <w:rPr>
          <w:rFonts w:ascii="Arial" w:hAnsi="Arial" w:cs="Arial"/>
          <w:color w:val="26282A"/>
          <w:sz w:val="24"/>
          <w:szCs w:val="24"/>
          <w:shd w:val="clear" w:color="auto" w:fill="FFFFFF"/>
        </w:rPr>
      </w:pPr>
      <w:r w:rsidRPr="00884DAF">
        <w:rPr>
          <w:rFonts w:ascii="Arial" w:hAnsi="Arial" w:cs="Arial"/>
          <w:color w:val="26282A"/>
          <w:sz w:val="24"/>
          <w:szCs w:val="24"/>
          <w:shd w:val="clear" w:color="auto" w:fill="FFFFFF"/>
        </w:rPr>
        <w:t>Bradbrook, A. (1983) ‘Access to Landlocked Land: A Comparative Study of Legal Solutions’ 10 Sydney Lr 39, 56</w:t>
      </w:r>
    </w:p>
    <w:p w14:paraId="7787B82D" w14:textId="77777777" w:rsidR="00884DAF" w:rsidRPr="00884DAF" w:rsidRDefault="00884DAF" w:rsidP="00884DAF">
      <w:pPr>
        <w:spacing w:line="480" w:lineRule="auto"/>
        <w:jc w:val="both"/>
        <w:rPr>
          <w:rFonts w:ascii="Arial" w:hAnsi="Arial" w:cs="Arial"/>
          <w:color w:val="26282A"/>
          <w:sz w:val="24"/>
          <w:szCs w:val="24"/>
          <w:shd w:val="clear" w:color="auto" w:fill="FFFFFF"/>
        </w:rPr>
      </w:pPr>
      <w:r w:rsidRPr="00884DAF">
        <w:rPr>
          <w:rFonts w:ascii="Arial" w:hAnsi="Arial" w:cs="Arial"/>
          <w:color w:val="26282A"/>
          <w:sz w:val="24"/>
          <w:szCs w:val="24"/>
          <w:shd w:val="clear" w:color="auto" w:fill="FFFFFF"/>
        </w:rPr>
        <w:t>Burn, E. and Cartwright, J. (2011</w:t>
      </w:r>
      <w:r w:rsidRPr="00884DAF">
        <w:rPr>
          <w:rFonts w:ascii="Arial" w:hAnsi="Arial" w:cs="Arial"/>
          <w:i/>
          <w:iCs/>
          <w:color w:val="26282A"/>
          <w:sz w:val="24"/>
          <w:szCs w:val="24"/>
          <w:shd w:val="clear" w:color="auto" w:fill="FFFFFF"/>
        </w:rPr>
        <w:t>) Chesire and Burn’s Modern Law of Real Property.</w:t>
      </w:r>
      <w:r w:rsidRPr="00884DAF">
        <w:rPr>
          <w:rFonts w:ascii="Arial" w:hAnsi="Arial" w:cs="Arial"/>
          <w:color w:val="26282A"/>
          <w:sz w:val="24"/>
          <w:szCs w:val="24"/>
          <w:shd w:val="clear" w:color="auto" w:fill="FFFFFF"/>
        </w:rPr>
        <w:t xml:space="preserve"> 18</w:t>
      </w:r>
      <w:r w:rsidRPr="00884DAF">
        <w:rPr>
          <w:rFonts w:ascii="Arial" w:hAnsi="Arial" w:cs="Arial"/>
          <w:color w:val="26282A"/>
          <w:sz w:val="24"/>
          <w:szCs w:val="24"/>
          <w:shd w:val="clear" w:color="auto" w:fill="FFFFFF"/>
          <w:vertAlign w:val="superscript"/>
        </w:rPr>
        <w:t>th</w:t>
      </w:r>
      <w:r w:rsidRPr="00884DAF">
        <w:rPr>
          <w:rFonts w:ascii="Arial" w:hAnsi="Arial" w:cs="Arial"/>
          <w:color w:val="26282A"/>
          <w:sz w:val="24"/>
          <w:szCs w:val="24"/>
          <w:shd w:val="clear" w:color="auto" w:fill="FFFFFF"/>
        </w:rPr>
        <w:t xml:space="preserve"> edn. Oxford: Oxford University Press</w:t>
      </w:r>
    </w:p>
    <w:p w14:paraId="2CB18984"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 xml:space="preserve">Cooke, E. (2012) </w:t>
      </w:r>
      <w:r w:rsidRPr="00884DAF">
        <w:rPr>
          <w:rFonts w:ascii="Arial" w:hAnsi="Arial" w:cs="Arial"/>
          <w:i/>
          <w:iCs/>
          <w:sz w:val="24"/>
          <w:szCs w:val="24"/>
        </w:rPr>
        <w:t xml:space="preserve">Land Law (Clarendon Law Series). </w:t>
      </w:r>
      <w:r w:rsidRPr="00884DAF">
        <w:rPr>
          <w:rFonts w:ascii="Arial" w:hAnsi="Arial" w:cs="Arial"/>
          <w:sz w:val="24"/>
          <w:szCs w:val="24"/>
        </w:rPr>
        <w:t>2</w:t>
      </w:r>
      <w:r w:rsidRPr="00884DAF">
        <w:rPr>
          <w:rFonts w:ascii="Arial" w:hAnsi="Arial" w:cs="Arial"/>
          <w:sz w:val="24"/>
          <w:szCs w:val="24"/>
          <w:vertAlign w:val="superscript"/>
        </w:rPr>
        <w:t>nd</w:t>
      </w:r>
      <w:r w:rsidRPr="00884DAF">
        <w:rPr>
          <w:rFonts w:ascii="Arial" w:hAnsi="Arial" w:cs="Arial"/>
          <w:sz w:val="24"/>
          <w:szCs w:val="24"/>
        </w:rPr>
        <w:t xml:space="preserve"> edn. London: </w:t>
      </w:r>
      <w:r w:rsidRPr="00884DAF">
        <w:rPr>
          <w:rFonts w:ascii="Arial" w:hAnsi="Arial" w:cs="Arial"/>
          <w:color w:val="181817"/>
          <w:sz w:val="24"/>
          <w:szCs w:val="24"/>
          <w:shd w:val="clear" w:color="auto" w:fill="FFFFFF"/>
        </w:rPr>
        <w:t>Butterworths</w:t>
      </w:r>
    </w:p>
    <w:p w14:paraId="31F54779" w14:textId="77777777" w:rsidR="00884DAF" w:rsidRPr="00884DAF" w:rsidRDefault="00884DAF" w:rsidP="00884DAF">
      <w:pPr>
        <w:spacing w:line="480" w:lineRule="auto"/>
        <w:rPr>
          <w:rFonts w:ascii="Arial" w:hAnsi="Arial" w:cs="Arial"/>
          <w:color w:val="181817"/>
          <w:sz w:val="24"/>
          <w:szCs w:val="24"/>
          <w:shd w:val="clear" w:color="auto" w:fill="FFFFFF"/>
        </w:rPr>
      </w:pPr>
      <w:r w:rsidRPr="00884DAF">
        <w:rPr>
          <w:rFonts w:ascii="Arial" w:hAnsi="Arial" w:cs="Arial"/>
          <w:color w:val="181817"/>
          <w:sz w:val="24"/>
          <w:szCs w:val="24"/>
          <w:shd w:val="clear" w:color="auto" w:fill="FFFFFF"/>
        </w:rPr>
        <w:t xml:space="preserve">Chappelle, D. (1999) </w:t>
      </w:r>
      <w:r w:rsidRPr="00884DAF">
        <w:rPr>
          <w:rFonts w:ascii="Arial" w:hAnsi="Arial" w:cs="Arial"/>
          <w:i/>
          <w:iCs/>
          <w:color w:val="181817"/>
          <w:sz w:val="24"/>
          <w:szCs w:val="24"/>
          <w:shd w:val="clear" w:color="auto" w:fill="FFFFFF"/>
        </w:rPr>
        <w:t>Land Law.</w:t>
      </w:r>
      <w:r w:rsidRPr="00884DAF">
        <w:rPr>
          <w:rFonts w:ascii="Arial" w:hAnsi="Arial" w:cs="Arial"/>
          <w:color w:val="181817"/>
          <w:sz w:val="24"/>
          <w:szCs w:val="24"/>
          <w:shd w:val="clear" w:color="auto" w:fill="FFFFFF"/>
        </w:rPr>
        <w:t xml:space="preserve"> 4</w:t>
      </w:r>
      <w:r w:rsidRPr="00884DAF">
        <w:rPr>
          <w:rFonts w:ascii="Arial" w:hAnsi="Arial" w:cs="Arial"/>
          <w:color w:val="181817"/>
          <w:sz w:val="24"/>
          <w:szCs w:val="24"/>
          <w:shd w:val="clear" w:color="auto" w:fill="FFFFFF"/>
          <w:vertAlign w:val="superscript"/>
        </w:rPr>
        <w:t>th</w:t>
      </w:r>
      <w:r w:rsidRPr="00884DAF">
        <w:rPr>
          <w:rFonts w:ascii="Arial" w:hAnsi="Arial" w:cs="Arial"/>
          <w:color w:val="181817"/>
          <w:sz w:val="24"/>
          <w:szCs w:val="24"/>
          <w:shd w:val="clear" w:color="auto" w:fill="FFFFFF"/>
        </w:rPr>
        <w:t xml:space="preserve"> edn. London: Pitman Publishing</w:t>
      </w:r>
    </w:p>
    <w:p w14:paraId="29C3C17A" w14:textId="77777777" w:rsidR="00884DAF" w:rsidRPr="00884DAF" w:rsidRDefault="00884DAF" w:rsidP="00884DAF">
      <w:pPr>
        <w:pStyle w:val="ydpc595d14dyiv9060547353ydp6438de93msonormal"/>
        <w:spacing w:before="240" w:line="480" w:lineRule="auto"/>
        <w:jc w:val="both"/>
        <w:rPr>
          <w:rFonts w:ascii="Arial" w:hAnsi="Arial" w:cs="Arial"/>
          <w:color w:val="26282A"/>
          <w:shd w:val="clear" w:color="auto" w:fill="FFFFFF"/>
        </w:rPr>
      </w:pPr>
      <w:r w:rsidRPr="00884DAF">
        <w:rPr>
          <w:rFonts w:ascii="Arial" w:hAnsi="Arial" w:cs="Arial"/>
        </w:rPr>
        <w:t xml:space="preserve">Dixon, M. (2016) </w:t>
      </w:r>
      <w:r w:rsidRPr="00884DAF">
        <w:rPr>
          <w:rFonts w:ascii="Arial" w:hAnsi="Arial" w:cs="Arial"/>
          <w:i/>
          <w:iCs/>
        </w:rPr>
        <w:t>Modern Land Law</w:t>
      </w:r>
      <w:r w:rsidRPr="00884DAF">
        <w:rPr>
          <w:rFonts w:ascii="Arial" w:hAnsi="Arial" w:cs="Arial"/>
        </w:rPr>
        <w:t>. 10</w:t>
      </w:r>
      <w:r w:rsidRPr="00884DAF">
        <w:rPr>
          <w:rFonts w:ascii="Arial" w:hAnsi="Arial" w:cs="Arial"/>
          <w:vertAlign w:val="superscript"/>
        </w:rPr>
        <w:t>th</w:t>
      </w:r>
      <w:r w:rsidRPr="00884DAF">
        <w:rPr>
          <w:rFonts w:ascii="Arial" w:hAnsi="Arial" w:cs="Arial"/>
        </w:rPr>
        <w:t xml:space="preserve"> edn. Oxon: Routledge</w:t>
      </w:r>
    </w:p>
    <w:p w14:paraId="55E23AF6" w14:textId="77777777" w:rsidR="00884DAF" w:rsidRPr="00884DAF" w:rsidRDefault="00884DAF" w:rsidP="00884DAF">
      <w:pPr>
        <w:spacing w:line="480" w:lineRule="auto"/>
        <w:rPr>
          <w:rFonts w:ascii="Arial" w:hAnsi="Arial" w:cs="Arial"/>
          <w:color w:val="181817"/>
          <w:sz w:val="24"/>
          <w:szCs w:val="24"/>
          <w:shd w:val="clear" w:color="auto" w:fill="FFFFFF"/>
        </w:rPr>
      </w:pPr>
      <w:r w:rsidRPr="00884DAF">
        <w:rPr>
          <w:rFonts w:ascii="Arial" w:hAnsi="Arial" w:cs="Arial"/>
          <w:color w:val="181817"/>
          <w:sz w:val="24"/>
          <w:szCs w:val="24"/>
          <w:shd w:val="clear" w:color="auto" w:fill="FFFFFF"/>
        </w:rPr>
        <w:t>Douglas (2015) ‘</w:t>
      </w:r>
      <w:r w:rsidRPr="00884DAF">
        <w:rPr>
          <w:rFonts w:ascii="Arial" w:hAnsi="Arial" w:cs="Arial"/>
          <w:i/>
          <w:iCs/>
          <w:color w:val="181817"/>
          <w:sz w:val="24"/>
          <w:szCs w:val="24"/>
          <w:shd w:val="clear" w:color="auto" w:fill="FFFFFF"/>
        </w:rPr>
        <w:t>How to Reform Section 62 of the Law of Property Act 1925’. 79 Conveyancer and Lawyer</w:t>
      </w:r>
      <w:r w:rsidRPr="00884DAF">
        <w:rPr>
          <w:rFonts w:ascii="Arial" w:hAnsi="Arial" w:cs="Arial"/>
          <w:color w:val="181817"/>
          <w:sz w:val="24"/>
          <w:szCs w:val="24"/>
          <w:shd w:val="clear" w:color="auto" w:fill="FFFFFF"/>
        </w:rPr>
        <w:t xml:space="preserve"> 13 p. 79. London: Sweet &amp; Maxwell</w:t>
      </w:r>
    </w:p>
    <w:p w14:paraId="62FCE0CF" w14:textId="77777777" w:rsidR="00884DAF" w:rsidRPr="00884DAF" w:rsidRDefault="00884DAF" w:rsidP="00884DAF">
      <w:pPr>
        <w:spacing w:line="480" w:lineRule="auto"/>
        <w:rPr>
          <w:rFonts w:ascii="Arial" w:hAnsi="Arial" w:cs="Arial"/>
          <w:sz w:val="24"/>
          <w:szCs w:val="24"/>
        </w:rPr>
      </w:pPr>
      <w:r w:rsidRPr="00884DAF">
        <w:rPr>
          <w:rFonts w:ascii="Arial" w:hAnsi="Arial" w:cs="Arial"/>
          <w:color w:val="181817"/>
          <w:sz w:val="24"/>
          <w:szCs w:val="24"/>
          <w:shd w:val="clear" w:color="auto" w:fill="FFFFFF"/>
        </w:rPr>
        <w:t>Edward, B. and Cartwright, J. (2011</w:t>
      </w:r>
      <w:r w:rsidRPr="00884DAF">
        <w:rPr>
          <w:rFonts w:ascii="Arial" w:hAnsi="Arial" w:cs="Arial"/>
          <w:i/>
          <w:iCs/>
          <w:color w:val="181817"/>
          <w:sz w:val="24"/>
          <w:szCs w:val="24"/>
          <w:shd w:val="clear" w:color="auto" w:fill="FFFFFF"/>
        </w:rPr>
        <w:t>) Chesire and Burn’s Modern Law of Real Property.</w:t>
      </w:r>
      <w:r w:rsidRPr="00884DAF">
        <w:rPr>
          <w:rFonts w:ascii="Arial" w:hAnsi="Arial" w:cs="Arial"/>
          <w:color w:val="181817"/>
          <w:sz w:val="24"/>
          <w:szCs w:val="24"/>
          <w:shd w:val="clear" w:color="auto" w:fill="FFFFFF"/>
        </w:rPr>
        <w:t xml:space="preserve"> 18</w:t>
      </w:r>
      <w:r w:rsidRPr="00884DAF">
        <w:rPr>
          <w:rFonts w:ascii="Arial" w:hAnsi="Arial" w:cs="Arial"/>
          <w:color w:val="181817"/>
          <w:sz w:val="24"/>
          <w:szCs w:val="24"/>
          <w:shd w:val="clear" w:color="auto" w:fill="FFFFFF"/>
          <w:vertAlign w:val="superscript"/>
        </w:rPr>
        <w:t>th</w:t>
      </w:r>
      <w:r w:rsidRPr="00884DAF">
        <w:rPr>
          <w:rFonts w:ascii="Arial" w:hAnsi="Arial" w:cs="Arial"/>
          <w:color w:val="181817"/>
          <w:sz w:val="24"/>
          <w:szCs w:val="24"/>
          <w:shd w:val="clear" w:color="auto" w:fill="FFFFFF"/>
        </w:rPr>
        <w:t xml:space="preserve"> edn. Oxford: Oxford University Press </w:t>
      </w:r>
    </w:p>
    <w:p w14:paraId="1A493F31"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lastRenderedPageBreak/>
        <w:t xml:space="preserve">Cookie, E. Bridge, S. and Dixon, M. (2019) </w:t>
      </w:r>
      <w:r w:rsidRPr="00884DAF">
        <w:rPr>
          <w:rFonts w:ascii="Arial" w:hAnsi="Arial" w:cs="Arial"/>
          <w:i/>
          <w:iCs/>
          <w:sz w:val="24"/>
          <w:szCs w:val="24"/>
        </w:rPr>
        <w:t>Megarry and Wade: The Law of Real Property</w:t>
      </w:r>
      <w:r w:rsidRPr="00884DAF">
        <w:rPr>
          <w:rFonts w:ascii="Arial" w:hAnsi="Arial" w:cs="Arial"/>
          <w:sz w:val="24"/>
          <w:szCs w:val="24"/>
        </w:rPr>
        <w:t>. 9</w:t>
      </w:r>
      <w:r w:rsidRPr="00884DAF">
        <w:rPr>
          <w:rFonts w:ascii="Arial" w:hAnsi="Arial" w:cs="Arial"/>
          <w:sz w:val="24"/>
          <w:szCs w:val="24"/>
          <w:vertAlign w:val="superscript"/>
        </w:rPr>
        <w:t>th</w:t>
      </w:r>
      <w:r w:rsidRPr="00884DAF">
        <w:rPr>
          <w:rFonts w:ascii="Arial" w:hAnsi="Arial" w:cs="Arial"/>
          <w:sz w:val="24"/>
          <w:szCs w:val="24"/>
        </w:rPr>
        <w:t xml:space="preserve"> edn. London: Sweet &amp; Maxwell</w:t>
      </w:r>
    </w:p>
    <w:p w14:paraId="0709F40D"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 xml:space="preserve">Gardner, S. and MacKenzie, E. (2015) </w:t>
      </w:r>
      <w:r w:rsidRPr="00884DAF">
        <w:rPr>
          <w:rFonts w:ascii="Arial" w:hAnsi="Arial" w:cs="Arial"/>
          <w:i/>
          <w:iCs/>
          <w:sz w:val="24"/>
          <w:szCs w:val="24"/>
        </w:rPr>
        <w:t>An Introduction to Land Law</w:t>
      </w:r>
      <w:r w:rsidRPr="00884DAF">
        <w:rPr>
          <w:rFonts w:ascii="Arial" w:hAnsi="Arial" w:cs="Arial"/>
          <w:sz w:val="24"/>
          <w:szCs w:val="24"/>
        </w:rPr>
        <w:t>. 4</w:t>
      </w:r>
      <w:r w:rsidRPr="00884DAF">
        <w:rPr>
          <w:rFonts w:ascii="Arial" w:hAnsi="Arial" w:cs="Arial"/>
          <w:sz w:val="24"/>
          <w:szCs w:val="24"/>
          <w:vertAlign w:val="superscript"/>
        </w:rPr>
        <w:t>th</w:t>
      </w:r>
      <w:r w:rsidRPr="00884DAF">
        <w:rPr>
          <w:rFonts w:ascii="Arial" w:hAnsi="Arial" w:cs="Arial"/>
          <w:sz w:val="24"/>
          <w:szCs w:val="24"/>
        </w:rPr>
        <w:t xml:space="preserve"> ed. London: Hart Publishing</w:t>
      </w:r>
    </w:p>
    <w:p w14:paraId="23E44182"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 xml:space="preserve">Gardner, S. (2016) </w:t>
      </w:r>
      <w:r w:rsidRPr="00884DAF">
        <w:rPr>
          <w:rFonts w:ascii="Arial" w:hAnsi="Arial" w:cs="Arial"/>
          <w:i/>
          <w:iCs/>
          <w:sz w:val="24"/>
          <w:szCs w:val="24"/>
        </w:rPr>
        <w:t>‘The Grant of an Easement under the Law of Property Act 1925 Section 62.’</w:t>
      </w:r>
      <w:r w:rsidRPr="00884DAF">
        <w:rPr>
          <w:rFonts w:ascii="Arial" w:hAnsi="Arial" w:cs="Arial"/>
          <w:sz w:val="24"/>
          <w:szCs w:val="24"/>
        </w:rPr>
        <w:t xml:space="preserve"> LQR 192, pp.196</w:t>
      </w:r>
    </w:p>
    <w:p w14:paraId="06B1E734" w14:textId="77777777" w:rsidR="00884DAF" w:rsidRPr="00884DAF" w:rsidRDefault="00884DAF" w:rsidP="00884DAF">
      <w:pPr>
        <w:spacing w:line="480" w:lineRule="auto"/>
        <w:rPr>
          <w:rFonts w:ascii="Arial" w:hAnsi="Arial" w:cs="Arial"/>
          <w:sz w:val="24"/>
          <w:szCs w:val="24"/>
        </w:rPr>
      </w:pPr>
      <w:bookmarkStart w:id="13" w:name="_Hlk117372553"/>
      <w:r w:rsidRPr="00884DAF">
        <w:rPr>
          <w:rFonts w:ascii="Arial" w:hAnsi="Arial" w:cs="Arial"/>
          <w:sz w:val="24"/>
          <w:szCs w:val="24"/>
        </w:rPr>
        <w:t xml:space="preserve">Gaunt, J. and Morgan, P. (2008) </w:t>
      </w:r>
      <w:bookmarkEnd w:id="13"/>
      <w:r w:rsidRPr="00884DAF">
        <w:rPr>
          <w:rFonts w:ascii="Arial" w:hAnsi="Arial" w:cs="Arial"/>
          <w:i/>
          <w:iCs/>
          <w:sz w:val="24"/>
          <w:szCs w:val="24"/>
        </w:rPr>
        <w:t>Gale on Easements</w:t>
      </w:r>
      <w:r w:rsidRPr="00884DAF">
        <w:rPr>
          <w:rFonts w:ascii="Arial" w:hAnsi="Arial" w:cs="Arial"/>
          <w:sz w:val="24"/>
          <w:szCs w:val="24"/>
        </w:rPr>
        <w:t>. 18</w:t>
      </w:r>
      <w:r w:rsidRPr="00884DAF">
        <w:rPr>
          <w:rFonts w:ascii="Arial" w:hAnsi="Arial" w:cs="Arial"/>
          <w:sz w:val="24"/>
          <w:szCs w:val="24"/>
          <w:vertAlign w:val="superscript"/>
        </w:rPr>
        <w:t>th</w:t>
      </w:r>
      <w:r w:rsidRPr="00884DAF">
        <w:rPr>
          <w:rFonts w:ascii="Arial" w:hAnsi="Arial" w:cs="Arial"/>
          <w:sz w:val="24"/>
          <w:szCs w:val="24"/>
        </w:rPr>
        <w:t xml:space="preserve"> ed. London: Sweet &amp; Maxwell </w:t>
      </w:r>
    </w:p>
    <w:p w14:paraId="71FF7A99"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 xml:space="preserve">Goymour, A. (2007) ‘Rights in Property and the Effluxion of Time’ in Modern Studies in Property Law Vol 4 (ed. Cooke, p. 182). </w:t>
      </w:r>
      <w:r w:rsidRPr="00884DAF">
        <w:rPr>
          <w:rFonts w:ascii="Arial" w:hAnsi="Arial" w:cs="Arial"/>
          <w:i/>
          <w:iCs/>
          <w:sz w:val="24"/>
          <w:szCs w:val="24"/>
        </w:rPr>
        <w:t>London: Hart Publishing</w:t>
      </w:r>
    </w:p>
    <w:p w14:paraId="710F2F13"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Gray, K. and Gray, S. F (2009) Elements of Land Law 5</w:t>
      </w:r>
      <w:r w:rsidRPr="00884DAF">
        <w:rPr>
          <w:rFonts w:ascii="Arial" w:hAnsi="Arial" w:cs="Arial"/>
          <w:sz w:val="24"/>
          <w:szCs w:val="24"/>
          <w:vertAlign w:val="superscript"/>
        </w:rPr>
        <w:t>th</w:t>
      </w:r>
      <w:r w:rsidRPr="00884DAF">
        <w:rPr>
          <w:rFonts w:ascii="Arial" w:hAnsi="Arial" w:cs="Arial"/>
          <w:sz w:val="24"/>
          <w:szCs w:val="24"/>
        </w:rPr>
        <w:t xml:space="preserve"> ed. </w:t>
      </w:r>
    </w:p>
    <w:p w14:paraId="6E8DD087"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 xml:space="preserve">Gray, K. and Gray, S (2003) </w:t>
      </w:r>
      <w:r w:rsidRPr="00884DAF">
        <w:rPr>
          <w:rFonts w:ascii="Arial" w:hAnsi="Arial" w:cs="Arial"/>
          <w:i/>
          <w:iCs/>
          <w:sz w:val="24"/>
          <w:szCs w:val="24"/>
        </w:rPr>
        <w:t>‘The Rhetoric of Reality’, in J Getzler (ed), Rationalising Property, Equity and Trusts: Essays in Honour of Edward Burn</w:t>
      </w:r>
      <w:r w:rsidRPr="00884DAF">
        <w:rPr>
          <w:rFonts w:ascii="Arial" w:hAnsi="Arial" w:cs="Arial"/>
          <w:sz w:val="24"/>
          <w:szCs w:val="24"/>
        </w:rPr>
        <w:t>. London: Butterworths, pp 210-13</w:t>
      </w:r>
    </w:p>
    <w:p w14:paraId="5185C926" w14:textId="77777777" w:rsidR="00884DAF" w:rsidRPr="00884DAF" w:rsidRDefault="00884DAF" w:rsidP="00884DAF">
      <w:pPr>
        <w:spacing w:line="480" w:lineRule="auto"/>
        <w:rPr>
          <w:rFonts w:ascii="Arial" w:hAnsi="Arial" w:cs="Arial"/>
          <w:i/>
          <w:iCs/>
          <w:sz w:val="24"/>
          <w:szCs w:val="24"/>
        </w:rPr>
      </w:pPr>
      <w:r w:rsidRPr="00884DAF">
        <w:rPr>
          <w:rFonts w:ascii="Arial" w:hAnsi="Arial" w:cs="Arial"/>
          <w:sz w:val="24"/>
          <w:szCs w:val="24"/>
        </w:rPr>
        <w:t xml:space="preserve">Getzler, J. and Burn, E. (2003) </w:t>
      </w:r>
      <w:r w:rsidRPr="00884DAF">
        <w:rPr>
          <w:rFonts w:ascii="Arial" w:hAnsi="Arial" w:cs="Arial"/>
          <w:i/>
          <w:iCs/>
          <w:sz w:val="24"/>
          <w:szCs w:val="24"/>
        </w:rPr>
        <w:t xml:space="preserve">Rationalising Property, Equity, and Trusts: Essays in Honour of Edward Burn. </w:t>
      </w:r>
      <w:r w:rsidRPr="00884DAF">
        <w:rPr>
          <w:rFonts w:ascii="Arial" w:hAnsi="Arial" w:cs="Arial"/>
          <w:sz w:val="24"/>
          <w:szCs w:val="24"/>
        </w:rPr>
        <w:t>1</w:t>
      </w:r>
      <w:r w:rsidRPr="00884DAF">
        <w:rPr>
          <w:rFonts w:ascii="Arial" w:hAnsi="Arial" w:cs="Arial"/>
          <w:sz w:val="24"/>
          <w:szCs w:val="24"/>
          <w:vertAlign w:val="superscript"/>
        </w:rPr>
        <w:t>st</w:t>
      </w:r>
      <w:r w:rsidRPr="00884DAF">
        <w:rPr>
          <w:rFonts w:ascii="Arial" w:hAnsi="Arial" w:cs="Arial"/>
          <w:sz w:val="24"/>
          <w:szCs w:val="24"/>
        </w:rPr>
        <w:t xml:space="preserve"> edn. London: LexisNexis</w:t>
      </w:r>
    </w:p>
    <w:p w14:paraId="14828542"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 xml:space="preserve">Harris, C. and Rodell, A. (2020) </w:t>
      </w:r>
      <w:r w:rsidRPr="00884DAF">
        <w:rPr>
          <w:rFonts w:ascii="Arial" w:hAnsi="Arial" w:cs="Arial"/>
          <w:i/>
          <w:iCs/>
          <w:sz w:val="24"/>
          <w:szCs w:val="24"/>
        </w:rPr>
        <w:t>Property Law and Practice</w:t>
      </w:r>
      <w:r w:rsidRPr="00884DAF">
        <w:rPr>
          <w:rFonts w:ascii="Arial" w:hAnsi="Arial" w:cs="Arial"/>
          <w:sz w:val="24"/>
          <w:szCs w:val="24"/>
        </w:rPr>
        <w:t xml:space="preserve"> </w:t>
      </w:r>
      <w:r w:rsidRPr="00884DAF">
        <w:rPr>
          <w:rFonts w:ascii="Arial" w:hAnsi="Arial" w:cs="Arial"/>
          <w:i/>
          <w:iCs/>
          <w:sz w:val="24"/>
          <w:szCs w:val="24"/>
        </w:rPr>
        <w:t>2020/2021.</w:t>
      </w:r>
      <w:r w:rsidRPr="00884DAF">
        <w:rPr>
          <w:rFonts w:ascii="Arial" w:hAnsi="Arial" w:cs="Arial"/>
          <w:sz w:val="24"/>
          <w:szCs w:val="24"/>
        </w:rPr>
        <w:t xml:space="preserve"> Guildford: College of Law Publishing </w:t>
      </w:r>
    </w:p>
    <w:p w14:paraId="6E3EEF45"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Healy,D. (2022) ‘</w:t>
      </w:r>
      <w:r w:rsidRPr="00884DAF">
        <w:rPr>
          <w:rFonts w:ascii="Arial" w:hAnsi="Arial" w:cs="Arial"/>
          <w:i/>
          <w:iCs/>
          <w:sz w:val="24"/>
          <w:szCs w:val="24"/>
        </w:rPr>
        <w:t>Law of the land. Law Gazette’</w:t>
      </w:r>
      <w:r w:rsidRPr="00884DAF">
        <w:rPr>
          <w:rFonts w:ascii="Arial" w:hAnsi="Arial" w:cs="Arial"/>
          <w:sz w:val="24"/>
          <w:szCs w:val="24"/>
        </w:rPr>
        <w:t xml:space="preserve">. Available at: </w:t>
      </w:r>
      <w:hyperlink r:id="rId6" w:history="1">
        <w:r w:rsidRPr="00884DAF">
          <w:rPr>
            <w:rStyle w:val="Hyperlink"/>
            <w:rFonts w:ascii="Arial" w:hAnsi="Arial" w:cs="Arial"/>
            <w:sz w:val="24"/>
            <w:szCs w:val="24"/>
          </w:rPr>
          <w:t>https://www.lawsociety.ie/gazette/top-stories/2022/january/law-of-the-land</w:t>
        </w:r>
      </w:hyperlink>
      <w:r w:rsidRPr="00884DAF">
        <w:rPr>
          <w:rFonts w:ascii="Arial" w:hAnsi="Arial" w:cs="Arial"/>
          <w:sz w:val="24"/>
          <w:szCs w:val="24"/>
        </w:rPr>
        <w:t xml:space="preserve"> (Accessed:25th November 2022)</w:t>
      </w:r>
    </w:p>
    <w:p w14:paraId="7F6E100A"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lastRenderedPageBreak/>
        <w:t xml:space="preserve">HM land Gov.UK (2021) </w:t>
      </w:r>
      <w:r w:rsidRPr="00884DAF">
        <w:rPr>
          <w:rFonts w:ascii="Arial" w:hAnsi="Arial" w:cs="Arial"/>
          <w:i/>
          <w:iCs/>
          <w:sz w:val="24"/>
          <w:szCs w:val="24"/>
        </w:rPr>
        <w:t>Registry Easements claimed by prescription</w:t>
      </w:r>
      <w:r w:rsidRPr="00884DAF">
        <w:rPr>
          <w:rFonts w:ascii="Arial" w:hAnsi="Arial" w:cs="Arial"/>
          <w:sz w:val="24"/>
          <w:szCs w:val="24"/>
        </w:rPr>
        <w:t xml:space="preserve">. Available at: </w:t>
      </w:r>
      <w:hyperlink r:id="rId7" w:history="1">
        <w:r w:rsidRPr="00884DAF">
          <w:rPr>
            <w:rStyle w:val="Hyperlink"/>
            <w:rFonts w:ascii="Arial" w:hAnsi="Arial" w:cs="Arial"/>
            <w:sz w:val="24"/>
            <w:szCs w:val="24"/>
          </w:rPr>
          <w:t>https://www.gov.uk/government/publications/easements-claimed-by-prescription/practice-guide-52-easements-claimed-by-prescription</w:t>
        </w:r>
      </w:hyperlink>
      <w:r w:rsidRPr="00884DAF">
        <w:rPr>
          <w:rFonts w:ascii="Arial" w:hAnsi="Arial" w:cs="Arial"/>
          <w:sz w:val="24"/>
          <w:szCs w:val="24"/>
        </w:rPr>
        <w:t xml:space="preserve"> (Accessed: 25</w:t>
      </w:r>
      <w:r w:rsidRPr="00884DAF">
        <w:rPr>
          <w:rFonts w:ascii="Arial" w:hAnsi="Arial" w:cs="Arial"/>
          <w:sz w:val="24"/>
          <w:szCs w:val="24"/>
          <w:vertAlign w:val="superscript"/>
        </w:rPr>
        <w:t>th</w:t>
      </w:r>
      <w:r w:rsidRPr="00884DAF">
        <w:rPr>
          <w:rFonts w:ascii="Arial" w:hAnsi="Arial" w:cs="Arial"/>
          <w:sz w:val="24"/>
          <w:szCs w:val="24"/>
        </w:rPr>
        <w:t xml:space="preserve"> October 2022)</w:t>
      </w:r>
    </w:p>
    <w:p w14:paraId="3C6A5814"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 xml:space="preserve">Hopkins, N. (2000) </w:t>
      </w:r>
      <w:r w:rsidRPr="00884DAF">
        <w:rPr>
          <w:rFonts w:ascii="Arial" w:hAnsi="Arial" w:cs="Arial"/>
          <w:i/>
          <w:iCs/>
          <w:sz w:val="24"/>
          <w:szCs w:val="24"/>
        </w:rPr>
        <w:t xml:space="preserve">The Informal Acquisition of Rights in Land. </w:t>
      </w:r>
      <w:r w:rsidRPr="00884DAF">
        <w:rPr>
          <w:rFonts w:ascii="Arial" w:hAnsi="Arial" w:cs="Arial"/>
          <w:sz w:val="24"/>
          <w:szCs w:val="24"/>
        </w:rPr>
        <w:t>London: Sweet &amp; Maxwell</w:t>
      </w:r>
    </w:p>
    <w:p w14:paraId="56C1C843"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Kenny, P. and Hewitson, R. (2002) 3</w:t>
      </w:r>
      <w:r w:rsidRPr="00884DAF">
        <w:rPr>
          <w:rFonts w:ascii="Arial" w:hAnsi="Arial" w:cs="Arial"/>
          <w:sz w:val="24"/>
          <w:szCs w:val="24"/>
          <w:vertAlign w:val="superscript"/>
        </w:rPr>
        <w:t>rd</w:t>
      </w:r>
      <w:r w:rsidRPr="00884DAF">
        <w:rPr>
          <w:rFonts w:ascii="Arial" w:hAnsi="Arial" w:cs="Arial"/>
          <w:sz w:val="24"/>
          <w:szCs w:val="24"/>
        </w:rPr>
        <w:t xml:space="preserve"> edn. </w:t>
      </w:r>
      <w:r w:rsidRPr="00884DAF">
        <w:rPr>
          <w:rFonts w:ascii="Arial" w:hAnsi="Arial" w:cs="Arial"/>
          <w:i/>
          <w:iCs/>
          <w:sz w:val="24"/>
          <w:szCs w:val="24"/>
        </w:rPr>
        <w:t xml:space="preserve">Property Law. </w:t>
      </w:r>
      <w:r w:rsidRPr="00884DAF">
        <w:rPr>
          <w:rFonts w:ascii="Arial" w:hAnsi="Arial" w:cs="Arial"/>
          <w:sz w:val="24"/>
          <w:szCs w:val="24"/>
        </w:rPr>
        <w:t>London: Butterworths</w:t>
      </w:r>
    </w:p>
    <w:p w14:paraId="632C99BD"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 xml:space="preserve">King, S. (2015) </w:t>
      </w:r>
      <w:r w:rsidRPr="00884DAF">
        <w:rPr>
          <w:rFonts w:ascii="Arial" w:hAnsi="Arial" w:cs="Arial"/>
          <w:i/>
          <w:iCs/>
          <w:sz w:val="24"/>
          <w:szCs w:val="24"/>
        </w:rPr>
        <w:t xml:space="preserve">Beginning Land Law (Beginning the Law). </w:t>
      </w:r>
      <w:r w:rsidRPr="00884DAF">
        <w:rPr>
          <w:rFonts w:ascii="Arial" w:hAnsi="Arial" w:cs="Arial"/>
          <w:sz w:val="24"/>
          <w:szCs w:val="24"/>
        </w:rPr>
        <w:t>1</w:t>
      </w:r>
      <w:r w:rsidRPr="00884DAF">
        <w:rPr>
          <w:rFonts w:ascii="Arial" w:hAnsi="Arial" w:cs="Arial"/>
          <w:sz w:val="24"/>
          <w:szCs w:val="24"/>
          <w:vertAlign w:val="superscript"/>
        </w:rPr>
        <w:t>st</w:t>
      </w:r>
      <w:r w:rsidRPr="00884DAF">
        <w:rPr>
          <w:rFonts w:ascii="Arial" w:hAnsi="Arial" w:cs="Arial"/>
          <w:sz w:val="24"/>
          <w:szCs w:val="24"/>
        </w:rPr>
        <w:t xml:space="preserve"> edn. London: Routledge</w:t>
      </w:r>
    </w:p>
    <w:p w14:paraId="4112DAFA"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 xml:space="preserve">Law Commission (2011) </w:t>
      </w:r>
      <w:r w:rsidRPr="00884DAF">
        <w:rPr>
          <w:rFonts w:ascii="Arial" w:hAnsi="Arial" w:cs="Arial"/>
          <w:i/>
          <w:iCs/>
          <w:sz w:val="24"/>
          <w:szCs w:val="24"/>
        </w:rPr>
        <w:t xml:space="preserve">Law Commission’s Report (2011) </w:t>
      </w:r>
      <w:bookmarkStart w:id="14" w:name="_Hlk117862792"/>
      <w:r w:rsidRPr="00884DAF">
        <w:rPr>
          <w:rFonts w:ascii="Arial" w:hAnsi="Arial" w:cs="Arial"/>
          <w:i/>
          <w:iCs/>
          <w:sz w:val="24"/>
          <w:szCs w:val="24"/>
        </w:rPr>
        <w:t xml:space="preserve">Making Land Work: Easements, Covenants and Profits a Prendre </w:t>
      </w:r>
      <w:bookmarkEnd w:id="14"/>
      <w:r w:rsidRPr="00884DAF">
        <w:rPr>
          <w:rFonts w:ascii="Arial" w:hAnsi="Arial" w:cs="Arial"/>
          <w:i/>
          <w:iCs/>
          <w:sz w:val="24"/>
          <w:szCs w:val="24"/>
        </w:rPr>
        <w:t>{Law Com No.; 327</w:t>
      </w:r>
      <w:r w:rsidRPr="00884DAF">
        <w:rPr>
          <w:rFonts w:ascii="Arial" w:hAnsi="Arial" w:cs="Arial"/>
          <w:sz w:val="24"/>
          <w:szCs w:val="24"/>
        </w:rPr>
        <w:t xml:space="preserve">. Available at: </w:t>
      </w:r>
      <w:hyperlink r:id="rId8" w:history="1">
        <w:r w:rsidRPr="00884DAF">
          <w:rPr>
            <w:rStyle w:val="Hyperlink"/>
            <w:rFonts w:ascii="Arial" w:hAnsi="Arial" w:cs="Arial"/>
            <w:sz w:val="24"/>
            <w:szCs w:val="24"/>
          </w:rPr>
          <w:t>https://assets.publishing.service.gov.uk/government/uploads/system/uploads/attachment_data/file/229064/1067.pdf</w:t>
        </w:r>
      </w:hyperlink>
      <w:r w:rsidRPr="00884DAF">
        <w:rPr>
          <w:rFonts w:ascii="Arial" w:hAnsi="Arial" w:cs="Arial"/>
          <w:sz w:val="24"/>
          <w:szCs w:val="24"/>
        </w:rPr>
        <w:t xml:space="preserve"> (Accessed 11</w:t>
      </w:r>
      <w:r w:rsidRPr="00884DAF">
        <w:rPr>
          <w:rFonts w:ascii="Arial" w:hAnsi="Arial" w:cs="Arial"/>
          <w:sz w:val="24"/>
          <w:szCs w:val="24"/>
          <w:vertAlign w:val="superscript"/>
        </w:rPr>
        <w:t>th</w:t>
      </w:r>
      <w:r w:rsidRPr="00884DAF">
        <w:rPr>
          <w:rFonts w:ascii="Arial" w:hAnsi="Arial" w:cs="Arial"/>
          <w:sz w:val="24"/>
          <w:szCs w:val="24"/>
        </w:rPr>
        <w:t xml:space="preserve"> October 2022)</w:t>
      </w:r>
    </w:p>
    <w:p w14:paraId="0B677134" w14:textId="77777777" w:rsidR="00884DAF" w:rsidRPr="00884DAF" w:rsidRDefault="00884DAF" w:rsidP="00884DAF">
      <w:pPr>
        <w:spacing w:before="240" w:line="480" w:lineRule="auto"/>
        <w:rPr>
          <w:rFonts w:ascii="Arial" w:hAnsi="Arial" w:cs="Arial"/>
          <w:sz w:val="24"/>
          <w:szCs w:val="24"/>
        </w:rPr>
      </w:pPr>
      <w:r w:rsidRPr="00884DAF">
        <w:rPr>
          <w:rFonts w:ascii="Arial" w:hAnsi="Arial" w:cs="Arial"/>
          <w:sz w:val="24"/>
          <w:szCs w:val="24"/>
        </w:rPr>
        <w:t xml:space="preserve">Tee, L. (2002) </w:t>
      </w:r>
      <w:r w:rsidRPr="00884DAF">
        <w:rPr>
          <w:rFonts w:ascii="Arial" w:hAnsi="Arial" w:cs="Arial"/>
          <w:i/>
          <w:iCs/>
          <w:sz w:val="24"/>
          <w:szCs w:val="24"/>
        </w:rPr>
        <w:t>Land Law: Issues, Debates, and Policy.</w:t>
      </w:r>
      <w:r w:rsidRPr="00884DAF">
        <w:rPr>
          <w:rFonts w:ascii="Arial" w:hAnsi="Arial" w:cs="Arial"/>
          <w:sz w:val="24"/>
          <w:szCs w:val="24"/>
        </w:rPr>
        <w:t xml:space="preserve"> 1</w:t>
      </w:r>
      <w:r w:rsidRPr="00884DAF">
        <w:rPr>
          <w:rFonts w:ascii="Arial" w:hAnsi="Arial" w:cs="Arial"/>
          <w:sz w:val="24"/>
          <w:szCs w:val="24"/>
          <w:vertAlign w:val="superscript"/>
        </w:rPr>
        <w:t>st</w:t>
      </w:r>
      <w:r w:rsidRPr="00884DAF">
        <w:rPr>
          <w:rFonts w:ascii="Arial" w:hAnsi="Arial" w:cs="Arial"/>
          <w:sz w:val="24"/>
          <w:szCs w:val="24"/>
        </w:rPr>
        <w:t xml:space="preserve"> edn. Cullompton: Wilan</w:t>
      </w:r>
    </w:p>
    <w:p w14:paraId="1A6E9D34" w14:textId="77777777" w:rsidR="00884DAF" w:rsidRPr="00884DAF" w:rsidRDefault="00884DAF" w:rsidP="00884DAF">
      <w:pPr>
        <w:spacing w:line="480" w:lineRule="auto"/>
        <w:rPr>
          <w:rFonts w:ascii="Arial" w:hAnsi="Arial" w:cs="Arial"/>
          <w:i/>
          <w:iCs/>
          <w:sz w:val="24"/>
          <w:szCs w:val="24"/>
        </w:rPr>
      </w:pPr>
      <w:r w:rsidRPr="00884DAF">
        <w:rPr>
          <w:rFonts w:ascii="Arial" w:hAnsi="Arial" w:cs="Arial"/>
          <w:sz w:val="24"/>
          <w:szCs w:val="24"/>
        </w:rPr>
        <w:t>Meager, R. (2011) ‘</w:t>
      </w:r>
      <w:r w:rsidRPr="00884DAF">
        <w:rPr>
          <w:rFonts w:ascii="Arial" w:hAnsi="Arial" w:cs="Arial"/>
          <w:i/>
          <w:iCs/>
          <w:sz w:val="24"/>
          <w:szCs w:val="24"/>
        </w:rPr>
        <w:t>Prescription and User “As of Right”: Ripe for Wholesale Reform?’ in</w:t>
      </w:r>
      <w:r w:rsidRPr="00884DAF">
        <w:rPr>
          <w:rFonts w:ascii="Arial" w:hAnsi="Arial" w:cs="Arial"/>
          <w:sz w:val="24"/>
          <w:szCs w:val="24"/>
        </w:rPr>
        <w:t xml:space="preserve"> </w:t>
      </w:r>
      <w:r w:rsidRPr="00884DAF">
        <w:rPr>
          <w:rFonts w:ascii="Arial" w:hAnsi="Arial" w:cs="Arial"/>
          <w:i/>
          <w:iCs/>
          <w:sz w:val="24"/>
          <w:szCs w:val="24"/>
        </w:rPr>
        <w:t xml:space="preserve">Modern Studies in Property Law. </w:t>
      </w:r>
      <w:r w:rsidRPr="00884DAF">
        <w:rPr>
          <w:rFonts w:ascii="Arial" w:hAnsi="Arial" w:cs="Arial"/>
          <w:sz w:val="24"/>
          <w:szCs w:val="24"/>
        </w:rPr>
        <w:t>Vol. 6</w:t>
      </w:r>
      <w:r w:rsidRPr="00884DAF">
        <w:rPr>
          <w:rFonts w:ascii="Arial" w:hAnsi="Arial" w:cs="Arial"/>
          <w:i/>
          <w:iCs/>
          <w:sz w:val="24"/>
          <w:szCs w:val="24"/>
        </w:rPr>
        <w:t>(ed Bright, p. 254).</w:t>
      </w:r>
      <w:r w:rsidRPr="00884DAF">
        <w:rPr>
          <w:rFonts w:ascii="Arial" w:hAnsi="Arial" w:cs="Arial"/>
          <w:sz w:val="24"/>
          <w:szCs w:val="24"/>
        </w:rPr>
        <w:t xml:space="preserve"> </w:t>
      </w:r>
      <w:r w:rsidRPr="00884DAF">
        <w:rPr>
          <w:rFonts w:ascii="Arial" w:hAnsi="Arial" w:cs="Arial"/>
          <w:i/>
          <w:iCs/>
          <w:sz w:val="24"/>
          <w:szCs w:val="24"/>
        </w:rPr>
        <w:t xml:space="preserve"> London: Hart Publishing</w:t>
      </w:r>
    </w:p>
    <w:p w14:paraId="2091880B"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 xml:space="preserve">McFarlane, B. (2008) </w:t>
      </w:r>
      <w:r w:rsidRPr="00884DAF">
        <w:rPr>
          <w:rFonts w:ascii="Arial" w:hAnsi="Arial" w:cs="Arial"/>
          <w:i/>
          <w:iCs/>
          <w:sz w:val="24"/>
          <w:szCs w:val="24"/>
        </w:rPr>
        <w:t>The Structure of Property Law</w:t>
      </w:r>
      <w:r w:rsidRPr="00884DAF">
        <w:rPr>
          <w:rFonts w:ascii="Arial" w:hAnsi="Arial" w:cs="Arial"/>
          <w:sz w:val="24"/>
          <w:szCs w:val="24"/>
        </w:rPr>
        <w:t>. 1</w:t>
      </w:r>
      <w:r w:rsidRPr="00884DAF">
        <w:rPr>
          <w:rFonts w:ascii="Arial" w:hAnsi="Arial" w:cs="Arial"/>
          <w:sz w:val="24"/>
          <w:szCs w:val="24"/>
          <w:vertAlign w:val="superscript"/>
        </w:rPr>
        <w:t>st</w:t>
      </w:r>
      <w:r w:rsidRPr="00884DAF">
        <w:rPr>
          <w:rFonts w:ascii="Arial" w:hAnsi="Arial" w:cs="Arial"/>
          <w:sz w:val="24"/>
          <w:szCs w:val="24"/>
        </w:rPr>
        <w:t xml:space="preserve"> edn. London: Hart Publishing</w:t>
      </w:r>
    </w:p>
    <w:p w14:paraId="0A1CD1A9"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McFarlane, B., Hopkins, N., and Nield, S. (2021</w:t>
      </w:r>
      <w:r w:rsidRPr="00884DAF">
        <w:rPr>
          <w:rFonts w:ascii="Arial" w:hAnsi="Arial" w:cs="Arial"/>
          <w:i/>
          <w:iCs/>
          <w:sz w:val="24"/>
          <w:szCs w:val="24"/>
        </w:rPr>
        <w:t>) Land Law: Text, Cases and Materials. 15</w:t>
      </w:r>
      <w:r w:rsidRPr="00884DAF">
        <w:rPr>
          <w:rFonts w:ascii="Arial" w:hAnsi="Arial" w:cs="Arial"/>
          <w:i/>
          <w:iCs/>
          <w:sz w:val="24"/>
          <w:szCs w:val="24"/>
          <w:vertAlign w:val="superscript"/>
        </w:rPr>
        <w:t>th</w:t>
      </w:r>
      <w:r w:rsidRPr="00884DAF">
        <w:rPr>
          <w:rFonts w:ascii="Arial" w:hAnsi="Arial" w:cs="Arial"/>
          <w:i/>
          <w:iCs/>
          <w:sz w:val="24"/>
          <w:szCs w:val="24"/>
        </w:rPr>
        <w:t xml:space="preserve"> edn.  </w:t>
      </w:r>
      <w:r w:rsidRPr="00884DAF">
        <w:rPr>
          <w:rFonts w:ascii="Arial" w:hAnsi="Arial" w:cs="Arial"/>
          <w:sz w:val="24"/>
          <w:szCs w:val="24"/>
        </w:rPr>
        <w:t>Oxford: Oxford University Press</w:t>
      </w:r>
    </w:p>
    <w:p w14:paraId="0EA3F4B3" w14:textId="77777777" w:rsidR="00884DAF" w:rsidRPr="00884DAF" w:rsidRDefault="00884DAF" w:rsidP="00884DAF">
      <w:pPr>
        <w:spacing w:line="480" w:lineRule="auto"/>
        <w:rPr>
          <w:rFonts w:ascii="Arial" w:hAnsi="Arial" w:cs="Arial"/>
          <w:sz w:val="24"/>
          <w:szCs w:val="24"/>
        </w:rPr>
      </w:pPr>
      <w:bookmarkStart w:id="15" w:name="_Hlk118135412"/>
      <w:r w:rsidRPr="00884DAF">
        <w:rPr>
          <w:rFonts w:ascii="Arial" w:hAnsi="Arial" w:cs="Arial"/>
          <w:sz w:val="24"/>
          <w:szCs w:val="24"/>
        </w:rPr>
        <w:t xml:space="preserve">MacKenizie, J. (2016) </w:t>
      </w:r>
      <w:bookmarkEnd w:id="15"/>
      <w:r w:rsidRPr="00884DAF">
        <w:rPr>
          <w:rFonts w:ascii="Arial" w:hAnsi="Arial" w:cs="Arial"/>
          <w:i/>
          <w:iCs/>
          <w:sz w:val="24"/>
          <w:szCs w:val="24"/>
        </w:rPr>
        <w:t>Textbook on Land Law.</w:t>
      </w:r>
      <w:r w:rsidRPr="00884DAF">
        <w:rPr>
          <w:rFonts w:ascii="Arial" w:hAnsi="Arial" w:cs="Arial"/>
          <w:sz w:val="24"/>
          <w:szCs w:val="24"/>
        </w:rPr>
        <w:t xml:space="preserve"> 16</w:t>
      </w:r>
      <w:r w:rsidRPr="00884DAF">
        <w:rPr>
          <w:rFonts w:ascii="Arial" w:hAnsi="Arial" w:cs="Arial"/>
          <w:sz w:val="24"/>
          <w:szCs w:val="24"/>
          <w:vertAlign w:val="superscript"/>
        </w:rPr>
        <w:t>th</w:t>
      </w:r>
      <w:r w:rsidRPr="00884DAF">
        <w:rPr>
          <w:rFonts w:ascii="Arial" w:hAnsi="Arial" w:cs="Arial"/>
          <w:sz w:val="24"/>
          <w:szCs w:val="24"/>
        </w:rPr>
        <w:t xml:space="preserve"> edn. Oxford: Oxford University Press </w:t>
      </w:r>
    </w:p>
    <w:p w14:paraId="42EF2243"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lastRenderedPageBreak/>
        <w:t xml:space="preserve">Paton and Seabourne (2003) ‘Can’t Get There from Here? Permissible Use of Easements after Das. </w:t>
      </w:r>
      <w:r w:rsidRPr="00884DAF">
        <w:rPr>
          <w:rFonts w:ascii="Arial" w:hAnsi="Arial" w:cs="Arial"/>
          <w:i/>
          <w:iCs/>
          <w:sz w:val="24"/>
          <w:szCs w:val="24"/>
        </w:rPr>
        <w:t>Conveyancer and Property Lawyer Journal 127 134</w:t>
      </w:r>
    </w:p>
    <w:p w14:paraId="6B0236C2"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Riddall (1997) ‘</w:t>
      </w:r>
      <w:r w:rsidRPr="00884DAF">
        <w:rPr>
          <w:rFonts w:ascii="Arial" w:hAnsi="Arial" w:cs="Arial"/>
          <w:i/>
          <w:iCs/>
          <w:sz w:val="24"/>
          <w:szCs w:val="24"/>
        </w:rPr>
        <w:t>A False Trail: The Meaning of “As of Right” in the Public Law of Prescription</w:t>
      </w:r>
      <w:r w:rsidRPr="00884DAF">
        <w:rPr>
          <w:rFonts w:ascii="Arial" w:hAnsi="Arial" w:cs="Arial"/>
          <w:sz w:val="24"/>
          <w:szCs w:val="24"/>
        </w:rPr>
        <w:t>. Conveyancer and Property Lawyer 199, pp. 201</w:t>
      </w:r>
    </w:p>
    <w:p w14:paraId="4EFBA92F"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 xml:space="preserve">Richard, M. (2021) </w:t>
      </w:r>
      <w:r w:rsidRPr="00884DAF">
        <w:rPr>
          <w:rFonts w:ascii="Arial" w:hAnsi="Arial" w:cs="Arial"/>
          <w:i/>
          <w:iCs/>
          <w:sz w:val="24"/>
          <w:szCs w:val="24"/>
        </w:rPr>
        <w:t xml:space="preserve">Property Law. </w:t>
      </w:r>
      <w:r w:rsidRPr="00884DAF">
        <w:rPr>
          <w:rFonts w:ascii="Arial" w:hAnsi="Arial" w:cs="Arial"/>
          <w:sz w:val="24"/>
          <w:szCs w:val="24"/>
        </w:rPr>
        <w:t>Oxford: Oxford University Press</w:t>
      </w:r>
    </w:p>
    <w:p w14:paraId="279661E4"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 xml:space="preserve">Richardson, L. (2021) </w:t>
      </w:r>
      <w:r w:rsidRPr="00884DAF">
        <w:rPr>
          <w:rFonts w:ascii="Arial" w:hAnsi="Arial" w:cs="Arial"/>
          <w:i/>
          <w:iCs/>
          <w:sz w:val="24"/>
          <w:szCs w:val="24"/>
        </w:rPr>
        <w:t>Property and Conveyancing</w:t>
      </w:r>
      <w:r w:rsidRPr="00884DAF">
        <w:rPr>
          <w:rFonts w:ascii="Arial" w:hAnsi="Arial" w:cs="Arial"/>
          <w:sz w:val="24"/>
          <w:szCs w:val="24"/>
        </w:rPr>
        <w:t xml:space="preserve"> 1</w:t>
      </w:r>
      <w:r w:rsidRPr="00884DAF">
        <w:rPr>
          <w:rFonts w:ascii="Arial" w:hAnsi="Arial" w:cs="Arial"/>
          <w:sz w:val="24"/>
          <w:szCs w:val="24"/>
          <w:vertAlign w:val="superscript"/>
        </w:rPr>
        <w:t>st</w:t>
      </w:r>
      <w:r w:rsidRPr="00884DAF">
        <w:rPr>
          <w:rFonts w:ascii="Arial" w:hAnsi="Arial" w:cs="Arial"/>
          <w:sz w:val="24"/>
          <w:szCs w:val="24"/>
        </w:rPr>
        <w:t xml:space="preserve"> edn. Bedford: Cilex Education</w:t>
      </w:r>
    </w:p>
    <w:p w14:paraId="4F363E4B"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 xml:space="preserve">Smith, R. (2000) </w:t>
      </w:r>
      <w:r w:rsidRPr="00884DAF">
        <w:rPr>
          <w:rFonts w:ascii="Arial" w:hAnsi="Arial" w:cs="Arial"/>
          <w:i/>
          <w:iCs/>
          <w:sz w:val="24"/>
          <w:szCs w:val="24"/>
        </w:rPr>
        <w:t>Property Law</w:t>
      </w:r>
      <w:r w:rsidRPr="00884DAF">
        <w:rPr>
          <w:rFonts w:ascii="Arial" w:hAnsi="Arial" w:cs="Arial"/>
          <w:sz w:val="24"/>
          <w:szCs w:val="24"/>
        </w:rPr>
        <w:t>. 3</w:t>
      </w:r>
      <w:r w:rsidRPr="00884DAF">
        <w:rPr>
          <w:rFonts w:ascii="Arial" w:hAnsi="Arial" w:cs="Arial"/>
          <w:sz w:val="24"/>
          <w:szCs w:val="24"/>
          <w:vertAlign w:val="superscript"/>
        </w:rPr>
        <w:t>rd</w:t>
      </w:r>
      <w:r w:rsidRPr="00884DAF">
        <w:rPr>
          <w:rFonts w:ascii="Arial" w:hAnsi="Arial" w:cs="Arial"/>
          <w:sz w:val="24"/>
          <w:szCs w:val="24"/>
        </w:rPr>
        <w:t xml:space="preserve"> edn. London: Longman</w:t>
      </w:r>
    </w:p>
    <w:p w14:paraId="6F00B49C"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 xml:space="preserve">Smithers, T. </w:t>
      </w:r>
      <w:r w:rsidRPr="00884DAF">
        <w:rPr>
          <w:rFonts w:ascii="Arial" w:hAnsi="Arial" w:cs="Arial"/>
          <w:i/>
          <w:iCs/>
          <w:sz w:val="24"/>
          <w:szCs w:val="24"/>
        </w:rPr>
        <w:t>CILEX Journal Land Registry update: a guide to prescriptive rights of way.</w:t>
      </w:r>
      <w:r w:rsidRPr="00884DAF">
        <w:rPr>
          <w:rFonts w:ascii="Arial" w:hAnsi="Arial" w:cs="Arial"/>
          <w:sz w:val="24"/>
          <w:szCs w:val="24"/>
        </w:rPr>
        <w:t xml:space="preserve"> Available at </w:t>
      </w:r>
      <w:hyperlink r:id="rId9" w:history="1">
        <w:r w:rsidRPr="00884DAF">
          <w:rPr>
            <w:rStyle w:val="Hyperlink"/>
            <w:rFonts w:ascii="Arial" w:hAnsi="Arial" w:cs="Arial"/>
            <w:sz w:val="24"/>
            <w:szCs w:val="24"/>
          </w:rPr>
          <w:t>https://cilexjournal.org.uk/journal/cilex-journal-september-2016/updates/land-registry-update</w:t>
        </w:r>
      </w:hyperlink>
      <w:r w:rsidRPr="00884DAF">
        <w:rPr>
          <w:rFonts w:ascii="Arial" w:hAnsi="Arial" w:cs="Arial"/>
          <w:sz w:val="24"/>
          <w:szCs w:val="24"/>
        </w:rPr>
        <w:t xml:space="preserve"> (Accessed: October 10</w:t>
      </w:r>
      <w:r w:rsidRPr="00884DAF">
        <w:rPr>
          <w:rFonts w:ascii="Arial" w:hAnsi="Arial" w:cs="Arial"/>
          <w:sz w:val="24"/>
          <w:szCs w:val="24"/>
          <w:vertAlign w:val="superscript"/>
        </w:rPr>
        <w:t>th,</w:t>
      </w:r>
      <w:r w:rsidRPr="00884DAF">
        <w:rPr>
          <w:rFonts w:ascii="Arial" w:hAnsi="Arial" w:cs="Arial"/>
          <w:sz w:val="24"/>
          <w:szCs w:val="24"/>
        </w:rPr>
        <w:t xml:space="preserve"> 2022)</w:t>
      </w:r>
    </w:p>
    <w:p w14:paraId="091DBE0F"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The Halsbury’s Law of England (1975): Easements and Profits a’ Prendre Ecclesiastical Law Volume 14 Edition 4 Butterworths</w:t>
      </w:r>
    </w:p>
    <w:p w14:paraId="551102D1"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 xml:space="preserve">Thomas Reuters (2022) </w:t>
      </w:r>
      <w:r w:rsidRPr="00884DAF">
        <w:rPr>
          <w:rFonts w:ascii="Arial" w:hAnsi="Arial" w:cs="Arial"/>
          <w:i/>
          <w:iCs/>
          <w:sz w:val="24"/>
          <w:szCs w:val="24"/>
        </w:rPr>
        <w:t>Easement.</w:t>
      </w:r>
      <w:r w:rsidRPr="00884DAF">
        <w:rPr>
          <w:rFonts w:ascii="Arial" w:hAnsi="Arial" w:cs="Arial"/>
          <w:sz w:val="24"/>
          <w:szCs w:val="24"/>
        </w:rPr>
        <w:t xml:space="preserve"> Available at: </w:t>
      </w:r>
      <w:hyperlink r:id="rId10" w:history="1">
        <w:r w:rsidRPr="00884DAF">
          <w:rPr>
            <w:rStyle w:val="Hyperlink"/>
            <w:rFonts w:ascii="Arial" w:hAnsi="Arial" w:cs="Arial"/>
            <w:sz w:val="24"/>
            <w:szCs w:val="24"/>
          </w:rPr>
          <w:t>https://uk.practicallaw.thomsonreuters.com/0-202-2726?transitionType=Default&amp;contextData=(sc.Default)&amp;firstPage=true</w:t>
        </w:r>
      </w:hyperlink>
      <w:r w:rsidRPr="00884DAF">
        <w:rPr>
          <w:rFonts w:ascii="Arial" w:hAnsi="Arial" w:cs="Arial"/>
          <w:sz w:val="24"/>
          <w:szCs w:val="24"/>
        </w:rPr>
        <w:t xml:space="preserve"> Accessed 30</w:t>
      </w:r>
      <w:r w:rsidRPr="00884DAF">
        <w:rPr>
          <w:rFonts w:ascii="Arial" w:hAnsi="Arial" w:cs="Arial"/>
          <w:sz w:val="24"/>
          <w:szCs w:val="24"/>
          <w:vertAlign w:val="superscript"/>
        </w:rPr>
        <w:t>th</w:t>
      </w:r>
      <w:r w:rsidRPr="00884DAF">
        <w:rPr>
          <w:rFonts w:ascii="Arial" w:hAnsi="Arial" w:cs="Arial"/>
          <w:sz w:val="24"/>
          <w:szCs w:val="24"/>
        </w:rPr>
        <w:t xml:space="preserve"> October 2022)</w:t>
      </w:r>
    </w:p>
    <w:p w14:paraId="08A5DCB4"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 xml:space="preserve">Thomas, M. (2020) </w:t>
      </w:r>
      <w:r w:rsidRPr="00884DAF">
        <w:rPr>
          <w:rFonts w:ascii="Arial" w:hAnsi="Arial" w:cs="Arial"/>
          <w:i/>
          <w:iCs/>
          <w:sz w:val="24"/>
          <w:szCs w:val="24"/>
        </w:rPr>
        <w:t xml:space="preserve">Blackstone’s Statues on Property Law. </w:t>
      </w:r>
      <w:r w:rsidRPr="00884DAF">
        <w:rPr>
          <w:rFonts w:ascii="Arial" w:hAnsi="Arial" w:cs="Arial"/>
          <w:sz w:val="24"/>
          <w:szCs w:val="24"/>
        </w:rPr>
        <w:t>Oxford: Oxford University Press</w:t>
      </w:r>
    </w:p>
    <w:p w14:paraId="5E109186"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 xml:space="preserve">Thompson (1995) </w:t>
      </w:r>
      <w:r w:rsidRPr="00884DAF">
        <w:rPr>
          <w:rFonts w:ascii="Arial" w:hAnsi="Arial" w:cs="Arial"/>
          <w:i/>
          <w:iCs/>
          <w:sz w:val="24"/>
          <w:szCs w:val="24"/>
        </w:rPr>
        <w:t xml:space="preserve">‘Paths and Pigs’ Conveyancer and Property Lawyer Journal. 239. </w:t>
      </w:r>
      <w:r w:rsidRPr="00884DAF">
        <w:rPr>
          <w:rFonts w:ascii="Arial" w:hAnsi="Arial" w:cs="Arial"/>
          <w:sz w:val="24"/>
          <w:szCs w:val="24"/>
        </w:rPr>
        <w:t>London: Sweet &amp; Maxwell</w:t>
      </w:r>
    </w:p>
    <w:p w14:paraId="3CAB9AFF"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 xml:space="preserve">Queen’s Speech (2016) </w:t>
      </w:r>
      <w:r w:rsidRPr="00884DAF">
        <w:rPr>
          <w:rFonts w:ascii="Arial" w:hAnsi="Arial" w:cs="Arial"/>
          <w:i/>
          <w:iCs/>
          <w:sz w:val="24"/>
          <w:szCs w:val="24"/>
        </w:rPr>
        <w:t>Her Majesty’s most gracious Speech to both Houses of Parliament at the State Opening of the Parliament (2016)</w:t>
      </w:r>
      <w:r w:rsidRPr="00884DAF">
        <w:rPr>
          <w:rFonts w:ascii="Arial" w:hAnsi="Arial" w:cs="Arial"/>
          <w:sz w:val="24"/>
          <w:szCs w:val="24"/>
        </w:rPr>
        <w:t xml:space="preserve">. Available at: </w:t>
      </w:r>
      <w:hyperlink r:id="rId11" w:history="1">
        <w:r w:rsidRPr="00884DAF">
          <w:rPr>
            <w:rStyle w:val="Hyperlink"/>
            <w:rFonts w:ascii="Arial" w:hAnsi="Arial" w:cs="Arial"/>
            <w:sz w:val="24"/>
            <w:szCs w:val="24"/>
          </w:rPr>
          <w:t>https://assets.publishing.service.gov.uk/government/uploads/system/uploads/attachment_data/file/524040/Queen_s_Speech_2016_background_notes_.pdf</w:t>
        </w:r>
      </w:hyperlink>
      <w:r w:rsidRPr="00884DAF">
        <w:rPr>
          <w:rFonts w:ascii="Arial" w:hAnsi="Arial" w:cs="Arial"/>
          <w:sz w:val="24"/>
          <w:szCs w:val="24"/>
        </w:rPr>
        <w:t xml:space="preserve">  (Accessed: 22</w:t>
      </w:r>
      <w:r w:rsidRPr="00884DAF">
        <w:rPr>
          <w:rFonts w:ascii="Arial" w:hAnsi="Arial" w:cs="Arial"/>
          <w:sz w:val="24"/>
          <w:szCs w:val="24"/>
          <w:vertAlign w:val="superscript"/>
        </w:rPr>
        <w:t>nd</w:t>
      </w:r>
      <w:r w:rsidRPr="00884DAF">
        <w:rPr>
          <w:rFonts w:ascii="Arial" w:hAnsi="Arial" w:cs="Arial"/>
          <w:sz w:val="24"/>
          <w:szCs w:val="24"/>
        </w:rPr>
        <w:t xml:space="preserve"> October 2022)</w:t>
      </w:r>
    </w:p>
    <w:p w14:paraId="1E65EFE5"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 xml:space="preserve">Warenius, C. (2012) ‘Property: Easy does it’, </w:t>
      </w:r>
      <w:r w:rsidRPr="00884DAF">
        <w:rPr>
          <w:rFonts w:ascii="Arial" w:hAnsi="Arial" w:cs="Arial"/>
          <w:i/>
          <w:iCs/>
          <w:sz w:val="24"/>
          <w:szCs w:val="24"/>
        </w:rPr>
        <w:t>New Law Journal</w:t>
      </w:r>
      <w:r w:rsidRPr="00884DAF">
        <w:rPr>
          <w:rFonts w:ascii="Arial" w:hAnsi="Arial" w:cs="Arial"/>
          <w:sz w:val="24"/>
          <w:szCs w:val="24"/>
        </w:rPr>
        <w:t xml:space="preserve">,162(7510), pp. 527-528. Available at: </w:t>
      </w:r>
    </w:p>
    <w:p w14:paraId="47B0F411"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 xml:space="preserve">Xu, L. (2012) </w:t>
      </w:r>
      <w:r w:rsidRPr="00884DAF">
        <w:rPr>
          <w:rFonts w:ascii="Arial" w:hAnsi="Arial" w:cs="Arial"/>
          <w:i/>
          <w:iCs/>
          <w:sz w:val="24"/>
          <w:szCs w:val="24"/>
        </w:rPr>
        <w:t>‘Easement of Car Parking: The Ouster Principle is Out But Problems May Aggravate’. Conveyancer and Property Lawyer Journal. 291, 76(4), pp. 291-306</w:t>
      </w:r>
      <w:r w:rsidRPr="00884DAF">
        <w:rPr>
          <w:rFonts w:ascii="Arial" w:hAnsi="Arial" w:cs="Arial"/>
          <w:sz w:val="24"/>
          <w:szCs w:val="24"/>
        </w:rPr>
        <w:t xml:space="preserve"> London: Sweet &amp; Maxwell. Available on </w:t>
      </w:r>
      <w:hyperlink r:id="rId12" w:history="1">
        <w:r w:rsidRPr="00884DAF">
          <w:rPr>
            <w:rStyle w:val="Hyperlink"/>
            <w:rFonts w:ascii="Arial" w:hAnsi="Arial" w:cs="Arial"/>
            <w:sz w:val="24"/>
            <w:szCs w:val="24"/>
          </w:rPr>
          <w:t>https://eprints.lancs.ac.uk/id/eprint/70628/1/Easement_of_Parking_Conv_post_print.pdf</w:t>
        </w:r>
      </w:hyperlink>
      <w:r w:rsidRPr="00884DAF">
        <w:rPr>
          <w:rFonts w:ascii="Arial" w:hAnsi="Arial" w:cs="Arial"/>
          <w:sz w:val="24"/>
          <w:szCs w:val="24"/>
        </w:rPr>
        <w:t xml:space="preserve"> (Accessed: 25</w:t>
      </w:r>
      <w:r w:rsidRPr="00884DAF">
        <w:rPr>
          <w:rFonts w:ascii="Arial" w:hAnsi="Arial" w:cs="Arial"/>
          <w:sz w:val="24"/>
          <w:szCs w:val="24"/>
          <w:vertAlign w:val="superscript"/>
        </w:rPr>
        <w:t>th</w:t>
      </w:r>
      <w:r w:rsidRPr="00884DAF">
        <w:rPr>
          <w:rFonts w:ascii="Arial" w:hAnsi="Arial" w:cs="Arial"/>
          <w:sz w:val="24"/>
          <w:szCs w:val="24"/>
        </w:rPr>
        <w:t xml:space="preserve"> November 2022)</w:t>
      </w:r>
    </w:p>
    <w:p w14:paraId="6A8FFBC7" w14:textId="77777777" w:rsidR="00884DAF" w:rsidRPr="00884DAF" w:rsidRDefault="00884DAF" w:rsidP="00884DAF">
      <w:pPr>
        <w:spacing w:line="480" w:lineRule="auto"/>
        <w:rPr>
          <w:rFonts w:ascii="Arial" w:hAnsi="Arial" w:cs="Arial"/>
          <w:sz w:val="24"/>
          <w:szCs w:val="24"/>
        </w:rPr>
      </w:pPr>
    </w:p>
    <w:p w14:paraId="30BAE5B3" w14:textId="77777777" w:rsidR="00884DAF" w:rsidRPr="00884DAF" w:rsidRDefault="00884DAF" w:rsidP="00884DAF">
      <w:pPr>
        <w:spacing w:line="480" w:lineRule="auto"/>
        <w:rPr>
          <w:rFonts w:ascii="Arial" w:hAnsi="Arial" w:cs="Arial"/>
          <w:sz w:val="24"/>
          <w:szCs w:val="24"/>
        </w:rPr>
      </w:pPr>
    </w:p>
    <w:p w14:paraId="0D0AC6CB" w14:textId="77777777" w:rsidR="00884DAF" w:rsidRPr="00884DAF" w:rsidRDefault="00884DAF" w:rsidP="00884DAF">
      <w:pPr>
        <w:spacing w:line="480" w:lineRule="auto"/>
        <w:rPr>
          <w:rFonts w:ascii="Arial" w:hAnsi="Arial" w:cs="Arial"/>
          <w:sz w:val="24"/>
          <w:szCs w:val="24"/>
        </w:rPr>
      </w:pPr>
    </w:p>
    <w:p w14:paraId="71790726" w14:textId="77777777" w:rsidR="00884DAF" w:rsidRPr="00884DAF" w:rsidRDefault="00884DAF" w:rsidP="00884DAF">
      <w:pPr>
        <w:spacing w:line="480" w:lineRule="auto"/>
        <w:rPr>
          <w:rFonts w:ascii="Arial" w:hAnsi="Arial" w:cs="Arial"/>
          <w:sz w:val="24"/>
          <w:szCs w:val="24"/>
        </w:rPr>
      </w:pPr>
    </w:p>
    <w:p w14:paraId="4B143FDB" w14:textId="77777777" w:rsidR="00884DAF" w:rsidRPr="00884DAF" w:rsidRDefault="00884DAF" w:rsidP="00884DAF">
      <w:pPr>
        <w:spacing w:line="480" w:lineRule="auto"/>
        <w:rPr>
          <w:rFonts w:ascii="Arial" w:hAnsi="Arial" w:cs="Arial"/>
          <w:sz w:val="24"/>
          <w:szCs w:val="24"/>
        </w:rPr>
      </w:pPr>
    </w:p>
    <w:p w14:paraId="62E2828F" w14:textId="77777777" w:rsidR="00884DAF" w:rsidRPr="00884DAF" w:rsidRDefault="00884DAF" w:rsidP="00884DAF">
      <w:pPr>
        <w:spacing w:line="480" w:lineRule="auto"/>
        <w:rPr>
          <w:rFonts w:ascii="Arial" w:hAnsi="Arial" w:cs="Arial"/>
          <w:sz w:val="24"/>
          <w:szCs w:val="24"/>
        </w:rPr>
      </w:pPr>
    </w:p>
    <w:p w14:paraId="26B78529" w14:textId="77777777" w:rsidR="00884DAF" w:rsidRPr="00884DAF" w:rsidRDefault="00884DAF" w:rsidP="00884DAF">
      <w:pPr>
        <w:spacing w:line="480" w:lineRule="auto"/>
        <w:rPr>
          <w:rFonts w:ascii="Arial" w:hAnsi="Arial" w:cs="Arial"/>
          <w:sz w:val="24"/>
          <w:szCs w:val="24"/>
        </w:rPr>
      </w:pPr>
    </w:p>
    <w:p w14:paraId="697C4E3C"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STATUES</w:t>
      </w:r>
    </w:p>
    <w:p w14:paraId="60D2338E"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Prescription Act 1832</w:t>
      </w:r>
    </w:p>
    <w:p w14:paraId="7B10ADAB"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 xml:space="preserve">Law of Property Act </w:t>
      </w:r>
    </w:p>
    <w:p w14:paraId="49E36637"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Right of Light Act 1959</w:t>
      </w:r>
    </w:p>
    <w:p w14:paraId="33D537CE" w14:textId="77777777" w:rsidR="00884DAF" w:rsidRPr="00884DAF" w:rsidRDefault="00884DAF" w:rsidP="00884DAF">
      <w:pPr>
        <w:spacing w:line="480" w:lineRule="auto"/>
        <w:rPr>
          <w:rFonts w:ascii="Arial" w:hAnsi="Arial" w:cs="Arial"/>
          <w:sz w:val="24"/>
          <w:szCs w:val="24"/>
        </w:rPr>
      </w:pPr>
    </w:p>
    <w:p w14:paraId="15CA9BED" w14:textId="77777777" w:rsidR="00884DAF" w:rsidRPr="00884DAF" w:rsidRDefault="00884DAF" w:rsidP="00884DAF">
      <w:pPr>
        <w:spacing w:line="480" w:lineRule="auto"/>
        <w:rPr>
          <w:rFonts w:ascii="Arial" w:hAnsi="Arial" w:cs="Arial"/>
          <w:sz w:val="24"/>
          <w:szCs w:val="24"/>
        </w:rPr>
      </w:pPr>
    </w:p>
    <w:p w14:paraId="18CC8E85"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CASES</w:t>
      </w:r>
    </w:p>
    <w:p w14:paraId="7A84395D"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rPr>
      </w:pPr>
      <w:r w:rsidRPr="00884DAF">
        <w:rPr>
          <w:rFonts w:ascii="Arial" w:hAnsi="Arial" w:cs="Arial"/>
          <w:color w:val="26282A"/>
        </w:rPr>
        <w:t>Bakewell Management v Brandwood [2004] UKHL 14</w:t>
      </w:r>
    </w:p>
    <w:p w14:paraId="3D9995B4"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rPr>
      </w:pPr>
      <w:r w:rsidRPr="00884DAF">
        <w:rPr>
          <w:rFonts w:ascii="Arial" w:hAnsi="Arial" w:cs="Arial"/>
          <w:color w:val="26282A"/>
        </w:rPr>
        <w:t>Batchelor v Marlow [2003] 1 WLR 764</w:t>
      </w:r>
    </w:p>
    <w:p w14:paraId="4810EA0A"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rPr>
      </w:pPr>
      <w:r w:rsidRPr="00884DAF">
        <w:rPr>
          <w:rFonts w:ascii="Arial" w:hAnsi="Arial" w:cs="Arial"/>
          <w:color w:val="26282A"/>
        </w:rPr>
        <w:t>Bate v Affinity [2019] EWHC 3425</w:t>
      </w:r>
    </w:p>
    <w:p w14:paraId="4BEF5EB1"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rPr>
      </w:pPr>
      <w:r w:rsidRPr="00884DAF">
        <w:rPr>
          <w:rFonts w:ascii="Arial" w:hAnsi="Arial" w:cs="Arial"/>
          <w:color w:val="26282A"/>
        </w:rPr>
        <w:t>Beaumont Business Centres Ltd v Florala Properties Ltd [2020] ECHWC 550 (Ch)</w:t>
      </w:r>
    </w:p>
    <w:p w14:paraId="39109D12"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shd w:val="clear" w:color="auto" w:fill="FFFFFF"/>
        </w:rPr>
      </w:pPr>
      <w:r w:rsidRPr="00884DAF">
        <w:rPr>
          <w:rFonts w:ascii="Arial" w:hAnsi="Arial" w:cs="Arial"/>
          <w:color w:val="26282A"/>
          <w:shd w:val="clear" w:color="auto" w:fill="FFFFFF"/>
        </w:rPr>
        <w:t>Brownie v Flower [1911] 1 Ch 219</w:t>
      </w:r>
    </w:p>
    <w:p w14:paraId="4D667D2D"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shd w:val="clear" w:color="auto" w:fill="FFFFFF"/>
        </w:rPr>
      </w:pPr>
      <w:r w:rsidRPr="00884DAF">
        <w:rPr>
          <w:rFonts w:ascii="Arial" w:hAnsi="Arial" w:cs="Arial"/>
          <w:color w:val="26282A"/>
          <w:shd w:val="clear" w:color="auto" w:fill="FFFFFF"/>
        </w:rPr>
        <w:t>Bury v Pope [1588] Cro Eliz 118</w:t>
      </w:r>
    </w:p>
    <w:p w14:paraId="6FDD05AE"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shd w:val="clear" w:color="auto" w:fill="FFFFFF"/>
        </w:rPr>
      </w:pPr>
      <w:r w:rsidRPr="00884DAF">
        <w:rPr>
          <w:rFonts w:ascii="Arial" w:hAnsi="Arial" w:cs="Arial"/>
          <w:color w:val="26282A"/>
          <w:shd w:val="clear" w:color="auto" w:fill="FFFFFF"/>
        </w:rPr>
        <w:t>Carter v Cole [2006] ECWA A Civ 398</w:t>
      </w:r>
    </w:p>
    <w:p w14:paraId="0D2FD85A"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rPr>
      </w:pPr>
      <w:r w:rsidRPr="00884DAF">
        <w:rPr>
          <w:rFonts w:ascii="Arial" w:hAnsi="Arial" w:cs="Arial"/>
        </w:rPr>
        <w:t>Copeland v Greenhalf [1952] Ch 488</w:t>
      </w:r>
    </w:p>
    <w:p w14:paraId="7F8BBD26"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shd w:val="clear" w:color="auto" w:fill="FFFFFF"/>
        </w:rPr>
      </w:pPr>
      <w:r w:rsidRPr="00884DAF">
        <w:rPr>
          <w:rFonts w:ascii="Arial" w:hAnsi="Arial" w:cs="Arial"/>
          <w:color w:val="26282A"/>
          <w:shd w:val="clear" w:color="auto" w:fill="FFFFFF"/>
        </w:rPr>
        <w:t>Dalton v Angus [1877] 3 QB 85; [1878] 4 QBD 162.</w:t>
      </w:r>
    </w:p>
    <w:p w14:paraId="2EE44D72"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rPr>
      </w:pPr>
      <w:r w:rsidRPr="00884DAF">
        <w:rPr>
          <w:rFonts w:ascii="Arial" w:hAnsi="Arial" w:cs="Arial"/>
          <w:color w:val="26282A"/>
          <w:shd w:val="clear" w:color="auto" w:fill="FFFFFF"/>
        </w:rPr>
        <w:t>Darling v Clue [1864] 4 F&amp;F 329</w:t>
      </w:r>
    </w:p>
    <w:p w14:paraId="077BE4F6"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rPr>
      </w:pPr>
      <w:r w:rsidRPr="00884DAF">
        <w:rPr>
          <w:rFonts w:ascii="Arial" w:hAnsi="Arial" w:cs="Arial"/>
          <w:color w:val="26282A"/>
        </w:rPr>
        <w:t>Duke of Norfolk v Arbuthnot [1880] 5 CPD 390</w:t>
      </w:r>
    </w:p>
    <w:p w14:paraId="370B5CFA"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shd w:val="clear" w:color="auto" w:fill="FFFFFF"/>
        </w:rPr>
      </w:pPr>
      <w:r w:rsidRPr="00884DAF">
        <w:rPr>
          <w:rFonts w:ascii="Arial" w:hAnsi="Arial" w:cs="Arial"/>
          <w:color w:val="26282A"/>
          <w:shd w:val="clear" w:color="auto" w:fill="FFFFFF"/>
        </w:rPr>
        <w:t>Dyce v Lady James Hay [1852] 1 Macq 305</w:t>
      </w:r>
    </w:p>
    <w:p w14:paraId="49FAB1B8"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rPr>
      </w:pPr>
      <w:r w:rsidRPr="00884DAF">
        <w:rPr>
          <w:rFonts w:ascii="Arial" w:hAnsi="Arial" w:cs="Arial"/>
          <w:color w:val="26282A"/>
          <w:shd w:val="clear" w:color="auto" w:fill="FFFFFF"/>
        </w:rPr>
        <w:t>European Urban St Pancra 2 Ltd v Glynn [2013] PL SCS 67</w:t>
      </w:r>
    </w:p>
    <w:p w14:paraId="3180C3F3"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rPr>
      </w:pPr>
      <w:r w:rsidRPr="00884DAF">
        <w:rPr>
          <w:rFonts w:ascii="Arial" w:hAnsi="Arial" w:cs="Arial"/>
          <w:color w:val="26282A"/>
        </w:rPr>
        <w:t>Gardner v Hodgson’s Kingston Brewery [1903] AC 229.</w:t>
      </w:r>
    </w:p>
    <w:p w14:paraId="33EA0E88"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rPr>
      </w:pPr>
      <w:r w:rsidRPr="00884DAF">
        <w:rPr>
          <w:rFonts w:ascii="Arial" w:hAnsi="Arial" w:cs="Arial"/>
          <w:color w:val="26282A"/>
        </w:rPr>
        <w:lastRenderedPageBreak/>
        <w:t>Grigsby v Melville [1972] 1 WLR 1355</w:t>
      </w:r>
    </w:p>
    <w:p w14:paraId="353C354C"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rPr>
      </w:pPr>
      <w:r w:rsidRPr="00884DAF">
        <w:rPr>
          <w:rFonts w:ascii="Arial" w:hAnsi="Arial" w:cs="Arial"/>
          <w:color w:val="26282A"/>
        </w:rPr>
        <w:t>Hansard v Jago [1921] 1 CH 322</w:t>
      </w:r>
    </w:p>
    <w:p w14:paraId="61D57FCC"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rPr>
      </w:pPr>
      <w:r w:rsidRPr="00884DAF">
        <w:rPr>
          <w:rFonts w:ascii="Arial" w:hAnsi="Arial" w:cs="Arial"/>
          <w:color w:val="26282A"/>
        </w:rPr>
        <w:t>Hill v Tupper [1863] 2H &amp; C 121</w:t>
      </w:r>
    </w:p>
    <w:p w14:paraId="5694911F"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rPr>
      </w:pPr>
      <w:r w:rsidRPr="00884DAF">
        <w:rPr>
          <w:rFonts w:ascii="Arial" w:hAnsi="Arial" w:cs="Arial"/>
          <w:color w:val="26282A"/>
        </w:rPr>
        <w:t>Hunter v Canary Wharf [1997] AC 655, HL</w:t>
      </w:r>
    </w:p>
    <w:p w14:paraId="1C902E34"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shd w:val="clear" w:color="auto" w:fill="FFFFFF"/>
        </w:rPr>
      </w:pPr>
      <w:r w:rsidRPr="00884DAF">
        <w:rPr>
          <w:rFonts w:ascii="Arial" w:hAnsi="Arial" w:cs="Arial"/>
          <w:color w:val="26282A"/>
          <w:shd w:val="clear" w:color="auto" w:fill="FFFFFF"/>
        </w:rPr>
        <w:t>Jalnarne Ltd v Ridewood [1989] P&amp; CR 143</w:t>
      </w:r>
    </w:p>
    <w:p w14:paraId="62492F7F"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shd w:val="clear" w:color="auto" w:fill="FFFFFF"/>
        </w:rPr>
      </w:pPr>
      <w:r w:rsidRPr="00884DAF">
        <w:rPr>
          <w:rFonts w:ascii="Arial" w:hAnsi="Arial" w:cs="Arial"/>
          <w:color w:val="26282A"/>
          <w:shd w:val="clear" w:color="auto" w:fill="FFFFFF"/>
        </w:rPr>
        <w:t>Jones v Pritchard [1908] 1 Ch 630, at 638</w:t>
      </w:r>
    </w:p>
    <w:p w14:paraId="2CAFF43A"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shd w:val="clear" w:color="auto" w:fill="FFFFFF"/>
        </w:rPr>
      </w:pPr>
      <w:r w:rsidRPr="00884DAF">
        <w:rPr>
          <w:rFonts w:ascii="Arial" w:hAnsi="Arial" w:cs="Arial"/>
          <w:color w:val="26282A"/>
          <w:shd w:val="clear" w:color="auto" w:fill="FFFFFF"/>
        </w:rPr>
        <w:t>Kennerly v Beech and A’nor [2012] ECWA Civ 158</w:t>
      </w:r>
    </w:p>
    <w:p w14:paraId="75392DC8"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rPr>
      </w:pPr>
      <w:r w:rsidRPr="00884DAF">
        <w:rPr>
          <w:rFonts w:ascii="Arial" w:hAnsi="Arial" w:cs="Arial"/>
          <w:color w:val="26282A"/>
          <w:shd w:val="clear" w:color="auto" w:fill="FFFFFF"/>
        </w:rPr>
        <w:t>Keymer v Summers [1769] Bull NP 74</w:t>
      </w:r>
    </w:p>
    <w:p w14:paraId="2D9E5442"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rPr>
      </w:pPr>
      <w:r w:rsidRPr="00884DAF">
        <w:rPr>
          <w:rFonts w:ascii="Arial" w:hAnsi="Arial" w:cs="Arial"/>
          <w:color w:val="26282A"/>
        </w:rPr>
        <w:t>Liverpool Corp v Coghill [1918] 1 Ch 307</w:t>
      </w:r>
    </w:p>
    <w:p w14:paraId="2E133288"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rPr>
      </w:pPr>
      <w:r w:rsidRPr="00884DAF">
        <w:rPr>
          <w:rFonts w:ascii="Arial" w:hAnsi="Arial" w:cs="Arial"/>
          <w:color w:val="26282A"/>
          <w:shd w:val="clear" w:color="auto" w:fill="FFFFFF"/>
        </w:rPr>
        <w:t>London and Blenheim Estates Ltd v Ladbroke Retail Parks Ltd (1993) 4 All ER 157</w:t>
      </w:r>
    </w:p>
    <w:p w14:paraId="31865AFB"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rPr>
      </w:pPr>
      <w:bookmarkStart w:id="16" w:name="_Hlk117862905"/>
      <w:r w:rsidRPr="00884DAF">
        <w:rPr>
          <w:rFonts w:ascii="Arial" w:hAnsi="Arial" w:cs="Arial"/>
          <w:color w:val="26282A"/>
        </w:rPr>
        <w:t xml:space="preserve">London Tara Hotel Ltd v Kensington Close Hotel </w:t>
      </w:r>
      <w:bookmarkEnd w:id="16"/>
      <w:r w:rsidRPr="00884DAF">
        <w:rPr>
          <w:rFonts w:ascii="Arial" w:hAnsi="Arial" w:cs="Arial"/>
          <w:color w:val="26282A"/>
        </w:rPr>
        <w:t>[2011] ECWA Civ 1356.</w:t>
      </w:r>
    </w:p>
    <w:p w14:paraId="0A5D2548"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shd w:val="clear" w:color="auto" w:fill="FFFFFF"/>
        </w:rPr>
      </w:pPr>
      <w:r w:rsidRPr="00884DAF">
        <w:rPr>
          <w:rFonts w:ascii="Arial" w:hAnsi="Arial" w:cs="Arial"/>
          <w:color w:val="26282A"/>
          <w:shd w:val="clear" w:color="auto" w:fill="FFFFFF"/>
        </w:rPr>
        <w:t>Manjang v Danmeh, [1990] 61 P&amp;CR 194</w:t>
      </w:r>
    </w:p>
    <w:p w14:paraId="326BE352"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Mills v Silver [1991] 2 WLR 324</w:t>
      </w:r>
    </w:p>
    <w:p w14:paraId="6FFC820D"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rPr>
      </w:pPr>
      <w:r w:rsidRPr="00884DAF">
        <w:rPr>
          <w:rFonts w:ascii="Arial" w:hAnsi="Arial" w:cs="Arial"/>
          <w:color w:val="26282A"/>
          <w:shd w:val="clear" w:color="auto" w:fill="FFFFFF"/>
        </w:rPr>
        <w:t>MRA Engineering Ltd v Trimster Co Ltd [1987] 56 P&amp;CR 1</w:t>
      </w:r>
    </w:p>
    <w:p w14:paraId="45160E94"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rPr>
      </w:pPr>
      <w:r w:rsidRPr="00884DAF">
        <w:rPr>
          <w:rFonts w:ascii="Arial" w:hAnsi="Arial" w:cs="Arial"/>
          <w:color w:val="26282A"/>
        </w:rPr>
        <w:t>Moncrieff v Jamieson [2007] UKHL 42</w:t>
      </w:r>
    </w:p>
    <w:p w14:paraId="7A3A264B"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rPr>
      </w:pPr>
      <w:r w:rsidRPr="00884DAF">
        <w:rPr>
          <w:rFonts w:ascii="Arial" w:hAnsi="Arial" w:cs="Arial"/>
          <w:color w:val="26282A"/>
          <w:shd w:val="clear" w:color="auto" w:fill="FFFFFF"/>
        </w:rPr>
        <w:t>Peckham v Ellison (2000) 79 P and CR 276 CA</w:t>
      </w:r>
    </w:p>
    <w:p w14:paraId="23DC05FB"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 xml:space="preserve">Pugh v Savage [1970] 2 Q. B. </w:t>
      </w:r>
    </w:p>
    <w:p w14:paraId="4ADE360A" w14:textId="77777777" w:rsidR="00884DAF" w:rsidRPr="00884DAF" w:rsidRDefault="00884DAF" w:rsidP="00884DAF">
      <w:pPr>
        <w:spacing w:line="480" w:lineRule="auto"/>
        <w:rPr>
          <w:rFonts w:ascii="Arial" w:hAnsi="Arial" w:cs="Arial"/>
          <w:sz w:val="24"/>
          <w:szCs w:val="24"/>
        </w:rPr>
      </w:pPr>
      <w:r w:rsidRPr="00884DAF">
        <w:rPr>
          <w:rFonts w:ascii="Arial" w:hAnsi="Arial" w:cs="Arial"/>
          <w:color w:val="26282A"/>
          <w:sz w:val="24"/>
          <w:szCs w:val="24"/>
          <w:shd w:val="clear" w:color="auto" w:fill="FFFFFF"/>
        </w:rPr>
        <w:lastRenderedPageBreak/>
        <w:t>Roe v Siddons [1888] 22 Q.B.D 224</w:t>
      </w:r>
    </w:p>
    <w:p w14:paraId="49CBFEE4"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rPr>
      </w:pPr>
      <w:r w:rsidRPr="00884DAF">
        <w:rPr>
          <w:rFonts w:ascii="Arial" w:hAnsi="Arial" w:cs="Arial"/>
          <w:color w:val="26282A"/>
        </w:rPr>
        <w:t>Orme v Lyons [2012] EWHC 3308 (Ch)</w:t>
      </w:r>
    </w:p>
    <w:p w14:paraId="31FE41D4"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shd w:val="clear" w:color="auto" w:fill="FFFFFF"/>
        </w:rPr>
      </w:pPr>
      <w:r w:rsidRPr="00884DAF">
        <w:rPr>
          <w:rFonts w:ascii="Arial" w:hAnsi="Arial" w:cs="Arial"/>
          <w:color w:val="26282A"/>
          <w:shd w:val="clear" w:color="auto" w:fill="FFFFFF"/>
        </w:rPr>
        <w:t>Penwarden v Ching [1829] Moo. &amp; Mal. 400.</w:t>
      </w:r>
    </w:p>
    <w:p w14:paraId="0230230F"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rPr>
      </w:pPr>
      <w:r w:rsidRPr="00884DAF">
        <w:rPr>
          <w:rFonts w:ascii="Arial" w:hAnsi="Arial" w:cs="Arial"/>
          <w:color w:val="26282A"/>
          <w:shd w:val="clear" w:color="auto" w:fill="FFFFFF"/>
        </w:rPr>
        <w:t>Phipps v Peas [1965] 1 QB 76</w:t>
      </w:r>
    </w:p>
    <w:p w14:paraId="0BBD9D0A"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rPr>
      </w:pPr>
      <w:r w:rsidRPr="00884DAF">
        <w:rPr>
          <w:rFonts w:ascii="Arial" w:hAnsi="Arial" w:cs="Arial"/>
          <w:color w:val="26282A"/>
        </w:rPr>
        <w:t>Platt v Crouch [2003] ECWA Civ 1110</w:t>
      </w:r>
    </w:p>
    <w:p w14:paraId="043E5105"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rPr>
      </w:pPr>
      <w:r w:rsidRPr="00884DAF">
        <w:rPr>
          <w:rFonts w:ascii="Arial" w:hAnsi="Arial" w:cs="Arial"/>
          <w:color w:val="26282A"/>
        </w:rPr>
        <w:t xml:space="preserve">Rance v Elvin [1985] Civ 7 </w:t>
      </w:r>
    </w:p>
    <w:p w14:paraId="65B6E2C1"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rPr>
      </w:pPr>
      <w:r w:rsidRPr="00884DAF">
        <w:rPr>
          <w:rFonts w:ascii="Arial" w:hAnsi="Arial" w:cs="Arial"/>
          <w:color w:val="26282A"/>
        </w:rPr>
        <w:t>Re Ellenborough Park [1956] Ch. 131</w:t>
      </w:r>
    </w:p>
    <w:p w14:paraId="3425EEAB" w14:textId="77777777" w:rsidR="00884DAF" w:rsidRPr="00884DAF" w:rsidRDefault="00884DAF" w:rsidP="00884DAF">
      <w:pPr>
        <w:pStyle w:val="ydpc595d14dyiv9060547353ydp6438de93msonormal"/>
        <w:spacing w:line="480" w:lineRule="auto"/>
        <w:jc w:val="both"/>
        <w:rPr>
          <w:rFonts w:ascii="Arial" w:hAnsi="Arial" w:cs="Arial"/>
        </w:rPr>
      </w:pPr>
      <w:r w:rsidRPr="00884DAF">
        <w:rPr>
          <w:rFonts w:ascii="Arial" w:hAnsi="Arial" w:cs="Arial"/>
          <w:color w:val="26282A"/>
          <w:shd w:val="clear" w:color="auto" w:fill="FFFFFF"/>
        </w:rPr>
        <w:t>Regency Villas Title Ltd v Diamond Resorts (Europe) [2017] ECWA Civ 238</w:t>
      </w:r>
    </w:p>
    <w:p w14:paraId="2E41DFED"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shd w:val="clear" w:color="auto" w:fill="FFFFFF"/>
        </w:rPr>
      </w:pPr>
      <w:r w:rsidRPr="00884DAF">
        <w:rPr>
          <w:rFonts w:ascii="Arial" w:hAnsi="Arial" w:cs="Arial"/>
        </w:rPr>
        <w:t>R (Lewis) v Redcar and Leveland Borough Council [2010] 2 AC 70.</w:t>
      </w:r>
    </w:p>
    <w:p w14:paraId="30385DB7" w14:textId="77777777" w:rsidR="00884DAF" w:rsidRPr="00884DAF" w:rsidRDefault="00884DAF" w:rsidP="00884DAF">
      <w:pPr>
        <w:pStyle w:val="ydpc595d14dyiv9060547353ydpf3bc5e4bcpe2"/>
        <w:shd w:val="clear" w:color="auto" w:fill="FFFFFF"/>
        <w:spacing w:line="480" w:lineRule="auto"/>
        <w:jc w:val="both"/>
        <w:rPr>
          <w:rFonts w:ascii="Arial" w:hAnsi="Arial" w:cs="Arial"/>
          <w:color w:val="26282A"/>
        </w:rPr>
      </w:pPr>
      <w:r w:rsidRPr="00884DAF">
        <w:rPr>
          <w:rFonts w:ascii="Arial" w:hAnsi="Arial" w:cs="Arial"/>
        </w:rPr>
        <w:t>R v Oxfordshire CC, ex parte Sunningwell PC [2000]</w:t>
      </w:r>
    </w:p>
    <w:p w14:paraId="7D700E6B"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Ward v Kirkland [1967] Ch. 194</w:t>
      </w:r>
    </w:p>
    <w:p w14:paraId="4EE61003"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Wheeldon v Burrows [1879] LR 12 Ch D 31</w:t>
      </w:r>
    </w:p>
    <w:p w14:paraId="6B0127B7" w14:textId="77777777" w:rsidR="00884DAF" w:rsidRPr="00884DAF" w:rsidRDefault="00884DAF" w:rsidP="00884DAF">
      <w:pPr>
        <w:spacing w:line="480" w:lineRule="auto"/>
        <w:rPr>
          <w:rFonts w:ascii="Arial" w:hAnsi="Arial" w:cs="Arial"/>
          <w:color w:val="26282A"/>
          <w:sz w:val="24"/>
          <w:szCs w:val="24"/>
          <w:shd w:val="clear" w:color="auto" w:fill="FFFFFF"/>
        </w:rPr>
      </w:pPr>
      <w:r w:rsidRPr="00884DAF">
        <w:rPr>
          <w:rFonts w:ascii="Arial" w:hAnsi="Arial" w:cs="Arial"/>
          <w:color w:val="26282A"/>
          <w:sz w:val="24"/>
          <w:szCs w:val="24"/>
          <w:shd w:val="clear" w:color="auto" w:fill="FFFFFF"/>
        </w:rPr>
        <w:t>Williams v Sandy Lane (Chester) Ltd [2006] ECWA Civ 1738.</w:t>
      </w:r>
    </w:p>
    <w:p w14:paraId="265D9583" w14:textId="77777777" w:rsidR="00884DAF" w:rsidRPr="00884DAF" w:rsidRDefault="00884DAF" w:rsidP="00884DAF">
      <w:pPr>
        <w:spacing w:line="480" w:lineRule="auto"/>
        <w:rPr>
          <w:rFonts w:ascii="Arial" w:hAnsi="Arial" w:cs="Arial"/>
          <w:b/>
          <w:bCs/>
          <w:sz w:val="24"/>
          <w:szCs w:val="24"/>
        </w:rPr>
      </w:pPr>
      <w:r w:rsidRPr="00884DAF">
        <w:rPr>
          <w:rFonts w:ascii="Arial" w:hAnsi="Arial" w:cs="Arial"/>
          <w:color w:val="26282A"/>
          <w:sz w:val="24"/>
          <w:szCs w:val="24"/>
          <w:shd w:val="clear" w:color="auto" w:fill="FFFFFF"/>
        </w:rPr>
        <w:t>Winterburn v (1) Bennett [2016] ECWA Civ 482.</w:t>
      </w:r>
    </w:p>
    <w:p w14:paraId="6F3D8A25"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Wong v Beaumont [1965] 1 QB 173</w:t>
      </w:r>
    </w:p>
    <w:p w14:paraId="26E99931" w14:textId="77777777" w:rsidR="00884DAF" w:rsidRPr="00884DAF" w:rsidRDefault="00884DAF" w:rsidP="00884DAF">
      <w:pPr>
        <w:spacing w:line="480" w:lineRule="auto"/>
        <w:rPr>
          <w:rFonts w:ascii="Arial" w:hAnsi="Arial" w:cs="Arial"/>
          <w:sz w:val="24"/>
          <w:szCs w:val="24"/>
        </w:rPr>
      </w:pPr>
      <w:r w:rsidRPr="00884DAF">
        <w:rPr>
          <w:rFonts w:ascii="Arial" w:hAnsi="Arial" w:cs="Arial"/>
          <w:sz w:val="24"/>
          <w:szCs w:val="24"/>
        </w:rPr>
        <w:t>Wood v Waddington [2015] ECWA Civ 538</w:t>
      </w:r>
    </w:p>
    <w:p w14:paraId="6AA6A811" w14:textId="77777777" w:rsidR="00884DAF" w:rsidRPr="00884DAF" w:rsidRDefault="00884DAF" w:rsidP="00884DAF">
      <w:pPr>
        <w:spacing w:line="480" w:lineRule="auto"/>
        <w:rPr>
          <w:rFonts w:ascii="Arial" w:hAnsi="Arial" w:cs="Arial"/>
          <w:sz w:val="24"/>
          <w:szCs w:val="24"/>
        </w:rPr>
      </w:pPr>
    </w:p>
    <w:p w14:paraId="168A8805" w14:textId="77777777" w:rsidR="00884DAF" w:rsidRPr="00884DAF" w:rsidRDefault="00884DAF" w:rsidP="00884DAF">
      <w:pPr>
        <w:spacing w:line="480" w:lineRule="auto"/>
        <w:rPr>
          <w:rFonts w:ascii="Arial" w:hAnsi="Arial" w:cs="Arial"/>
          <w:sz w:val="24"/>
          <w:szCs w:val="24"/>
        </w:rPr>
      </w:pPr>
    </w:p>
    <w:p w14:paraId="5B90D43F" w14:textId="77777777" w:rsidR="00884DAF" w:rsidRPr="00884DAF" w:rsidRDefault="00884DAF" w:rsidP="00884DAF">
      <w:pPr>
        <w:spacing w:line="480" w:lineRule="auto"/>
        <w:rPr>
          <w:rFonts w:ascii="Arial" w:hAnsi="Arial" w:cs="Arial"/>
          <w:sz w:val="24"/>
          <w:szCs w:val="24"/>
        </w:rPr>
      </w:pPr>
    </w:p>
    <w:p w14:paraId="5E2B6A13" w14:textId="77777777" w:rsidR="00884DAF" w:rsidRPr="00884DAF" w:rsidRDefault="00884DAF" w:rsidP="00884DAF">
      <w:pPr>
        <w:spacing w:line="480" w:lineRule="auto"/>
        <w:rPr>
          <w:rFonts w:ascii="Arial" w:hAnsi="Arial" w:cs="Arial"/>
          <w:sz w:val="24"/>
          <w:szCs w:val="24"/>
        </w:rPr>
      </w:pPr>
    </w:p>
    <w:p w14:paraId="4291380A" w14:textId="77777777" w:rsidR="00884DAF" w:rsidRPr="00884DAF" w:rsidRDefault="00884DAF" w:rsidP="00884DAF">
      <w:pPr>
        <w:spacing w:line="480" w:lineRule="auto"/>
        <w:rPr>
          <w:rFonts w:ascii="Arial" w:hAnsi="Arial" w:cs="Arial"/>
          <w:sz w:val="24"/>
          <w:szCs w:val="24"/>
        </w:rPr>
      </w:pPr>
    </w:p>
    <w:p w14:paraId="581FA901" w14:textId="77777777" w:rsidR="00884DAF" w:rsidRPr="00884DAF" w:rsidRDefault="00884DAF" w:rsidP="00884DAF">
      <w:pPr>
        <w:spacing w:line="480" w:lineRule="auto"/>
        <w:rPr>
          <w:rFonts w:ascii="Arial" w:hAnsi="Arial" w:cs="Arial"/>
          <w:sz w:val="24"/>
          <w:szCs w:val="24"/>
        </w:rPr>
      </w:pPr>
    </w:p>
    <w:p w14:paraId="51A36F3E" w14:textId="77777777" w:rsidR="00884DAF" w:rsidRPr="00884DAF" w:rsidRDefault="00884DAF" w:rsidP="00884DAF">
      <w:pPr>
        <w:spacing w:line="480" w:lineRule="auto"/>
        <w:rPr>
          <w:rFonts w:ascii="Arial" w:hAnsi="Arial" w:cs="Arial"/>
          <w:sz w:val="24"/>
          <w:szCs w:val="24"/>
        </w:rPr>
      </w:pPr>
    </w:p>
    <w:p w14:paraId="05EF7C3D" w14:textId="77777777" w:rsidR="00884DAF" w:rsidRPr="00884DAF" w:rsidRDefault="00884DAF" w:rsidP="00884DAF">
      <w:pPr>
        <w:spacing w:line="480" w:lineRule="auto"/>
        <w:rPr>
          <w:rFonts w:ascii="Arial" w:hAnsi="Arial" w:cs="Arial"/>
          <w:sz w:val="24"/>
          <w:szCs w:val="24"/>
        </w:rPr>
      </w:pPr>
    </w:p>
    <w:p w14:paraId="732E1601" w14:textId="77777777" w:rsidR="000A571A" w:rsidRPr="00884DAF" w:rsidRDefault="000A571A" w:rsidP="00884DAF">
      <w:pPr>
        <w:spacing w:line="480" w:lineRule="auto"/>
        <w:rPr>
          <w:rFonts w:ascii="Arial" w:hAnsi="Arial" w:cs="Arial"/>
          <w:sz w:val="24"/>
          <w:szCs w:val="24"/>
        </w:rPr>
      </w:pPr>
    </w:p>
    <w:p w14:paraId="3F3D3FFA" w14:textId="77777777" w:rsidR="000A571A" w:rsidRPr="00884DAF" w:rsidRDefault="000A571A" w:rsidP="00884DAF">
      <w:pPr>
        <w:spacing w:line="480" w:lineRule="auto"/>
        <w:rPr>
          <w:rFonts w:ascii="Arial" w:hAnsi="Arial" w:cs="Arial"/>
          <w:sz w:val="24"/>
          <w:szCs w:val="24"/>
        </w:rPr>
      </w:pPr>
    </w:p>
    <w:p w14:paraId="561732D9" w14:textId="77777777" w:rsidR="000A571A" w:rsidRPr="00884DAF" w:rsidRDefault="000A571A" w:rsidP="00884DAF">
      <w:pPr>
        <w:spacing w:line="480" w:lineRule="auto"/>
        <w:rPr>
          <w:rFonts w:ascii="Arial" w:hAnsi="Arial" w:cs="Arial"/>
          <w:sz w:val="24"/>
          <w:szCs w:val="24"/>
        </w:rPr>
      </w:pPr>
    </w:p>
    <w:p w14:paraId="3CF25D71" w14:textId="77777777" w:rsidR="000A571A" w:rsidRPr="00884DAF" w:rsidRDefault="000A571A" w:rsidP="00884DAF">
      <w:pPr>
        <w:spacing w:line="480" w:lineRule="auto"/>
        <w:rPr>
          <w:rFonts w:ascii="Arial" w:hAnsi="Arial" w:cs="Arial"/>
          <w:sz w:val="24"/>
          <w:szCs w:val="24"/>
        </w:rPr>
      </w:pPr>
    </w:p>
    <w:p w14:paraId="0B1ADB39" w14:textId="77777777" w:rsidR="000A571A" w:rsidRPr="00884DAF" w:rsidRDefault="000A571A" w:rsidP="00884DAF">
      <w:pPr>
        <w:spacing w:line="480" w:lineRule="auto"/>
        <w:rPr>
          <w:rFonts w:ascii="Arial" w:hAnsi="Arial" w:cs="Arial"/>
          <w:sz w:val="24"/>
          <w:szCs w:val="24"/>
        </w:rPr>
      </w:pPr>
    </w:p>
    <w:p w14:paraId="08124947" w14:textId="77777777" w:rsidR="000A571A" w:rsidRPr="00884DAF" w:rsidRDefault="000A571A" w:rsidP="00884DAF">
      <w:pPr>
        <w:spacing w:line="480" w:lineRule="auto"/>
        <w:rPr>
          <w:rFonts w:ascii="Arial" w:hAnsi="Arial" w:cs="Arial"/>
          <w:sz w:val="24"/>
          <w:szCs w:val="24"/>
        </w:rPr>
      </w:pPr>
    </w:p>
    <w:p w14:paraId="37EFA6E7" w14:textId="77777777" w:rsidR="000A571A" w:rsidRPr="00884DAF" w:rsidRDefault="000A571A" w:rsidP="00884DAF">
      <w:pPr>
        <w:spacing w:line="480" w:lineRule="auto"/>
        <w:rPr>
          <w:rFonts w:ascii="Arial" w:hAnsi="Arial" w:cs="Arial"/>
          <w:sz w:val="24"/>
          <w:szCs w:val="24"/>
        </w:rPr>
      </w:pPr>
    </w:p>
    <w:p w14:paraId="36E0F6A5" w14:textId="77777777" w:rsidR="000A571A" w:rsidRPr="00884DAF" w:rsidRDefault="000A571A" w:rsidP="00884DAF">
      <w:pPr>
        <w:spacing w:line="480" w:lineRule="auto"/>
        <w:rPr>
          <w:rFonts w:ascii="Arial" w:hAnsi="Arial" w:cs="Arial"/>
          <w:sz w:val="24"/>
          <w:szCs w:val="24"/>
        </w:rPr>
      </w:pPr>
    </w:p>
    <w:p w14:paraId="40CE63BE" w14:textId="77777777" w:rsidR="000A571A" w:rsidRPr="00884DAF" w:rsidRDefault="000A571A" w:rsidP="00884DAF">
      <w:pPr>
        <w:spacing w:line="480" w:lineRule="auto"/>
        <w:rPr>
          <w:rFonts w:ascii="Arial" w:hAnsi="Arial" w:cs="Arial"/>
          <w:sz w:val="24"/>
          <w:szCs w:val="24"/>
        </w:rPr>
      </w:pPr>
    </w:p>
    <w:p w14:paraId="3B3FE0C8" w14:textId="77777777" w:rsidR="000A571A" w:rsidRPr="00884DAF" w:rsidRDefault="000A571A" w:rsidP="00884DAF">
      <w:pPr>
        <w:spacing w:line="480" w:lineRule="auto"/>
        <w:rPr>
          <w:rFonts w:ascii="Arial" w:hAnsi="Arial" w:cs="Arial"/>
          <w:sz w:val="24"/>
          <w:szCs w:val="24"/>
        </w:rPr>
      </w:pPr>
    </w:p>
    <w:p w14:paraId="23B4348D" w14:textId="77777777" w:rsidR="000A571A" w:rsidRPr="00884DAF" w:rsidRDefault="000A571A" w:rsidP="00884DAF">
      <w:pPr>
        <w:spacing w:line="480" w:lineRule="auto"/>
        <w:rPr>
          <w:rFonts w:ascii="Arial" w:hAnsi="Arial" w:cs="Arial"/>
          <w:sz w:val="24"/>
          <w:szCs w:val="24"/>
        </w:rPr>
      </w:pPr>
    </w:p>
    <w:p w14:paraId="5C966801" w14:textId="77777777" w:rsidR="000A571A" w:rsidRPr="00884DAF" w:rsidRDefault="000A571A" w:rsidP="00884DAF">
      <w:pPr>
        <w:spacing w:line="480" w:lineRule="auto"/>
        <w:rPr>
          <w:rFonts w:ascii="Arial" w:hAnsi="Arial" w:cs="Arial"/>
          <w:sz w:val="24"/>
          <w:szCs w:val="24"/>
        </w:rPr>
      </w:pPr>
    </w:p>
    <w:p w14:paraId="3647CF8A" w14:textId="77777777" w:rsidR="000A571A" w:rsidRPr="00884DAF" w:rsidRDefault="000A571A" w:rsidP="00884DAF">
      <w:pPr>
        <w:spacing w:line="480" w:lineRule="auto"/>
        <w:rPr>
          <w:rFonts w:ascii="Arial" w:hAnsi="Arial" w:cs="Arial"/>
          <w:sz w:val="24"/>
          <w:szCs w:val="24"/>
        </w:rPr>
      </w:pPr>
    </w:p>
    <w:bookmarkEnd w:id="0"/>
    <w:bookmarkEnd w:id="1"/>
    <w:p w14:paraId="034E37C1" w14:textId="77777777" w:rsidR="000A571A" w:rsidRPr="00884DAF" w:rsidRDefault="000A571A" w:rsidP="00884DAF">
      <w:pPr>
        <w:spacing w:line="480" w:lineRule="auto"/>
        <w:rPr>
          <w:rFonts w:ascii="Arial" w:hAnsi="Arial" w:cs="Arial"/>
          <w:sz w:val="24"/>
          <w:szCs w:val="24"/>
        </w:rPr>
      </w:pPr>
    </w:p>
    <w:sectPr w:rsidR="000A571A" w:rsidRPr="00884DAF">
      <w:footerReference w:type="default" r:id="rId1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386975" w14:textId="77777777" w:rsidR="00C87BBD" w:rsidRDefault="00C87BBD">
      <w:pPr>
        <w:spacing w:after="0"/>
      </w:pPr>
      <w:r>
        <w:separator/>
      </w:r>
    </w:p>
  </w:endnote>
  <w:endnote w:type="continuationSeparator" w:id="0">
    <w:p w14:paraId="19C7406E" w14:textId="77777777" w:rsidR="00C87BBD" w:rsidRDefault="00C87BBD">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3690649"/>
      <w:docPartObj>
        <w:docPartGallery w:val="Page Numbers (Bottom of Page)"/>
        <w:docPartUnique/>
      </w:docPartObj>
    </w:sdtPr>
    <w:sdtEndPr>
      <w:rPr>
        <w:noProof/>
      </w:rPr>
    </w:sdtEndPr>
    <w:sdtContent>
      <w:p w14:paraId="1850CF5A" w14:textId="0C353008" w:rsidR="00884DAF" w:rsidRDefault="00884D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722236" w14:textId="77777777" w:rsidR="00884DAF" w:rsidRDefault="00884D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889552" w14:textId="77777777" w:rsidR="00C87BBD" w:rsidRDefault="00C87BBD">
      <w:pPr>
        <w:spacing w:after="0"/>
      </w:pPr>
      <w:r>
        <w:rPr>
          <w:color w:val="000000"/>
        </w:rPr>
        <w:separator/>
      </w:r>
    </w:p>
  </w:footnote>
  <w:footnote w:type="continuationSeparator" w:id="0">
    <w:p w14:paraId="6B4BC86A" w14:textId="77777777" w:rsidR="00C87BBD" w:rsidRDefault="00C87BBD">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autoHyphenation/>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617943"/>
    <w:rsid w:val="000313D2"/>
    <w:rsid w:val="0005277A"/>
    <w:rsid w:val="00074596"/>
    <w:rsid w:val="000A571A"/>
    <w:rsid w:val="000B4FA9"/>
    <w:rsid w:val="000D5BEC"/>
    <w:rsid w:val="000D78F7"/>
    <w:rsid w:val="000E1080"/>
    <w:rsid w:val="000E2B5E"/>
    <w:rsid w:val="000F56AA"/>
    <w:rsid w:val="00111B57"/>
    <w:rsid w:val="001422F6"/>
    <w:rsid w:val="00183452"/>
    <w:rsid w:val="0018410B"/>
    <w:rsid w:val="001B4D11"/>
    <w:rsid w:val="001E2A2F"/>
    <w:rsid w:val="0020774A"/>
    <w:rsid w:val="00213DF0"/>
    <w:rsid w:val="00245FDA"/>
    <w:rsid w:val="00247163"/>
    <w:rsid w:val="00251EB4"/>
    <w:rsid w:val="002606BB"/>
    <w:rsid w:val="00265E93"/>
    <w:rsid w:val="002874CB"/>
    <w:rsid w:val="002A30C1"/>
    <w:rsid w:val="002C06FD"/>
    <w:rsid w:val="002C70AA"/>
    <w:rsid w:val="002D7CAF"/>
    <w:rsid w:val="002E7ED3"/>
    <w:rsid w:val="00326C48"/>
    <w:rsid w:val="003301F4"/>
    <w:rsid w:val="00336EF8"/>
    <w:rsid w:val="0039293D"/>
    <w:rsid w:val="003A7FA8"/>
    <w:rsid w:val="003B561E"/>
    <w:rsid w:val="003E00AB"/>
    <w:rsid w:val="00401763"/>
    <w:rsid w:val="00415399"/>
    <w:rsid w:val="004276DD"/>
    <w:rsid w:val="00431180"/>
    <w:rsid w:val="004570C2"/>
    <w:rsid w:val="00460E4D"/>
    <w:rsid w:val="0047106D"/>
    <w:rsid w:val="004850E3"/>
    <w:rsid w:val="004D04BE"/>
    <w:rsid w:val="004F16AE"/>
    <w:rsid w:val="00516FD2"/>
    <w:rsid w:val="00526117"/>
    <w:rsid w:val="00527025"/>
    <w:rsid w:val="00544214"/>
    <w:rsid w:val="00577C19"/>
    <w:rsid w:val="00592468"/>
    <w:rsid w:val="005E7E91"/>
    <w:rsid w:val="005F54ED"/>
    <w:rsid w:val="005F6836"/>
    <w:rsid w:val="00617943"/>
    <w:rsid w:val="0063324C"/>
    <w:rsid w:val="00684E7C"/>
    <w:rsid w:val="00705E36"/>
    <w:rsid w:val="007434BC"/>
    <w:rsid w:val="00795A73"/>
    <w:rsid w:val="007A5516"/>
    <w:rsid w:val="007C6B4D"/>
    <w:rsid w:val="007D4D0B"/>
    <w:rsid w:val="007E1942"/>
    <w:rsid w:val="007E318A"/>
    <w:rsid w:val="007F3046"/>
    <w:rsid w:val="00814114"/>
    <w:rsid w:val="008736BE"/>
    <w:rsid w:val="00884DAF"/>
    <w:rsid w:val="00885432"/>
    <w:rsid w:val="008A7A25"/>
    <w:rsid w:val="008B0E0C"/>
    <w:rsid w:val="008F3E56"/>
    <w:rsid w:val="00913580"/>
    <w:rsid w:val="00922C40"/>
    <w:rsid w:val="00922F90"/>
    <w:rsid w:val="00936866"/>
    <w:rsid w:val="00943B83"/>
    <w:rsid w:val="00945E06"/>
    <w:rsid w:val="00952083"/>
    <w:rsid w:val="00981E89"/>
    <w:rsid w:val="009832C9"/>
    <w:rsid w:val="00986EA6"/>
    <w:rsid w:val="009A00FA"/>
    <w:rsid w:val="009C4956"/>
    <w:rsid w:val="009D0214"/>
    <w:rsid w:val="009D4714"/>
    <w:rsid w:val="009E2132"/>
    <w:rsid w:val="009E3107"/>
    <w:rsid w:val="009F5DD0"/>
    <w:rsid w:val="00A2198D"/>
    <w:rsid w:val="00A37468"/>
    <w:rsid w:val="00A403B2"/>
    <w:rsid w:val="00A67F04"/>
    <w:rsid w:val="00A74C7E"/>
    <w:rsid w:val="00A809BD"/>
    <w:rsid w:val="00A82718"/>
    <w:rsid w:val="00AE72AD"/>
    <w:rsid w:val="00B0749D"/>
    <w:rsid w:val="00B15ED1"/>
    <w:rsid w:val="00B504A7"/>
    <w:rsid w:val="00B55F82"/>
    <w:rsid w:val="00B97C8F"/>
    <w:rsid w:val="00BA2816"/>
    <w:rsid w:val="00BA444D"/>
    <w:rsid w:val="00BB29E9"/>
    <w:rsid w:val="00BC4DB0"/>
    <w:rsid w:val="00BC7F53"/>
    <w:rsid w:val="00BF191C"/>
    <w:rsid w:val="00C01980"/>
    <w:rsid w:val="00C17872"/>
    <w:rsid w:val="00C32FF4"/>
    <w:rsid w:val="00C535C3"/>
    <w:rsid w:val="00C861E3"/>
    <w:rsid w:val="00C87BBD"/>
    <w:rsid w:val="00C922CB"/>
    <w:rsid w:val="00CA2C9C"/>
    <w:rsid w:val="00CC5118"/>
    <w:rsid w:val="00CC5C53"/>
    <w:rsid w:val="00CF4419"/>
    <w:rsid w:val="00CF509F"/>
    <w:rsid w:val="00D0793C"/>
    <w:rsid w:val="00D13305"/>
    <w:rsid w:val="00D17632"/>
    <w:rsid w:val="00D30EB0"/>
    <w:rsid w:val="00D66963"/>
    <w:rsid w:val="00DB227B"/>
    <w:rsid w:val="00DB4F4E"/>
    <w:rsid w:val="00DB545D"/>
    <w:rsid w:val="00DC22D2"/>
    <w:rsid w:val="00DF3DBF"/>
    <w:rsid w:val="00DF4249"/>
    <w:rsid w:val="00E64EC6"/>
    <w:rsid w:val="00E909C1"/>
    <w:rsid w:val="00E90C3F"/>
    <w:rsid w:val="00EA34D1"/>
    <w:rsid w:val="00EB3E2C"/>
    <w:rsid w:val="00EC10E6"/>
    <w:rsid w:val="00EC13CC"/>
    <w:rsid w:val="00EC46C8"/>
    <w:rsid w:val="00F102BA"/>
    <w:rsid w:val="00F1111D"/>
    <w:rsid w:val="00F12416"/>
    <w:rsid w:val="00F126ED"/>
    <w:rsid w:val="00F25C9D"/>
    <w:rsid w:val="00F62FB8"/>
    <w:rsid w:val="00F7727B"/>
    <w:rsid w:val="00FB5334"/>
    <w:rsid w:val="00FC3226"/>
    <w:rsid w:val="00FD6E10"/>
    <w:rsid w:val="00FE2031"/>
    <w:rsid w:val="00FE339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522A15"/>
  <w15:docId w15:val="{8538C1BA-6476-415C-BEA4-433DD82C1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DengXian" w:hAnsi="Calibri" w:cs="Times New Roman"/>
        <w:sz w:val="22"/>
        <w:szCs w:val="22"/>
        <w:lang w:val="en-GB" w:eastAsia="zh-CN"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dpc595d14dyiv9060547353ydp6438de93msonormal">
    <w:name w:val="ydpc595d14dyiv9060547353ydp6438de93msonormal"/>
    <w:basedOn w:val="Normal"/>
    <w:pPr>
      <w:spacing w:before="100" w:after="100"/>
    </w:pPr>
    <w:rPr>
      <w:rFonts w:ascii="Times New Roman" w:eastAsia="Times New Roman" w:hAnsi="Times New Roman"/>
      <w:sz w:val="24"/>
      <w:szCs w:val="24"/>
      <w:lang w:eastAsia="en-GB"/>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pPr>
  </w:style>
  <w:style w:type="character" w:customStyle="1" w:styleId="FooterChar">
    <w:name w:val="Footer Char"/>
    <w:basedOn w:val="DefaultParagraphFont"/>
    <w:uiPriority w:val="99"/>
  </w:style>
  <w:style w:type="paragraph" w:customStyle="1" w:styleId="ydpc595d14dyiv9060547353ydpf3bc5e4bcpe2">
    <w:name w:val="ydpc595d14dyiv9060547353ydpf3bc5e4bcpe2"/>
    <w:basedOn w:val="Normal"/>
    <w:rsid w:val="009832C9"/>
    <w:pPr>
      <w:suppressAutoHyphens w:val="0"/>
      <w:autoSpaceDN/>
      <w:spacing w:before="100" w:beforeAutospacing="1" w:after="100" w:afterAutospacing="1"/>
    </w:pPr>
    <w:rPr>
      <w:rFonts w:ascii="Times New Roman" w:eastAsia="Times New Roman" w:hAnsi="Times New Roman"/>
      <w:sz w:val="24"/>
      <w:szCs w:val="24"/>
      <w:lang w:eastAsia="en-GB"/>
    </w:rPr>
  </w:style>
  <w:style w:type="character" w:styleId="Hyperlink">
    <w:name w:val="Hyperlink"/>
    <w:basedOn w:val="DefaultParagraphFont"/>
    <w:rsid w:val="009832C9"/>
    <w:rPr>
      <w:color w:val="0563C1"/>
      <w:u w:val="single"/>
    </w:rPr>
  </w:style>
  <w:style w:type="character" w:styleId="UnresolvedMention">
    <w:name w:val="Unresolved Mention"/>
    <w:basedOn w:val="DefaultParagraphFont"/>
    <w:uiPriority w:val="99"/>
    <w:semiHidden/>
    <w:unhideWhenUsed/>
    <w:rsid w:val="00AE72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29064/1067.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gov.uk/government/publications/easements-claimed-by-prescription/practice-guide-52-easements-claimed-by-prescription" TargetMode="External"/><Relationship Id="rId12" Type="http://schemas.openxmlformats.org/officeDocument/2006/relationships/hyperlink" Target="https://eprints.lancs.ac.uk/id/eprint/70628/1/Easement_of_Parking_Conv_post_print.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awsociety.ie/gazette/top-stories/2022/january/law-of-the-land" TargetMode="External"/><Relationship Id="rId11" Type="http://schemas.openxmlformats.org/officeDocument/2006/relationships/hyperlink" Target="https://assets.publishing.service.gov.uk/government/uploads/system/uploads/attachment_data/file/524040/Queen_s_Speech_2016_background_notes_.pdf"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uk.practicallaw.thomsonreuters.com/0-202-2726?transitionType=Default&amp;contextData=(sc.Default)&amp;firstPage=true" TargetMode="External"/><Relationship Id="rId4" Type="http://schemas.openxmlformats.org/officeDocument/2006/relationships/footnotes" Target="footnotes.xml"/><Relationship Id="rId9" Type="http://schemas.openxmlformats.org/officeDocument/2006/relationships/hyperlink" Target="https://cilexjournal.org.uk/journal/cilex-journal-september-2016/updates/land-registry-updat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22</Pages>
  <Words>4881</Words>
  <Characters>27828</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Funmilayo Olaniyan (2018882)</dc:creator>
  <cp:keywords/>
  <dc:description/>
  <cp:lastModifiedBy>Funmilayo Olaniyan (2018882)</cp:lastModifiedBy>
  <cp:revision>7</cp:revision>
  <dcterms:created xsi:type="dcterms:W3CDTF">2022-11-25T15:42:00Z</dcterms:created>
  <dcterms:modified xsi:type="dcterms:W3CDTF">2022-11-25T23:53:00Z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86694017-017c-4660-b8c5-c51281ba2d39</vt:lpwstr>
  </property>
</Properties>
</file>