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D6012" w14:textId="77777777" w:rsidR="00DD75CA" w:rsidRPr="00FE243C" w:rsidRDefault="00DD75CA" w:rsidP="00DD75CA">
      <w:pPr>
        <w:rPr>
          <w:rFonts w:ascii="Arial" w:hAnsi="Arial" w:cs="Arial"/>
          <w:b/>
          <w:bCs/>
        </w:rPr>
      </w:pPr>
      <w:r w:rsidRPr="00FE243C">
        <w:rPr>
          <w:rFonts w:ascii="Arial" w:hAnsi="Arial" w:cs="Arial"/>
          <w:b/>
          <w:bCs/>
        </w:rPr>
        <w:t xml:space="preserve">         </w:t>
      </w:r>
      <w:r>
        <w:rPr>
          <w:rFonts w:ascii="Arial" w:hAnsi="Arial" w:cs="Arial"/>
          <w:b/>
          <w:bCs/>
        </w:rPr>
        <w:t xml:space="preserve">               </w:t>
      </w:r>
      <w:r w:rsidRPr="00FE243C">
        <w:rPr>
          <w:rFonts w:ascii="Arial" w:hAnsi="Arial" w:cs="Arial"/>
          <w:b/>
          <w:bCs/>
        </w:rPr>
        <w:t xml:space="preserve">     Student Name: Amreen Sarmad</w:t>
      </w:r>
    </w:p>
    <w:p w14:paraId="4DDB8375" w14:textId="372BB120" w:rsidR="00DD75CA" w:rsidRDefault="00DD75CA" w:rsidP="00DD75CA">
      <w:pPr>
        <w:rPr>
          <w:rFonts w:ascii="Arial" w:hAnsi="Arial" w:cs="Arial"/>
          <w:b/>
          <w:bCs/>
        </w:rPr>
      </w:pPr>
      <w:r w:rsidRPr="00FE243C">
        <w:rPr>
          <w:rFonts w:ascii="Arial" w:hAnsi="Arial" w:cs="Arial"/>
          <w:b/>
          <w:bCs/>
        </w:rPr>
        <w:t xml:space="preserve">                             Student Number: 2421320</w:t>
      </w:r>
      <w:r w:rsidRPr="00FE243C">
        <w:rPr>
          <w:rFonts w:ascii="Arial" w:hAnsi="Arial" w:cs="Arial"/>
          <w:b/>
          <w:bCs/>
        </w:rPr>
        <w:br/>
        <w:t xml:space="preserve">                             Module Code: L</w:t>
      </w:r>
      <w:r>
        <w:rPr>
          <w:rFonts w:ascii="Arial" w:hAnsi="Arial" w:cs="Arial"/>
          <w:b/>
          <w:bCs/>
        </w:rPr>
        <w:t>CHS 4010</w:t>
      </w:r>
      <w:r w:rsidRPr="00FE243C">
        <w:rPr>
          <w:rFonts w:ascii="Arial" w:hAnsi="Arial" w:cs="Arial"/>
          <w:b/>
          <w:bCs/>
        </w:rPr>
        <w:br/>
        <w:t xml:space="preserve">                             Lecturer’s Name: </w:t>
      </w:r>
      <w:r>
        <w:rPr>
          <w:rFonts w:ascii="Arial" w:hAnsi="Arial" w:cs="Arial"/>
          <w:b/>
          <w:bCs/>
        </w:rPr>
        <w:t>Rizwan Nadim</w:t>
      </w:r>
    </w:p>
    <w:p w14:paraId="5BD6EDAC" w14:textId="77777777" w:rsidR="00DD75CA" w:rsidRDefault="00DD75CA" w:rsidP="00DD75CA">
      <w:pPr>
        <w:rPr>
          <w:b/>
          <w:bCs/>
        </w:rPr>
      </w:pPr>
    </w:p>
    <w:p w14:paraId="52F8D007" w14:textId="77777777" w:rsidR="00DD75CA" w:rsidRDefault="00DD75CA" w:rsidP="00DD75CA">
      <w:pPr>
        <w:rPr>
          <w:b/>
          <w:bCs/>
        </w:rPr>
      </w:pPr>
    </w:p>
    <w:p w14:paraId="04D8AF0E" w14:textId="77777777" w:rsidR="00DD75CA" w:rsidRDefault="00DD75CA" w:rsidP="00DD75CA">
      <w:pPr>
        <w:rPr>
          <w:b/>
          <w:bCs/>
        </w:rPr>
      </w:pPr>
    </w:p>
    <w:p w14:paraId="6996A338" w14:textId="77777777" w:rsidR="00DD75CA" w:rsidRDefault="00DD75CA" w:rsidP="00DD75CA">
      <w:pPr>
        <w:rPr>
          <w:b/>
          <w:bCs/>
        </w:rPr>
      </w:pPr>
    </w:p>
    <w:p w14:paraId="55F522B7" w14:textId="77777777" w:rsidR="00DD75CA" w:rsidRDefault="00DD75CA" w:rsidP="00DD75CA">
      <w:pPr>
        <w:rPr>
          <w:b/>
          <w:bCs/>
        </w:rPr>
      </w:pPr>
    </w:p>
    <w:p w14:paraId="4BC6B7E5" w14:textId="77777777" w:rsidR="00DD75CA" w:rsidRDefault="00DD75CA" w:rsidP="00DD75CA">
      <w:pPr>
        <w:rPr>
          <w:b/>
          <w:bCs/>
        </w:rPr>
      </w:pPr>
    </w:p>
    <w:p w14:paraId="3B4594F7" w14:textId="77777777" w:rsidR="00DD75CA" w:rsidRDefault="00DD75CA" w:rsidP="00DD75CA">
      <w:pPr>
        <w:rPr>
          <w:b/>
          <w:bCs/>
        </w:rPr>
      </w:pPr>
    </w:p>
    <w:p w14:paraId="336F7831" w14:textId="77777777" w:rsidR="00DD75CA" w:rsidRDefault="00DD75CA" w:rsidP="00DD75CA">
      <w:pPr>
        <w:rPr>
          <w:b/>
          <w:bCs/>
        </w:rPr>
      </w:pPr>
    </w:p>
    <w:p w14:paraId="642D2664" w14:textId="67E209CD" w:rsidR="00DD75CA" w:rsidRPr="00DD75CA" w:rsidRDefault="00DD75CA" w:rsidP="00DD75CA">
      <w:pPr>
        <w:rPr>
          <w:rFonts w:ascii="Arial" w:hAnsi="Arial" w:cs="Arial"/>
        </w:rPr>
      </w:pPr>
      <w:r w:rsidRPr="00DD75CA">
        <w:rPr>
          <w:b/>
          <w:bCs/>
        </w:rPr>
        <w:t>PART A: Annot</w:t>
      </w:r>
      <w:r w:rsidRPr="00DD75CA">
        <w:rPr>
          <w:rFonts w:ascii="Arial" w:hAnsi="Arial" w:cs="Arial"/>
          <w:b/>
          <w:bCs/>
        </w:rPr>
        <w:t>ated Bibliography</w:t>
      </w:r>
      <w:r>
        <w:rPr>
          <w:rFonts w:ascii="Arial" w:hAnsi="Arial" w:cs="Arial"/>
          <w:b/>
          <w:bCs/>
        </w:rPr>
        <w:t>:</w:t>
      </w:r>
    </w:p>
    <w:p w14:paraId="3326BDF2" w14:textId="77777777" w:rsidR="00DD75CA" w:rsidRPr="00DD75CA" w:rsidRDefault="00DD75CA" w:rsidP="00DD75CA">
      <w:pPr>
        <w:rPr>
          <w:rFonts w:ascii="Arial" w:hAnsi="Arial" w:cs="Arial"/>
        </w:rPr>
      </w:pPr>
      <w:r w:rsidRPr="00DD75CA">
        <w:rPr>
          <w:rFonts w:ascii="Arial" w:hAnsi="Arial" w:cs="Arial"/>
        </w:rPr>
        <w:t>Four academic sources on Erikson’s psychosocial theory and positive psychology approaches to ageing</w:t>
      </w:r>
    </w:p>
    <w:p w14:paraId="7051AACD" w14:textId="70F95371" w:rsidR="00DD75CA" w:rsidRPr="00DD75CA" w:rsidRDefault="00DD75CA" w:rsidP="00DD75CA">
      <w:pPr>
        <w:rPr>
          <w:rFonts w:ascii="Arial" w:hAnsi="Arial" w:cs="Arial"/>
        </w:rPr>
      </w:pPr>
      <w:r w:rsidRPr="00DD75CA">
        <w:rPr>
          <w:rFonts w:ascii="Arial" w:hAnsi="Arial" w:cs="Arial"/>
          <w:b/>
          <w:bCs/>
        </w:rPr>
        <w:t xml:space="preserve">1. Reference </w:t>
      </w:r>
      <w:r w:rsidRPr="00DD75CA">
        <w:rPr>
          <w:rFonts w:ascii="Arial" w:hAnsi="Arial" w:cs="Arial"/>
          <w:b/>
          <w:bCs/>
        </w:rPr>
        <w:t>1 Erikson’s</w:t>
      </w:r>
      <w:r w:rsidRPr="00DD75CA">
        <w:rPr>
          <w:rFonts w:ascii="Arial" w:hAnsi="Arial" w:cs="Arial"/>
          <w:b/>
          <w:bCs/>
        </w:rPr>
        <w:t xml:space="preserve"> Psychosocial Theory</w:t>
      </w:r>
      <w:r w:rsidR="006E691E">
        <w:rPr>
          <w:rFonts w:ascii="Arial" w:hAnsi="Arial" w:cs="Arial"/>
          <w:b/>
          <w:bCs/>
        </w:rPr>
        <w:t>:</w:t>
      </w:r>
    </w:p>
    <w:p w14:paraId="08127C07" w14:textId="0026F5E3" w:rsidR="00DD75CA" w:rsidRPr="00DD75CA" w:rsidRDefault="00DD75CA" w:rsidP="00DD75CA">
      <w:pPr>
        <w:rPr>
          <w:rFonts w:ascii="Arial" w:hAnsi="Arial" w:cs="Arial"/>
        </w:rPr>
      </w:pPr>
      <w:r w:rsidRPr="00DD75CA">
        <w:rPr>
          <w:rFonts w:ascii="Arial" w:hAnsi="Arial" w:cs="Arial"/>
          <w:b/>
          <w:bCs/>
        </w:rPr>
        <w:t>Full Reference</w:t>
      </w:r>
    </w:p>
    <w:p w14:paraId="482CCE44" w14:textId="77777777" w:rsidR="00DD75CA" w:rsidRPr="00DD75CA" w:rsidRDefault="00DD75CA" w:rsidP="00DD75CA">
      <w:pPr>
        <w:rPr>
          <w:rFonts w:ascii="Arial" w:hAnsi="Arial" w:cs="Arial"/>
        </w:rPr>
      </w:pPr>
      <w:r w:rsidRPr="00DD75CA">
        <w:rPr>
          <w:rFonts w:ascii="Arial" w:hAnsi="Arial" w:cs="Arial"/>
        </w:rPr>
        <w:t>Erikson, E.H. (1997) The life cycle completed. New York: W.W. Norton.</w:t>
      </w:r>
    </w:p>
    <w:p w14:paraId="79F1E99B" w14:textId="77777777" w:rsidR="00DD75CA" w:rsidRPr="00DD75CA" w:rsidRDefault="00DD75CA" w:rsidP="00DD75CA">
      <w:pPr>
        <w:rPr>
          <w:rFonts w:ascii="Arial" w:hAnsi="Arial" w:cs="Arial"/>
        </w:rPr>
      </w:pPr>
      <w:r w:rsidRPr="00DD75CA">
        <w:rPr>
          <w:rFonts w:ascii="Arial" w:hAnsi="Arial" w:cs="Arial"/>
          <w:b/>
          <w:bCs/>
        </w:rPr>
        <w:t>Summary of Key Arguments</w:t>
      </w:r>
    </w:p>
    <w:p w14:paraId="509BD685" w14:textId="76B272BD" w:rsidR="00DD75CA" w:rsidRPr="00DD75CA" w:rsidRDefault="00DD75CA" w:rsidP="00DD75CA">
      <w:pPr>
        <w:rPr>
          <w:rFonts w:ascii="Arial" w:hAnsi="Arial" w:cs="Arial"/>
        </w:rPr>
      </w:pPr>
      <w:r w:rsidRPr="00DD75CA">
        <w:rPr>
          <w:rFonts w:ascii="Arial" w:hAnsi="Arial" w:cs="Arial"/>
        </w:rPr>
        <w:t>Erikson’s work outlines eight stages of psychosocial development, each characterised by a central conflict that individuals must negotiate to achieve psychological growth. For older adults, the final stage</w:t>
      </w:r>
      <w:r>
        <w:rPr>
          <w:rFonts w:ascii="Arial" w:hAnsi="Arial" w:cs="Arial"/>
        </w:rPr>
        <w:t xml:space="preserve"> </w:t>
      </w:r>
      <w:r w:rsidRPr="00DD75CA">
        <w:rPr>
          <w:rFonts w:ascii="Arial" w:hAnsi="Arial" w:cs="Arial"/>
          <w:b/>
          <w:bCs/>
        </w:rPr>
        <w:t>Integrity vs Despair</w:t>
      </w:r>
      <w:r>
        <w:rPr>
          <w:rFonts w:ascii="Arial" w:hAnsi="Arial" w:cs="Arial"/>
        </w:rPr>
        <w:t xml:space="preserve"> </w:t>
      </w:r>
      <w:r w:rsidRPr="00DD75CA">
        <w:rPr>
          <w:rFonts w:ascii="Arial" w:hAnsi="Arial" w:cs="Arial"/>
        </w:rPr>
        <w:t>is particularly significant. Erikson argues that later life involves reflecting on one’s past, evaluating personal achievements, and coming to terms with both successes and failures. Successful resolution leads to a sense of wisdom, acceptance, and life satisfaction, whereas unresolved conflict may result in regret, bitterness, or despair. The text emphasises that development continues across the lifespan and is shaped by social relationships, cultural expectations, and personal meaning-making.</w:t>
      </w:r>
    </w:p>
    <w:p w14:paraId="058185DC" w14:textId="77777777" w:rsidR="00DD75CA" w:rsidRPr="00DD75CA" w:rsidRDefault="00DD75CA" w:rsidP="00DD75CA">
      <w:pPr>
        <w:rPr>
          <w:rFonts w:ascii="Arial" w:hAnsi="Arial" w:cs="Arial"/>
        </w:rPr>
      </w:pPr>
      <w:r w:rsidRPr="00DD75CA">
        <w:rPr>
          <w:rFonts w:ascii="Arial" w:hAnsi="Arial" w:cs="Arial"/>
          <w:b/>
          <w:bCs/>
        </w:rPr>
        <w:t>Critical Comment on Relevance to Supporting Older Adults</w:t>
      </w:r>
    </w:p>
    <w:p w14:paraId="54F8FEB8" w14:textId="77777777" w:rsidR="00DD75CA" w:rsidRPr="00DD75CA" w:rsidRDefault="00DD75CA" w:rsidP="00DD75CA">
      <w:pPr>
        <w:rPr>
          <w:rFonts w:ascii="Arial" w:hAnsi="Arial" w:cs="Arial"/>
        </w:rPr>
      </w:pPr>
      <w:r w:rsidRPr="00DD75CA">
        <w:rPr>
          <w:rFonts w:ascii="Arial" w:hAnsi="Arial" w:cs="Arial"/>
        </w:rPr>
        <w:t>Erikson’s theory is highly relevant to health and social care because it highlights the emotional and existential tasks of ageing. In residential care, many older adults experience loss of independence, bereavement, and identity changes. Understanding the Integrity vs Despair stage helps professionals recognise that reminiscence, storytelling, and life</w:t>
      </w:r>
      <w:r w:rsidRPr="00DD75CA">
        <w:rPr>
          <w:rFonts w:ascii="Arial" w:hAnsi="Arial" w:cs="Arial"/>
        </w:rPr>
        <w:noBreakHyphen/>
        <w:t>review activities are not simply nostalgic but psychologically essential. However, critics argue that Erikson’s stages can be overly linear and culturally narrow, assuming a universal life trajectory that may not reflect diverse backgrounds. Despite this, the theory remains a valuable framework for person</w:t>
      </w:r>
      <w:r w:rsidRPr="00DD75CA">
        <w:rPr>
          <w:rFonts w:ascii="Arial" w:hAnsi="Arial" w:cs="Arial"/>
        </w:rPr>
        <w:noBreakHyphen/>
        <w:t>centred care, encouraging staff to support dignity, meaning, and emotional closure in later life.</w:t>
      </w:r>
    </w:p>
    <w:p w14:paraId="6F50C2B7" w14:textId="03B8B77E" w:rsidR="00DD75CA" w:rsidRPr="00DD75CA" w:rsidRDefault="00DD75CA" w:rsidP="00DD75CA">
      <w:pPr>
        <w:rPr>
          <w:rFonts w:ascii="Arial" w:hAnsi="Arial" w:cs="Arial"/>
        </w:rPr>
      </w:pPr>
      <w:r w:rsidRPr="00DD75CA">
        <w:rPr>
          <w:rFonts w:ascii="Arial" w:hAnsi="Arial" w:cs="Arial"/>
          <w:b/>
          <w:bCs/>
        </w:rPr>
        <w:t xml:space="preserve">2. Reference </w:t>
      </w:r>
      <w:r w:rsidR="006E691E" w:rsidRPr="00DD75CA">
        <w:rPr>
          <w:rFonts w:ascii="Arial" w:hAnsi="Arial" w:cs="Arial"/>
          <w:b/>
          <w:bCs/>
        </w:rPr>
        <w:t>2 Contemporary</w:t>
      </w:r>
      <w:r w:rsidRPr="00DD75CA">
        <w:rPr>
          <w:rFonts w:ascii="Arial" w:hAnsi="Arial" w:cs="Arial"/>
          <w:b/>
          <w:bCs/>
        </w:rPr>
        <w:t xml:space="preserve"> Application of Erikson’s Theory</w:t>
      </w:r>
    </w:p>
    <w:p w14:paraId="084AD993" w14:textId="77777777" w:rsidR="00DD75CA" w:rsidRPr="00DD75CA" w:rsidRDefault="00DD75CA" w:rsidP="00DD75CA">
      <w:pPr>
        <w:rPr>
          <w:rFonts w:ascii="Arial" w:hAnsi="Arial" w:cs="Arial"/>
        </w:rPr>
      </w:pPr>
      <w:r w:rsidRPr="00DD75CA">
        <w:rPr>
          <w:rFonts w:ascii="Arial" w:hAnsi="Arial" w:cs="Arial"/>
          <w:b/>
          <w:bCs/>
        </w:rPr>
        <w:lastRenderedPageBreak/>
        <w:t>Full Reference</w:t>
      </w:r>
    </w:p>
    <w:p w14:paraId="3A898FE1" w14:textId="77777777" w:rsidR="00DD75CA" w:rsidRPr="00DD75CA" w:rsidRDefault="00DD75CA" w:rsidP="00DD75CA">
      <w:pPr>
        <w:rPr>
          <w:rFonts w:ascii="Arial" w:hAnsi="Arial" w:cs="Arial"/>
        </w:rPr>
      </w:pPr>
      <w:r w:rsidRPr="00DD75CA">
        <w:rPr>
          <w:rFonts w:ascii="Arial" w:hAnsi="Arial" w:cs="Arial"/>
        </w:rPr>
        <w:t>Knight, B.G. and McCallum, T.J. (2015) ‘Psychosocial development and ageing: Applying Erikson’s theory in practice’, Journal of Adult Development, 22(1), pp. 1–10.</w:t>
      </w:r>
    </w:p>
    <w:p w14:paraId="4A617C69" w14:textId="77777777" w:rsidR="00DD75CA" w:rsidRPr="00DD75CA" w:rsidRDefault="00DD75CA" w:rsidP="00DD75CA">
      <w:pPr>
        <w:rPr>
          <w:rFonts w:ascii="Arial" w:hAnsi="Arial" w:cs="Arial"/>
        </w:rPr>
      </w:pPr>
      <w:r w:rsidRPr="00DD75CA">
        <w:rPr>
          <w:rFonts w:ascii="Arial" w:hAnsi="Arial" w:cs="Arial"/>
          <w:b/>
          <w:bCs/>
        </w:rPr>
        <w:t>Summary of Key Arguments</w:t>
      </w:r>
    </w:p>
    <w:p w14:paraId="18EEA189" w14:textId="77777777" w:rsidR="00DD75CA" w:rsidRPr="00DD75CA" w:rsidRDefault="00DD75CA" w:rsidP="00DD75CA">
      <w:pPr>
        <w:rPr>
          <w:rFonts w:ascii="Arial" w:hAnsi="Arial" w:cs="Arial"/>
        </w:rPr>
      </w:pPr>
      <w:r w:rsidRPr="00DD75CA">
        <w:rPr>
          <w:rFonts w:ascii="Arial" w:hAnsi="Arial" w:cs="Arial"/>
        </w:rPr>
        <w:t>Knight and McCallum revisit Erikson’s theory through a modern lens, exploring how the Integrity vs Despair stage can be applied in contemporary care settings. They argue that older adults benefit from structured opportunities to reflect on their lives, especially when facilitated by trained professionals. The authors highlight interventions such as guided autobiography groups, reminiscence therapy, and narrative approaches that help individuals integrate their life experiences. They also emphasise the importance of social context, noting that supportive environments can reduce despair and enhance wellbeing.</w:t>
      </w:r>
    </w:p>
    <w:p w14:paraId="15B7D2FF" w14:textId="77777777" w:rsidR="00DD75CA" w:rsidRPr="00DD75CA" w:rsidRDefault="00DD75CA" w:rsidP="00DD75CA">
      <w:pPr>
        <w:rPr>
          <w:rFonts w:ascii="Arial" w:hAnsi="Arial" w:cs="Arial"/>
        </w:rPr>
      </w:pPr>
      <w:r w:rsidRPr="00DD75CA">
        <w:rPr>
          <w:rFonts w:ascii="Arial" w:hAnsi="Arial" w:cs="Arial"/>
          <w:b/>
          <w:bCs/>
        </w:rPr>
        <w:t>Critical Comment on Relevance to Supporting Older Adults</w:t>
      </w:r>
    </w:p>
    <w:p w14:paraId="48264C64" w14:textId="77777777" w:rsidR="00DD75CA" w:rsidRPr="00DD75CA" w:rsidRDefault="00DD75CA" w:rsidP="00DD75CA">
      <w:pPr>
        <w:rPr>
          <w:rFonts w:ascii="Arial" w:hAnsi="Arial" w:cs="Arial"/>
        </w:rPr>
      </w:pPr>
      <w:r w:rsidRPr="00DD75CA">
        <w:rPr>
          <w:rFonts w:ascii="Arial" w:hAnsi="Arial" w:cs="Arial"/>
        </w:rPr>
        <w:t>This article strengthens the practical value of Erikson’s theory by showing how it can be operationalised in real-world care. It provides evidence that life</w:t>
      </w:r>
      <w:r w:rsidRPr="00DD75CA">
        <w:rPr>
          <w:rFonts w:ascii="Arial" w:hAnsi="Arial" w:cs="Arial"/>
        </w:rPr>
        <w:noBreakHyphen/>
        <w:t>review interventions improve mood, reduce depressive symptoms, and enhance social connectedness. For health and social care staff, the article offers a clear rationale for integrating reflective activities into daily routines. A limitation is that the research often focuses on cognitively healthy older adults, meaning its applicability to individuals with dementia may be constrained. Nonetheless, the article provides a strong evidence base for psychosocial interventions in care homes.</w:t>
      </w:r>
    </w:p>
    <w:p w14:paraId="004D644F" w14:textId="77777777" w:rsidR="00DD75CA" w:rsidRPr="00DD75CA" w:rsidRDefault="00DD75CA" w:rsidP="00DD75CA">
      <w:pPr>
        <w:rPr>
          <w:rFonts w:ascii="Arial" w:hAnsi="Arial" w:cs="Arial"/>
        </w:rPr>
      </w:pPr>
      <w:r w:rsidRPr="00DD75CA">
        <w:rPr>
          <w:rFonts w:ascii="Arial" w:hAnsi="Arial" w:cs="Arial"/>
          <w:b/>
          <w:bCs/>
        </w:rPr>
        <w:t>3. Reference 3 – Positive Psychology and Ageing</w:t>
      </w:r>
    </w:p>
    <w:p w14:paraId="340DE538" w14:textId="77777777" w:rsidR="00DD75CA" w:rsidRPr="00DD75CA" w:rsidRDefault="00DD75CA" w:rsidP="00DD75CA">
      <w:pPr>
        <w:rPr>
          <w:rFonts w:ascii="Arial" w:hAnsi="Arial" w:cs="Arial"/>
        </w:rPr>
      </w:pPr>
      <w:r w:rsidRPr="00DD75CA">
        <w:rPr>
          <w:rFonts w:ascii="Arial" w:hAnsi="Arial" w:cs="Arial"/>
          <w:b/>
          <w:bCs/>
        </w:rPr>
        <w:t>Full Reference</w:t>
      </w:r>
    </w:p>
    <w:p w14:paraId="141F69DE" w14:textId="77777777" w:rsidR="00DD75CA" w:rsidRPr="00DD75CA" w:rsidRDefault="00DD75CA" w:rsidP="00DD75CA">
      <w:pPr>
        <w:rPr>
          <w:rFonts w:ascii="Arial" w:hAnsi="Arial" w:cs="Arial"/>
        </w:rPr>
      </w:pPr>
      <w:r w:rsidRPr="00DD75CA">
        <w:rPr>
          <w:rFonts w:ascii="Arial" w:hAnsi="Arial" w:cs="Arial"/>
        </w:rPr>
        <w:t>Seligman, M.E.P. (2011) Flourish: A visionary new understanding of happiness and wellbeing. New York: Free Press.</w:t>
      </w:r>
    </w:p>
    <w:p w14:paraId="142D2751" w14:textId="77777777" w:rsidR="00DD75CA" w:rsidRPr="00DD75CA" w:rsidRDefault="00DD75CA" w:rsidP="00DD75CA">
      <w:pPr>
        <w:rPr>
          <w:rFonts w:ascii="Arial" w:hAnsi="Arial" w:cs="Arial"/>
        </w:rPr>
      </w:pPr>
      <w:r w:rsidRPr="00DD75CA">
        <w:rPr>
          <w:rFonts w:ascii="Arial" w:hAnsi="Arial" w:cs="Arial"/>
          <w:b/>
          <w:bCs/>
        </w:rPr>
        <w:t>Summary of Key Arguments</w:t>
      </w:r>
    </w:p>
    <w:p w14:paraId="234A14B6" w14:textId="77777777" w:rsidR="00DD75CA" w:rsidRPr="00DD75CA" w:rsidRDefault="00DD75CA" w:rsidP="00DD75CA">
      <w:pPr>
        <w:rPr>
          <w:rFonts w:ascii="Arial" w:hAnsi="Arial" w:cs="Arial"/>
        </w:rPr>
      </w:pPr>
      <w:r w:rsidRPr="00DD75CA">
        <w:rPr>
          <w:rFonts w:ascii="Arial" w:hAnsi="Arial" w:cs="Arial"/>
        </w:rPr>
        <w:t xml:space="preserve">Seligman introduces the PERMA model of wellbeing: </w:t>
      </w:r>
      <w:r w:rsidRPr="00DD75CA">
        <w:rPr>
          <w:rFonts w:ascii="Arial" w:hAnsi="Arial" w:cs="Arial"/>
          <w:b/>
          <w:bCs/>
        </w:rPr>
        <w:t>Positive emotion, Engagement, Relationships, Meaning, and Accomplishment</w:t>
      </w:r>
      <w:r w:rsidRPr="00DD75CA">
        <w:rPr>
          <w:rFonts w:ascii="Arial" w:hAnsi="Arial" w:cs="Arial"/>
        </w:rPr>
        <w:t>. He argues that wellbeing is not merely the absence of illness but the presence of strengths, resilience, and purposeful activity. In the context of ageing, Seligman suggests that older adults can continue to flourish by cultivating gratitude, maintaining social connections, engaging in meaningful activities, and recognising personal strengths. The book challenges deficit</w:t>
      </w:r>
      <w:r w:rsidRPr="00DD75CA">
        <w:rPr>
          <w:rFonts w:ascii="Arial" w:hAnsi="Arial" w:cs="Arial"/>
        </w:rPr>
        <w:noBreakHyphen/>
        <w:t>based views of ageing by emphasising growth, capability, and psychological resilience.</w:t>
      </w:r>
    </w:p>
    <w:p w14:paraId="6C094C20" w14:textId="77777777" w:rsidR="00DD75CA" w:rsidRPr="00DD75CA" w:rsidRDefault="00DD75CA" w:rsidP="00DD75CA">
      <w:pPr>
        <w:rPr>
          <w:rFonts w:ascii="Arial" w:hAnsi="Arial" w:cs="Arial"/>
        </w:rPr>
      </w:pPr>
      <w:r w:rsidRPr="00DD75CA">
        <w:rPr>
          <w:rFonts w:ascii="Arial" w:hAnsi="Arial" w:cs="Arial"/>
          <w:b/>
          <w:bCs/>
        </w:rPr>
        <w:t>Critical Comment on Relevance to Supporting Older Adults</w:t>
      </w:r>
    </w:p>
    <w:p w14:paraId="3BBA68CD" w14:textId="7B0C3FE3" w:rsidR="00DD75CA" w:rsidRPr="00DD75CA" w:rsidRDefault="00DD75CA" w:rsidP="00DD75CA">
      <w:pPr>
        <w:rPr>
          <w:rFonts w:ascii="Arial" w:hAnsi="Arial" w:cs="Arial"/>
        </w:rPr>
      </w:pPr>
      <w:r w:rsidRPr="00DD75CA">
        <w:rPr>
          <w:rFonts w:ascii="Arial" w:hAnsi="Arial" w:cs="Arial"/>
        </w:rPr>
        <w:t>Positive psychology offers a refreshing alternative to medicalised models of ageing. In care settings, the PERMA framework can guide staff to focus on strengths rather than limitations. Activities such as gratitude journals, strengths</w:t>
      </w:r>
      <w:r w:rsidRPr="00DD75CA">
        <w:rPr>
          <w:rFonts w:ascii="Arial" w:hAnsi="Arial" w:cs="Arial"/>
        </w:rPr>
        <w:noBreakHyphen/>
        <w:t>based conversations, and social engagement programmes align well with this approach. However, critics argue that positive psychology can sometimes overlook structural issues</w:t>
      </w:r>
      <w:r w:rsidR="006E691E">
        <w:rPr>
          <w:rFonts w:ascii="Arial" w:hAnsi="Arial" w:cs="Arial"/>
        </w:rPr>
        <w:t xml:space="preserve"> </w:t>
      </w:r>
      <w:r w:rsidRPr="00DD75CA">
        <w:rPr>
          <w:rFonts w:ascii="Arial" w:hAnsi="Arial" w:cs="Arial"/>
        </w:rPr>
        <w:t>such as understaffing, loneliness, or chronic illness</w:t>
      </w:r>
      <w:r w:rsidR="006E691E">
        <w:rPr>
          <w:rFonts w:ascii="Arial" w:hAnsi="Arial" w:cs="Arial"/>
        </w:rPr>
        <w:t xml:space="preserve"> </w:t>
      </w:r>
      <w:r w:rsidRPr="00DD75CA">
        <w:rPr>
          <w:rFonts w:ascii="Arial" w:hAnsi="Arial" w:cs="Arial"/>
        </w:rPr>
        <w:t>that limit an individual’s ability to “flourish.” Despite this, the model provides a hopeful and empowering lens for supporting wellbeing in later life.</w:t>
      </w:r>
    </w:p>
    <w:p w14:paraId="79536001" w14:textId="77777777" w:rsidR="00DD75CA" w:rsidRPr="00DD75CA" w:rsidRDefault="00DD75CA" w:rsidP="00DD75CA">
      <w:pPr>
        <w:rPr>
          <w:rFonts w:ascii="Arial" w:hAnsi="Arial" w:cs="Arial"/>
        </w:rPr>
      </w:pPr>
      <w:r w:rsidRPr="00DD75CA">
        <w:rPr>
          <w:rFonts w:ascii="Arial" w:hAnsi="Arial" w:cs="Arial"/>
          <w:b/>
          <w:bCs/>
        </w:rPr>
        <w:t>4. Reference 4 – Positive Ageing Interventions</w:t>
      </w:r>
    </w:p>
    <w:p w14:paraId="0E96F6E9" w14:textId="77777777" w:rsidR="00DD75CA" w:rsidRPr="00DD75CA" w:rsidRDefault="00DD75CA" w:rsidP="00DD75CA">
      <w:pPr>
        <w:rPr>
          <w:rFonts w:ascii="Arial" w:hAnsi="Arial" w:cs="Arial"/>
        </w:rPr>
      </w:pPr>
      <w:r w:rsidRPr="00DD75CA">
        <w:rPr>
          <w:rFonts w:ascii="Arial" w:hAnsi="Arial" w:cs="Arial"/>
          <w:b/>
          <w:bCs/>
        </w:rPr>
        <w:t>Full Reference</w:t>
      </w:r>
    </w:p>
    <w:p w14:paraId="508AF587" w14:textId="77777777" w:rsidR="00DD75CA" w:rsidRPr="00DD75CA" w:rsidRDefault="00DD75CA" w:rsidP="00DD75CA">
      <w:pPr>
        <w:rPr>
          <w:rFonts w:ascii="Arial" w:hAnsi="Arial" w:cs="Arial"/>
        </w:rPr>
      </w:pPr>
      <w:r w:rsidRPr="00DD75CA">
        <w:rPr>
          <w:rFonts w:ascii="Arial" w:hAnsi="Arial" w:cs="Arial"/>
        </w:rPr>
        <w:lastRenderedPageBreak/>
        <w:t>Wong, P.T.P. (2011) ‘Positive psychology 2.0: Towards a balanced interactive model of the good life’, Canadian Psychology, 52(2), pp. 69–81.</w:t>
      </w:r>
    </w:p>
    <w:p w14:paraId="7DFA0E50" w14:textId="77777777" w:rsidR="00DD75CA" w:rsidRPr="00DD75CA" w:rsidRDefault="00DD75CA" w:rsidP="00DD75CA">
      <w:pPr>
        <w:rPr>
          <w:rFonts w:ascii="Arial" w:hAnsi="Arial" w:cs="Arial"/>
        </w:rPr>
      </w:pPr>
      <w:r w:rsidRPr="00DD75CA">
        <w:rPr>
          <w:rFonts w:ascii="Arial" w:hAnsi="Arial" w:cs="Arial"/>
          <w:b/>
          <w:bCs/>
        </w:rPr>
        <w:t>Summary of Key Arguments</w:t>
      </w:r>
    </w:p>
    <w:p w14:paraId="7D03FDD5" w14:textId="1F6BEC01" w:rsidR="00DD75CA" w:rsidRPr="00DD75CA" w:rsidRDefault="00DD75CA" w:rsidP="00DD75CA">
      <w:pPr>
        <w:rPr>
          <w:rFonts w:ascii="Arial" w:hAnsi="Arial" w:cs="Arial"/>
        </w:rPr>
      </w:pPr>
      <w:r w:rsidRPr="00DD75CA">
        <w:rPr>
          <w:rFonts w:ascii="Arial" w:hAnsi="Arial" w:cs="Arial"/>
        </w:rPr>
        <w:t xml:space="preserve">Wong critiques early positive psychology for being overly focused on happiness and proposes a more balanced model that acknowledges suffering, loss, and adversity—experiences common in older adulthood. He argues that wellbeing arises from integrating both positive and negative experiences, and that </w:t>
      </w:r>
      <w:r w:rsidR="006E691E" w:rsidRPr="00DD75CA">
        <w:rPr>
          <w:rFonts w:ascii="Arial" w:hAnsi="Arial" w:cs="Arial"/>
        </w:rPr>
        <w:t>meaning making</w:t>
      </w:r>
      <w:r w:rsidRPr="00DD75CA">
        <w:rPr>
          <w:rFonts w:ascii="Arial" w:hAnsi="Arial" w:cs="Arial"/>
        </w:rPr>
        <w:t xml:space="preserve"> is central to resilience. The article highlights interventions such as meaning</w:t>
      </w:r>
      <w:r w:rsidRPr="00DD75CA">
        <w:rPr>
          <w:rFonts w:ascii="Arial" w:hAnsi="Arial" w:cs="Arial"/>
        </w:rPr>
        <w:noBreakHyphen/>
        <w:t>centred therapy, acceptance</w:t>
      </w:r>
      <w:r w:rsidRPr="00DD75CA">
        <w:rPr>
          <w:rFonts w:ascii="Arial" w:hAnsi="Arial" w:cs="Arial"/>
        </w:rPr>
        <w:noBreakHyphen/>
        <w:t>based approaches, and value</w:t>
      </w:r>
      <w:r w:rsidRPr="00DD75CA">
        <w:rPr>
          <w:rFonts w:ascii="Arial" w:hAnsi="Arial" w:cs="Arial"/>
        </w:rPr>
        <w:noBreakHyphen/>
        <w:t>driven activities that help older adults navigate the challenges of ageing.</w:t>
      </w:r>
    </w:p>
    <w:p w14:paraId="1D2DCE71" w14:textId="77777777" w:rsidR="00DD75CA" w:rsidRPr="00DD75CA" w:rsidRDefault="00DD75CA" w:rsidP="00DD75CA">
      <w:pPr>
        <w:rPr>
          <w:rFonts w:ascii="Arial" w:hAnsi="Arial" w:cs="Arial"/>
        </w:rPr>
      </w:pPr>
      <w:r w:rsidRPr="00DD75CA">
        <w:rPr>
          <w:rFonts w:ascii="Arial" w:hAnsi="Arial" w:cs="Arial"/>
          <w:b/>
          <w:bCs/>
        </w:rPr>
        <w:t>Critical Comment on Relevance to Supporting Older Adults</w:t>
      </w:r>
    </w:p>
    <w:p w14:paraId="0155747C" w14:textId="77777777" w:rsidR="00DD75CA" w:rsidRPr="00DD75CA" w:rsidRDefault="00DD75CA" w:rsidP="00DD75CA">
      <w:pPr>
        <w:rPr>
          <w:rFonts w:ascii="Arial" w:hAnsi="Arial" w:cs="Arial"/>
        </w:rPr>
      </w:pPr>
      <w:r w:rsidRPr="00DD75CA">
        <w:rPr>
          <w:rFonts w:ascii="Arial" w:hAnsi="Arial" w:cs="Arial"/>
        </w:rPr>
        <w:t>Wong’s approach is particularly relevant for health and social care because it recognises the complex emotional landscape of later life. Many residents in care homes face grief, illness, and transitions. A model that validates these experiences while still promoting meaning and hope is more realistic and compassionate. The article encourages professionals to adopt a holistic approach that supports emotional expression, not just positivity. Its limitation is that meaning</w:t>
      </w:r>
      <w:r w:rsidRPr="00DD75CA">
        <w:rPr>
          <w:rFonts w:ascii="Arial" w:hAnsi="Arial" w:cs="Arial"/>
        </w:rPr>
        <w:noBreakHyphen/>
        <w:t>centred interventions require skilled facilitation, which may be challenging in busy care environments. Nonetheless, it offers a nuanced and humane framework for supporting wellbeing.</w:t>
      </w:r>
    </w:p>
    <w:p w14:paraId="46626BB3" w14:textId="65E16C7D" w:rsidR="00DD75CA" w:rsidRPr="00DD75CA" w:rsidRDefault="00DD75CA" w:rsidP="00DD75CA">
      <w:pPr>
        <w:rPr>
          <w:rFonts w:ascii="Arial" w:hAnsi="Arial" w:cs="Arial"/>
        </w:rPr>
      </w:pPr>
      <w:r w:rsidRPr="00DD75CA">
        <w:rPr>
          <w:rFonts w:ascii="Arial" w:hAnsi="Arial" w:cs="Arial"/>
          <w:b/>
          <w:bCs/>
        </w:rPr>
        <w:t>PART B: Short Report</w:t>
      </w:r>
      <w:r w:rsidR="006E691E">
        <w:rPr>
          <w:rFonts w:ascii="Arial" w:hAnsi="Arial" w:cs="Arial"/>
          <w:b/>
          <w:bCs/>
        </w:rPr>
        <w:t>:</w:t>
      </w:r>
    </w:p>
    <w:p w14:paraId="48CA83C6" w14:textId="77777777" w:rsidR="00DD75CA" w:rsidRPr="00DD75CA" w:rsidRDefault="00DD75CA" w:rsidP="00DD75CA">
      <w:pPr>
        <w:rPr>
          <w:rFonts w:ascii="Arial" w:hAnsi="Arial" w:cs="Arial"/>
        </w:rPr>
      </w:pPr>
      <w:r w:rsidRPr="00DD75CA">
        <w:rPr>
          <w:rFonts w:ascii="Arial" w:hAnsi="Arial" w:cs="Arial"/>
          <w:b/>
          <w:bCs/>
        </w:rPr>
        <w:t>Applying Erikson’s Psychosocial Theory to Support Wellbeing in Residential Care</w:t>
      </w:r>
    </w:p>
    <w:p w14:paraId="1C2E2EC1" w14:textId="77777777" w:rsidR="00DD75CA" w:rsidRPr="00DD75CA" w:rsidRDefault="00DD75CA" w:rsidP="00DD75CA">
      <w:pPr>
        <w:rPr>
          <w:rFonts w:ascii="Arial" w:hAnsi="Arial" w:cs="Arial"/>
        </w:rPr>
      </w:pPr>
      <w:r w:rsidRPr="00DD75CA">
        <w:rPr>
          <w:rFonts w:ascii="Arial" w:hAnsi="Arial" w:cs="Arial"/>
          <w:b/>
          <w:bCs/>
        </w:rPr>
        <w:t>Introduction</w:t>
      </w:r>
    </w:p>
    <w:p w14:paraId="32C46433" w14:textId="25C04668" w:rsidR="00DD75CA" w:rsidRPr="00DD75CA" w:rsidRDefault="00DD75CA" w:rsidP="00DD75CA">
      <w:pPr>
        <w:rPr>
          <w:rFonts w:ascii="Arial" w:hAnsi="Arial" w:cs="Arial"/>
        </w:rPr>
      </w:pPr>
      <w:r w:rsidRPr="00DD75CA">
        <w:rPr>
          <w:rFonts w:ascii="Arial" w:hAnsi="Arial" w:cs="Arial"/>
        </w:rPr>
        <w:t xml:space="preserve">This report outlines how Erikson’s psychosocial theory—specifically the stage of </w:t>
      </w:r>
      <w:r w:rsidRPr="00DD75CA">
        <w:rPr>
          <w:rFonts w:ascii="Arial" w:hAnsi="Arial" w:cs="Arial"/>
          <w:b/>
          <w:bCs/>
        </w:rPr>
        <w:t>Integrity vs Despair</w:t>
      </w:r>
      <w:r w:rsidR="006E691E">
        <w:rPr>
          <w:rFonts w:ascii="Arial" w:hAnsi="Arial" w:cs="Arial"/>
        </w:rPr>
        <w:t xml:space="preserve"> </w:t>
      </w:r>
      <w:r w:rsidRPr="00DD75CA">
        <w:rPr>
          <w:rFonts w:ascii="Arial" w:hAnsi="Arial" w:cs="Arial"/>
        </w:rPr>
        <w:t>can be applied to enhance psychological wellbeing among older adults living in residential care. The aim is to provide health and social care professionals with a practical, evidence</w:t>
      </w:r>
      <w:r w:rsidRPr="00DD75CA">
        <w:rPr>
          <w:rFonts w:ascii="Arial" w:hAnsi="Arial" w:cs="Arial"/>
        </w:rPr>
        <w:noBreakHyphen/>
        <w:t>informed framework that supports dignity, meaning, and emotional fulfilment in later life.</w:t>
      </w:r>
    </w:p>
    <w:p w14:paraId="3344DA4F" w14:textId="77777777" w:rsidR="00DD75CA" w:rsidRPr="00DD75CA" w:rsidRDefault="00DD75CA" w:rsidP="00DD75CA">
      <w:pPr>
        <w:rPr>
          <w:rFonts w:ascii="Arial" w:hAnsi="Arial" w:cs="Arial"/>
        </w:rPr>
      </w:pPr>
      <w:r w:rsidRPr="00DD75CA">
        <w:rPr>
          <w:rFonts w:ascii="Arial" w:hAnsi="Arial" w:cs="Arial"/>
          <w:b/>
          <w:bCs/>
        </w:rPr>
        <w:t>Understanding Erikson’s Integrity vs Despair Stage</w:t>
      </w:r>
    </w:p>
    <w:p w14:paraId="7377E41C" w14:textId="77777777" w:rsidR="00DD75CA" w:rsidRPr="00DD75CA" w:rsidRDefault="00DD75CA" w:rsidP="00DD75CA">
      <w:pPr>
        <w:rPr>
          <w:rFonts w:ascii="Arial" w:hAnsi="Arial" w:cs="Arial"/>
        </w:rPr>
      </w:pPr>
      <w:r w:rsidRPr="00DD75CA">
        <w:rPr>
          <w:rFonts w:ascii="Arial" w:hAnsi="Arial" w:cs="Arial"/>
        </w:rPr>
        <w:t xml:space="preserve">Erikson proposes that in older adulthood, individuals engage in a process of life review, evaluating whether their life has been meaningful and coherent. Successful resolution leads to </w:t>
      </w:r>
      <w:r w:rsidRPr="00DD75CA">
        <w:rPr>
          <w:rFonts w:ascii="Arial" w:hAnsi="Arial" w:cs="Arial"/>
          <w:b/>
          <w:bCs/>
        </w:rPr>
        <w:t>integrity</w:t>
      </w:r>
      <w:r w:rsidRPr="00DD75CA">
        <w:rPr>
          <w:rFonts w:ascii="Arial" w:hAnsi="Arial" w:cs="Arial"/>
        </w:rPr>
        <w:t xml:space="preserve">, characterised by acceptance, wisdom, and emotional peace. Unsuccessful resolution results in </w:t>
      </w:r>
      <w:r w:rsidRPr="00DD75CA">
        <w:rPr>
          <w:rFonts w:ascii="Arial" w:hAnsi="Arial" w:cs="Arial"/>
          <w:b/>
          <w:bCs/>
        </w:rPr>
        <w:t>despair</w:t>
      </w:r>
      <w:r w:rsidRPr="00DD75CA">
        <w:rPr>
          <w:rFonts w:ascii="Arial" w:hAnsi="Arial" w:cs="Arial"/>
        </w:rPr>
        <w:t>, often expressed as regret, hopelessness, or fear of death.</w:t>
      </w:r>
    </w:p>
    <w:p w14:paraId="5976F716" w14:textId="77777777" w:rsidR="00DD75CA" w:rsidRPr="00DD75CA" w:rsidRDefault="00DD75CA" w:rsidP="00DD75CA">
      <w:pPr>
        <w:rPr>
          <w:rFonts w:ascii="Arial" w:hAnsi="Arial" w:cs="Arial"/>
        </w:rPr>
      </w:pPr>
      <w:r w:rsidRPr="00DD75CA">
        <w:rPr>
          <w:rFonts w:ascii="Arial" w:hAnsi="Arial" w:cs="Arial"/>
        </w:rPr>
        <w:t>In residential care, this developmental task becomes especially important because residents may be experiencing major transitions—loss of home, declining health, or reduced independence. Staff who understand this stage can better support residents’ emotional needs.</w:t>
      </w:r>
    </w:p>
    <w:p w14:paraId="43F1FD01" w14:textId="77777777" w:rsidR="00DD75CA" w:rsidRPr="00DD75CA" w:rsidRDefault="00DD75CA" w:rsidP="00DD75CA">
      <w:pPr>
        <w:rPr>
          <w:rFonts w:ascii="Arial" w:hAnsi="Arial" w:cs="Arial"/>
        </w:rPr>
      </w:pPr>
      <w:r w:rsidRPr="00DD75CA">
        <w:rPr>
          <w:rFonts w:ascii="Arial" w:hAnsi="Arial" w:cs="Arial"/>
          <w:b/>
          <w:bCs/>
        </w:rPr>
        <w:t>Applying the Theory in Practice</w:t>
      </w:r>
    </w:p>
    <w:p w14:paraId="3583EC6D" w14:textId="77777777" w:rsidR="00DD75CA" w:rsidRPr="00DD75CA" w:rsidRDefault="00DD75CA" w:rsidP="00DD75CA">
      <w:pPr>
        <w:rPr>
          <w:rFonts w:ascii="Arial" w:hAnsi="Arial" w:cs="Arial"/>
        </w:rPr>
      </w:pPr>
      <w:r w:rsidRPr="00DD75CA">
        <w:rPr>
          <w:rFonts w:ascii="Arial" w:hAnsi="Arial" w:cs="Arial"/>
          <w:b/>
          <w:bCs/>
        </w:rPr>
        <w:t>1. Life</w:t>
      </w:r>
      <w:r w:rsidRPr="00DD75CA">
        <w:rPr>
          <w:rFonts w:ascii="Arial" w:hAnsi="Arial" w:cs="Arial"/>
          <w:b/>
          <w:bCs/>
        </w:rPr>
        <w:noBreakHyphen/>
        <w:t>Review and Reminiscence Activities</w:t>
      </w:r>
    </w:p>
    <w:p w14:paraId="2111DC01" w14:textId="77777777" w:rsidR="00DD75CA" w:rsidRPr="00DD75CA" w:rsidRDefault="00DD75CA" w:rsidP="00DD75CA">
      <w:pPr>
        <w:rPr>
          <w:rFonts w:ascii="Arial" w:hAnsi="Arial" w:cs="Arial"/>
        </w:rPr>
      </w:pPr>
      <w:r w:rsidRPr="00DD75CA">
        <w:rPr>
          <w:rFonts w:ascii="Arial" w:hAnsi="Arial" w:cs="Arial"/>
        </w:rPr>
        <w:t>Structured reminiscence sessions allow residents to reflect on their life stories, achievements, and relationships. These can be delivered through:</w:t>
      </w:r>
    </w:p>
    <w:p w14:paraId="4531D400" w14:textId="77777777" w:rsidR="00DD75CA" w:rsidRPr="00DD75CA" w:rsidRDefault="00DD75CA" w:rsidP="00DD75CA">
      <w:pPr>
        <w:numPr>
          <w:ilvl w:val="0"/>
          <w:numId w:val="1"/>
        </w:numPr>
        <w:rPr>
          <w:rFonts w:ascii="Arial" w:hAnsi="Arial" w:cs="Arial"/>
        </w:rPr>
      </w:pPr>
      <w:r w:rsidRPr="00DD75CA">
        <w:rPr>
          <w:rFonts w:ascii="Arial" w:hAnsi="Arial" w:cs="Arial"/>
        </w:rPr>
        <w:t>one</w:t>
      </w:r>
      <w:r w:rsidRPr="00DD75CA">
        <w:rPr>
          <w:rFonts w:ascii="Arial" w:hAnsi="Arial" w:cs="Arial"/>
        </w:rPr>
        <w:noBreakHyphen/>
        <w:t>to</w:t>
      </w:r>
      <w:r w:rsidRPr="00DD75CA">
        <w:rPr>
          <w:rFonts w:ascii="Arial" w:hAnsi="Arial" w:cs="Arial"/>
        </w:rPr>
        <w:noBreakHyphen/>
        <w:t>one conversations</w:t>
      </w:r>
    </w:p>
    <w:p w14:paraId="239EE256" w14:textId="77777777" w:rsidR="00DD75CA" w:rsidRPr="00DD75CA" w:rsidRDefault="00DD75CA" w:rsidP="00DD75CA">
      <w:pPr>
        <w:numPr>
          <w:ilvl w:val="0"/>
          <w:numId w:val="1"/>
        </w:numPr>
        <w:rPr>
          <w:rFonts w:ascii="Arial" w:hAnsi="Arial" w:cs="Arial"/>
        </w:rPr>
      </w:pPr>
      <w:r w:rsidRPr="00DD75CA">
        <w:rPr>
          <w:rFonts w:ascii="Arial" w:hAnsi="Arial" w:cs="Arial"/>
        </w:rPr>
        <w:lastRenderedPageBreak/>
        <w:t>group storytelling sessions</w:t>
      </w:r>
    </w:p>
    <w:p w14:paraId="215DCB05" w14:textId="77777777" w:rsidR="00DD75CA" w:rsidRPr="00DD75CA" w:rsidRDefault="00DD75CA" w:rsidP="00DD75CA">
      <w:pPr>
        <w:numPr>
          <w:ilvl w:val="0"/>
          <w:numId w:val="1"/>
        </w:numPr>
        <w:rPr>
          <w:rFonts w:ascii="Arial" w:hAnsi="Arial" w:cs="Arial"/>
        </w:rPr>
      </w:pPr>
      <w:r w:rsidRPr="00DD75CA">
        <w:rPr>
          <w:rFonts w:ascii="Arial" w:hAnsi="Arial" w:cs="Arial"/>
        </w:rPr>
        <w:t>memory boxes or photo albums</w:t>
      </w:r>
    </w:p>
    <w:p w14:paraId="26424720" w14:textId="77777777" w:rsidR="00DD75CA" w:rsidRPr="00DD75CA" w:rsidRDefault="00DD75CA" w:rsidP="00DD75CA">
      <w:pPr>
        <w:numPr>
          <w:ilvl w:val="0"/>
          <w:numId w:val="1"/>
        </w:numPr>
        <w:rPr>
          <w:rFonts w:ascii="Arial" w:hAnsi="Arial" w:cs="Arial"/>
        </w:rPr>
      </w:pPr>
      <w:r w:rsidRPr="00DD75CA">
        <w:rPr>
          <w:rFonts w:ascii="Arial" w:hAnsi="Arial" w:cs="Arial"/>
        </w:rPr>
        <w:t>themed reminiscence activities (e.g., music, objects, cultural events)</w:t>
      </w:r>
    </w:p>
    <w:p w14:paraId="57AF54F7" w14:textId="77777777" w:rsidR="00DD75CA" w:rsidRPr="00DD75CA" w:rsidRDefault="00DD75CA" w:rsidP="00DD75CA">
      <w:pPr>
        <w:rPr>
          <w:rFonts w:ascii="Arial" w:hAnsi="Arial" w:cs="Arial"/>
        </w:rPr>
      </w:pPr>
      <w:r w:rsidRPr="00DD75CA">
        <w:rPr>
          <w:rFonts w:ascii="Arial" w:hAnsi="Arial" w:cs="Arial"/>
        </w:rPr>
        <w:t>These activities help residents integrate their experiences, strengthen identity, and foster a sense of continuity.</w:t>
      </w:r>
    </w:p>
    <w:p w14:paraId="7C5B665D" w14:textId="77777777" w:rsidR="00DD75CA" w:rsidRPr="00DD75CA" w:rsidRDefault="00DD75CA" w:rsidP="00DD75CA">
      <w:pPr>
        <w:rPr>
          <w:rFonts w:ascii="Arial" w:hAnsi="Arial" w:cs="Arial"/>
        </w:rPr>
      </w:pPr>
      <w:r w:rsidRPr="00DD75CA">
        <w:rPr>
          <w:rFonts w:ascii="Arial" w:hAnsi="Arial" w:cs="Arial"/>
          <w:b/>
          <w:bCs/>
        </w:rPr>
        <w:t>2. Supporting Meaning and Purpose</w:t>
      </w:r>
    </w:p>
    <w:p w14:paraId="5972E76F" w14:textId="77777777" w:rsidR="00DD75CA" w:rsidRPr="00DD75CA" w:rsidRDefault="00DD75CA" w:rsidP="00DD75CA">
      <w:pPr>
        <w:rPr>
          <w:rFonts w:ascii="Arial" w:hAnsi="Arial" w:cs="Arial"/>
        </w:rPr>
      </w:pPr>
      <w:r w:rsidRPr="00DD75CA">
        <w:rPr>
          <w:rFonts w:ascii="Arial" w:hAnsi="Arial" w:cs="Arial"/>
        </w:rPr>
        <w:t>Professionals can help residents maintain a sense of purpose by:</w:t>
      </w:r>
    </w:p>
    <w:p w14:paraId="28256BA9" w14:textId="77777777" w:rsidR="00DD75CA" w:rsidRPr="00DD75CA" w:rsidRDefault="00DD75CA" w:rsidP="00DD75CA">
      <w:pPr>
        <w:numPr>
          <w:ilvl w:val="0"/>
          <w:numId w:val="2"/>
        </w:numPr>
        <w:rPr>
          <w:rFonts w:ascii="Arial" w:hAnsi="Arial" w:cs="Arial"/>
        </w:rPr>
      </w:pPr>
      <w:r w:rsidRPr="00DD75CA">
        <w:rPr>
          <w:rFonts w:ascii="Arial" w:hAnsi="Arial" w:cs="Arial"/>
        </w:rPr>
        <w:t>encouraging participation in meaningful roles (e.g., helping set tables, mentoring younger staff)</w:t>
      </w:r>
    </w:p>
    <w:p w14:paraId="3EA0002C" w14:textId="77777777" w:rsidR="00DD75CA" w:rsidRPr="00DD75CA" w:rsidRDefault="00DD75CA" w:rsidP="00DD75CA">
      <w:pPr>
        <w:numPr>
          <w:ilvl w:val="0"/>
          <w:numId w:val="2"/>
        </w:numPr>
        <w:rPr>
          <w:rFonts w:ascii="Arial" w:hAnsi="Arial" w:cs="Arial"/>
        </w:rPr>
      </w:pPr>
      <w:r w:rsidRPr="00DD75CA">
        <w:rPr>
          <w:rFonts w:ascii="Arial" w:hAnsi="Arial" w:cs="Arial"/>
        </w:rPr>
        <w:t>facilitating hobbies and interests</w:t>
      </w:r>
    </w:p>
    <w:p w14:paraId="1B33604B" w14:textId="77777777" w:rsidR="00DD75CA" w:rsidRPr="00DD75CA" w:rsidRDefault="00DD75CA" w:rsidP="00DD75CA">
      <w:pPr>
        <w:numPr>
          <w:ilvl w:val="0"/>
          <w:numId w:val="2"/>
        </w:numPr>
        <w:rPr>
          <w:rFonts w:ascii="Arial" w:hAnsi="Arial" w:cs="Arial"/>
        </w:rPr>
      </w:pPr>
      <w:r w:rsidRPr="00DD75CA">
        <w:rPr>
          <w:rFonts w:ascii="Arial" w:hAnsi="Arial" w:cs="Arial"/>
        </w:rPr>
        <w:t>celebrating personal milestones and achievements</w:t>
      </w:r>
    </w:p>
    <w:p w14:paraId="1D01DB97" w14:textId="77777777" w:rsidR="00DD75CA" w:rsidRPr="00DD75CA" w:rsidRDefault="00DD75CA" w:rsidP="00DD75CA">
      <w:pPr>
        <w:numPr>
          <w:ilvl w:val="0"/>
          <w:numId w:val="2"/>
        </w:numPr>
        <w:rPr>
          <w:rFonts w:ascii="Arial" w:hAnsi="Arial" w:cs="Arial"/>
        </w:rPr>
      </w:pPr>
      <w:r w:rsidRPr="00DD75CA">
        <w:rPr>
          <w:rFonts w:ascii="Arial" w:hAnsi="Arial" w:cs="Arial"/>
        </w:rPr>
        <w:t>involving residents in decision</w:t>
      </w:r>
      <w:r w:rsidRPr="00DD75CA">
        <w:rPr>
          <w:rFonts w:ascii="Arial" w:hAnsi="Arial" w:cs="Arial"/>
        </w:rPr>
        <w:noBreakHyphen/>
        <w:t>making about their care</w:t>
      </w:r>
    </w:p>
    <w:p w14:paraId="6B51E820" w14:textId="77777777" w:rsidR="00DD75CA" w:rsidRPr="00DD75CA" w:rsidRDefault="00DD75CA" w:rsidP="00DD75CA">
      <w:pPr>
        <w:rPr>
          <w:rFonts w:ascii="Arial" w:hAnsi="Arial" w:cs="Arial"/>
        </w:rPr>
      </w:pPr>
      <w:r w:rsidRPr="00DD75CA">
        <w:rPr>
          <w:rFonts w:ascii="Arial" w:hAnsi="Arial" w:cs="Arial"/>
        </w:rPr>
        <w:t>This aligns with Erikson’s emphasis on coherence and life satisfaction.</w:t>
      </w:r>
    </w:p>
    <w:p w14:paraId="4042FD46" w14:textId="77777777" w:rsidR="00DD75CA" w:rsidRPr="00DD75CA" w:rsidRDefault="00DD75CA" w:rsidP="00DD75CA">
      <w:pPr>
        <w:rPr>
          <w:rFonts w:ascii="Arial" w:hAnsi="Arial" w:cs="Arial"/>
        </w:rPr>
      </w:pPr>
      <w:r w:rsidRPr="00DD75CA">
        <w:rPr>
          <w:rFonts w:ascii="Arial" w:hAnsi="Arial" w:cs="Arial"/>
          <w:b/>
          <w:bCs/>
        </w:rPr>
        <w:t>3. Promoting Social Connection</w:t>
      </w:r>
    </w:p>
    <w:p w14:paraId="64FB44C3" w14:textId="77777777" w:rsidR="00DD75CA" w:rsidRPr="00DD75CA" w:rsidRDefault="00DD75CA" w:rsidP="00DD75CA">
      <w:pPr>
        <w:rPr>
          <w:rFonts w:ascii="Arial" w:hAnsi="Arial" w:cs="Arial"/>
        </w:rPr>
      </w:pPr>
      <w:r w:rsidRPr="00DD75CA">
        <w:rPr>
          <w:rFonts w:ascii="Arial" w:hAnsi="Arial" w:cs="Arial"/>
        </w:rPr>
        <w:t>Relationships are central to resolving the Integrity vs Despair conflict. Staff can support this by:</w:t>
      </w:r>
    </w:p>
    <w:p w14:paraId="1689E0FB" w14:textId="77777777" w:rsidR="00DD75CA" w:rsidRPr="00DD75CA" w:rsidRDefault="00DD75CA" w:rsidP="00DD75CA">
      <w:pPr>
        <w:numPr>
          <w:ilvl w:val="0"/>
          <w:numId w:val="3"/>
        </w:numPr>
        <w:rPr>
          <w:rFonts w:ascii="Arial" w:hAnsi="Arial" w:cs="Arial"/>
        </w:rPr>
      </w:pPr>
      <w:r w:rsidRPr="00DD75CA">
        <w:rPr>
          <w:rFonts w:ascii="Arial" w:hAnsi="Arial" w:cs="Arial"/>
        </w:rPr>
        <w:t>encouraging family involvement</w:t>
      </w:r>
    </w:p>
    <w:p w14:paraId="4288C57D" w14:textId="77777777" w:rsidR="00DD75CA" w:rsidRPr="00DD75CA" w:rsidRDefault="00DD75CA" w:rsidP="00DD75CA">
      <w:pPr>
        <w:numPr>
          <w:ilvl w:val="0"/>
          <w:numId w:val="3"/>
        </w:numPr>
        <w:rPr>
          <w:rFonts w:ascii="Arial" w:hAnsi="Arial" w:cs="Arial"/>
        </w:rPr>
      </w:pPr>
      <w:r w:rsidRPr="00DD75CA">
        <w:rPr>
          <w:rFonts w:ascii="Arial" w:hAnsi="Arial" w:cs="Arial"/>
        </w:rPr>
        <w:t>facilitating peer friendships</w:t>
      </w:r>
    </w:p>
    <w:p w14:paraId="140D311E" w14:textId="77777777" w:rsidR="00DD75CA" w:rsidRPr="00DD75CA" w:rsidRDefault="00DD75CA" w:rsidP="00DD75CA">
      <w:pPr>
        <w:numPr>
          <w:ilvl w:val="0"/>
          <w:numId w:val="3"/>
        </w:numPr>
        <w:rPr>
          <w:rFonts w:ascii="Arial" w:hAnsi="Arial" w:cs="Arial"/>
        </w:rPr>
      </w:pPr>
      <w:r w:rsidRPr="00DD75CA">
        <w:rPr>
          <w:rFonts w:ascii="Arial" w:hAnsi="Arial" w:cs="Arial"/>
        </w:rPr>
        <w:t>organising group activities that promote belonging</w:t>
      </w:r>
    </w:p>
    <w:p w14:paraId="5922042B" w14:textId="77777777" w:rsidR="00DD75CA" w:rsidRPr="00DD75CA" w:rsidRDefault="00DD75CA" w:rsidP="00DD75CA">
      <w:pPr>
        <w:numPr>
          <w:ilvl w:val="0"/>
          <w:numId w:val="3"/>
        </w:numPr>
        <w:rPr>
          <w:rFonts w:ascii="Arial" w:hAnsi="Arial" w:cs="Arial"/>
        </w:rPr>
      </w:pPr>
      <w:r w:rsidRPr="00DD75CA">
        <w:rPr>
          <w:rFonts w:ascii="Arial" w:hAnsi="Arial" w:cs="Arial"/>
        </w:rPr>
        <w:t>ensuring residents feel heard and valued</w:t>
      </w:r>
    </w:p>
    <w:p w14:paraId="0906CF46" w14:textId="77777777" w:rsidR="00DD75CA" w:rsidRPr="00DD75CA" w:rsidRDefault="00DD75CA" w:rsidP="00DD75CA">
      <w:pPr>
        <w:rPr>
          <w:rFonts w:ascii="Arial" w:hAnsi="Arial" w:cs="Arial"/>
        </w:rPr>
      </w:pPr>
      <w:r w:rsidRPr="00DD75CA">
        <w:rPr>
          <w:rFonts w:ascii="Arial" w:hAnsi="Arial" w:cs="Arial"/>
          <w:b/>
          <w:bCs/>
        </w:rPr>
        <w:t>Case Scenario: Mrs. A’s Story</w:t>
      </w:r>
    </w:p>
    <w:p w14:paraId="654A6840" w14:textId="77777777" w:rsidR="00DD75CA" w:rsidRPr="00DD75CA" w:rsidRDefault="00DD75CA" w:rsidP="00DD75CA">
      <w:pPr>
        <w:rPr>
          <w:rFonts w:ascii="Arial" w:hAnsi="Arial" w:cs="Arial"/>
        </w:rPr>
      </w:pPr>
      <w:r w:rsidRPr="00DD75CA">
        <w:rPr>
          <w:rFonts w:ascii="Arial" w:hAnsi="Arial" w:cs="Arial"/>
        </w:rPr>
        <w:t>Mrs. A, aged 87, recently moved into a care home following a fall. She expressed sadness, saying she felt she had “lost everything.” Staff noticed she spent long periods alone and seemed withdrawn.</w:t>
      </w:r>
    </w:p>
    <w:p w14:paraId="728E4573" w14:textId="77777777" w:rsidR="00DD75CA" w:rsidRPr="00DD75CA" w:rsidRDefault="00DD75CA" w:rsidP="00DD75CA">
      <w:pPr>
        <w:rPr>
          <w:rFonts w:ascii="Arial" w:hAnsi="Arial" w:cs="Arial"/>
        </w:rPr>
      </w:pPr>
      <w:r w:rsidRPr="00DD75CA">
        <w:rPr>
          <w:rFonts w:ascii="Arial" w:hAnsi="Arial" w:cs="Arial"/>
        </w:rPr>
        <w:t>A senior care worker introduced a weekly life</w:t>
      </w:r>
      <w:r w:rsidRPr="00DD75CA">
        <w:rPr>
          <w:rFonts w:ascii="Arial" w:hAnsi="Arial" w:cs="Arial"/>
        </w:rPr>
        <w:noBreakHyphen/>
        <w:t>review session. Using photos from Mrs. A’s family, they explored her memories of raising her children, her career as a seamstress, and her involvement in her local church. Over several weeks, Mrs. A began sharing stories with other residents and even offered to help staff repair small sewing items.</w:t>
      </w:r>
    </w:p>
    <w:p w14:paraId="570B43B0" w14:textId="77777777" w:rsidR="00DD75CA" w:rsidRPr="00DD75CA" w:rsidRDefault="00DD75CA" w:rsidP="00DD75CA">
      <w:pPr>
        <w:rPr>
          <w:rFonts w:ascii="Arial" w:hAnsi="Arial" w:cs="Arial"/>
        </w:rPr>
      </w:pPr>
      <w:r w:rsidRPr="00DD75CA">
        <w:rPr>
          <w:rFonts w:ascii="Arial" w:hAnsi="Arial" w:cs="Arial"/>
        </w:rPr>
        <w:t>Through this process, Mrs. A moved from feelings of despair to a renewed sense of identity and purpose. Her mood improved, and she became more socially engaged.</w:t>
      </w:r>
    </w:p>
    <w:p w14:paraId="66309AF7" w14:textId="77777777" w:rsidR="00DD75CA" w:rsidRPr="00DD75CA" w:rsidRDefault="00DD75CA" w:rsidP="00DD75CA">
      <w:pPr>
        <w:rPr>
          <w:rFonts w:ascii="Arial" w:hAnsi="Arial" w:cs="Arial"/>
        </w:rPr>
      </w:pPr>
      <w:r w:rsidRPr="00DD75CA">
        <w:rPr>
          <w:rFonts w:ascii="Arial" w:hAnsi="Arial" w:cs="Arial"/>
        </w:rPr>
        <w:t>This scenario illustrates how Erikson’s theory can guide interventions that restore meaning and dignity.</w:t>
      </w:r>
    </w:p>
    <w:p w14:paraId="71B5E260" w14:textId="77777777" w:rsidR="00DD75CA" w:rsidRPr="00DD75CA" w:rsidRDefault="00DD75CA" w:rsidP="00DD75CA">
      <w:pPr>
        <w:rPr>
          <w:rFonts w:ascii="Arial" w:hAnsi="Arial" w:cs="Arial"/>
        </w:rPr>
      </w:pPr>
      <w:r w:rsidRPr="00DD75CA">
        <w:rPr>
          <w:rFonts w:ascii="Arial" w:hAnsi="Arial" w:cs="Arial"/>
          <w:b/>
          <w:bCs/>
        </w:rPr>
        <w:t>Challenge: Limited Time and Staffing Pressures</w:t>
      </w:r>
    </w:p>
    <w:p w14:paraId="69BA653F" w14:textId="7967EA2E" w:rsidR="00DD75CA" w:rsidRPr="00DD75CA" w:rsidRDefault="00DD75CA" w:rsidP="00DD75CA">
      <w:pPr>
        <w:rPr>
          <w:rFonts w:ascii="Arial" w:hAnsi="Arial" w:cs="Arial"/>
        </w:rPr>
      </w:pPr>
      <w:r w:rsidRPr="00DD75CA">
        <w:rPr>
          <w:rFonts w:ascii="Arial" w:hAnsi="Arial" w:cs="Arial"/>
        </w:rPr>
        <w:t>One major challenge is that care staff often work under significant time constraints. Life</w:t>
      </w:r>
      <w:r w:rsidRPr="00DD75CA">
        <w:rPr>
          <w:rFonts w:ascii="Arial" w:hAnsi="Arial" w:cs="Arial"/>
        </w:rPr>
        <w:noBreakHyphen/>
        <w:t>review activities require patience, emotional presence, and uninterrupted time</w:t>
      </w:r>
      <w:r w:rsidR="006E691E">
        <w:rPr>
          <w:rFonts w:ascii="Arial" w:hAnsi="Arial" w:cs="Arial"/>
        </w:rPr>
        <w:t xml:space="preserve"> </w:t>
      </w:r>
      <w:r w:rsidRPr="00DD75CA">
        <w:rPr>
          <w:rFonts w:ascii="Arial" w:hAnsi="Arial" w:cs="Arial"/>
        </w:rPr>
        <w:t>resources that may be scarce in busy care environments.</w:t>
      </w:r>
    </w:p>
    <w:p w14:paraId="2ECB2324" w14:textId="77777777" w:rsidR="00DD75CA" w:rsidRPr="00DD75CA" w:rsidRDefault="00DD75CA" w:rsidP="00DD75CA">
      <w:pPr>
        <w:rPr>
          <w:rFonts w:ascii="Arial" w:hAnsi="Arial" w:cs="Arial"/>
        </w:rPr>
      </w:pPr>
      <w:r w:rsidRPr="00DD75CA">
        <w:rPr>
          <w:rFonts w:ascii="Arial" w:hAnsi="Arial" w:cs="Arial"/>
          <w:b/>
          <w:bCs/>
        </w:rPr>
        <w:t>Strategy to Overcome the Challenge</w:t>
      </w:r>
    </w:p>
    <w:p w14:paraId="420FDC38" w14:textId="77777777" w:rsidR="00DD75CA" w:rsidRPr="00DD75CA" w:rsidRDefault="00DD75CA" w:rsidP="00DD75CA">
      <w:pPr>
        <w:rPr>
          <w:rFonts w:ascii="Arial" w:hAnsi="Arial" w:cs="Arial"/>
        </w:rPr>
      </w:pPr>
      <w:r w:rsidRPr="00DD75CA">
        <w:rPr>
          <w:rFonts w:ascii="Arial" w:hAnsi="Arial" w:cs="Arial"/>
        </w:rPr>
        <w:lastRenderedPageBreak/>
        <w:t xml:space="preserve">A practical strategy is to </w:t>
      </w:r>
      <w:r w:rsidRPr="00DD75CA">
        <w:rPr>
          <w:rFonts w:ascii="Arial" w:hAnsi="Arial" w:cs="Arial"/>
          <w:b/>
          <w:bCs/>
        </w:rPr>
        <w:t>embed micro</w:t>
      </w:r>
      <w:r w:rsidRPr="00DD75CA">
        <w:rPr>
          <w:rFonts w:ascii="Arial" w:hAnsi="Arial" w:cs="Arial"/>
          <w:b/>
          <w:bCs/>
        </w:rPr>
        <w:noBreakHyphen/>
        <w:t>reminiscence moments into daily care routines</w:t>
      </w:r>
      <w:r w:rsidRPr="00DD75CA">
        <w:rPr>
          <w:rFonts w:ascii="Arial" w:hAnsi="Arial" w:cs="Arial"/>
        </w:rPr>
        <w:t>. For example:</w:t>
      </w:r>
    </w:p>
    <w:p w14:paraId="75801666" w14:textId="77777777" w:rsidR="00DD75CA" w:rsidRPr="00DD75CA" w:rsidRDefault="00DD75CA" w:rsidP="00DD75CA">
      <w:pPr>
        <w:numPr>
          <w:ilvl w:val="0"/>
          <w:numId w:val="4"/>
        </w:numPr>
        <w:rPr>
          <w:rFonts w:ascii="Arial" w:hAnsi="Arial" w:cs="Arial"/>
        </w:rPr>
      </w:pPr>
      <w:r w:rsidRPr="00DD75CA">
        <w:rPr>
          <w:rFonts w:ascii="Arial" w:hAnsi="Arial" w:cs="Arial"/>
        </w:rPr>
        <w:t>asking residents about the story behind a photograph in their room</w:t>
      </w:r>
    </w:p>
    <w:p w14:paraId="4DE840E3" w14:textId="77777777" w:rsidR="00DD75CA" w:rsidRPr="00DD75CA" w:rsidRDefault="00DD75CA" w:rsidP="00DD75CA">
      <w:pPr>
        <w:numPr>
          <w:ilvl w:val="0"/>
          <w:numId w:val="4"/>
        </w:numPr>
        <w:rPr>
          <w:rFonts w:ascii="Arial" w:hAnsi="Arial" w:cs="Arial"/>
        </w:rPr>
      </w:pPr>
      <w:r w:rsidRPr="00DD75CA">
        <w:rPr>
          <w:rFonts w:ascii="Arial" w:hAnsi="Arial" w:cs="Arial"/>
        </w:rPr>
        <w:t>inviting them to share memories related to music playing in the lounge</w:t>
      </w:r>
    </w:p>
    <w:p w14:paraId="620E2BCA" w14:textId="77777777" w:rsidR="00DD75CA" w:rsidRPr="00DD75CA" w:rsidRDefault="00DD75CA" w:rsidP="00DD75CA">
      <w:pPr>
        <w:numPr>
          <w:ilvl w:val="0"/>
          <w:numId w:val="4"/>
        </w:numPr>
        <w:rPr>
          <w:rFonts w:ascii="Arial" w:hAnsi="Arial" w:cs="Arial"/>
        </w:rPr>
      </w:pPr>
      <w:r w:rsidRPr="00DD75CA">
        <w:rPr>
          <w:rFonts w:ascii="Arial" w:hAnsi="Arial" w:cs="Arial"/>
        </w:rPr>
        <w:t>encouraging brief storytelling during mealtimes or personal care</w:t>
      </w:r>
    </w:p>
    <w:p w14:paraId="54B2D0BA" w14:textId="77777777" w:rsidR="00DD75CA" w:rsidRPr="00DD75CA" w:rsidRDefault="00DD75CA" w:rsidP="00DD75CA">
      <w:pPr>
        <w:rPr>
          <w:rFonts w:ascii="Arial" w:hAnsi="Arial" w:cs="Arial"/>
        </w:rPr>
      </w:pPr>
      <w:r w:rsidRPr="00DD75CA">
        <w:rPr>
          <w:rFonts w:ascii="Arial" w:hAnsi="Arial" w:cs="Arial"/>
        </w:rPr>
        <w:t>These small interactions accumulate to create a supportive environment without requiring lengthy sessions. Training staff in communication skills and reflective practice can further enhance confidence in facilitating these conversations.</w:t>
      </w:r>
    </w:p>
    <w:p w14:paraId="6AFE626F" w14:textId="77777777" w:rsidR="00DD75CA" w:rsidRPr="00DD75CA" w:rsidRDefault="00DD75CA" w:rsidP="00DD75CA">
      <w:pPr>
        <w:rPr>
          <w:rFonts w:ascii="Arial" w:hAnsi="Arial" w:cs="Arial"/>
        </w:rPr>
      </w:pPr>
      <w:r w:rsidRPr="00DD75CA">
        <w:rPr>
          <w:rFonts w:ascii="Arial" w:hAnsi="Arial" w:cs="Arial"/>
          <w:b/>
          <w:bCs/>
        </w:rPr>
        <w:t>Conclusion</w:t>
      </w:r>
    </w:p>
    <w:p w14:paraId="3C13279F" w14:textId="77777777" w:rsidR="00DD75CA" w:rsidRPr="00DD75CA" w:rsidRDefault="00DD75CA" w:rsidP="00DD75CA">
      <w:pPr>
        <w:rPr>
          <w:rFonts w:ascii="Arial" w:hAnsi="Arial" w:cs="Arial"/>
        </w:rPr>
      </w:pPr>
      <w:r w:rsidRPr="00DD75CA">
        <w:rPr>
          <w:rFonts w:ascii="Arial" w:hAnsi="Arial" w:cs="Arial"/>
        </w:rPr>
        <w:t>Erikson’s psychosocial theory offers a powerful framework for understanding the emotional needs of older adults in residential care. By supporting life review, meaning-making, and social connection, professionals can help residents achieve a sense of integrity and wellbeing. Although challenges such as limited time exist, integrating reflective conversations into everyday practice provides a realistic and compassionate way to enhance psychological wellbeing.</w:t>
      </w:r>
    </w:p>
    <w:p w14:paraId="15D72EB7" w14:textId="77777777" w:rsidR="00A81CD1" w:rsidRPr="00DD75CA" w:rsidRDefault="00A81CD1">
      <w:pPr>
        <w:rPr>
          <w:rFonts w:ascii="Arial" w:hAnsi="Arial" w:cs="Arial"/>
          <w:b/>
          <w:bCs/>
        </w:rPr>
      </w:pPr>
    </w:p>
    <w:p w14:paraId="040CD8A8" w14:textId="77777777" w:rsidR="00DD75CA" w:rsidRPr="00DD75CA" w:rsidRDefault="00DD75CA">
      <w:pPr>
        <w:rPr>
          <w:rFonts w:ascii="Arial" w:hAnsi="Arial" w:cs="Arial"/>
          <w:b/>
          <w:bCs/>
        </w:rPr>
      </w:pPr>
    </w:p>
    <w:p w14:paraId="6B56A660" w14:textId="77777777" w:rsidR="00DD75CA" w:rsidRPr="00DD75CA" w:rsidRDefault="00DD75CA">
      <w:pPr>
        <w:rPr>
          <w:rFonts w:ascii="Arial" w:hAnsi="Arial" w:cs="Arial"/>
          <w:b/>
          <w:bCs/>
        </w:rPr>
      </w:pPr>
    </w:p>
    <w:p w14:paraId="1C3A35D0" w14:textId="77777777" w:rsidR="00DD75CA" w:rsidRPr="00DD75CA" w:rsidRDefault="00DD75CA">
      <w:pPr>
        <w:rPr>
          <w:rFonts w:ascii="Arial" w:hAnsi="Arial" w:cs="Arial"/>
          <w:b/>
          <w:bCs/>
        </w:rPr>
      </w:pPr>
    </w:p>
    <w:p w14:paraId="1084EB7E" w14:textId="03670A1B" w:rsidR="00DD75CA" w:rsidRPr="00DD75CA" w:rsidRDefault="00DD75CA" w:rsidP="00DD75CA">
      <w:pPr>
        <w:rPr>
          <w:rFonts w:ascii="Arial" w:hAnsi="Arial" w:cs="Arial"/>
        </w:rPr>
      </w:pPr>
      <w:r w:rsidRPr="00DD75CA">
        <w:rPr>
          <w:rFonts w:ascii="Arial" w:hAnsi="Arial" w:cs="Arial"/>
          <w:b/>
          <w:bCs/>
        </w:rPr>
        <w:t xml:space="preserve">Reference </w:t>
      </w:r>
      <w:r w:rsidR="006E691E" w:rsidRPr="00DD75CA">
        <w:rPr>
          <w:rFonts w:ascii="Arial" w:hAnsi="Arial" w:cs="Arial"/>
          <w:b/>
          <w:bCs/>
        </w:rPr>
        <w:t>List:</w:t>
      </w:r>
    </w:p>
    <w:p w14:paraId="564B04BB" w14:textId="77777777" w:rsidR="00DD75CA" w:rsidRPr="00DD75CA" w:rsidRDefault="00DD75CA" w:rsidP="00DD75CA">
      <w:pPr>
        <w:rPr>
          <w:rFonts w:ascii="Arial" w:hAnsi="Arial" w:cs="Arial"/>
        </w:rPr>
      </w:pPr>
      <w:r w:rsidRPr="00DD75CA">
        <w:rPr>
          <w:rFonts w:ascii="Arial" w:hAnsi="Arial" w:cs="Arial"/>
        </w:rPr>
        <w:t>Erikson, E.H. (1997) The life cycle completed. New York: W.W. Norton.</w:t>
      </w:r>
    </w:p>
    <w:p w14:paraId="17017079" w14:textId="77777777" w:rsidR="00DD75CA" w:rsidRPr="00DD75CA" w:rsidRDefault="00DD75CA" w:rsidP="00DD75CA">
      <w:pPr>
        <w:rPr>
          <w:rFonts w:ascii="Arial" w:hAnsi="Arial" w:cs="Arial"/>
        </w:rPr>
      </w:pPr>
      <w:r w:rsidRPr="00DD75CA">
        <w:rPr>
          <w:rFonts w:ascii="Arial" w:hAnsi="Arial" w:cs="Arial"/>
        </w:rPr>
        <w:t>Knight, B.G. and McCallum, T.J. (2015) ‘Psychosocial development and ageing: Applying Erikson’s theory in practice’, Journal of Adult Development, 22(1), pp. 1–10.</w:t>
      </w:r>
    </w:p>
    <w:p w14:paraId="2D449312" w14:textId="77777777" w:rsidR="00DD75CA" w:rsidRPr="00DD75CA" w:rsidRDefault="00DD75CA" w:rsidP="00DD75CA">
      <w:pPr>
        <w:rPr>
          <w:rFonts w:ascii="Arial" w:hAnsi="Arial" w:cs="Arial"/>
        </w:rPr>
      </w:pPr>
      <w:r w:rsidRPr="00DD75CA">
        <w:rPr>
          <w:rFonts w:ascii="Arial" w:hAnsi="Arial" w:cs="Arial"/>
        </w:rPr>
        <w:t>Seligman, M.E.P. (2011) Flourish: A visionary new understanding of happiness and wellbeing. New York: Free Press.</w:t>
      </w:r>
    </w:p>
    <w:p w14:paraId="3ACAED76" w14:textId="77777777" w:rsidR="00DD75CA" w:rsidRPr="00DD75CA" w:rsidRDefault="00DD75CA" w:rsidP="00DD75CA">
      <w:pPr>
        <w:rPr>
          <w:rFonts w:ascii="Arial" w:hAnsi="Arial" w:cs="Arial"/>
        </w:rPr>
      </w:pPr>
      <w:r w:rsidRPr="00DD75CA">
        <w:rPr>
          <w:rFonts w:ascii="Arial" w:hAnsi="Arial" w:cs="Arial"/>
        </w:rPr>
        <w:t>Wong, P.T.P. (2011) ‘Positive psychology 2.0: Towards a balanced interactive model of the good life’, Canadian Psychology, 52(2), pp. 69–81.</w:t>
      </w:r>
    </w:p>
    <w:p w14:paraId="2A90F572" w14:textId="77777777" w:rsidR="00DD75CA" w:rsidRDefault="00DD75CA"/>
    <w:sectPr w:rsidR="00DD75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7D18"/>
    <w:multiLevelType w:val="multilevel"/>
    <w:tmpl w:val="B87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F4E37"/>
    <w:multiLevelType w:val="multilevel"/>
    <w:tmpl w:val="9FDA0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1B5244"/>
    <w:multiLevelType w:val="multilevel"/>
    <w:tmpl w:val="A03E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6E7777"/>
    <w:multiLevelType w:val="multilevel"/>
    <w:tmpl w:val="B8AA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D46A9A"/>
    <w:multiLevelType w:val="multilevel"/>
    <w:tmpl w:val="A2C86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D520C2"/>
    <w:multiLevelType w:val="multilevel"/>
    <w:tmpl w:val="F006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BC427A"/>
    <w:multiLevelType w:val="multilevel"/>
    <w:tmpl w:val="00147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C10306"/>
    <w:multiLevelType w:val="multilevel"/>
    <w:tmpl w:val="7C58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2957170">
    <w:abstractNumId w:val="4"/>
  </w:num>
  <w:num w:numId="2" w16cid:durableId="1716198352">
    <w:abstractNumId w:val="0"/>
  </w:num>
  <w:num w:numId="3" w16cid:durableId="1420716212">
    <w:abstractNumId w:val="2"/>
  </w:num>
  <w:num w:numId="4" w16cid:durableId="1439982713">
    <w:abstractNumId w:val="1"/>
  </w:num>
  <w:num w:numId="5" w16cid:durableId="1264727652">
    <w:abstractNumId w:val="5"/>
  </w:num>
  <w:num w:numId="6" w16cid:durableId="205333975">
    <w:abstractNumId w:val="7"/>
  </w:num>
  <w:num w:numId="7" w16cid:durableId="1255436203">
    <w:abstractNumId w:val="6"/>
  </w:num>
  <w:num w:numId="8" w16cid:durableId="15339590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CA"/>
    <w:rsid w:val="006E691E"/>
    <w:rsid w:val="00A81CD1"/>
    <w:rsid w:val="00CD2D5A"/>
    <w:rsid w:val="00DD7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BFA8"/>
  <w15:chartTrackingRefBased/>
  <w15:docId w15:val="{332461BB-F381-44A2-96BB-C9C7898F9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5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75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75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75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75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75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5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5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5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5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75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75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75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75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75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5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5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5CA"/>
    <w:rPr>
      <w:rFonts w:eastAsiaTheme="majorEastAsia" w:cstheme="majorBidi"/>
      <w:color w:val="272727" w:themeColor="text1" w:themeTint="D8"/>
    </w:rPr>
  </w:style>
  <w:style w:type="paragraph" w:styleId="Title">
    <w:name w:val="Title"/>
    <w:basedOn w:val="Normal"/>
    <w:next w:val="Normal"/>
    <w:link w:val="TitleChar"/>
    <w:uiPriority w:val="10"/>
    <w:qFormat/>
    <w:rsid w:val="00DD75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5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5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5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5CA"/>
    <w:pPr>
      <w:spacing w:before="160"/>
      <w:jc w:val="center"/>
    </w:pPr>
    <w:rPr>
      <w:i/>
      <w:iCs/>
      <w:color w:val="404040" w:themeColor="text1" w:themeTint="BF"/>
    </w:rPr>
  </w:style>
  <w:style w:type="character" w:customStyle="1" w:styleId="QuoteChar">
    <w:name w:val="Quote Char"/>
    <w:basedOn w:val="DefaultParagraphFont"/>
    <w:link w:val="Quote"/>
    <w:uiPriority w:val="29"/>
    <w:rsid w:val="00DD75CA"/>
    <w:rPr>
      <w:i/>
      <w:iCs/>
      <w:color w:val="404040" w:themeColor="text1" w:themeTint="BF"/>
    </w:rPr>
  </w:style>
  <w:style w:type="paragraph" w:styleId="ListParagraph">
    <w:name w:val="List Paragraph"/>
    <w:basedOn w:val="Normal"/>
    <w:uiPriority w:val="34"/>
    <w:qFormat/>
    <w:rsid w:val="00DD75CA"/>
    <w:pPr>
      <w:ind w:left="720"/>
      <w:contextualSpacing/>
    </w:pPr>
  </w:style>
  <w:style w:type="character" w:styleId="IntenseEmphasis">
    <w:name w:val="Intense Emphasis"/>
    <w:basedOn w:val="DefaultParagraphFont"/>
    <w:uiPriority w:val="21"/>
    <w:qFormat/>
    <w:rsid w:val="00DD75CA"/>
    <w:rPr>
      <w:i/>
      <w:iCs/>
      <w:color w:val="0F4761" w:themeColor="accent1" w:themeShade="BF"/>
    </w:rPr>
  </w:style>
  <w:style w:type="paragraph" w:styleId="IntenseQuote">
    <w:name w:val="Intense Quote"/>
    <w:basedOn w:val="Normal"/>
    <w:next w:val="Normal"/>
    <w:link w:val="IntenseQuoteChar"/>
    <w:uiPriority w:val="30"/>
    <w:qFormat/>
    <w:rsid w:val="00DD75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75CA"/>
    <w:rPr>
      <w:i/>
      <w:iCs/>
      <w:color w:val="0F4761" w:themeColor="accent1" w:themeShade="BF"/>
    </w:rPr>
  </w:style>
  <w:style w:type="character" w:styleId="IntenseReference">
    <w:name w:val="Intense Reference"/>
    <w:basedOn w:val="DefaultParagraphFont"/>
    <w:uiPriority w:val="32"/>
    <w:qFormat/>
    <w:rsid w:val="00DD75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1730</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Amreen Sarmad (2421320)</dc:creator>
  <cp:keywords/>
  <dc:description/>
  <cp:lastModifiedBy>Amreen Sarmad (2421320)</cp:lastModifiedBy>
  <cp:revision>1</cp:revision>
  <dcterms:created xsi:type="dcterms:W3CDTF">2026-03-09T23:25:00Z</dcterms:created>
  <dcterms:modified xsi:type="dcterms:W3CDTF">2026-03-09T23:41:00Z</dcterms:modified>
</cp:coreProperties>
</file>