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28"/>
          <w:szCs w:val="28"/>
        </w:rPr>
      </w:pPr>
      <w:r w:rsidDel="00000000" w:rsidR="00000000" w:rsidRPr="00000000">
        <w:rPr>
          <w:rtl w:val="0"/>
        </w:rPr>
      </w:r>
    </w:p>
    <w:p w:rsidR="00000000" w:rsidDel="00000000" w:rsidP="00000000" w:rsidRDefault="00000000" w:rsidRPr="00000000" w14:paraId="00000002">
      <w:pPr>
        <w:jc w:val="left"/>
        <w:rPr>
          <w:b w:val="1"/>
          <w:bCs w:val="1"/>
          <w:sz w:val="28"/>
          <w:szCs w:val="28"/>
        </w:rPr>
      </w:pPr>
      <w:r w:rsidDel="00000000" w:rsidR="00000000" w:rsidRPr="00000000">
        <w:rPr>
          <w:rtl w:val="0"/>
        </w:rPr>
      </w:r>
    </w:p>
    <w:p w:rsidR="00000000" w:rsidDel="00000000" w:rsidP="00000000" w:rsidRDefault="00000000" w:rsidRPr="00000000" w14:paraId="00000003">
      <w:pPr>
        <w:jc w:val="center"/>
        <w:rPr>
          <w:b w:val="1"/>
          <w:bCs w:val="1"/>
          <w:sz w:val="28"/>
          <w:szCs w:val="28"/>
        </w:rPr>
      </w:pPr>
      <w:r w:rsidDel="00000000" w:rsidR="00000000" w:rsidRPr="00000000">
        <w:rPr>
          <w:b w:val="1"/>
          <w:bCs w:val="1"/>
          <w:sz w:val="28"/>
          <w:szCs w:val="28"/>
        </w:rPr>
        <w:drawing>
          <wp:inline distB="114300" distT="114300" distL="114300" distR="114300">
            <wp:extent cx="3511399" cy="1546304"/>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511399" cy="1546304"/>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line="240" w:lineRule="auto"/>
        <w:jc w:val="center"/>
        <w:rPr>
          <w:b w:val="1"/>
          <w:bCs w:val="1"/>
          <w:sz w:val="28"/>
          <w:szCs w:val="28"/>
        </w:rPr>
      </w:pPr>
      <w:r w:rsidDel="00000000" w:rsidR="00000000" w:rsidRPr="00000000">
        <w:rPr>
          <w:b w:val="1"/>
          <w:bCs w:val="1"/>
          <w:sz w:val="28"/>
          <w:szCs w:val="28"/>
          <w:rtl w:val="0"/>
        </w:rPr>
        <w:t xml:space="preserve">Student Name: Ayush Alpeshbhai Navdiya</w:t>
      </w:r>
    </w:p>
    <w:p w:rsidR="00000000" w:rsidDel="00000000" w:rsidP="00000000" w:rsidRDefault="00000000" w:rsidRPr="00000000" w14:paraId="00000005">
      <w:pPr>
        <w:spacing w:line="240" w:lineRule="auto"/>
        <w:jc w:val="center"/>
        <w:rPr>
          <w:b w:val="1"/>
          <w:bCs w:val="1"/>
          <w:sz w:val="28"/>
          <w:szCs w:val="28"/>
        </w:rPr>
      </w:pPr>
      <w:r w:rsidDel="00000000" w:rsidR="00000000" w:rsidRPr="00000000">
        <w:rPr>
          <w:rtl w:val="0"/>
        </w:rPr>
      </w:r>
    </w:p>
    <w:p w:rsidR="00000000" w:rsidDel="00000000" w:rsidP="00000000" w:rsidRDefault="00000000" w:rsidRPr="00000000" w14:paraId="00000006">
      <w:pPr>
        <w:spacing w:line="240" w:lineRule="auto"/>
        <w:jc w:val="center"/>
        <w:rPr>
          <w:sz w:val="28"/>
          <w:szCs w:val="28"/>
        </w:rPr>
      </w:pPr>
      <w:r w:rsidDel="00000000" w:rsidR="00000000" w:rsidRPr="00000000">
        <w:rPr>
          <w:b w:val="1"/>
          <w:bCs w:val="1"/>
          <w:sz w:val="28"/>
          <w:szCs w:val="28"/>
          <w:rtl w:val="0"/>
        </w:rPr>
        <w:t xml:space="preserve">Student ID: 2530961</w:t>
      </w:r>
      <w:r w:rsidDel="00000000" w:rsidR="00000000" w:rsidRPr="00000000">
        <w:rPr>
          <w:rtl w:val="0"/>
        </w:rPr>
      </w:r>
    </w:p>
    <w:p w:rsidR="00000000" w:rsidDel="00000000" w:rsidP="00000000" w:rsidRDefault="00000000" w:rsidRPr="00000000" w14:paraId="00000007">
      <w:pPr>
        <w:spacing w:line="240" w:lineRule="auto"/>
        <w:jc w:val="center"/>
        <w:rPr>
          <w:sz w:val="28"/>
          <w:szCs w:val="28"/>
        </w:rPr>
      </w:pPr>
      <w:r w:rsidDel="00000000" w:rsidR="00000000" w:rsidRPr="00000000">
        <w:rPr>
          <w:rtl w:val="0"/>
        </w:rPr>
      </w:r>
    </w:p>
    <w:p w:rsidR="00000000" w:rsidDel="00000000" w:rsidP="00000000" w:rsidRDefault="00000000" w:rsidRPr="00000000" w14:paraId="00000008">
      <w:pPr>
        <w:spacing w:line="240" w:lineRule="auto"/>
        <w:jc w:val="center"/>
        <w:rPr>
          <w:b w:val="1"/>
          <w:bCs w:val="1"/>
          <w:sz w:val="28"/>
          <w:szCs w:val="28"/>
        </w:rPr>
      </w:pPr>
      <w:r w:rsidDel="00000000" w:rsidR="00000000" w:rsidRPr="00000000">
        <w:rPr>
          <w:b w:val="1"/>
          <w:bCs w:val="1"/>
          <w:sz w:val="28"/>
          <w:szCs w:val="28"/>
          <w:rtl w:val="0"/>
        </w:rPr>
        <w:t xml:space="preserve">Module Name: </w:t>
      </w:r>
      <w:r w:rsidDel="00000000" w:rsidR="00000000" w:rsidRPr="00000000">
        <w:rPr>
          <w:b w:val="1"/>
          <w:bCs w:val="1"/>
          <w:sz w:val="32"/>
          <w:szCs w:val="32"/>
          <w:rtl w:val="0"/>
        </w:rPr>
        <w:t xml:space="preserve">Human Capital Management</w:t>
      </w:r>
      <w:r w:rsidDel="00000000" w:rsidR="00000000" w:rsidRPr="00000000">
        <w:rPr>
          <w:rtl w:val="0"/>
        </w:rPr>
      </w:r>
    </w:p>
    <w:p w:rsidR="00000000" w:rsidDel="00000000" w:rsidP="00000000" w:rsidRDefault="00000000" w:rsidRPr="00000000" w14:paraId="00000009">
      <w:pPr>
        <w:spacing w:line="240" w:lineRule="auto"/>
        <w:jc w:val="center"/>
        <w:rPr>
          <w:b w:val="1"/>
          <w:bCs w:val="1"/>
          <w:sz w:val="28"/>
          <w:szCs w:val="28"/>
        </w:rPr>
      </w:pPr>
      <w:r w:rsidDel="00000000" w:rsidR="00000000" w:rsidRPr="00000000">
        <w:rPr>
          <w:rtl w:val="0"/>
        </w:rPr>
      </w:r>
    </w:p>
    <w:p w:rsidR="00000000" w:rsidDel="00000000" w:rsidP="00000000" w:rsidRDefault="00000000" w:rsidRPr="00000000" w14:paraId="0000000A">
      <w:pPr>
        <w:spacing w:line="240" w:lineRule="auto"/>
        <w:jc w:val="center"/>
        <w:rPr>
          <w:b w:val="1"/>
          <w:bCs w:val="1"/>
          <w:sz w:val="28"/>
          <w:szCs w:val="28"/>
        </w:rPr>
      </w:pPr>
      <w:r w:rsidDel="00000000" w:rsidR="00000000" w:rsidRPr="00000000">
        <w:rPr>
          <w:b w:val="1"/>
          <w:bCs w:val="1"/>
          <w:sz w:val="28"/>
          <w:szCs w:val="28"/>
          <w:rtl w:val="0"/>
        </w:rPr>
        <w:t xml:space="preserve">Module Code: LCMB7023</w:t>
      </w:r>
    </w:p>
    <w:p w:rsidR="00000000" w:rsidDel="00000000" w:rsidP="00000000" w:rsidRDefault="00000000" w:rsidRPr="00000000" w14:paraId="0000000B">
      <w:pPr>
        <w:spacing w:line="240" w:lineRule="auto"/>
        <w:jc w:val="center"/>
        <w:rPr>
          <w:b w:val="1"/>
          <w:bCs w:val="1"/>
          <w:sz w:val="28"/>
          <w:szCs w:val="28"/>
        </w:rPr>
      </w:pPr>
      <w:r w:rsidDel="00000000" w:rsidR="00000000" w:rsidRPr="00000000">
        <w:rPr>
          <w:rtl w:val="0"/>
        </w:rPr>
      </w:r>
    </w:p>
    <w:p w:rsidR="00000000" w:rsidDel="00000000" w:rsidP="00000000" w:rsidRDefault="00000000" w:rsidRPr="00000000" w14:paraId="0000000C">
      <w:pPr>
        <w:spacing w:line="240" w:lineRule="auto"/>
        <w:jc w:val="center"/>
        <w:rPr>
          <w:b w:val="1"/>
          <w:bCs w:val="1"/>
          <w:sz w:val="28"/>
          <w:szCs w:val="28"/>
        </w:rPr>
      </w:pPr>
      <w:r w:rsidDel="00000000" w:rsidR="00000000" w:rsidRPr="00000000">
        <w:rPr>
          <w:b w:val="1"/>
          <w:bCs w:val="1"/>
          <w:sz w:val="28"/>
          <w:szCs w:val="28"/>
          <w:rtl w:val="0"/>
        </w:rPr>
        <w:t xml:space="preserve">Lecturer’s Name: Gladius Kulothungan</w:t>
      </w:r>
    </w:p>
    <w:p w:rsidR="00000000" w:rsidDel="00000000" w:rsidP="00000000" w:rsidRDefault="00000000" w:rsidRPr="00000000" w14:paraId="0000000D">
      <w:pPr>
        <w:spacing w:line="240" w:lineRule="auto"/>
        <w:jc w:val="left"/>
        <w:rPr>
          <w:b w:val="1"/>
          <w:bCs w:val="1"/>
          <w:sz w:val="28"/>
          <w:szCs w:val="28"/>
        </w:rPr>
      </w:pPr>
      <w:r w:rsidDel="00000000" w:rsidR="00000000" w:rsidRPr="00000000">
        <w:rPr>
          <w:rtl w:val="0"/>
        </w:rPr>
      </w:r>
    </w:p>
    <w:p w:rsidR="00000000" w:rsidDel="00000000" w:rsidP="00000000" w:rsidRDefault="00000000" w:rsidRPr="00000000" w14:paraId="0000000E">
      <w:pPr>
        <w:spacing w:line="240" w:lineRule="auto"/>
        <w:jc w:val="center"/>
        <w:rPr>
          <w:b w:val="1"/>
          <w:bCs w:val="1"/>
          <w:sz w:val="28"/>
          <w:szCs w:val="28"/>
        </w:rPr>
      </w:pPr>
      <w:r w:rsidDel="00000000" w:rsidR="00000000" w:rsidRPr="00000000">
        <w:rPr>
          <w:b w:val="1"/>
          <w:bCs w:val="1"/>
          <w:sz w:val="28"/>
          <w:szCs w:val="28"/>
          <w:rtl w:val="0"/>
        </w:rPr>
        <w:t xml:space="preserve">Work Count: 2450 </w:t>
      </w:r>
    </w:p>
    <w:p w:rsidR="00000000" w:rsidDel="00000000" w:rsidP="00000000" w:rsidRDefault="00000000" w:rsidRPr="00000000" w14:paraId="0000000F">
      <w:pPr>
        <w:spacing w:line="240" w:lineRule="auto"/>
        <w:jc w:val="center"/>
        <w:rPr>
          <w:b w:val="1"/>
          <w:bCs w:val="1"/>
          <w:sz w:val="28"/>
          <w:szCs w:val="28"/>
        </w:rPr>
      </w:pPr>
      <w:r w:rsidDel="00000000" w:rsidR="00000000" w:rsidRPr="00000000">
        <w:rPr>
          <w:rtl w:val="0"/>
        </w:rPr>
      </w:r>
    </w:p>
    <w:p w:rsidR="00000000" w:rsidDel="00000000" w:rsidP="00000000" w:rsidRDefault="00000000" w:rsidRPr="00000000" w14:paraId="00000010">
      <w:pPr>
        <w:spacing w:line="240" w:lineRule="auto"/>
        <w:jc w:val="center"/>
        <w:rPr>
          <w:b w:val="1"/>
          <w:bCs w:val="1"/>
          <w:sz w:val="28"/>
          <w:szCs w:val="28"/>
        </w:rPr>
      </w:pPr>
      <w:r w:rsidDel="00000000" w:rsidR="00000000" w:rsidRPr="00000000">
        <w:rPr>
          <w:b w:val="1"/>
          <w:bCs w:val="1"/>
          <w:sz w:val="28"/>
          <w:szCs w:val="28"/>
          <w:rtl w:val="0"/>
        </w:rPr>
        <w:t xml:space="preserve">Term 1</w:t>
      </w:r>
    </w:p>
    <w:p w:rsidR="00000000" w:rsidDel="00000000" w:rsidP="00000000" w:rsidRDefault="00000000" w:rsidRPr="00000000" w14:paraId="00000011">
      <w:pPr>
        <w:jc w:val="left"/>
        <w:rPr>
          <w:b w:val="1"/>
          <w:bCs w:val="1"/>
          <w:sz w:val="28"/>
          <w:szCs w:val="28"/>
        </w:rPr>
      </w:pPr>
      <w:r w:rsidDel="00000000" w:rsidR="00000000" w:rsidRPr="00000000">
        <w:rPr>
          <w:rtl w:val="0"/>
        </w:rPr>
      </w:r>
    </w:p>
    <w:p w:rsidR="00000000" w:rsidDel="00000000" w:rsidP="00000000" w:rsidRDefault="00000000" w:rsidRPr="00000000" w14:paraId="00000012">
      <w:pPr>
        <w:jc w:val="center"/>
        <w:rPr>
          <w:sz w:val="28"/>
          <w:szCs w:val="28"/>
        </w:rPr>
      </w:pPr>
      <w:r w:rsidDel="00000000" w:rsidR="00000000" w:rsidRPr="00000000">
        <w:rPr>
          <w:b w:val="1"/>
          <w:bCs w:val="1"/>
          <w:sz w:val="32"/>
          <w:szCs w:val="32"/>
          <w:rtl w:val="0"/>
        </w:rPr>
        <w:t xml:space="preserve">Topic: Integrated Human Capital Blueprint: Case Study of Aether Innovations </w:t>
      </w:r>
      <w:r w:rsidDel="00000000" w:rsidR="00000000" w:rsidRPr="00000000">
        <w:br w:type="page"/>
      </w: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t xml:space="preserve">Table of Contents</w:t>
      </w:r>
    </w:p>
    <w:sdt>
      <w:sdtPr>
        <w:id w:val="-445089549"/>
        <w:docPartObj>
          <w:docPartGallery w:val="Table of Contents"/>
          <w:docPartUnique w:val="1"/>
        </w:docPartObj>
      </w:sdtPr>
      <w:sdtContent>
        <w:p w:rsidR="00000000" w:rsidDel="00000000" w:rsidP="00000000" w:rsidRDefault="00000000" w:rsidRPr="00000000" w14:paraId="00000014">
          <w:pPr>
            <w:widowControl w:val="0"/>
            <w:tabs>
              <w:tab w:val="right" w:leader="none" w:pos="9025"/>
            </w:tabs>
            <w:spacing w:before="60" w:lineRule="auto"/>
            <w:jc w:val="left"/>
            <w:rPr>
              <w:b w:val="1"/>
              <w:bCs w:val="1"/>
              <w:color w:val="000000"/>
            </w:rPr>
          </w:pPr>
          <w:r w:rsidDel="00000000" w:rsidR="00000000" w:rsidRPr="00000000">
            <w:fldChar w:fldCharType="begin"/>
            <w:instrText xml:space="preserve"> TOC \h \u \z \t "Heading 1,1,Heading 2,2,Heading 3,3,Heading 4,4,Heading 5,5,Heading 6,6,"</w:instrText>
            <w:fldChar w:fldCharType="separate"/>
          </w:r>
          <w:hyperlink w:anchor="_2c5ilv3wdgoh">
            <w:r w:rsidDel="00000000" w:rsidR="00000000" w:rsidRPr="00000000">
              <w:rPr>
                <w:b w:val="1"/>
                <w:bCs w:val="1"/>
                <w:color w:val="000000"/>
                <w:rtl w:val="0"/>
              </w:rPr>
              <w:t xml:space="preserve">PART 1</w:t>
              <w:tab/>
            </w:r>
          </w:hyperlink>
          <w:r w:rsidDel="00000000" w:rsidR="00000000" w:rsidRPr="00000000">
            <w:fldChar w:fldCharType="begin"/>
            <w:instrText xml:space="preserve"> PAGEREF _2c5ilv3wdgoh \h </w:instrText>
            <w:fldChar w:fldCharType="separate"/>
          </w:r>
          <w:r w:rsidDel="00000000" w:rsidR="00000000" w:rsidRPr="00000000">
            <w:rPr>
              <w:b w:val="1"/>
              <w:bCs w:val="1"/>
              <w:rtl w:val="0"/>
            </w:rPr>
            <w:t xml:space="preserve">3</w:t>
          </w:r>
          <w:r w:rsidDel="00000000" w:rsidR="00000000" w:rsidRPr="00000000">
            <w:fldChar w:fldCharType="begin"/>
            <w:instrText xml:space="preserve"> HYPERLINK \l "_2c5ilv3wdgoh"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9025"/>
            </w:tabs>
            <w:spacing w:before="60" w:lineRule="auto"/>
            <w:ind w:left="360" w:firstLine="0"/>
            <w:jc w:val="left"/>
            <w:rPr>
              <w:color w:val="000000"/>
            </w:rPr>
          </w:pPr>
          <w:r w:rsidDel="00000000" w:rsidR="00000000" w:rsidRPr="00000000">
            <w:fldChar w:fldCharType="end"/>
          </w:r>
          <w:hyperlink w:anchor="_ltdglt8v1hl6">
            <w:r w:rsidDel="00000000" w:rsidR="00000000" w:rsidRPr="00000000">
              <w:rPr>
                <w:color w:val="000000"/>
                <w:rtl w:val="0"/>
              </w:rPr>
              <w:t xml:space="preserve">1.1 Introduction</w:t>
              <w:tab/>
            </w:r>
          </w:hyperlink>
          <w:r w:rsidDel="00000000" w:rsidR="00000000" w:rsidRPr="00000000">
            <w:fldChar w:fldCharType="begin"/>
            <w:instrText xml:space="preserve"> PAGEREF _ltdglt8v1hl6 \h </w:instrText>
            <w:fldChar w:fldCharType="separate"/>
          </w:r>
          <w:r w:rsidDel="00000000" w:rsidR="00000000" w:rsidRPr="00000000">
            <w:rPr>
              <w:rtl w:val="0"/>
            </w:rPr>
            <w:t xml:space="preserve">3</w:t>
          </w:r>
          <w:r w:rsidDel="00000000" w:rsidR="00000000" w:rsidRPr="00000000">
            <w:fldChar w:fldCharType="begin"/>
            <w:instrText xml:space="preserve"> HYPERLINK \l "_ltdglt8v1hl6"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9025"/>
            </w:tabs>
            <w:spacing w:before="60" w:lineRule="auto"/>
            <w:ind w:left="360" w:firstLine="0"/>
            <w:jc w:val="left"/>
            <w:rPr>
              <w:color w:val="000000"/>
            </w:rPr>
          </w:pPr>
          <w:r w:rsidDel="00000000" w:rsidR="00000000" w:rsidRPr="00000000">
            <w:fldChar w:fldCharType="end"/>
          </w:r>
          <w:hyperlink w:anchor="_ftrilmtsbd68">
            <w:r w:rsidDel="00000000" w:rsidR="00000000" w:rsidRPr="00000000">
              <w:rPr>
                <w:color w:val="000000"/>
                <w:rtl w:val="0"/>
              </w:rPr>
              <w:t xml:space="preserve">1.2 Current practices in culture and work among the tech companies</w:t>
              <w:tab/>
            </w:r>
          </w:hyperlink>
          <w:r w:rsidDel="00000000" w:rsidR="00000000" w:rsidRPr="00000000">
            <w:fldChar w:fldCharType="begin"/>
            <w:instrText xml:space="preserve"> PAGEREF _ftrilmtsbd68 \h </w:instrText>
            <w:fldChar w:fldCharType="separate"/>
          </w:r>
          <w:r w:rsidDel="00000000" w:rsidR="00000000" w:rsidRPr="00000000">
            <w:rPr>
              <w:rtl w:val="0"/>
            </w:rPr>
            <w:t xml:space="preserve">3</w:t>
          </w:r>
          <w:r w:rsidDel="00000000" w:rsidR="00000000" w:rsidRPr="00000000">
            <w:fldChar w:fldCharType="begin"/>
            <w:instrText xml:space="preserve"> HYPERLINK \l "_ftrilmtsbd68"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025"/>
            </w:tabs>
            <w:spacing w:before="60" w:lineRule="auto"/>
            <w:ind w:left="360" w:firstLine="0"/>
            <w:jc w:val="left"/>
            <w:rPr>
              <w:color w:val="000000"/>
            </w:rPr>
          </w:pPr>
          <w:r w:rsidDel="00000000" w:rsidR="00000000" w:rsidRPr="00000000">
            <w:fldChar w:fldCharType="end"/>
          </w:r>
          <w:hyperlink w:anchor="_wxagcrtnk239">
            <w:r w:rsidDel="00000000" w:rsidR="00000000" w:rsidRPr="00000000">
              <w:rPr>
                <w:color w:val="000000"/>
                <w:rtl w:val="0"/>
              </w:rPr>
              <w:t xml:space="preserve">1.3 Recommend cultural and structural initiatives that embed innovation</w:t>
              <w:tab/>
            </w:r>
          </w:hyperlink>
          <w:r w:rsidDel="00000000" w:rsidR="00000000" w:rsidRPr="00000000">
            <w:fldChar w:fldCharType="begin"/>
            <w:instrText xml:space="preserve"> PAGEREF _wxagcrtnk239 \h </w:instrText>
            <w:fldChar w:fldCharType="separate"/>
          </w:r>
          <w:r w:rsidDel="00000000" w:rsidR="00000000" w:rsidRPr="00000000">
            <w:rPr>
              <w:rtl w:val="0"/>
            </w:rPr>
            <w:t xml:space="preserve">4</w:t>
          </w:r>
          <w:r w:rsidDel="00000000" w:rsidR="00000000" w:rsidRPr="00000000">
            <w:fldChar w:fldCharType="begin"/>
            <w:instrText xml:space="preserve"> HYPERLINK \l "_wxagcrtnk239"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025"/>
            </w:tabs>
            <w:spacing w:before="60" w:lineRule="auto"/>
            <w:ind w:left="360" w:firstLine="0"/>
            <w:jc w:val="left"/>
            <w:rPr>
              <w:color w:val="000000"/>
            </w:rPr>
          </w:pPr>
          <w:r w:rsidDel="00000000" w:rsidR="00000000" w:rsidRPr="00000000">
            <w:fldChar w:fldCharType="end"/>
          </w:r>
          <w:hyperlink w:anchor="_ihmhp413wy8p">
            <w:r w:rsidDel="00000000" w:rsidR="00000000" w:rsidRPr="00000000">
              <w:rPr>
                <w:color w:val="000000"/>
                <w:rtl w:val="0"/>
              </w:rPr>
              <w:t xml:space="preserve">1.4 Propose a Future of Work model that supports collaboration and creativity</w:t>
              <w:tab/>
            </w:r>
          </w:hyperlink>
          <w:r w:rsidDel="00000000" w:rsidR="00000000" w:rsidRPr="00000000">
            <w:fldChar w:fldCharType="begin"/>
            <w:instrText xml:space="preserve"> PAGEREF _ihmhp413wy8p \h </w:instrText>
            <w:fldChar w:fldCharType="separate"/>
          </w:r>
          <w:r w:rsidDel="00000000" w:rsidR="00000000" w:rsidRPr="00000000">
            <w:rPr>
              <w:rtl w:val="0"/>
            </w:rPr>
            <w:t xml:space="preserve">5</w:t>
          </w:r>
          <w:r w:rsidDel="00000000" w:rsidR="00000000" w:rsidRPr="00000000">
            <w:fldChar w:fldCharType="begin"/>
            <w:instrText xml:space="preserve"> HYPERLINK \l "_ihmhp413wy8p"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025"/>
            </w:tabs>
            <w:spacing w:before="60" w:lineRule="auto"/>
            <w:ind w:left="360" w:firstLine="0"/>
            <w:jc w:val="left"/>
            <w:rPr>
              <w:color w:val="000000"/>
            </w:rPr>
          </w:pPr>
          <w:r w:rsidDel="00000000" w:rsidR="00000000" w:rsidRPr="00000000">
            <w:fldChar w:fldCharType="end"/>
          </w:r>
          <w:hyperlink w:anchor="_5opiix8f2txs">
            <w:r w:rsidDel="00000000" w:rsidR="00000000" w:rsidRPr="00000000">
              <w:rPr>
                <w:color w:val="000000"/>
                <w:rtl w:val="0"/>
              </w:rPr>
              <w:t xml:space="preserve">1.5 Demonstrate how the new approach would motivate and enable staff to perform optimally</w:t>
              <w:tab/>
            </w:r>
          </w:hyperlink>
          <w:r w:rsidDel="00000000" w:rsidR="00000000" w:rsidRPr="00000000">
            <w:fldChar w:fldCharType="begin"/>
            <w:instrText xml:space="preserve"> PAGEREF _5opiix8f2txs \h </w:instrText>
            <w:fldChar w:fldCharType="separate"/>
          </w:r>
          <w:r w:rsidDel="00000000" w:rsidR="00000000" w:rsidRPr="00000000">
            <w:rPr>
              <w:rtl w:val="0"/>
            </w:rPr>
            <w:t xml:space="preserve">5</w:t>
          </w:r>
          <w:r w:rsidDel="00000000" w:rsidR="00000000" w:rsidRPr="00000000">
            <w:fldChar w:fldCharType="begin"/>
            <w:instrText xml:space="preserve"> HYPERLINK \l "_5opiix8f2txs"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none" w:pos="9025"/>
            </w:tabs>
            <w:spacing w:before="60" w:lineRule="auto"/>
            <w:ind w:left="360" w:firstLine="0"/>
            <w:jc w:val="left"/>
            <w:rPr>
              <w:color w:val="000000"/>
            </w:rPr>
          </w:pPr>
          <w:r w:rsidDel="00000000" w:rsidR="00000000" w:rsidRPr="00000000">
            <w:fldChar w:fldCharType="end"/>
          </w:r>
          <w:hyperlink w:anchor="_pb2ocp8uj99g">
            <w:r w:rsidDel="00000000" w:rsidR="00000000" w:rsidRPr="00000000">
              <w:rPr>
                <w:color w:val="000000"/>
                <w:rtl w:val="0"/>
              </w:rPr>
              <w:t xml:space="preserve">1.6 Conclusion</w:t>
              <w:tab/>
            </w:r>
          </w:hyperlink>
          <w:r w:rsidDel="00000000" w:rsidR="00000000" w:rsidRPr="00000000">
            <w:fldChar w:fldCharType="begin"/>
            <w:instrText xml:space="preserve"> PAGEREF _pb2ocp8uj99g \h </w:instrText>
            <w:fldChar w:fldCharType="separate"/>
          </w:r>
          <w:r w:rsidDel="00000000" w:rsidR="00000000" w:rsidRPr="00000000">
            <w:rPr>
              <w:rtl w:val="0"/>
            </w:rPr>
            <w:t xml:space="preserve">6</w:t>
          </w:r>
          <w:r w:rsidDel="00000000" w:rsidR="00000000" w:rsidRPr="00000000">
            <w:fldChar w:fldCharType="begin"/>
            <w:instrText xml:space="preserve"> HYPERLINK \l "_pb2ocp8uj99g"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none" w:pos="9025"/>
            </w:tabs>
            <w:spacing w:before="60" w:lineRule="auto"/>
            <w:jc w:val="left"/>
            <w:rPr>
              <w:b w:val="1"/>
              <w:bCs w:val="1"/>
              <w:color w:val="000000"/>
            </w:rPr>
          </w:pPr>
          <w:r w:rsidDel="00000000" w:rsidR="00000000" w:rsidRPr="00000000">
            <w:fldChar w:fldCharType="end"/>
          </w:r>
          <w:hyperlink w:anchor="_v4drdaaubxif">
            <w:r w:rsidDel="00000000" w:rsidR="00000000" w:rsidRPr="00000000">
              <w:rPr>
                <w:b w:val="1"/>
                <w:bCs w:val="1"/>
                <w:color w:val="000000"/>
                <w:rtl w:val="0"/>
              </w:rPr>
              <w:t xml:space="preserve">Part 2</w:t>
              <w:tab/>
            </w:r>
          </w:hyperlink>
          <w:r w:rsidDel="00000000" w:rsidR="00000000" w:rsidRPr="00000000">
            <w:fldChar w:fldCharType="begin"/>
            <w:instrText xml:space="preserve"> PAGEREF _v4drdaaubxif \h </w:instrText>
            <w:fldChar w:fldCharType="separate"/>
          </w:r>
          <w:r w:rsidDel="00000000" w:rsidR="00000000" w:rsidRPr="00000000">
            <w:rPr>
              <w:b w:val="1"/>
              <w:bCs w:val="1"/>
              <w:rtl w:val="0"/>
            </w:rPr>
            <w:t xml:space="preserve">7</w:t>
          </w:r>
          <w:r w:rsidDel="00000000" w:rsidR="00000000" w:rsidRPr="00000000">
            <w:fldChar w:fldCharType="begin"/>
            <w:instrText xml:space="preserve"> HYPERLINK \l "_v4drdaaubxif"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none" w:pos="9025"/>
            </w:tabs>
            <w:spacing w:before="60" w:lineRule="auto"/>
            <w:ind w:left="360" w:firstLine="0"/>
            <w:jc w:val="left"/>
            <w:rPr>
              <w:color w:val="000000"/>
            </w:rPr>
          </w:pPr>
          <w:r w:rsidDel="00000000" w:rsidR="00000000" w:rsidRPr="00000000">
            <w:fldChar w:fldCharType="end"/>
          </w:r>
          <w:hyperlink w:anchor="_x58vrpq70w9i">
            <w:r w:rsidDel="00000000" w:rsidR="00000000" w:rsidRPr="00000000">
              <w:rPr>
                <w:color w:val="000000"/>
                <w:rtl w:val="0"/>
              </w:rPr>
              <w:t xml:space="preserve">2.1 Learning Journey through Kolb’s Model</w:t>
              <w:tab/>
            </w:r>
          </w:hyperlink>
          <w:r w:rsidDel="00000000" w:rsidR="00000000" w:rsidRPr="00000000">
            <w:fldChar w:fldCharType="begin"/>
            <w:instrText xml:space="preserve"> PAGEREF _x58vrpq70w9i \h </w:instrText>
            <w:fldChar w:fldCharType="separate"/>
          </w:r>
          <w:r w:rsidDel="00000000" w:rsidR="00000000" w:rsidRPr="00000000">
            <w:rPr>
              <w:rtl w:val="0"/>
            </w:rPr>
            <w:t xml:space="preserve">7</w:t>
          </w:r>
          <w:r w:rsidDel="00000000" w:rsidR="00000000" w:rsidRPr="00000000">
            <w:fldChar w:fldCharType="begin"/>
            <w:instrText xml:space="preserve"> HYPERLINK \l "_x58vrpq70w9i"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none" w:pos="9025"/>
            </w:tabs>
            <w:spacing w:before="60" w:lineRule="auto"/>
            <w:ind w:left="720" w:firstLine="0"/>
            <w:jc w:val="left"/>
            <w:rPr>
              <w:color w:val="000000"/>
            </w:rPr>
          </w:pPr>
          <w:r w:rsidDel="00000000" w:rsidR="00000000" w:rsidRPr="00000000">
            <w:fldChar w:fldCharType="end"/>
          </w:r>
          <w:hyperlink w:anchor="_404hnhsva3m1">
            <w:r w:rsidDel="00000000" w:rsidR="00000000" w:rsidRPr="00000000">
              <w:rPr>
                <w:color w:val="000000"/>
                <w:rtl w:val="0"/>
              </w:rPr>
              <w:t xml:space="preserve">1. Concrete Experience</w:t>
              <w:tab/>
            </w:r>
          </w:hyperlink>
          <w:r w:rsidDel="00000000" w:rsidR="00000000" w:rsidRPr="00000000">
            <w:fldChar w:fldCharType="begin"/>
            <w:instrText xml:space="preserve"> PAGEREF _404hnhsva3m1 \h </w:instrText>
            <w:fldChar w:fldCharType="separate"/>
          </w:r>
          <w:r w:rsidDel="00000000" w:rsidR="00000000" w:rsidRPr="00000000">
            <w:rPr>
              <w:rtl w:val="0"/>
            </w:rPr>
            <w:t xml:space="preserve">7</w:t>
          </w:r>
          <w:r w:rsidDel="00000000" w:rsidR="00000000" w:rsidRPr="00000000">
            <w:fldChar w:fldCharType="begin"/>
            <w:instrText xml:space="preserve"> HYPERLINK \l "_404hnhsva3m1"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none" w:pos="9025"/>
            </w:tabs>
            <w:spacing w:before="60" w:lineRule="auto"/>
            <w:ind w:left="720" w:firstLine="0"/>
            <w:jc w:val="left"/>
            <w:rPr>
              <w:color w:val="000000"/>
            </w:rPr>
          </w:pPr>
          <w:r w:rsidDel="00000000" w:rsidR="00000000" w:rsidRPr="00000000">
            <w:fldChar w:fldCharType="end"/>
          </w:r>
          <w:hyperlink w:anchor="_ynws3av67k3">
            <w:r w:rsidDel="00000000" w:rsidR="00000000" w:rsidRPr="00000000">
              <w:rPr>
                <w:color w:val="000000"/>
                <w:rtl w:val="0"/>
              </w:rPr>
              <w:t xml:space="preserve">2. Reflective Observation</w:t>
              <w:tab/>
            </w:r>
          </w:hyperlink>
          <w:r w:rsidDel="00000000" w:rsidR="00000000" w:rsidRPr="00000000">
            <w:fldChar w:fldCharType="begin"/>
            <w:instrText xml:space="preserve"> PAGEREF _ynws3av67k3 \h </w:instrText>
            <w:fldChar w:fldCharType="separate"/>
          </w:r>
          <w:r w:rsidDel="00000000" w:rsidR="00000000" w:rsidRPr="00000000">
            <w:rPr>
              <w:rtl w:val="0"/>
            </w:rPr>
            <w:t xml:space="preserve">7</w:t>
          </w:r>
          <w:r w:rsidDel="00000000" w:rsidR="00000000" w:rsidRPr="00000000">
            <w:fldChar w:fldCharType="begin"/>
            <w:instrText xml:space="preserve"> HYPERLINK \l "_ynws3av67k3"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none" w:pos="9025"/>
            </w:tabs>
            <w:spacing w:before="60" w:lineRule="auto"/>
            <w:ind w:left="720" w:firstLine="0"/>
            <w:jc w:val="left"/>
            <w:rPr>
              <w:color w:val="000000"/>
            </w:rPr>
          </w:pPr>
          <w:r w:rsidDel="00000000" w:rsidR="00000000" w:rsidRPr="00000000">
            <w:fldChar w:fldCharType="end"/>
          </w:r>
          <w:hyperlink w:anchor="_2pvjuy35uulc">
            <w:r w:rsidDel="00000000" w:rsidR="00000000" w:rsidRPr="00000000">
              <w:rPr>
                <w:color w:val="000000"/>
                <w:rtl w:val="0"/>
              </w:rPr>
              <w:t xml:space="preserve">3. Abstract Conceptualisation</w:t>
              <w:tab/>
            </w:r>
          </w:hyperlink>
          <w:r w:rsidDel="00000000" w:rsidR="00000000" w:rsidRPr="00000000">
            <w:fldChar w:fldCharType="begin"/>
            <w:instrText xml:space="preserve"> PAGEREF _2pvjuy35uulc \h </w:instrText>
            <w:fldChar w:fldCharType="separate"/>
          </w:r>
          <w:r w:rsidDel="00000000" w:rsidR="00000000" w:rsidRPr="00000000">
            <w:rPr>
              <w:rtl w:val="0"/>
            </w:rPr>
            <w:t xml:space="preserve">7</w:t>
          </w:r>
          <w:r w:rsidDel="00000000" w:rsidR="00000000" w:rsidRPr="00000000">
            <w:fldChar w:fldCharType="begin"/>
            <w:instrText xml:space="preserve"> HYPERLINK \l "_2pvjuy35uulc"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20">
          <w:pPr>
            <w:widowControl w:val="0"/>
            <w:tabs>
              <w:tab w:val="right" w:leader="none" w:pos="9025"/>
            </w:tabs>
            <w:spacing w:before="60" w:lineRule="auto"/>
            <w:ind w:left="720" w:firstLine="0"/>
            <w:jc w:val="left"/>
            <w:rPr>
              <w:color w:val="000000"/>
            </w:rPr>
          </w:pPr>
          <w:r w:rsidDel="00000000" w:rsidR="00000000" w:rsidRPr="00000000">
            <w:fldChar w:fldCharType="end"/>
          </w:r>
          <w:hyperlink w:anchor="_qrboz6q5me48">
            <w:r w:rsidDel="00000000" w:rsidR="00000000" w:rsidRPr="00000000">
              <w:rPr>
                <w:color w:val="000000"/>
                <w:rtl w:val="0"/>
              </w:rPr>
              <w:t xml:space="preserve">4. Active Experimentation</w:t>
              <w:tab/>
            </w:r>
          </w:hyperlink>
          <w:r w:rsidDel="00000000" w:rsidR="00000000" w:rsidRPr="00000000">
            <w:fldChar w:fldCharType="begin"/>
            <w:instrText xml:space="preserve"> PAGEREF _qrboz6q5me48 \h </w:instrText>
            <w:fldChar w:fldCharType="separate"/>
          </w:r>
          <w:r w:rsidDel="00000000" w:rsidR="00000000" w:rsidRPr="00000000">
            <w:rPr>
              <w:rtl w:val="0"/>
            </w:rPr>
            <w:t xml:space="preserve">8</w:t>
          </w:r>
          <w:r w:rsidDel="00000000" w:rsidR="00000000" w:rsidRPr="00000000">
            <w:fldChar w:fldCharType="begin"/>
            <w:instrText xml:space="preserve"> HYPERLINK \l "_qrboz6q5me48"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21">
          <w:pPr>
            <w:widowControl w:val="0"/>
            <w:tabs>
              <w:tab w:val="right" w:leader="none" w:pos="9025"/>
            </w:tabs>
            <w:spacing w:before="60" w:lineRule="auto"/>
            <w:ind w:left="360" w:firstLine="0"/>
            <w:jc w:val="left"/>
            <w:rPr/>
          </w:pPr>
          <w:r w:rsidDel="00000000" w:rsidR="00000000" w:rsidRPr="00000000">
            <w:fldChar w:fldCharType="end"/>
          </w:r>
          <w:hyperlink w:anchor="_26w0vrrxgczb">
            <w:r w:rsidDel="00000000" w:rsidR="00000000" w:rsidRPr="00000000">
              <w:rPr>
                <w:color w:val="000000"/>
                <w:rtl w:val="0"/>
              </w:rPr>
              <w:t xml:space="preserve">2.2 AI Reflection – Staying Relevant in an AI-Driven Workplace</w:t>
              <w:tab/>
            </w:r>
          </w:hyperlink>
          <w:r w:rsidDel="00000000" w:rsidR="00000000" w:rsidRPr="00000000">
            <w:fldChar w:fldCharType="begin"/>
            <w:instrText xml:space="preserve"> PAGEREF _26w0vrrxgczb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2">
          <w:pPr>
            <w:widowControl w:val="0"/>
            <w:tabs>
              <w:tab w:val="right" w:leader="none" w:pos="9025"/>
            </w:tabs>
            <w:spacing w:before="60" w:lineRule="auto"/>
            <w:ind w:left="360" w:firstLine="0"/>
            <w:jc w:val="left"/>
            <w:rPr/>
          </w:pPr>
          <w:r w:rsidDel="00000000" w:rsidR="00000000" w:rsidRPr="00000000">
            <w:rPr>
              <w:rtl w:val="0"/>
            </w:rPr>
            <w:t xml:space="preserve">References.                                                                                                                         11</w:t>
          </w:r>
          <w:r w:rsidDel="00000000" w:rsidR="00000000" w:rsidRPr="00000000">
            <w:fldChar w:fldCharType="end"/>
          </w:r>
        </w:p>
      </w:sdtContent>
    </w:sdt>
    <w:p w:rsidR="00000000" w:rsidDel="00000000" w:rsidP="00000000" w:rsidRDefault="00000000" w:rsidRPr="00000000" w14:paraId="00000023">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jc w:val="left"/>
        <w:rPr/>
      </w:pPr>
      <w:bookmarkStart w:colFirst="0" w:colLast="0" w:name="_2c5ilv3wdgoh" w:id="0"/>
      <w:bookmarkEnd w:id="0"/>
      <w:r w:rsidDel="00000000" w:rsidR="00000000" w:rsidRPr="00000000">
        <w:rPr>
          <w:rtl w:val="0"/>
        </w:rPr>
        <w:t xml:space="preserve">PART 1</w:t>
      </w:r>
    </w:p>
    <w:p w:rsidR="00000000" w:rsidDel="00000000" w:rsidP="00000000" w:rsidRDefault="00000000" w:rsidRPr="00000000" w14:paraId="00000025">
      <w:pPr>
        <w:pStyle w:val="Heading2"/>
        <w:spacing w:after="0" w:before="0" w:lineRule="auto"/>
        <w:jc w:val="left"/>
        <w:rPr/>
      </w:pPr>
      <w:bookmarkStart w:colFirst="0" w:colLast="0" w:name="_ltdglt8v1hl6" w:id="1"/>
      <w:bookmarkEnd w:id="1"/>
      <w:r w:rsidDel="00000000" w:rsidR="00000000" w:rsidRPr="00000000">
        <w:rPr>
          <w:rtl w:val="0"/>
        </w:rPr>
        <w:t xml:space="preserve">1.1 Introduction</w:t>
      </w:r>
    </w:p>
    <w:p w:rsidR="00000000" w:rsidDel="00000000" w:rsidP="00000000" w:rsidRDefault="00000000" w:rsidRPr="00000000" w14:paraId="00000026">
      <w:pPr>
        <w:rPr/>
      </w:pPr>
      <w:r w:rsidDel="00000000" w:rsidR="00000000" w:rsidRPr="00000000">
        <w:rPr>
          <w:rtl w:val="0"/>
        </w:rPr>
        <w:t xml:space="preserve">Aether Innovations faces stagnating growth, rising turnover and declining customer satisfaction despite operating in a dynamic technology sector. Performance can be improved by developing an integrated human capital blueprint that is focused on innovation and goal alignment. Employee capabilities can be reconnected to competitive advantage by introducing future-oriented work practices and a culture that supports innovation.</w:t>
      </w:r>
    </w:p>
    <w:p w:rsidR="00000000" w:rsidDel="00000000" w:rsidP="00000000" w:rsidRDefault="00000000" w:rsidRPr="00000000" w14:paraId="00000027">
      <w:pPr>
        <w:pStyle w:val="Heading2"/>
        <w:keepNext w:val="0"/>
        <w:keepLines w:val="0"/>
        <w:spacing w:after="0" w:before="0" w:lineRule="auto"/>
        <w:rPr/>
      </w:pPr>
      <w:bookmarkStart w:colFirst="0" w:colLast="0" w:name="_ftrilmtsbd68" w:id="2"/>
      <w:bookmarkEnd w:id="2"/>
      <w:r w:rsidDel="00000000" w:rsidR="00000000" w:rsidRPr="00000000">
        <w:rPr>
          <w:rtl w:val="0"/>
        </w:rPr>
        <w:t xml:space="preserve">1.2 Current practices in culture and work among the tech companies </w:t>
      </w:r>
    </w:p>
    <w:p w:rsidR="00000000" w:rsidDel="00000000" w:rsidP="00000000" w:rsidRDefault="00000000" w:rsidRPr="00000000" w14:paraId="00000028">
      <w:pPr>
        <w:rPr/>
      </w:pPr>
      <w:r w:rsidDel="00000000" w:rsidR="00000000" w:rsidRPr="00000000">
        <w:rPr>
          <w:rtl w:val="0"/>
        </w:rPr>
        <w:t xml:space="preserve">Technology companies increasingly focus on balancing autonomy, experimentation and goal clarity. Leading companies promote open dialogue, fast learning and psychological safety to enable workers to offer new ideas without fear of failure. According to McKinsey &amp; Company (2025), 84% of executives are of the view that innovation is critical to growth. However, not many of them are content with the performance of their organisation in the field of innovation. This is the gap that depicts why most fast-growing organisations, such as Aether, fail when the culture does not keep up with growth.</w:t>
      </w:r>
    </w:p>
    <w:p w:rsidR="00000000" w:rsidDel="00000000" w:rsidP="00000000" w:rsidRDefault="00000000" w:rsidRPr="00000000" w14:paraId="00000029">
      <w:pPr>
        <w:rPr/>
      </w:pPr>
      <w:r w:rsidDel="00000000" w:rsidR="00000000" w:rsidRPr="00000000">
        <w:rPr>
          <w:rtl w:val="0"/>
        </w:rPr>
        <w:t xml:space="preserve">Practically, contemporary technology work environments prioritise flexible teamwork, data-informed decision-making and clear goals that are associated with team success (Famoti </w:t>
      </w:r>
      <w:r w:rsidDel="00000000" w:rsidR="00000000" w:rsidRPr="00000000">
        <w:rPr>
          <w:i w:val="1"/>
          <w:iCs w:val="1"/>
          <w:rtl w:val="0"/>
        </w:rPr>
        <w:t xml:space="preserve">et al.,</w:t>
      </w:r>
      <w:r w:rsidDel="00000000" w:rsidR="00000000" w:rsidRPr="00000000">
        <w:rPr>
          <w:rtl w:val="0"/>
        </w:rPr>
        <w:t xml:space="preserve"> 2024). Experimentation in Google and Atlassian is institutionalised in hackathons, design sprints, and continuous feedback loops. According to Smith and McNally (2021), organisations that have high learning cultures have 16% points higher chances of innovating successfully. The construction of horizontal structures, followed by these companies, besides bringing down the hierarchy, also enhances the speed of knowledge transfer between the engineering, product and customer groups of people.</w:t>
      </w:r>
    </w:p>
    <w:p w:rsidR="00000000" w:rsidDel="00000000" w:rsidP="00000000" w:rsidRDefault="00000000" w:rsidRPr="00000000" w14:paraId="0000002A">
      <w:pPr>
        <w:jc w:val="center"/>
        <w:rPr/>
      </w:pPr>
      <w:r w:rsidDel="00000000" w:rsidR="00000000" w:rsidRPr="00000000">
        <w:rPr/>
        <w:drawing>
          <wp:inline distB="0" distT="0" distL="0" distR="0">
            <wp:extent cx="4720664" cy="2098691"/>
            <wp:effectExtent b="0" l="0" r="0" t="0"/>
            <wp:docPr id="2" name="image1.png"/>
            <a:graphic>
              <a:graphicData uri="http://schemas.openxmlformats.org/drawingml/2006/picture">
                <pic:pic>
                  <pic:nvPicPr>
                    <pic:cNvPr id="0" name="image1.png"/>
                    <pic:cNvPicPr preferRelativeResize="0"/>
                  </pic:nvPicPr>
                  <pic:blipFill>
                    <a:blip r:embed="rId7"/>
                    <a:srcRect b="10584" l="3100" r="2980" t="12976"/>
                    <a:stretch>
                      <a:fillRect/>
                    </a:stretch>
                  </pic:blipFill>
                  <pic:spPr>
                    <a:xfrm>
                      <a:off x="0" y="0"/>
                      <a:ext cx="4720664" cy="2098691"/>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jc w:val="center"/>
        <w:rPr>
          <w:b w:val="1"/>
          <w:bCs w:val="1"/>
        </w:rPr>
      </w:pPr>
      <w:r w:rsidDel="00000000" w:rsidR="00000000" w:rsidRPr="00000000">
        <w:rPr>
          <w:b w:val="1"/>
          <w:bCs w:val="1"/>
          <w:rtl w:val="0"/>
        </w:rPr>
        <w:t xml:space="preserve">Figure 1: Employee engagement</w:t>
      </w:r>
    </w:p>
    <w:p w:rsidR="00000000" w:rsidDel="00000000" w:rsidP="00000000" w:rsidRDefault="00000000" w:rsidRPr="00000000" w14:paraId="0000002C">
      <w:pPr>
        <w:jc w:val="center"/>
        <w:rPr/>
      </w:pPr>
      <w:r w:rsidDel="00000000" w:rsidR="00000000" w:rsidRPr="00000000">
        <w:rPr>
          <w:rtl w:val="0"/>
        </w:rPr>
        <w:t xml:space="preserve">Source: (Baniabbassian, 2025)</w:t>
      </w:r>
    </w:p>
    <w:p w:rsidR="00000000" w:rsidDel="00000000" w:rsidP="00000000" w:rsidRDefault="00000000" w:rsidRPr="00000000" w14:paraId="0000002D">
      <w:pPr>
        <w:rPr/>
      </w:pPr>
      <w:r w:rsidDel="00000000" w:rsidR="00000000" w:rsidRPr="00000000">
        <w:rPr>
          <w:rtl w:val="0"/>
        </w:rPr>
        <w:t xml:space="preserve">Nevertheless, cultural fragmentation is common among most mid-sized technology companies in the process of rapid expansion. The processes will become bureaucratic, and silos of communication will arise, and the employees will not be connected to the strategic purposes. As Gallup (2025) has stated, in the world, solely 23%-21% of employees claim to be engaged at work. Reduced engagement has a direct impact on the ability of sustainable innovation since there is a low likelihood of disengaged employees providing innovative solutions. In the case of Aether Innovations, a review of cultural practises is thus important. Optimising the organisational values with the goal theory (Fabac </w:t>
      </w:r>
      <w:r w:rsidDel="00000000" w:rsidR="00000000" w:rsidRPr="00000000">
        <w:rPr>
          <w:i w:val="1"/>
          <w:iCs w:val="1"/>
          <w:rtl w:val="0"/>
        </w:rPr>
        <w:t xml:space="preserve">et al.,</w:t>
      </w:r>
      <w:r w:rsidDel="00000000" w:rsidR="00000000" w:rsidRPr="00000000">
        <w:rPr>
          <w:rtl w:val="0"/>
        </w:rPr>
        <w:t xml:space="preserve"> 2022). It is where measurable and challenging objectives that direct behaviour make individual contributions once again relate to innovation outcomes. This kind of alignment would make employees know what really matters and work towards higher goals and teams, as well as teams work to achieve customer-oriented innovation and strengthen accountability and shared purpose across the organisation.</w:t>
      </w:r>
    </w:p>
    <w:p w:rsidR="00000000" w:rsidDel="00000000" w:rsidP="00000000" w:rsidRDefault="00000000" w:rsidRPr="00000000" w14:paraId="0000002E">
      <w:pPr>
        <w:pStyle w:val="Heading2"/>
        <w:keepNext w:val="0"/>
        <w:keepLines w:val="0"/>
        <w:spacing w:after="0" w:before="0" w:lineRule="auto"/>
        <w:rPr/>
      </w:pPr>
      <w:bookmarkStart w:colFirst="0" w:colLast="0" w:name="_wxagcrtnk239" w:id="3"/>
      <w:bookmarkEnd w:id="3"/>
      <w:r w:rsidDel="00000000" w:rsidR="00000000" w:rsidRPr="00000000">
        <w:rPr>
          <w:rtl w:val="0"/>
        </w:rPr>
        <w:t xml:space="preserve">1.3 Recommend cultural and structural initiatives that embed innovation. </w:t>
      </w:r>
    </w:p>
    <w:p w:rsidR="00000000" w:rsidDel="00000000" w:rsidP="00000000" w:rsidRDefault="00000000" w:rsidRPr="00000000" w14:paraId="0000002F">
      <w:pPr>
        <w:rPr/>
      </w:pPr>
      <w:r w:rsidDel="00000000" w:rsidR="00000000" w:rsidRPr="00000000">
        <w:rPr>
          <w:rtl w:val="0"/>
        </w:rPr>
        <w:t xml:space="preserve">In order to restore the innovation capacity, Aether Innovations ought to launch structural and cultural initiatives based on goal theory. To start with, the innovation sprints can be adopted on a quarterly basis. It is wherein cross-functional teams actively engage in taking up product or customer issues in the course of one and a half weeks. Pedota and Piscitello (2021) demonstrate that innovation programmes that are structured promote the creation of ideas by 33% in technological companies. Challenging sprint targets would make sure that participants seek quantifiable results as opposed to unstructured experimentation.</w:t>
      </w:r>
    </w:p>
    <w:p w:rsidR="00000000" w:rsidDel="00000000" w:rsidP="00000000" w:rsidRDefault="00000000" w:rsidRPr="00000000" w14:paraId="00000030">
      <w:pPr>
        <w:rPr/>
      </w:pPr>
      <w:r w:rsidDel="00000000" w:rsidR="00000000" w:rsidRPr="00000000">
        <w:rPr>
          <w:rtl w:val="0"/>
        </w:rPr>
        <w:t xml:space="preserve">Second, the organisation must have an intrapreneurship programme that enables its employees to present internal ventures that would be consistent with the strategic goals (Starmann </w:t>
      </w:r>
      <w:r w:rsidDel="00000000" w:rsidR="00000000" w:rsidRPr="00000000">
        <w:rPr>
          <w:i w:val="1"/>
          <w:iCs w:val="1"/>
          <w:rtl w:val="0"/>
        </w:rPr>
        <w:t xml:space="preserve">et al.</w:t>
      </w:r>
      <w:r w:rsidDel="00000000" w:rsidR="00000000" w:rsidRPr="00000000">
        <w:rPr>
          <w:rtl w:val="0"/>
        </w:rPr>
        <w:t xml:space="preserve">, 2025). Proposed suggestions would be given special time, mentoring and small development funds. Knossalla and Carbon (2023) state that the firms with intrapreneurship support enjoy 30% greater revenue on new products. These initiatives give employees power, coupled with strengthening goal clarity and ownership.</w:t>
      </w:r>
    </w:p>
    <w:p w:rsidR="00000000" w:rsidDel="00000000" w:rsidP="00000000" w:rsidRDefault="00000000" w:rsidRPr="00000000" w14:paraId="00000031">
      <w:pPr>
        <w:rPr/>
      </w:pPr>
      <w:r w:rsidDel="00000000" w:rsidR="00000000" w:rsidRPr="00000000">
        <w:rPr>
          <w:rtl w:val="0"/>
        </w:rPr>
        <w:t xml:space="preserve">Third, engineers, designers, marketers and customer specialists should be engaged in cross-functional innovation squads because of their location in distinct functional areas. With different views, problem-solving is higher, and no silo thinking can occur (Siddiqui, 2024). Each team would have well-articulated quarterly targets, which would denote the tenets of the goal theory according to which specific and demanding goals enhance performance.</w:t>
      </w:r>
    </w:p>
    <w:p w:rsidR="00000000" w:rsidDel="00000000" w:rsidP="00000000" w:rsidRDefault="00000000" w:rsidRPr="00000000" w14:paraId="00000032">
      <w:pPr>
        <w:rPr/>
      </w:pPr>
      <w:r w:rsidDel="00000000" w:rsidR="00000000" w:rsidRPr="00000000">
        <w:rPr>
          <w:rtl w:val="0"/>
        </w:rPr>
        <w:t xml:space="preserve">Lastly, the leadership should enhance an experimental culture that is backed by a recognition and learning system. The results of such teams' testing new ideas must be easily communicated via internal knowledge forums. 38% engagement in employees have been reported to be rewarded by organisations, which practise innovative behaviours (REBA, 2025). Aether can establish a culture of experimentation, cooperation and strategic objectives by combining innovation sprints, intrapreneurship and cross-functional teams. Therefore, constantly complement each other and carry out sustained innovation performance within the organisation.</w:t>
      </w:r>
    </w:p>
    <w:p w:rsidR="00000000" w:rsidDel="00000000" w:rsidP="00000000" w:rsidRDefault="00000000" w:rsidRPr="00000000" w14:paraId="00000033">
      <w:pPr>
        <w:pStyle w:val="Heading2"/>
        <w:keepNext w:val="0"/>
        <w:keepLines w:val="0"/>
        <w:spacing w:after="0" w:before="0" w:lineRule="auto"/>
        <w:rPr/>
      </w:pPr>
      <w:bookmarkStart w:colFirst="0" w:colLast="0" w:name="_ihmhp413wy8p" w:id="4"/>
      <w:bookmarkEnd w:id="4"/>
      <w:r w:rsidDel="00000000" w:rsidR="00000000" w:rsidRPr="00000000">
        <w:rPr>
          <w:rtl w:val="0"/>
        </w:rPr>
        <w:t xml:space="preserve">1.4 Propose a Future of Work model that supports collaboration and creativity.</w:t>
      </w:r>
    </w:p>
    <w:p w:rsidR="00000000" w:rsidDel="00000000" w:rsidP="00000000" w:rsidRDefault="00000000" w:rsidRPr="00000000" w14:paraId="00000034">
      <w:pPr>
        <w:rPr/>
      </w:pPr>
      <w:r w:rsidDel="00000000" w:rsidR="00000000" w:rsidRPr="00000000">
        <w:rPr>
          <w:rtl w:val="0"/>
        </w:rPr>
        <w:t xml:space="preserve">Adopting a structured Future of Work model is equally critical for sustaining innovation. Aether Innovations should transition to a</w:t>
      </w:r>
      <w:r w:rsidDel="00000000" w:rsidR="00000000" w:rsidRPr="00000000">
        <w:rPr>
          <w:b w:val="1"/>
          <w:bCs w:val="1"/>
          <w:i w:val="1"/>
          <w:iCs w:val="1"/>
          <w:rtl w:val="0"/>
        </w:rPr>
        <w:t xml:space="preserve"> hybrid 3:2 model</w:t>
      </w:r>
      <w:r w:rsidDel="00000000" w:rsidR="00000000" w:rsidRPr="00000000">
        <w:rPr>
          <w:rtl w:val="0"/>
        </w:rPr>
        <w:t xml:space="preserve">, where employees collaborate in the office three days per week and work remotely two days. Hybrid systems combine social interaction with individual work orientation. John (2025) indicated that hybrid employees are more productive by 9%-14% than fully office-based employees.</w:t>
      </w:r>
    </w:p>
    <w:p w:rsidR="00000000" w:rsidDel="00000000" w:rsidP="00000000" w:rsidRDefault="00000000" w:rsidRPr="00000000" w14:paraId="00000035">
      <w:pPr>
        <w:rPr/>
      </w:pPr>
      <w:r w:rsidDel="00000000" w:rsidR="00000000" w:rsidRPr="00000000">
        <w:rPr>
          <w:rtl w:val="0"/>
        </w:rPr>
        <w:t xml:space="preserve">Collaboration, brainstorming, and innovation sprints should be a top priority on in-office days. Using these common days, teams can plan and design workshops, cross-department meetings and strategy workshops. Remote days, on the contrary, enable the employees to do deep work, research and data analysis. The Work Trend Index of Microsoft revealed that 68% of employees believe that flexible work enhances their concentration on complex work (Microsoft, 2025).</w:t>
      </w:r>
    </w:p>
    <w:p w:rsidR="00000000" w:rsidDel="00000000" w:rsidP="00000000" w:rsidRDefault="00000000" w:rsidRPr="00000000" w14:paraId="00000036">
      <w:pPr>
        <w:rPr/>
      </w:pPr>
      <w:r w:rsidDel="00000000" w:rsidR="00000000" w:rsidRPr="00000000">
        <w:rPr>
          <w:rtl w:val="0"/>
        </w:rPr>
        <w:t xml:space="preserve">Aether Innovations is recommended to use certain digital tools of collaboration to support the 3:2 model of hybrid collaboration. Asynchronous communication with Slack, project tracking with Jira, and sharing knowledge management with Notion are some of the platforms that enable distributed teams to work together (Nishant, 2025). Gartner (2024) recommends that organisations employ mature collaboration tools, which will accelerate the process of making decisions by 84%. As an illustration, Jira has product teams that monitor sprint progress as the engineers work on updating documentation in Notion over remote days. The teams are able to hold design reviews and innovation workshops in-office days with the assistance of shared dashboards. Goal Theory must also be incorporated with the hybrid structure with the help of OKRs (Objectives and Key Results). Every team establishes quarterly quantifiable objectives that are displayed on company boards as professionals become more inspired by the well-laid-out goals.</w:t>
      </w:r>
    </w:p>
    <w:p w:rsidR="00000000" w:rsidDel="00000000" w:rsidP="00000000" w:rsidRDefault="00000000" w:rsidRPr="00000000" w14:paraId="00000037">
      <w:pPr>
        <w:pStyle w:val="Heading2"/>
        <w:keepNext w:val="0"/>
        <w:keepLines w:val="0"/>
        <w:spacing w:after="0" w:before="0" w:lineRule="auto"/>
        <w:rPr/>
      </w:pPr>
      <w:bookmarkStart w:colFirst="0" w:colLast="0" w:name="_5opiix8f2txs" w:id="5"/>
      <w:bookmarkEnd w:id="5"/>
      <w:r w:rsidDel="00000000" w:rsidR="00000000" w:rsidRPr="00000000">
        <w:rPr>
          <w:rtl w:val="0"/>
        </w:rPr>
        <w:t xml:space="preserve">1.5 Demonstrate how the new approach would motivate and enable staff to perform optimally. </w:t>
      </w:r>
    </w:p>
    <w:p w:rsidR="00000000" w:rsidDel="00000000" w:rsidP="00000000" w:rsidRDefault="00000000" w:rsidRPr="00000000" w14:paraId="00000038">
      <w:pPr>
        <w:rPr/>
      </w:pPr>
      <w:r w:rsidDel="00000000" w:rsidR="00000000" w:rsidRPr="00000000">
        <w:rPr>
          <w:rtl w:val="0"/>
        </w:rPr>
        <w:t xml:space="preserve">An integrated innovation culture combined with hybrid work practices can significantly enhance employee motivation and performance at Aether Innovations. With the help of goal theory, it is believed that employees work more effectively when their goals are specific, challenging, and associated with meaningful results (Latham, 2023). With well-defined goals integrated in innovation sprints, intrapreneurship ventures and cross-functional groups, employees know the impact that their efforts have on the success of an organisation. They showed that employees with well-defined goals tend to be engaged 80% at work (Harvard Business Review, 2023).</w:t>
      </w:r>
    </w:p>
    <w:p w:rsidR="00000000" w:rsidDel="00000000" w:rsidP="00000000" w:rsidRDefault="00000000" w:rsidRPr="00000000" w14:paraId="00000039">
      <w:pPr>
        <w:rPr/>
      </w:pPr>
      <w:r w:rsidDel="00000000" w:rsidR="00000000" w:rsidRPr="00000000">
        <w:rPr>
          <w:rtl w:val="0"/>
        </w:rPr>
        <w:t xml:space="preserve">The 3:2 model is also hybrid, which creates a greater degree of motivation through a sense of autonomy and collaboration. Employees become flexible in working according to individual productivity and gain the advantage of interaction with the teams. According to Campbell (2024), 74% of employees went on to claim that hybrid set-ups make them happier and more productive. Increased satisfaction minimises the turnover risk and contributes to the retention of talent in the long term.</w:t>
      </w:r>
    </w:p>
    <w:p w:rsidR="00000000" w:rsidDel="00000000" w:rsidP="00000000" w:rsidRDefault="00000000" w:rsidRPr="00000000" w14:paraId="0000003A">
      <w:pPr>
        <w:rPr/>
      </w:pPr>
      <w:r w:rsidDel="00000000" w:rsidR="00000000" w:rsidRPr="00000000">
        <w:rPr>
          <w:rtl w:val="0"/>
        </w:rPr>
        <w:t xml:space="preserve">In addition, the goal commitment is reinforced by a recognition and feedback system. Leaders must applaud the successful experiments and pass lessons of unsuccessful prototypes and provide feedback on performance on a continuous basis (Dumitrescu and Stanescu, 2024). Employees are also motivated to work towards ambitious targets as they choose to be recognised when their efforts in innovating the organisation are felt.</w:t>
      </w:r>
    </w:p>
    <w:p w:rsidR="00000000" w:rsidDel="00000000" w:rsidP="00000000" w:rsidRDefault="00000000" w:rsidRPr="00000000" w14:paraId="0000003B">
      <w:pPr>
        <w:rPr/>
      </w:pPr>
      <w:r w:rsidDel="00000000" w:rsidR="00000000" w:rsidRPr="00000000">
        <w:rPr>
          <w:rtl w:val="0"/>
        </w:rPr>
        <w:t xml:space="preserve">Lastly, an inclusive culture, structure and future work practise will develop a performance ecosystem. Workforce works interdisciplinary, tries new things and aims to achieve quantifiable goals, which are associated with customer value. Companies such as Amazon value customer feedback and their data of behaviour and will never stop making their services, products and user experience better (Vollero </w:t>
      </w:r>
      <w:r w:rsidDel="00000000" w:rsidR="00000000" w:rsidRPr="00000000">
        <w:rPr>
          <w:i w:val="1"/>
          <w:iCs w:val="1"/>
          <w:rtl w:val="0"/>
        </w:rPr>
        <w:t xml:space="preserve">et al.,</w:t>
      </w:r>
      <w:r w:rsidDel="00000000" w:rsidR="00000000" w:rsidRPr="00000000">
        <w:rPr>
          <w:rtl w:val="0"/>
        </w:rPr>
        <w:t xml:space="preserve"> 2021). Motivating employees using transparent objectives, flexible working and recognition, Aether Innovations can re-establish engagement, quickly build breakthroughs and customer satisfaction in a sustainable manner in international markets and with stakeholders.</w:t>
      </w:r>
    </w:p>
    <w:p w:rsidR="00000000" w:rsidDel="00000000" w:rsidP="00000000" w:rsidRDefault="00000000" w:rsidRPr="00000000" w14:paraId="0000003C">
      <w:pPr>
        <w:pStyle w:val="Heading2"/>
        <w:spacing w:after="0" w:before="0" w:lineRule="auto"/>
        <w:jc w:val="left"/>
        <w:rPr/>
      </w:pPr>
      <w:bookmarkStart w:colFirst="0" w:colLast="0" w:name="_pb2ocp8uj99g" w:id="6"/>
      <w:bookmarkEnd w:id="6"/>
      <w:r w:rsidDel="00000000" w:rsidR="00000000" w:rsidRPr="00000000">
        <w:rPr>
          <w:rtl w:val="0"/>
        </w:rPr>
        <w:t xml:space="preserve">1.6 Conclusion</w:t>
      </w:r>
    </w:p>
    <w:p w:rsidR="00000000" w:rsidDel="00000000" w:rsidP="00000000" w:rsidRDefault="00000000" w:rsidRPr="00000000" w14:paraId="0000003D">
      <w:pPr>
        <w:rPr/>
      </w:pPr>
      <w:r w:rsidDel="00000000" w:rsidR="00000000" w:rsidRPr="00000000">
        <w:rPr>
          <w:rtl w:val="0"/>
        </w:rPr>
        <w:t xml:space="preserve">Aether Innovations can recover and rebuild growth by matching culture, future work practices, and structure with goal-oriented innovation. Intrapreneurship, innovation sprints, cross-functional teams, a hybrid 3:2 model and autonomy and collaboration provide employees with clarity. Aligning organisational people strategies also proved to be very powerful, with organisations of this type reporting greater performance than others.</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1"/>
        <w:keepNext w:val="0"/>
        <w:keepLines w:val="0"/>
        <w:jc w:val="both"/>
        <w:rPr/>
      </w:pPr>
      <w:bookmarkStart w:colFirst="0" w:colLast="0" w:name="_v4drdaaubxif" w:id="7"/>
      <w:bookmarkEnd w:id="7"/>
      <w:r w:rsidDel="00000000" w:rsidR="00000000" w:rsidRPr="00000000">
        <w:rPr>
          <w:rtl w:val="0"/>
        </w:rPr>
        <w:t xml:space="preserve">Part 2 </w:t>
      </w:r>
    </w:p>
    <w:p w:rsidR="00000000" w:rsidDel="00000000" w:rsidP="00000000" w:rsidRDefault="00000000" w:rsidRPr="00000000" w14:paraId="00000041">
      <w:pPr>
        <w:pStyle w:val="Heading2"/>
        <w:spacing w:after="0" w:before="0" w:lineRule="auto"/>
        <w:rPr/>
      </w:pPr>
      <w:bookmarkStart w:colFirst="0" w:colLast="0" w:name="_x58vrpq70w9i" w:id="8"/>
      <w:bookmarkEnd w:id="8"/>
      <w:r w:rsidDel="00000000" w:rsidR="00000000" w:rsidRPr="00000000">
        <w:rPr>
          <w:rtl w:val="0"/>
        </w:rPr>
        <w:t xml:space="preserve">2.1 Learning Journey through Kolb’s Model</w:t>
      </w:r>
    </w:p>
    <w:p w:rsidR="00000000" w:rsidDel="00000000" w:rsidP="00000000" w:rsidRDefault="00000000" w:rsidRPr="00000000" w14:paraId="00000042">
      <w:pPr>
        <w:jc w:val="center"/>
        <w:rPr/>
      </w:pPr>
      <w:r w:rsidDel="00000000" w:rsidR="00000000" w:rsidRPr="00000000">
        <w:rPr/>
        <w:drawing>
          <wp:inline distB="0" distT="0" distL="0" distR="0">
            <wp:extent cx="3546620" cy="3532620"/>
            <wp:effectExtent b="0" l="0" r="0" t="0"/>
            <wp:docPr descr="learning cycle kolb" id="3" name="image3.png"/>
            <a:graphic>
              <a:graphicData uri="http://schemas.openxmlformats.org/drawingml/2006/picture">
                <pic:pic>
                  <pic:nvPicPr>
                    <pic:cNvPr descr="learning cycle kolb" id="0" name="image3.png"/>
                    <pic:cNvPicPr preferRelativeResize="0"/>
                  </pic:nvPicPr>
                  <pic:blipFill>
                    <a:blip r:embed="rId8"/>
                    <a:srcRect b="7521" l="7863" r="7964" t="8639"/>
                    <a:stretch>
                      <a:fillRect/>
                    </a:stretch>
                  </pic:blipFill>
                  <pic:spPr>
                    <a:xfrm>
                      <a:off x="0" y="0"/>
                      <a:ext cx="3546620" cy="3532620"/>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jc w:val="center"/>
        <w:rPr>
          <w:b w:val="1"/>
          <w:bCs w:val="1"/>
        </w:rPr>
      </w:pPr>
      <w:r w:rsidDel="00000000" w:rsidR="00000000" w:rsidRPr="00000000">
        <w:rPr>
          <w:b w:val="1"/>
          <w:bCs w:val="1"/>
          <w:rtl w:val="0"/>
        </w:rPr>
        <w:t xml:space="preserve">Figure 2: Kolb's Model</w:t>
      </w:r>
    </w:p>
    <w:p w:rsidR="00000000" w:rsidDel="00000000" w:rsidP="00000000" w:rsidRDefault="00000000" w:rsidRPr="00000000" w14:paraId="00000044">
      <w:pPr>
        <w:jc w:val="center"/>
        <w:rPr/>
      </w:pPr>
      <w:r w:rsidDel="00000000" w:rsidR="00000000" w:rsidRPr="00000000">
        <w:rPr>
          <w:rtl w:val="0"/>
        </w:rPr>
        <w:t xml:space="preserve">Source: (Mcleod, 2025)</w:t>
      </w:r>
    </w:p>
    <w:p w:rsidR="00000000" w:rsidDel="00000000" w:rsidP="00000000" w:rsidRDefault="00000000" w:rsidRPr="00000000" w14:paraId="00000045">
      <w:pPr>
        <w:pStyle w:val="Heading3"/>
        <w:keepNext w:val="0"/>
        <w:keepLines w:val="0"/>
        <w:spacing w:after="0" w:before="0" w:lineRule="auto"/>
        <w:rPr/>
      </w:pPr>
      <w:bookmarkStart w:colFirst="0" w:colLast="0" w:name="_404hnhsva3m1" w:id="9"/>
      <w:bookmarkEnd w:id="9"/>
      <w:r w:rsidDel="00000000" w:rsidR="00000000" w:rsidRPr="00000000">
        <w:rPr>
          <w:rtl w:val="0"/>
        </w:rPr>
        <w:t xml:space="preserve">1. Concrete Experience</w:t>
      </w:r>
    </w:p>
    <w:p w:rsidR="00000000" w:rsidDel="00000000" w:rsidP="00000000" w:rsidRDefault="00000000" w:rsidRPr="00000000" w14:paraId="00000046">
      <w:pPr>
        <w:rPr/>
      </w:pPr>
      <w:r w:rsidDel="00000000" w:rsidR="00000000" w:rsidRPr="00000000">
        <w:rPr>
          <w:rtl w:val="0"/>
        </w:rPr>
        <w:t xml:space="preserve">My learning journey in this Human Capital Management module began with understanding the evolving role of HR. During Week 1, I was made aware of the fact that the Human Resource Management process has become not solely an administrative people management operation. Rather, it is a strategic operation where people are made to match organisational performance. During Week 2, I was introduced to the fact that to work in an effective team, it is necessary to have common goals, trust, communication and clear roles, in particular with respect to a multicultural setting. Week 3 presented Human Resource Planning, through which one can predict the workforce by making sure that organisations get the right people at the right time with the right skills. During Week 6, I got to understand the management of cultural diversity, expatriate assignment and work-life balance in the global organisations that the HR managers need to handle. Lastly, training and development were identified during Week 7 as strategic instruments in enhancing the skills of employees, innovation and organisational competitiveness.</w:t>
      </w:r>
    </w:p>
    <w:p w:rsidR="00000000" w:rsidDel="00000000" w:rsidP="00000000" w:rsidRDefault="00000000" w:rsidRPr="00000000" w14:paraId="00000047">
      <w:pPr>
        <w:pStyle w:val="Heading3"/>
        <w:keepNext w:val="0"/>
        <w:keepLines w:val="0"/>
        <w:spacing w:after="0" w:before="0" w:lineRule="auto"/>
        <w:rPr/>
      </w:pPr>
      <w:bookmarkStart w:colFirst="0" w:colLast="0" w:name="_ynws3av67k3" w:id="10"/>
      <w:bookmarkEnd w:id="10"/>
      <w:r w:rsidDel="00000000" w:rsidR="00000000" w:rsidRPr="00000000">
        <w:rPr>
          <w:rtl w:val="0"/>
        </w:rPr>
        <w:t xml:space="preserve">2. Reflective Observation</w:t>
      </w:r>
    </w:p>
    <w:p w:rsidR="00000000" w:rsidDel="00000000" w:rsidP="00000000" w:rsidRDefault="00000000" w:rsidRPr="00000000" w14:paraId="00000048">
      <w:pPr>
        <w:rPr/>
      </w:pPr>
      <w:r w:rsidDel="00000000" w:rsidR="00000000" w:rsidRPr="00000000">
        <w:rPr>
          <w:rtl w:val="0"/>
        </w:rPr>
        <w:t xml:space="preserve">The process of mastering this Human Capital Management module commenced with my realising the changing nature of HR. I was informed that Human Resource Management has transformed its role of managing and administering the administrative personnel to strategic management that matches the people with the organisational goals and performance. It also taught me that strong teams must have common objectives, trust, communication and functional roles, especially in multicultural settings. It was focused on Human Resource Planning, which relates that forecasting workforce requirements ensures that organisations have the right people at the right time with the right skills. Through the learning, I was made aware that HR managers have to deal with cultural diversity, expatriate assignments and work-life balance when operating in international environments. Lastly, I have also focused and emphasised training and development as strategic concepts that enhance the abilities of employees, promote innovation and enhance organisational competitiveness in volatile corporate settings.</w:t>
      </w:r>
    </w:p>
    <w:p w:rsidR="00000000" w:rsidDel="00000000" w:rsidP="00000000" w:rsidRDefault="00000000" w:rsidRPr="00000000" w14:paraId="00000049">
      <w:pPr>
        <w:pStyle w:val="Heading3"/>
        <w:keepNext w:val="0"/>
        <w:keepLines w:val="0"/>
        <w:spacing w:after="0" w:before="0" w:lineRule="auto"/>
        <w:rPr/>
      </w:pPr>
      <w:bookmarkStart w:colFirst="0" w:colLast="0" w:name="_2pvjuy35uulc" w:id="11"/>
      <w:bookmarkEnd w:id="11"/>
      <w:r w:rsidDel="00000000" w:rsidR="00000000" w:rsidRPr="00000000">
        <w:rPr>
          <w:rtl w:val="0"/>
        </w:rPr>
        <w:t xml:space="preserve">3. Abstract Conceptualisation</w:t>
      </w:r>
    </w:p>
    <w:p w:rsidR="00000000" w:rsidDel="00000000" w:rsidP="00000000" w:rsidRDefault="00000000" w:rsidRPr="00000000" w14:paraId="0000004A">
      <w:pPr>
        <w:rPr/>
      </w:pPr>
      <w:r w:rsidDel="00000000" w:rsidR="00000000" w:rsidRPr="00000000">
        <w:rPr>
          <w:rtl w:val="0"/>
        </w:rPr>
        <w:t xml:space="preserve">By examining these experiences, I was better able to understand how HR theories can be used in addressing such practical organisational problems. Strategic HRM focuses on the business strategy and human capital practises (Wiyono </w:t>
      </w:r>
      <w:r w:rsidDel="00000000" w:rsidR="00000000" w:rsidRPr="00000000">
        <w:rPr>
          <w:i w:val="1"/>
          <w:iCs w:val="1"/>
          <w:rtl w:val="0"/>
        </w:rPr>
        <w:t xml:space="preserve">et al.,</w:t>
      </w:r>
      <w:r w:rsidDel="00000000" w:rsidR="00000000" w:rsidRPr="00000000">
        <w:rPr>
          <w:rtl w:val="0"/>
        </w:rPr>
        <w:t xml:space="preserve"> 2025). Indicatively, the training and development programmes not only enhance the skills of employees; they also enhance the organisational capability and innovation. Informal learning systems and knowledge management help in the exchange of expertise among teams, and this is more crucial in technology-based industries.</w:t>
      </w:r>
    </w:p>
    <w:p w:rsidR="00000000" w:rsidDel="00000000" w:rsidP="00000000" w:rsidRDefault="00000000" w:rsidRPr="00000000" w14:paraId="0000004B">
      <w:pPr>
        <w:rPr/>
      </w:pPr>
      <w:r w:rsidDel="00000000" w:rsidR="00000000" w:rsidRPr="00000000">
        <w:rPr>
          <w:rtl w:val="0"/>
        </w:rPr>
        <w:t xml:space="preserve">It was also revealed to me that leadership and team composition are some of the most crucial aspects of organisational performance. Teams that are performing well must have clear goals, accountability and open communication (Bristol-Alagbariya </w:t>
      </w:r>
      <w:r w:rsidDel="00000000" w:rsidR="00000000" w:rsidRPr="00000000">
        <w:rPr>
          <w:i w:val="1"/>
          <w:iCs w:val="1"/>
          <w:rtl w:val="0"/>
        </w:rPr>
        <w:t xml:space="preserve">et al.,</w:t>
      </w:r>
      <w:r w:rsidDel="00000000" w:rsidR="00000000" w:rsidRPr="00000000">
        <w:rPr>
          <w:rtl w:val="0"/>
        </w:rPr>
        <w:t xml:space="preserve"> 2022). Depending on the viewpoint of talent management, organisations have no option but to strike a balance between the build strategies to create talent internally and buy strategies to have external specialists. This theoretical insight gives a basis to develop learning and development strategies that facilitate innovation, flexibility and throughout improvement.</w:t>
      </w:r>
    </w:p>
    <w:p w:rsidR="00000000" w:rsidDel="00000000" w:rsidP="00000000" w:rsidRDefault="00000000" w:rsidRPr="00000000" w14:paraId="0000004C">
      <w:pPr>
        <w:pStyle w:val="Heading3"/>
        <w:keepNext w:val="0"/>
        <w:keepLines w:val="0"/>
        <w:spacing w:after="0" w:before="0" w:lineRule="auto"/>
        <w:rPr/>
      </w:pPr>
      <w:bookmarkStart w:colFirst="0" w:colLast="0" w:name="_qrboz6q5me48" w:id="12"/>
      <w:bookmarkEnd w:id="12"/>
      <w:r w:rsidDel="00000000" w:rsidR="00000000" w:rsidRPr="00000000">
        <w:rPr>
          <w:rtl w:val="0"/>
        </w:rPr>
        <w:t xml:space="preserve">4. Active Experimentation</w:t>
      </w:r>
    </w:p>
    <w:p w:rsidR="00000000" w:rsidDel="00000000" w:rsidP="00000000" w:rsidRDefault="00000000" w:rsidRPr="00000000" w14:paraId="0000004D">
      <w:pPr>
        <w:rPr/>
      </w:pPr>
      <w:r w:rsidDel="00000000" w:rsidR="00000000" w:rsidRPr="00000000">
        <w:rPr>
          <w:rtl w:val="0"/>
        </w:rPr>
        <w:t xml:space="preserve">To continue learning will be the first lesson I will use in my personal growth moving forward. My personal interests will be increasing the ability to lead, communicate and think strategically in a cross-cultural way, which is the key to managing cross-cultural teams all around the world. Structured learning like mentorship, professional training and digital learning platforms are also other structured learning methods I aim to utilise to support my capabilities.</w:t>
      </w:r>
    </w:p>
    <w:p w:rsidR="00000000" w:rsidDel="00000000" w:rsidP="00000000" w:rsidRDefault="00000000" w:rsidRPr="00000000" w14:paraId="0000004E">
      <w:pPr>
        <w:rPr/>
      </w:pPr>
      <w:r w:rsidDel="00000000" w:rsidR="00000000" w:rsidRPr="00000000">
        <w:rPr>
          <w:rtl w:val="0"/>
        </w:rPr>
        <w:t xml:space="preserve">Moreover, I would strive to develop a growth mindset by taking challenges as learning opportunities for improvement. The training and development principles will enable me to constantly refresh my knowledge and skills according to the changing environments of business. The strategy will also enable me to work in organisations where innovation, collaboration and sustainable performance are appreciated.</w:t>
      </w:r>
    </w:p>
    <w:p w:rsidR="00000000" w:rsidDel="00000000" w:rsidP="00000000" w:rsidRDefault="00000000" w:rsidRPr="00000000" w14:paraId="0000004F">
      <w:pPr>
        <w:pStyle w:val="Heading2"/>
        <w:keepNext w:val="0"/>
        <w:keepLines w:val="0"/>
        <w:spacing w:after="0" w:before="0" w:lineRule="auto"/>
        <w:rPr/>
      </w:pPr>
      <w:bookmarkStart w:colFirst="0" w:colLast="0" w:name="_26w0vrrxgczb" w:id="13"/>
      <w:bookmarkEnd w:id="13"/>
      <w:r w:rsidDel="00000000" w:rsidR="00000000" w:rsidRPr="00000000">
        <w:rPr>
          <w:rtl w:val="0"/>
        </w:rPr>
        <w:t xml:space="preserve">2.2 AI Reflection – Staying Relevant in an AI-Driven Workplace </w:t>
      </w:r>
    </w:p>
    <w:p w:rsidR="00000000" w:rsidDel="00000000" w:rsidP="00000000" w:rsidRDefault="00000000" w:rsidRPr="00000000" w14:paraId="00000050">
      <w:pPr>
        <w:rPr/>
      </w:pPr>
      <w:r w:rsidDel="00000000" w:rsidR="00000000" w:rsidRPr="00000000">
        <w:rPr>
          <w:rtl w:val="0"/>
        </w:rPr>
        <w:t xml:space="preserve">The use of artificial intelligence is changing workplaces to a situation where it is automating most of the routine and repetitive jobs that used to be done by employees. The more AI technologies develop and become more competent, the more professionals should keep adapting their competencies to become irrelevant and competitive (Bushuyev</w:t>
      </w:r>
      <w:r w:rsidDel="00000000" w:rsidR="00000000" w:rsidRPr="00000000">
        <w:rPr>
          <w:i w:val="1"/>
          <w:iCs w:val="1"/>
          <w:rtl w:val="0"/>
        </w:rPr>
        <w:t xml:space="preserve"> et al., </w:t>
      </w:r>
      <w:r w:rsidDel="00000000" w:rsidR="00000000" w:rsidRPr="00000000">
        <w:rPr>
          <w:rtl w:val="0"/>
        </w:rPr>
        <w:t xml:space="preserve">2024). My future career will involve developing human-centred skills like strategic thinking, being creative, being a leader, and having emotional intelligence. Such capabilities are hard to imitate by AI systems, as they are vital in the management of people by establishing relationships with them and leading them towards organisational change.</w:t>
      </w:r>
    </w:p>
    <w:p w:rsidR="00000000" w:rsidDel="00000000" w:rsidP="00000000" w:rsidRDefault="00000000" w:rsidRPr="00000000" w14:paraId="00000051">
      <w:pPr>
        <w:rPr/>
      </w:pPr>
      <w:r w:rsidDel="00000000" w:rsidR="00000000" w:rsidRPr="00000000">
        <w:rPr>
          <w:rtl w:val="0"/>
        </w:rPr>
        <w:t xml:space="preserve">Simultaneously, AI may be an advisable resource that does not eliminate the experience of humans but helps them to work more efficiently. Using AI as an example, it can help analyse the large data, predict the future workforce trends and create performance reports (Ramamoorthi, 2021). Another application of AI in HR is to analyse personnel data and assess training requirements, as well as the decisions made in talent management. Nevertheless, human judgement still plays an important role in the process of interpreting results, ethical problems and staff attitudes as well as workplace relationships.</w:t>
      </w:r>
    </w:p>
    <w:p w:rsidR="00000000" w:rsidDel="00000000" w:rsidP="00000000" w:rsidRDefault="00000000" w:rsidRPr="00000000" w14:paraId="00000052">
      <w:pPr>
        <w:rPr/>
      </w:pPr>
      <w:r w:rsidDel="00000000" w:rsidR="00000000" w:rsidRPr="00000000">
        <w:rPr>
          <w:rtl w:val="0"/>
        </w:rPr>
        <w:t xml:space="preserve">Hence, I believe in working with AI and not competing with it. With the help of the aspect of technological literacy, good interpersonal and strategic skills, I will be able to maximise the capability of AI to assist in decision-making without losing the main focus of quality and human management in organisational management.</w:t>
      </w:r>
    </w:p>
    <w:p w:rsidR="00000000" w:rsidDel="00000000" w:rsidP="00000000" w:rsidRDefault="00000000" w:rsidRPr="00000000" w14:paraId="00000053">
      <w:pPr>
        <w:rPr/>
      </w:pPr>
      <w:r w:rsidDel="00000000" w:rsidR="00000000" w:rsidRPr="00000000">
        <w:br w:type="page"/>
      </w:r>
      <w:r w:rsidDel="00000000" w:rsidR="00000000" w:rsidRPr="00000000">
        <w:rPr>
          <w:rtl w:val="0"/>
        </w:rPr>
      </w:r>
    </w:p>
    <w:p w:rsidR="00000000" w:rsidDel="00000000" w:rsidP="00000000" w:rsidRDefault="00000000" w:rsidRPr="00000000" w14:paraId="00000054">
      <w:pPr>
        <w:rPr>
          <w:b w:val="1"/>
          <w:bCs w:val="1"/>
        </w:rPr>
      </w:pPr>
      <w:r w:rsidDel="00000000" w:rsidR="00000000" w:rsidRPr="00000000">
        <w:rPr>
          <w:b w:val="1"/>
          <w:bCs w:val="1"/>
          <w:rtl w:val="0"/>
        </w:rPr>
        <w:t xml:space="preserve">Reference</w:t>
      </w:r>
    </w:p>
    <w:p w:rsidR="00000000" w:rsidDel="00000000" w:rsidP="00000000" w:rsidRDefault="00000000" w:rsidRPr="00000000" w14:paraId="00000055">
      <w:pPr>
        <w:rPr/>
      </w:pPr>
      <w:r w:rsidDel="00000000" w:rsidR="00000000" w:rsidRPr="00000000">
        <w:rPr>
          <w:rtl w:val="0"/>
        </w:rPr>
        <w:t xml:space="preserve">Baniabbassian, Z. (2025). </w:t>
      </w:r>
      <w:r w:rsidDel="00000000" w:rsidR="00000000" w:rsidRPr="00000000">
        <w:rPr>
          <w:i w:val="1"/>
          <w:iCs w:val="1"/>
          <w:rtl w:val="0"/>
        </w:rPr>
        <w:t xml:space="preserve">Employee Engagement Statistics 2025</w:t>
      </w:r>
      <w:r w:rsidDel="00000000" w:rsidR="00000000" w:rsidRPr="00000000">
        <w:rPr>
          <w:rtl w:val="0"/>
        </w:rPr>
        <w:t xml:space="preserve">. [online] Yomly. Available at: </w:t>
      </w:r>
      <w:hyperlink r:id="rId9">
        <w:r w:rsidDel="00000000" w:rsidR="00000000" w:rsidRPr="00000000">
          <w:rPr>
            <w:color w:val="0000ff"/>
            <w:u w:val="single"/>
            <w:rtl w:val="0"/>
          </w:rPr>
          <w:t xml:space="preserve">https://www.yomly.com/employee-engagement-statistics/</w:t>
        </w:r>
      </w:hyperlink>
      <w:r w:rsidDel="00000000" w:rsidR="00000000" w:rsidRPr="00000000">
        <w:rPr>
          <w:rtl w:val="0"/>
        </w:rPr>
        <w:t xml:space="preserve">. [Accessed on 12th March 2026]</w:t>
      </w:r>
    </w:p>
    <w:p w:rsidR="00000000" w:rsidDel="00000000" w:rsidP="00000000" w:rsidRDefault="00000000" w:rsidRPr="00000000" w14:paraId="00000056">
      <w:pPr>
        <w:rPr/>
      </w:pPr>
      <w:r w:rsidDel="00000000" w:rsidR="00000000" w:rsidRPr="00000000">
        <w:rPr>
          <w:rtl w:val="0"/>
        </w:rPr>
        <w:t xml:space="preserve">Bristol-Alagbariya, B., Ayanponle, L.O. and Ogedengbe, D.E. (2022). Developing and implementing advanced performance management systems for enhanced organisational productivity. </w:t>
      </w:r>
      <w:r w:rsidDel="00000000" w:rsidR="00000000" w:rsidRPr="00000000">
        <w:rPr>
          <w:i w:val="1"/>
          <w:iCs w:val="1"/>
          <w:rtl w:val="0"/>
        </w:rPr>
        <w:t xml:space="preserve">World Journal of Advanced Science and Technology</w:t>
      </w:r>
      <w:r w:rsidDel="00000000" w:rsidR="00000000" w:rsidRPr="00000000">
        <w:rPr>
          <w:rtl w:val="0"/>
        </w:rPr>
        <w:t xml:space="preserve">, 2(1), pp.039–046. doi:</w:t>
      </w:r>
      <w:hyperlink r:id="rId10">
        <w:r w:rsidDel="00000000" w:rsidR="00000000" w:rsidRPr="00000000">
          <w:rPr>
            <w:color w:val="1155cc"/>
            <w:u w:val="single"/>
            <w:rtl w:val="0"/>
          </w:rPr>
          <w:t xml:space="preserve">https://doi.org/10.53346/wjast.2022.2.1.0037</w:t>
        </w:r>
      </w:hyperlink>
      <w:r w:rsidDel="00000000" w:rsidR="00000000" w:rsidRPr="00000000">
        <w:rPr>
          <w:rtl w:val="0"/>
        </w:rPr>
        <w:t xml:space="preserve">. </w:t>
      </w:r>
    </w:p>
    <w:p w:rsidR="00000000" w:rsidDel="00000000" w:rsidP="00000000" w:rsidRDefault="00000000" w:rsidRPr="00000000" w14:paraId="00000057">
      <w:pPr>
        <w:spacing w:after="240" w:lineRule="auto"/>
        <w:rPr/>
      </w:pPr>
      <w:r w:rsidDel="00000000" w:rsidR="00000000" w:rsidRPr="00000000">
        <w:rPr>
          <w:rtl w:val="0"/>
        </w:rPr>
        <w:t xml:space="preserve">Bushuyev, S., Bushuiev, D., Bushuieva, V., Bushuyeva, N. and Murzabekova, S. (2024). The Erosion of Competencies in Managing Innovation Projects due to the Impact of Ubiquitous Artificial Intelligence Systems. </w:t>
      </w:r>
      <w:r w:rsidDel="00000000" w:rsidR="00000000" w:rsidRPr="00000000">
        <w:rPr>
          <w:i w:val="1"/>
          <w:iCs w:val="1"/>
          <w:rtl w:val="0"/>
        </w:rPr>
        <w:t xml:space="preserve">Procedia computer science</w:t>
      </w:r>
      <w:r w:rsidDel="00000000" w:rsidR="00000000" w:rsidRPr="00000000">
        <w:rPr>
          <w:rtl w:val="0"/>
        </w:rPr>
        <w:t xml:space="preserve">, 231, pp.403–408. doi: </w:t>
      </w:r>
      <w:hyperlink r:id="rId11">
        <w:r w:rsidDel="00000000" w:rsidR="00000000" w:rsidRPr="00000000">
          <w:rPr>
            <w:color w:val="1155cc"/>
            <w:u w:val="single"/>
            <w:rtl w:val="0"/>
          </w:rPr>
          <w:t xml:space="preserve">https://doi.org/10.1016/j.procs.2023.12.225</w:t>
        </w:r>
      </w:hyperlink>
      <w:r w:rsidDel="00000000" w:rsidR="00000000" w:rsidRPr="00000000">
        <w:rPr>
          <w:rtl w:val="0"/>
        </w:rPr>
        <w:t xml:space="preserve">. </w:t>
      </w:r>
    </w:p>
    <w:p w:rsidR="00000000" w:rsidDel="00000000" w:rsidP="00000000" w:rsidRDefault="00000000" w:rsidRPr="00000000" w14:paraId="00000058">
      <w:pPr>
        <w:spacing w:after="240" w:lineRule="auto"/>
        <w:rPr/>
      </w:pPr>
      <w:r w:rsidDel="00000000" w:rsidR="00000000" w:rsidRPr="00000000">
        <w:rPr>
          <w:rtl w:val="0"/>
        </w:rPr>
        <w:t xml:space="preserve">Campbell, D. (2024). Hybrid working makes employees happier, healthier and more productive, a study shows. </w:t>
      </w:r>
      <w:r w:rsidDel="00000000" w:rsidR="00000000" w:rsidRPr="00000000">
        <w:rPr>
          <w:i w:val="1"/>
          <w:iCs w:val="1"/>
          <w:rtl w:val="0"/>
        </w:rPr>
        <w:t xml:space="preserve">The Guardian</w:t>
      </w:r>
      <w:r w:rsidDel="00000000" w:rsidR="00000000" w:rsidRPr="00000000">
        <w:rPr>
          <w:rtl w:val="0"/>
        </w:rPr>
        <w:t xml:space="preserve">. [Online] 16 Jun. Available at: </w:t>
      </w:r>
      <w:hyperlink r:id="rId12">
        <w:r w:rsidDel="00000000" w:rsidR="00000000" w:rsidRPr="00000000">
          <w:rPr>
            <w:color w:val="1155cc"/>
            <w:u w:val="single"/>
            <w:rtl w:val="0"/>
          </w:rPr>
          <w:t xml:space="preserve">https://www.theguardian.com/business/article/2024/jun/16/hybrid-working-makes-employees-happier-healthier-and-more-productive-study-shows</w:t>
        </w:r>
      </w:hyperlink>
      <w:r w:rsidDel="00000000" w:rsidR="00000000" w:rsidRPr="00000000">
        <w:rPr>
          <w:rtl w:val="0"/>
        </w:rPr>
        <w:t xml:space="preserve">. [Accessed on 14th March 2026]</w:t>
      </w:r>
    </w:p>
    <w:p w:rsidR="00000000" w:rsidDel="00000000" w:rsidP="00000000" w:rsidRDefault="00000000" w:rsidRPr="00000000" w14:paraId="00000059">
      <w:pPr>
        <w:spacing w:after="240" w:lineRule="auto"/>
        <w:rPr/>
      </w:pPr>
      <w:r w:rsidDel="00000000" w:rsidR="00000000" w:rsidRPr="00000000">
        <w:rPr>
          <w:rtl w:val="0"/>
        </w:rPr>
        <w:t xml:space="preserve">Dumitrescu, M. and Stanescu, I. (2024). The role of leadership in developing: Innovation and Quality Culture. </w:t>
      </w:r>
      <w:r w:rsidDel="00000000" w:rsidR="00000000" w:rsidRPr="00000000">
        <w:rPr>
          <w:i w:val="1"/>
          <w:iCs w:val="1"/>
          <w:rtl w:val="0"/>
        </w:rPr>
        <w:t xml:space="preserve">National Journal of Quality, Innovation, and Business Excellence</w:t>
      </w:r>
      <w:r w:rsidDel="00000000" w:rsidR="00000000" w:rsidRPr="00000000">
        <w:rPr>
          <w:rtl w:val="0"/>
        </w:rPr>
        <w:t xml:space="preserve">, [online] 1(1), pp.37–46. Available at: </w:t>
      </w:r>
      <w:hyperlink r:id="rId13">
        <w:r w:rsidDel="00000000" w:rsidR="00000000" w:rsidRPr="00000000">
          <w:rPr>
            <w:color w:val="1155cc"/>
            <w:u w:val="single"/>
            <w:rtl w:val="0"/>
          </w:rPr>
          <w:t xml:space="preserve">https://theeducationjournals.com/index.php/NJQIBE/article/view/138</w:t>
        </w:r>
      </w:hyperlink>
      <w:r w:rsidDel="00000000" w:rsidR="00000000" w:rsidRPr="00000000">
        <w:rPr>
          <w:rtl w:val="0"/>
        </w:rPr>
        <w:t xml:space="preserve">. </w:t>
      </w:r>
    </w:p>
    <w:p w:rsidR="00000000" w:rsidDel="00000000" w:rsidP="00000000" w:rsidRDefault="00000000" w:rsidRPr="00000000" w14:paraId="0000005A">
      <w:pPr>
        <w:spacing w:after="240" w:lineRule="auto"/>
        <w:rPr/>
      </w:pPr>
      <w:r w:rsidDel="00000000" w:rsidR="00000000" w:rsidRPr="00000000">
        <w:rPr>
          <w:rtl w:val="0"/>
        </w:rPr>
        <w:t xml:space="preserve">Fabac, R., Kokot, K. and Bubalo, I. (2022). Path-Goal Theory – Leadership styles and their changes during covid-19 pandemic. </w:t>
      </w:r>
      <w:r w:rsidDel="00000000" w:rsidR="00000000" w:rsidRPr="00000000">
        <w:rPr>
          <w:i w:val="1"/>
          <w:iCs w:val="1"/>
          <w:rtl w:val="0"/>
        </w:rPr>
        <w:t xml:space="preserve">Interdisciplinary Description of Complex Systems: INDECS</w:t>
      </w:r>
      <w:r w:rsidDel="00000000" w:rsidR="00000000" w:rsidRPr="00000000">
        <w:rPr>
          <w:rtl w:val="0"/>
        </w:rPr>
        <w:t xml:space="preserve">, [online] 20(4), pp.349–374. doi: </w:t>
      </w:r>
      <w:hyperlink r:id="rId14">
        <w:r w:rsidDel="00000000" w:rsidR="00000000" w:rsidRPr="00000000">
          <w:rPr>
            <w:color w:val="1155cc"/>
            <w:u w:val="single"/>
            <w:rtl w:val="0"/>
          </w:rPr>
          <w:t xml:space="preserve">https://doi.org/10.7906/indecs.20.4.4</w:t>
        </w:r>
      </w:hyperlink>
      <w:r w:rsidDel="00000000" w:rsidR="00000000" w:rsidRPr="00000000">
        <w:rPr>
          <w:rtl w:val="0"/>
        </w:rPr>
        <w:t xml:space="preserve">. </w:t>
      </w:r>
    </w:p>
    <w:p w:rsidR="00000000" w:rsidDel="00000000" w:rsidP="00000000" w:rsidRDefault="00000000" w:rsidRPr="00000000" w14:paraId="0000005B">
      <w:pPr>
        <w:spacing w:after="240" w:lineRule="auto"/>
        <w:rPr/>
      </w:pPr>
      <w:r w:rsidDel="00000000" w:rsidR="00000000" w:rsidRPr="00000000">
        <w:rPr>
          <w:rtl w:val="0"/>
        </w:rPr>
        <w:t xml:space="preserve">Famoti, O., Achumie, G.O., Eloho, O., Muyiwa-Ajayi, T.P., Ezechi, O.N., Ewim, C.P.-M. and Ahmadu, J. (2024). Improving Workforce Productivity through Data-Driven Metrics: Insights from Agile Teams. </w:t>
      </w:r>
      <w:r w:rsidDel="00000000" w:rsidR="00000000" w:rsidRPr="00000000">
        <w:rPr>
          <w:i w:val="1"/>
          <w:iCs w:val="1"/>
          <w:rtl w:val="0"/>
        </w:rPr>
        <w:t xml:space="preserve">International Journal of Multidisciplinary Research and Growth Evaluation.</w:t>
      </w:r>
      <w:r w:rsidDel="00000000" w:rsidR="00000000" w:rsidRPr="00000000">
        <w:rPr>
          <w:rtl w:val="0"/>
        </w:rPr>
        <w:t xml:space="preserve">, 5(6), pp.1601–1609. doi:</w:t>
      </w:r>
      <w:hyperlink r:id="rId15">
        <w:r w:rsidDel="00000000" w:rsidR="00000000" w:rsidRPr="00000000">
          <w:rPr>
            <w:color w:val="1155cc"/>
            <w:u w:val="single"/>
            <w:rtl w:val="0"/>
          </w:rPr>
          <w:t xml:space="preserve">https://doi.org/10.54660/.ijmrge.2024.5.6.1601-1609</w:t>
        </w:r>
      </w:hyperlink>
      <w:r w:rsidDel="00000000" w:rsidR="00000000" w:rsidRPr="00000000">
        <w:rPr>
          <w:rtl w:val="0"/>
        </w:rPr>
        <w:t xml:space="preserve">. </w:t>
      </w:r>
    </w:p>
    <w:p w:rsidR="00000000" w:rsidDel="00000000" w:rsidP="00000000" w:rsidRDefault="00000000" w:rsidRPr="00000000" w14:paraId="0000005C">
      <w:pPr>
        <w:spacing w:after="240" w:lineRule="auto"/>
        <w:rPr/>
      </w:pPr>
      <w:r w:rsidDel="00000000" w:rsidR="00000000" w:rsidRPr="00000000">
        <w:rPr>
          <w:rtl w:val="0"/>
        </w:rPr>
        <w:t xml:space="preserve">Gallup (2025). </w:t>
      </w:r>
      <w:r w:rsidDel="00000000" w:rsidR="00000000" w:rsidRPr="00000000">
        <w:rPr>
          <w:i w:val="1"/>
          <w:iCs w:val="1"/>
          <w:rtl w:val="0"/>
        </w:rPr>
        <w:t xml:space="preserve">State of the Global Workplace Report</w:t>
      </w:r>
      <w:r w:rsidDel="00000000" w:rsidR="00000000" w:rsidRPr="00000000">
        <w:rPr>
          <w:rtl w:val="0"/>
        </w:rPr>
        <w:t xml:space="preserve">. [Online] Gallup. Available at: </w:t>
      </w:r>
      <w:hyperlink r:id="rId16">
        <w:r w:rsidDel="00000000" w:rsidR="00000000" w:rsidRPr="00000000">
          <w:rPr>
            <w:color w:val="1155cc"/>
            <w:u w:val="single"/>
            <w:rtl w:val="0"/>
          </w:rPr>
          <w:t xml:space="preserve">https://www.gallup.com/workplace/349484/state-of-the-global-workplace.aspx</w:t>
        </w:r>
      </w:hyperlink>
      <w:r w:rsidDel="00000000" w:rsidR="00000000" w:rsidRPr="00000000">
        <w:rPr>
          <w:rtl w:val="0"/>
        </w:rPr>
        <w:t xml:space="preserve">. [Accessed on 11th March 2026]</w:t>
      </w:r>
    </w:p>
    <w:p w:rsidR="00000000" w:rsidDel="00000000" w:rsidP="00000000" w:rsidRDefault="00000000" w:rsidRPr="00000000" w14:paraId="0000005D">
      <w:pPr>
        <w:spacing w:after="240" w:lineRule="auto"/>
        <w:rPr/>
      </w:pPr>
      <w:r w:rsidDel="00000000" w:rsidR="00000000" w:rsidRPr="00000000">
        <w:rPr>
          <w:rtl w:val="0"/>
        </w:rPr>
        <w:t xml:space="preserve">Gartner (2024). </w:t>
      </w:r>
      <w:r w:rsidDel="00000000" w:rsidR="00000000" w:rsidRPr="00000000">
        <w:rPr>
          <w:i w:val="1"/>
          <w:iCs w:val="1"/>
          <w:rtl w:val="0"/>
        </w:rPr>
        <w:t xml:space="preserve">Gartner Survey Reveals 84% of Marketers Report Experiencing High ‘Collaboration Drag’ From Cross-Functional Work</w:t>
      </w:r>
      <w:r w:rsidDel="00000000" w:rsidR="00000000" w:rsidRPr="00000000">
        <w:rPr>
          <w:rtl w:val="0"/>
        </w:rPr>
        <w:t xml:space="preserve">. [Online] Gartner. Available at: </w:t>
      </w:r>
      <w:hyperlink r:id="rId17">
        <w:r w:rsidDel="00000000" w:rsidR="00000000" w:rsidRPr="00000000">
          <w:rPr>
            <w:color w:val="1155cc"/>
            <w:u w:val="single"/>
            <w:rtl w:val="0"/>
          </w:rPr>
          <w:t xml:space="preserve">https://www.gartner.com/en/newsroom/press-releases/2024-05-14-gartner-survey-reveals-eighty-four-percent-of-marketers-report-experiencing-high-collaboration-drag-from-cross-functional-work</w:t>
        </w:r>
      </w:hyperlink>
      <w:r w:rsidDel="00000000" w:rsidR="00000000" w:rsidRPr="00000000">
        <w:rPr>
          <w:rtl w:val="0"/>
        </w:rPr>
        <w:t xml:space="preserve">. [Accessed on 9th March 2026]</w:t>
      </w:r>
    </w:p>
    <w:p w:rsidR="00000000" w:rsidDel="00000000" w:rsidP="00000000" w:rsidRDefault="00000000" w:rsidRPr="00000000" w14:paraId="0000005E">
      <w:pPr>
        <w:spacing w:after="240" w:lineRule="auto"/>
        <w:rPr/>
      </w:pPr>
      <w:r w:rsidDel="00000000" w:rsidR="00000000" w:rsidRPr="00000000">
        <w:rPr>
          <w:rtl w:val="0"/>
        </w:rPr>
        <w:t xml:space="preserve">Harvard Business Review (2023). </w:t>
      </w:r>
      <w:r w:rsidDel="00000000" w:rsidR="00000000" w:rsidRPr="00000000">
        <w:rPr>
          <w:i w:val="1"/>
          <w:iCs w:val="1"/>
          <w:rtl w:val="0"/>
        </w:rPr>
        <w:t xml:space="preserve">Why Overhauling Internal Communications Could Be Your Greatest Revenue-Driver - SPONSOR CONTENT FROM AXIOS HQ</w:t>
      </w:r>
      <w:r w:rsidDel="00000000" w:rsidR="00000000" w:rsidRPr="00000000">
        <w:rPr>
          <w:rtl w:val="0"/>
        </w:rPr>
        <w:t xml:space="preserve">. [Online] Harvard Business Review. Available at: </w:t>
      </w:r>
      <w:hyperlink r:id="rId18">
        <w:r w:rsidDel="00000000" w:rsidR="00000000" w:rsidRPr="00000000">
          <w:rPr>
            <w:color w:val="1155cc"/>
            <w:u w:val="single"/>
            <w:rtl w:val="0"/>
          </w:rPr>
          <w:t xml:space="preserve">https://hbr.org/sponsored/2023/05/why-overhauling-internal-communications-could-be-your-greatest-revenue-driver</w:t>
        </w:r>
      </w:hyperlink>
      <w:r w:rsidDel="00000000" w:rsidR="00000000" w:rsidRPr="00000000">
        <w:rPr>
          <w:rtl w:val="0"/>
        </w:rPr>
        <w:t xml:space="preserve">. [Accessed on 11th March 2026]</w:t>
      </w:r>
    </w:p>
    <w:p w:rsidR="00000000" w:rsidDel="00000000" w:rsidP="00000000" w:rsidRDefault="00000000" w:rsidRPr="00000000" w14:paraId="0000005F">
      <w:pPr>
        <w:spacing w:after="240" w:lineRule="auto"/>
        <w:rPr/>
      </w:pPr>
      <w:r w:rsidDel="00000000" w:rsidR="00000000" w:rsidRPr="00000000">
        <w:rPr>
          <w:rtl w:val="0"/>
        </w:rPr>
        <w:t xml:space="preserve">John, B. (2025). </w:t>
      </w:r>
      <w:r w:rsidDel="00000000" w:rsidR="00000000" w:rsidRPr="00000000">
        <w:rPr>
          <w:i w:val="1"/>
          <w:iCs w:val="1"/>
          <w:rtl w:val="0"/>
        </w:rPr>
        <w:t xml:space="preserve">The Future of Work: Examining the Effectiveness of Hybrid Work Models on Employee Productivity</w:t>
      </w:r>
      <w:r w:rsidDel="00000000" w:rsidR="00000000" w:rsidRPr="00000000">
        <w:rPr>
          <w:rtl w:val="0"/>
        </w:rPr>
        <w:t xml:space="preserve">. [Online] Available at: </w:t>
      </w:r>
      <w:hyperlink r:id="rId19">
        <w:r w:rsidDel="00000000" w:rsidR="00000000" w:rsidRPr="00000000">
          <w:rPr>
            <w:color w:val="1155cc"/>
            <w:u w:val="single"/>
            <w:rtl w:val="0"/>
          </w:rPr>
          <w:t xml:space="preserve">https://www.eduresearchjournal.com/index.php/ijcmrs/article/download/85/77/196</w:t>
        </w:r>
      </w:hyperlink>
      <w:r w:rsidDel="00000000" w:rsidR="00000000" w:rsidRPr="00000000">
        <w:rPr>
          <w:rtl w:val="0"/>
        </w:rPr>
        <w:t xml:space="preserve">.  </w:t>
      </w:r>
    </w:p>
    <w:p w:rsidR="00000000" w:rsidDel="00000000" w:rsidP="00000000" w:rsidRDefault="00000000" w:rsidRPr="00000000" w14:paraId="00000060">
      <w:pPr>
        <w:spacing w:after="240" w:lineRule="auto"/>
        <w:rPr/>
      </w:pPr>
      <w:r w:rsidDel="00000000" w:rsidR="00000000" w:rsidRPr="00000000">
        <w:rPr>
          <w:rtl w:val="0"/>
        </w:rPr>
        <w:t xml:space="preserve">Knossalla, C.E. and Carbon, C.-C. (2023). neither entrepreneurship nor intrapreneurship: a review of how to become an innovative split-off start-up. </w:t>
      </w:r>
      <w:r w:rsidDel="00000000" w:rsidR="00000000" w:rsidRPr="00000000">
        <w:rPr>
          <w:i w:val="1"/>
          <w:iCs w:val="1"/>
          <w:rtl w:val="0"/>
        </w:rPr>
        <w:t xml:space="preserve">Frontiers in Sociology</w:t>
      </w:r>
      <w:r w:rsidDel="00000000" w:rsidR="00000000" w:rsidRPr="00000000">
        <w:rPr>
          <w:rtl w:val="0"/>
        </w:rPr>
        <w:t xml:space="preserve">, 8. doi: </w:t>
      </w:r>
      <w:hyperlink r:id="rId20">
        <w:r w:rsidDel="00000000" w:rsidR="00000000" w:rsidRPr="00000000">
          <w:rPr>
            <w:color w:val="1155cc"/>
            <w:u w:val="single"/>
            <w:rtl w:val="0"/>
          </w:rPr>
          <w:t xml:space="preserve">https://doi.org/10.3389/fsoc.2023.1267706</w:t>
        </w:r>
      </w:hyperlink>
      <w:r w:rsidDel="00000000" w:rsidR="00000000" w:rsidRPr="00000000">
        <w:rPr>
          <w:rtl w:val="0"/>
        </w:rPr>
        <w:t xml:space="preserve">. </w:t>
      </w:r>
    </w:p>
    <w:p w:rsidR="00000000" w:rsidDel="00000000" w:rsidP="00000000" w:rsidRDefault="00000000" w:rsidRPr="00000000" w14:paraId="00000061">
      <w:pPr>
        <w:spacing w:after="240" w:lineRule="auto"/>
        <w:rPr/>
      </w:pPr>
      <w:r w:rsidDel="00000000" w:rsidR="00000000" w:rsidRPr="00000000">
        <w:rPr>
          <w:rtl w:val="0"/>
        </w:rPr>
        <w:t xml:space="preserve">Latham, G. (2023). Motivate Employee Performance Through Goal Setting. </w:t>
      </w:r>
      <w:r w:rsidDel="00000000" w:rsidR="00000000" w:rsidRPr="00000000">
        <w:rPr>
          <w:i w:val="1"/>
          <w:iCs w:val="1"/>
          <w:rtl w:val="0"/>
        </w:rPr>
        <w:t xml:space="preserve">Wiley Online Library</w:t>
      </w:r>
      <w:r w:rsidDel="00000000" w:rsidR="00000000" w:rsidRPr="00000000">
        <w:rPr>
          <w:rtl w:val="0"/>
        </w:rPr>
        <w:t xml:space="preserve">, [online] 1(1), pp.83–111. doi: </w:t>
      </w:r>
      <w:hyperlink r:id="rId21">
        <w:r w:rsidDel="00000000" w:rsidR="00000000" w:rsidRPr="00000000">
          <w:rPr>
            <w:color w:val="1155cc"/>
            <w:u w:val="single"/>
            <w:rtl w:val="0"/>
          </w:rPr>
          <w:t xml:space="preserve">https://doi.org/10.1002/9781394320769.ch5</w:t>
        </w:r>
      </w:hyperlink>
      <w:r w:rsidDel="00000000" w:rsidR="00000000" w:rsidRPr="00000000">
        <w:rPr>
          <w:rtl w:val="0"/>
        </w:rPr>
        <w:t xml:space="preserve">. </w:t>
      </w:r>
    </w:p>
    <w:p w:rsidR="00000000" w:rsidDel="00000000" w:rsidP="00000000" w:rsidRDefault="00000000" w:rsidRPr="00000000" w14:paraId="00000062">
      <w:pPr>
        <w:spacing w:after="240" w:lineRule="auto"/>
        <w:rPr/>
      </w:pPr>
      <w:r w:rsidDel="00000000" w:rsidR="00000000" w:rsidRPr="00000000">
        <w:rPr>
          <w:rtl w:val="0"/>
        </w:rPr>
        <w:t xml:space="preserve">McKinsey &amp; Company (2025). </w:t>
      </w:r>
      <w:r w:rsidDel="00000000" w:rsidR="00000000" w:rsidRPr="00000000">
        <w:rPr>
          <w:i w:val="1"/>
          <w:iCs w:val="1"/>
          <w:rtl w:val="0"/>
        </w:rPr>
        <w:t xml:space="preserve">Growth Strategy &amp; Innovation | Strategy &amp; Corporate Finance | McKinsey &amp; Company</w:t>
      </w:r>
      <w:r w:rsidDel="00000000" w:rsidR="00000000" w:rsidRPr="00000000">
        <w:rPr>
          <w:rtl w:val="0"/>
        </w:rPr>
        <w:t xml:space="preserve">. [Online] www.mckinsey.com. Available at: </w:t>
      </w:r>
      <w:hyperlink r:id="rId22">
        <w:r w:rsidDel="00000000" w:rsidR="00000000" w:rsidRPr="00000000">
          <w:rPr>
            <w:color w:val="1155cc"/>
            <w:u w:val="single"/>
            <w:rtl w:val="0"/>
          </w:rPr>
          <w:t xml:space="preserve">https://www.mckinsey.com/capabilities/strategy-and-corporate-finance/how-we-help-clients/Strategic-Growth-and-Innovation</w:t>
        </w:r>
      </w:hyperlink>
      <w:r w:rsidDel="00000000" w:rsidR="00000000" w:rsidRPr="00000000">
        <w:rPr>
          <w:rtl w:val="0"/>
        </w:rPr>
        <w:t xml:space="preserve">.  [Accessed on 12th March 2026]</w:t>
      </w:r>
    </w:p>
    <w:p w:rsidR="00000000" w:rsidDel="00000000" w:rsidP="00000000" w:rsidRDefault="00000000" w:rsidRPr="00000000" w14:paraId="00000063">
      <w:pPr>
        <w:spacing w:after="240" w:lineRule="auto"/>
        <w:rPr/>
      </w:pPr>
      <w:r w:rsidDel="00000000" w:rsidR="00000000" w:rsidRPr="00000000">
        <w:rPr>
          <w:rtl w:val="0"/>
        </w:rPr>
        <w:t xml:space="preserve">Mcleod, S. (2025). </w:t>
      </w:r>
      <w:r w:rsidDel="00000000" w:rsidR="00000000" w:rsidRPr="00000000">
        <w:rPr>
          <w:i w:val="1"/>
          <w:iCs w:val="1"/>
          <w:rtl w:val="0"/>
        </w:rPr>
        <w:t xml:space="preserve">Kolb’s Learning Styles and Experiential Learning Cycle</w:t>
      </w:r>
      <w:r w:rsidDel="00000000" w:rsidR="00000000" w:rsidRPr="00000000">
        <w:rPr>
          <w:rtl w:val="0"/>
        </w:rPr>
        <w:t xml:space="preserve">. [Online] Simply Psychology. Available at: </w:t>
      </w:r>
      <w:hyperlink r:id="rId23">
        <w:r w:rsidDel="00000000" w:rsidR="00000000" w:rsidRPr="00000000">
          <w:rPr>
            <w:color w:val="0000ff"/>
            <w:u w:val="single"/>
            <w:rtl w:val="0"/>
          </w:rPr>
          <w:t xml:space="preserve">https://www.simplypsychology.org/learning-kolb.html</w:t>
        </w:r>
      </w:hyperlink>
      <w:r w:rsidDel="00000000" w:rsidR="00000000" w:rsidRPr="00000000">
        <w:rPr>
          <w:rtl w:val="0"/>
        </w:rPr>
        <w:t xml:space="preserve">. [Accessed on 14th March 2026]</w:t>
      </w:r>
    </w:p>
    <w:p w:rsidR="00000000" w:rsidDel="00000000" w:rsidP="00000000" w:rsidRDefault="00000000" w:rsidRPr="00000000" w14:paraId="00000064">
      <w:pPr>
        <w:spacing w:after="240" w:lineRule="auto"/>
        <w:rPr/>
      </w:pPr>
      <w:r w:rsidDel="00000000" w:rsidR="00000000" w:rsidRPr="00000000">
        <w:rPr>
          <w:rtl w:val="0"/>
        </w:rPr>
        <w:t xml:space="preserve">Microsoft (2025). </w:t>
      </w:r>
      <w:r w:rsidDel="00000000" w:rsidR="00000000" w:rsidRPr="00000000">
        <w:rPr>
          <w:i w:val="1"/>
          <w:iCs w:val="1"/>
          <w:rtl w:val="0"/>
        </w:rPr>
        <w:t xml:space="preserve">2025: the Year the Frontier Firm Is Born</w:t>
      </w:r>
      <w:r w:rsidDel="00000000" w:rsidR="00000000" w:rsidRPr="00000000">
        <w:rPr>
          <w:rtl w:val="0"/>
        </w:rPr>
        <w:t xml:space="preserve">. [Online] Microsoft.com. Available at: </w:t>
      </w:r>
      <w:hyperlink r:id="rId24">
        <w:r w:rsidDel="00000000" w:rsidR="00000000" w:rsidRPr="00000000">
          <w:rPr>
            <w:color w:val="1155cc"/>
            <w:u w:val="single"/>
            <w:rtl w:val="0"/>
          </w:rPr>
          <w:t xml:space="preserve">https://www.microsoft.com/en-us/worklab/work-trend-index/2025-the-year-the-frontier-firm-is-born</w:t>
        </w:r>
      </w:hyperlink>
      <w:r w:rsidDel="00000000" w:rsidR="00000000" w:rsidRPr="00000000">
        <w:rPr>
          <w:rtl w:val="0"/>
        </w:rPr>
        <w:t xml:space="preserve">. [Accessed on 8th March 2026]</w:t>
      </w:r>
    </w:p>
    <w:p w:rsidR="00000000" w:rsidDel="00000000" w:rsidP="00000000" w:rsidRDefault="00000000" w:rsidRPr="00000000" w14:paraId="00000065">
      <w:pPr>
        <w:spacing w:after="240" w:lineRule="auto"/>
        <w:rPr/>
      </w:pPr>
      <w:r w:rsidDel="00000000" w:rsidR="00000000" w:rsidRPr="00000000">
        <w:rPr>
          <w:rtl w:val="0"/>
        </w:rPr>
        <w:t xml:space="preserve">Nishant, G. (2025). Optimization of software development processes in distributed teams. </w:t>
      </w:r>
      <w:r w:rsidDel="00000000" w:rsidR="00000000" w:rsidRPr="00000000">
        <w:rPr>
          <w:i w:val="1"/>
          <w:iCs w:val="1"/>
          <w:rtl w:val="0"/>
        </w:rPr>
        <w:t xml:space="preserve">Emerging Frontiers Library for The American Journal of Engineering and Technology</w:t>
      </w:r>
      <w:r w:rsidDel="00000000" w:rsidR="00000000" w:rsidRPr="00000000">
        <w:rPr>
          <w:rtl w:val="0"/>
        </w:rPr>
        <w:t xml:space="preserve">, [online] 7(06), pp.193–199. Available at: </w:t>
      </w:r>
      <w:hyperlink r:id="rId25">
        <w:r w:rsidDel="00000000" w:rsidR="00000000" w:rsidRPr="00000000">
          <w:rPr>
            <w:color w:val="1155cc"/>
            <w:u w:val="single"/>
            <w:rtl w:val="0"/>
          </w:rPr>
          <w:t xml:space="preserve">http://emergingsociety.org/index.php/efltajet/article/view/62</w:t>
        </w:r>
      </w:hyperlink>
      <w:r w:rsidDel="00000000" w:rsidR="00000000" w:rsidRPr="00000000">
        <w:rPr>
          <w:rtl w:val="0"/>
        </w:rPr>
        <w:t xml:space="preserve"> </w:t>
      </w:r>
    </w:p>
    <w:p w:rsidR="00000000" w:rsidDel="00000000" w:rsidP="00000000" w:rsidRDefault="00000000" w:rsidRPr="00000000" w14:paraId="00000066">
      <w:pPr>
        <w:spacing w:after="240" w:lineRule="auto"/>
        <w:rPr/>
      </w:pPr>
      <w:r w:rsidDel="00000000" w:rsidR="00000000" w:rsidRPr="00000000">
        <w:rPr>
          <w:rtl w:val="0"/>
        </w:rPr>
        <w:t xml:space="preserve">Pedota, M. and Piscitello, L. (2021). A new perspective on technology‐driven creativity enhancement in the Fourth Industrial Revolution. </w:t>
      </w:r>
      <w:r w:rsidDel="00000000" w:rsidR="00000000" w:rsidRPr="00000000">
        <w:rPr>
          <w:i w:val="1"/>
          <w:iCs w:val="1"/>
          <w:rtl w:val="0"/>
        </w:rPr>
        <w:t xml:space="preserve">Creativity and Innovation Management</w:t>
      </w:r>
      <w:r w:rsidDel="00000000" w:rsidR="00000000" w:rsidRPr="00000000">
        <w:rPr>
          <w:rtl w:val="0"/>
        </w:rPr>
        <w:t xml:space="preserve">, 31(1). doi: </w:t>
      </w:r>
      <w:hyperlink r:id="rId26">
        <w:r w:rsidDel="00000000" w:rsidR="00000000" w:rsidRPr="00000000">
          <w:rPr>
            <w:color w:val="1155cc"/>
            <w:u w:val="single"/>
            <w:rtl w:val="0"/>
          </w:rPr>
          <w:t xml:space="preserve">https://doi.org/10.1111/caim.12468</w:t>
        </w:r>
      </w:hyperlink>
      <w:r w:rsidDel="00000000" w:rsidR="00000000" w:rsidRPr="00000000">
        <w:rPr>
          <w:rtl w:val="0"/>
        </w:rPr>
        <w:t xml:space="preserve">. </w:t>
      </w:r>
    </w:p>
    <w:p w:rsidR="00000000" w:rsidDel="00000000" w:rsidP="00000000" w:rsidRDefault="00000000" w:rsidRPr="00000000" w14:paraId="00000067">
      <w:pPr>
        <w:spacing w:after="240" w:lineRule="auto"/>
        <w:rPr/>
      </w:pPr>
      <w:r w:rsidDel="00000000" w:rsidR="00000000" w:rsidRPr="00000000">
        <w:rPr>
          <w:rtl w:val="0"/>
        </w:rPr>
        <w:t xml:space="preserve">Ramamoorthi, V. (2021). AI-Driven Cloud Resource Optimization Framework for Real-Time Allocation. </w:t>
      </w:r>
      <w:r w:rsidDel="00000000" w:rsidR="00000000" w:rsidRPr="00000000">
        <w:rPr>
          <w:i w:val="1"/>
          <w:iCs w:val="1"/>
          <w:rtl w:val="0"/>
        </w:rPr>
        <w:t xml:space="preserve">Journal of Advanced Computing Systems </w:t>
      </w:r>
      <w:r w:rsidDel="00000000" w:rsidR="00000000" w:rsidRPr="00000000">
        <w:rPr>
          <w:rtl w:val="0"/>
        </w:rPr>
        <w:t xml:space="preserve">, [online] 1(1), pp.8–15. doi:</w:t>
      </w:r>
      <w:hyperlink r:id="rId27">
        <w:r w:rsidDel="00000000" w:rsidR="00000000" w:rsidRPr="00000000">
          <w:rPr>
            <w:color w:val="1155cc"/>
            <w:u w:val="single"/>
            <w:rtl w:val="0"/>
          </w:rPr>
          <w:t xml:space="preserve">https://doi.org/10.69987/</w:t>
        </w:r>
      </w:hyperlink>
      <w:r w:rsidDel="00000000" w:rsidR="00000000" w:rsidRPr="00000000">
        <w:rPr>
          <w:rtl w:val="0"/>
        </w:rPr>
        <w:t xml:space="preserve">. </w:t>
      </w:r>
    </w:p>
    <w:p w:rsidR="00000000" w:rsidDel="00000000" w:rsidP="00000000" w:rsidRDefault="00000000" w:rsidRPr="00000000" w14:paraId="00000068">
      <w:pPr>
        <w:spacing w:after="240" w:lineRule="auto"/>
        <w:rPr/>
      </w:pPr>
      <w:r w:rsidDel="00000000" w:rsidR="00000000" w:rsidRPr="00000000">
        <w:rPr>
          <w:rtl w:val="0"/>
        </w:rPr>
        <w:t xml:space="preserve">REBA (2025). </w:t>
      </w:r>
      <w:r w:rsidDel="00000000" w:rsidR="00000000" w:rsidRPr="00000000">
        <w:rPr>
          <w:i w:val="1"/>
          <w:iCs w:val="1"/>
          <w:rtl w:val="0"/>
        </w:rPr>
        <w:t xml:space="preserve">8 ways employee rewards and recognition impact company culture</w:t>
      </w:r>
      <w:r w:rsidDel="00000000" w:rsidR="00000000" w:rsidRPr="00000000">
        <w:rPr>
          <w:rtl w:val="0"/>
        </w:rPr>
        <w:t xml:space="preserve">. [online] Reba.global. Available at: </w:t>
      </w:r>
      <w:hyperlink r:id="rId28">
        <w:r w:rsidDel="00000000" w:rsidR="00000000" w:rsidRPr="00000000">
          <w:rPr>
            <w:color w:val="1155cc"/>
            <w:u w:val="single"/>
            <w:rtl w:val="0"/>
          </w:rPr>
          <w:t xml:space="preserve">https://reba.global/resource/8-ways-employee-rewards-and-recognition-impact-company-culture.html</w:t>
        </w:r>
      </w:hyperlink>
      <w:r w:rsidDel="00000000" w:rsidR="00000000" w:rsidRPr="00000000">
        <w:rPr>
          <w:rtl w:val="0"/>
        </w:rPr>
        <w:t xml:space="preserve">. [Accessed on 14th March 2026]</w:t>
      </w:r>
    </w:p>
    <w:p w:rsidR="00000000" w:rsidDel="00000000" w:rsidP="00000000" w:rsidRDefault="00000000" w:rsidRPr="00000000" w14:paraId="00000069">
      <w:pPr>
        <w:spacing w:after="240" w:lineRule="auto"/>
        <w:rPr/>
      </w:pPr>
      <w:r w:rsidDel="00000000" w:rsidR="00000000" w:rsidRPr="00000000">
        <w:rPr>
          <w:rtl w:val="0"/>
        </w:rPr>
        <w:t xml:space="preserve">Siddiqui, D.A. (2024). Breaking Down Silos: Strategies for Effective Multidisciplinary Collaboration. </w:t>
      </w:r>
      <w:r w:rsidDel="00000000" w:rsidR="00000000" w:rsidRPr="00000000">
        <w:rPr>
          <w:i w:val="1"/>
          <w:iCs w:val="1"/>
          <w:rtl w:val="0"/>
        </w:rPr>
        <w:t xml:space="preserve">Kashf Journal of Multidisciplinary Research</w:t>
      </w:r>
      <w:r w:rsidDel="00000000" w:rsidR="00000000" w:rsidRPr="00000000">
        <w:rPr>
          <w:rtl w:val="0"/>
        </w:rPr>
        <w:t xml:space="preserve">, [online] 1(08), pp.411–420. Available at: </w:t>
      </w:r>
      <w:hyperlink r:id="rId29">
        <w:r w:rsidDel="00000000" w:rsidR="00000000" w:rsidRPr="00000000">
          <w:rPr>
            <w:color w:val="1155cc"/>
            <w:u w:val="single"/>
            <w:rtl w:val="0"/>
          </w:rPr>
          <w:t xml:space="preserve">http://kjmr.com.pk/kjmr/article/view/38</w:t>
        </w:r>
      </w:hyperlink>
      <w:r w:rsidDel="00000000" w:rsidR="00000000" w:rsidRPr="00000000">
        <w:rPr>
          <w:rtl w:val="0"/>
        </w:rPr>
        <w:t xml:space="preserve">. </w:t>
      </w:r>
    </w:p>
    <w:p w:rsidR="00000000" w:rsidDel="00000000" w:rsidP="00000000" w:rsidRDefault="00000000" w:rsidRPr="00000000" w14:paraId="0000006A">
      <w:pPr>
        <w:spacing w:after="240" w:lineRule="auto"/>
        <w:rPr/>
      </w:pPr>
      <w:r w:rsidDel="00000000" w:rsidR="00000000" w:rsidRPr="00000000">
        <w:rPr>
          <w:rtl w:val="0"/>
        </w:rPr>
        <w:t xml:space="preserve">Smith, M. and McNally, E.Y. (2021). </w:t>
      </w:r>
      <w:r w:rsidDel="00000000" w:rsidR="00000000" w:rsidRPr="00000000">
        <w:rPr>
          <w:i w:val="1"/>
          <w:iCs w:val="1"/>
          <w:rtl w:val="0"/>
        </w:rPr>
        <w:t xml:space="preserve">Building a learning culture that drives business forward | McKinsey</w:t>
      </w:r>
      <w:r w:rsidDel="00000000" w:rsidR="00000000" w:rsidRPr="00000000">
        <w:rPr>
          <w:rtl w:val="0"/>
        </w:rPr>
        <w:t xml:space="preserve">. [online] www.mckinsey.com. Available at: </w:t>
      </w:r>
      <w:hyperlink r:id="rId30">
        <w:r w:rsidDel="00000000" w:rsidR="00000000" w:rsidRPr="00000000">
          <w:rPr>
            <w:color w:val="1155cc"/>
            <w:u w:val="single"/>
            <w:rtl w:val="0"/>
          </w:rPr>
          <w:t xml:space="preserve">https://www.mckinsey.com/capabilities/people-and-organizational-performance/our-insights/building-a-learning-culture-that-drives-business-forward</w:t>
        </w:r>
      </w:hyperlink>
      <w:r w:rsidDel="00000000" w:rsidR="00000000" w:rsidRPr="00000000">
        <w:rPr>
          <w:rtl w:val="0"/>
        </w:rPr>
        <w:t xml:space="preserve">. [Accessed on 10th March 2026]</w:t>
      </w:r>
    </w:p>
    <w:p w:rsidR="00000000" w:rsidDel="00000000" w:rsidP="00000000" w:rsidRDefault="00000000" w:rsidRPr="00000000" w14:paraId="0000006B">
      <w:pPr>
        <w:spacing w:after="240" w:lineRule="auto"/>
        <w:rPr/>
      </w:pPr>
      <w:bookmarkStart w:colFirst="0" w:colLast="0" w:name="_fyay1q46ezu4" w:id="14"/>
      <w:bookmarkEnd w:id="14"/>
      <w:r w:rsidDel="00000000" w:rsidR="00000000" w:rsidRPr="00000000">
        <w:rPr>
          <w:rtl w:val="0"/>
        </w:rPr>
        <w:t xml:space="preserve">Starmann, F., Tomin, S., Hubner‐Benz, S. and Kabst, R. (2025). The Intrapreneur Identity Illusion: Unraveling the Identity Work of Intrapreneurs in Internal Corporate Venturing. </w:t>
      </w:r>
      <w:r w:rsidDel="00000000" w:rsidR="00000000" w:rsidRPr="00000000">
        <w:rPr>
          <w:i w:val="1"/>
          <w:iCs w:val="1"/>
          <w:rtl w:val="0"/>
        </w:rPr>
        <w:t xml:space="preserve">Journal of Product Innovation Management</w:t>
      </w:r>
      <w:r w:rsidDel="00000000" w:rsidR="00000000" w:rsidRPr="00000000">
        <w:rPr>
          <w:rtl w:val="0"/>
        </w:rPr>
        <w:t xml:space="preserve">. doi: </w:t>
      </w:r>
      <w:hyperlink r:id="rId31">
        <w:r w:rsidDel="00000000" w:rsidR="00000000" w:rsidRPr="00000000">
          <w:rPr>
            <w:color w:val="1155cc"/>
            <w:u w:val="single"/>
            <w:rtl w:val="0"/>
          </w:rPr>
          <w:t xml:space="preserve">https://doi.org/10.1111/jpim.12798</w:t>
        </w:r>
      </w:hyperlink>
      <w:r w:rsidDel="00000000" w:rsidR="00000000" w:rsidRPr="00000000">
        <w:rPr>
          <w:rtl w:val="0"/>
        </w:rPr>
        <w:t xml:space="preserve">. </w:t>
      </w:r>
    </w:p>
    <w:p w:rsidR="00000000" w:rsidDel="00000000" w:rsidP="00000000" w:rsidRDefault="00000000" w:rsidRPr="00000000" w14:paraId="0000006C">
      <w:pPr>
        <w:spacing w:after="240" w:lineRule="auto"/>
        <w:rPr/>
      </w:pPr>
      <w:r w:rsidDel="00000000" w:rsidR="00000000" w:rsidRPr="00000000">
        <w:rPr>
          <w:rtl w:val="0"/>
        </w:rPr>
        <w:t xml:space="preserve">Vollero, A., Sardanelli, D. and Siano, A. (2021). Exploring the Role of the Amazon Effect on Customer expectations: an Analysis of User‐generated Content in Consumer Electronics Retailing. </w:t>
      </w:r>
      <w:r w:rsidDel="00000000" w:rsidR="00000000" w:rsidRPr="00000000">
        <w:rPr>
          <w:i w:val="1"/>
          <w:iCs w:val="1"/>
          <w:rtl w:val="0"/>
        </w:rPr>
        <w:t xml:space="preserve">Journal of Consumer Behaviour</w:t>
      </w:r>
      <w:r w:rsidDel="00000000" w:rsidR="00000000" w:rsidRPr="00000000">
        <w:rPr>
          <w:rtl w:val="0"/>
        </w:rPr>
        <w:t xml:space="preserve">, [online] 22(5), pp.1–12. doi:</w:t>
      </w:r>
      <w:hyperlink r:id="rId32">
        <w:r w:rsidDel="00000000" w:rsidR="00000000" w:rsidRPr="00000000">
          <w:rPr>
            <w:color w:val="1155cc"/>
            <w:u w:val="single"/>
            <w:rtl w:val="0"/>
          </w:rPr>
          <w:t xml:space="preserve">https://doi.org/10.1002/cb.1969</w:t>
        </w:r>
      </w:hyperlink>
      <w:r w:rsidDel="00000000" w:rsidR="00000000" w:rsidRPr="00000000">
        <w:rPr>
          <w:rtl w:val="0"/>
        </w:rPr>
        <w:t xml:space="preserve">. </w:t>
      </w:r>
    </w:p>
    <w:p w:rsidR="00000000" w:rsidDel="00000000" w:rsidP="00000000" w:rsidRDefault="00000000" w:rsidRPr="00000000" w14:paraId="0000006D">
      <w:pPr>
        <w:spacing w:after="240" w:lineRule="auto"/>
        <w:rPr/>
      </w:pPr>
      <w:r w:rsidDel="00000000" w:rsidR="00000000" w:rsidRPr="00000000">
        <w:rPr>
          <w:rtl w:val="0"/>
        </w:rPr>
        <w:t xml:space="preserve">Wiyono, D., Dewi, D.A., Ambiapuri, E., Parwitasari, N.A. and Hambali, D.S. (2025). Strategic ESG-Driven Human Resource Practices: Transforming Employee Management for Sustainable Organizational Growth. </w:t>
      </w:r>
      <w:r w:rsidDel="00000000" w:rsidR="00000000" w:rsidRPr="00000000">
        <w:rPr>
          <w:i w:val="1"/>
          <w:iCs w:val="1"/>
          <w:rtl w:val="0"/>
        </w:rPr>
        <w:t xml:space="preserve">Jurnal Organisasi dan Manajemen</w:t>
      </w:r>
      <w:r w:rsidDel="00000000" w:rsidR="00000000" w:rsidRPr="00000000">
        <w:rPr>
          <w:rtl w:val="0"/>
        </w:rPr>
        <w:t xml:space="preserve">, [online] 21(1), pp.65–82. doi: </w:t>
      </w:r>
      <w:hyperlink r:id="rId33">
        <w:r w:rsidDel="00000000" w:rsidR="00000000" w:rsidRPr="00000000">
          <w:rPr>
            <w:color w:val="1155cc"/>
            <w:u w:val="single"/>
            <w:rtl w:val="0"/>
          </w:rPr>
          <w:t xml:space="preserve">https://doi.org/10.33830/jom.v21i1.9786.2025</w:t>
        </w:r>
      </w:hyperlink>
      <w:r w:rsidDel="00000000" w:rsidR="00000000" w:rsidRPr="00000000">
        <w:rPr>
          <w:rtl w:val="0"/>
        </w:rPr>
        <w:t xml:space="preserve">. </w:t>
      </w:r>
    </w:p>
    <w:p w:rsidR="00000000" w:rsidDel="00000000" w:rsidP="00000000" w:rsidRDefault="00000000" w:rsidRPr="00000000" w14:paraId="0000006E">
      <w:pPr>
        <w:rPr/>
      </w:pPr>
      <w:r w:rsidDel="00000000" w:rsidR="00000000" w:rsidRPr="00000000">
        <w:rPr>
          <w:rtl w:val="0"/>
        </w:rPr>
      </w:r>
    </w:p>
    <w:sectPr>
      <w:headerReference r:id="rId34" w:type="default"/>
      <w:footerReference r:id="rId3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0">
    <w:pPr>
      <w:pBdr>
        <w:top w:space="0" w:sz="0" w:val="nil"/>
        <w:left w:space="0" w:sz="0" w:val="nil"/>
        <w:bottom w:space="0" w:sz="0" w:val="nil"/>
        <w:right w:space="0" w:sz="0" w:val="nil"/>
        <w:between w:space="0" w:sz="0" w:val="nil"/>
      </w:pBdr>
      <w:tabs>
        <w:tab w:val="center" w:leader="none" w:pos="4513"/>
        <w:tab w:val="right" w:leader="none" w:pos="9026"/>
      </w:tabs>
      <w:jc w:val="right"/>
      <w:rPr>
        <w:color w:val="000000"/>
        <w:sz w:val="20"/>
        <w:szCs w:val="20"/>
      </w:rPr>
    </w:pPr>
    <w:r w:rsidDel="00000000" w:rsidR="00000000" w:rsidRPr="00000000">
      <w:rPr>
        <w:rtl w:val="0"/>
      </w:rPr>
    </w:r>
  </w:p>
  <w:p w:rsidR="00000000" w:rsidDel="00000000" w:rsidP="00000000" w:rsidRDefault="00000000" w:rsidRPr="00000000" w14:paraId="00000071">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pPr>
    <w:r w:rsidDel="00000000" w:rsidR="00000000" w:rsidRPr="00000000">
      <w:rPr>
        <w:rtl w:val="0"/>
      </w:rPr>
    </w:r>
  </w:p>
  <w:p w:rsidR="00000000" w:rsidDel="00000000" w:rsidP="00000000" w:rsidRDefault="00000000" w:rsidRPr="00000000" w14:paraId="00000072">
    <w:pPr>
      <w:pBdr>
        <w:top w:space="0" w:sz="0" w:val="nil"/>
        <w:left w:space="0" w:sz="0" w:val="nil"/>
        <w:bottom w:space="0" w:sz="0" w:val="nil"/>
        <w:right w:space="0" w:sz="0" w:val="nil"/>
        <w:between w:space="0" w:sz="0" w:val="nil"/>
      </w:pBdr>
      <w:tabs>
        <w:tab w:val="center" w:leader="none" w:pos="4513"/>
        <w:tab w:val="right" w:leader="none" w:pos="9026"/>
      </w:tabs>
      <w:spacing w:line="240" w:lineRule="auto"/>
      <w:jc w:val="right"/>
      <w:rPr/>
    </w:pPr>
    <w:r w:rsidDel="00000000" w:rsidR="00000000" w:rsidRPr="00000000">
      <w:rPr>
        <w:rtl w:val="0"/>
      </w:rPr>
    </w:r>
  </w:p>
  <w:p w:rsidR="00000000" w:rsidDel="00000000" w:rsidP="00000000" w:rsidRDefault="00000000" w:rsidRPr="00000000" w14:paraId="00000073">
    <w:pPr>
      <w:pBdr>
        <w:top w:space="0" w:sz="0" w:val="nil"/>
        <w:left w:space="0" w:sz="0" w:val="nil"/>
        <w:bottom w:space="0" w:sz="0" w:val="nil"/>
        <w:right w:space="0" w:sz="0" w:val="nil"/>
        <w:between w:space="0" w:sz="0" w:val="nil"/>
      </w:pBdr>
      <w:tabs>
        <w:tab w:val="center" w:leader="none" w:pos="4513"/>
        <w:tab w:val="right" w:leader="none" w:pos="9026"/>
      </w:tabs>
      <w:spacing w:line="240" w:lineRule="auto"/>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F">
    <w:pPr>
      <w:jc w:val="lef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jc w:val="center"/>
    </w:pPr>
    <w:rPr>
      <w:b w:val="1"/>
      <w:bCs w:val="1"/>
    </w:rPr>
  </w:style>
  <w:style w:type="paragraph" w:styleId="Heading2">
    <w:name w:val="heading 2"/>
    <w:basedOn w:val="Normal"/>
    <w:next w:val="Normal"/>
    <w:pPr>
      <w:keepNext w:val="1"/>
      <w:keepLines w:val="1"/>
      <w:spacing w:after="120" w:before="360" w:lineRule="auto"/>
    </w:pPr>
    <w:rPr>
      <w:b w:val="1"/>
      <w:bCs w:val="1"/>
    </w:rPr>
  </w:style>
  <w:style w:type="paragraph" w:styleId="Heading3">
    <w:name w:val="heading 3"/>
    <w:basedOn w:val="Normal"/>
    <w:next w:val="Normal"/>
    <w:pPr>
      <w:keepNext w:val="1"/>
      <w:keepLines w:val="1"/>
      <w:spacing w:after="80" w:before="320" w:lineRule="auto"/>
    </w:pPr>
    <w:rPr>
      <w:b w:val="1"/>
      <w:bCs w:val="1"/>
    </w:rPr>
  </w:style>
  <w:style w:type="paragraph" w:styleId="Heading4">
    <w:name w:val="heading 4"/>
    <w:basedOn w:val="Normal"/>
    <w:next w:val="Normal"/>
    <w:pPr>
      <w:keepNext w:val="1"/>
      <w:keepLines w:val="1"/>
      <w:spacing w:after="80" w:before="280" w:lineRule="auto"/>
    </w:pPr>
    <w:rPr>
      <w:b w:val="1"/>
      <w:bCs w:val="1"/>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3389/fsoc.2023.1267706" TargetMode="External"/><Relationship Id="rId22" Type="http://schemas.openxmlformats.org/officeDocument/2006/relationships/hyperlink" Target="https://www.mckinsey.com/capabilities/strategy-and-corporate-finance/how-we-help-clients/Strategic-Growth-and-Innovation" TargetMode="External"/><Relationship Id="rId21" Type="http://schemas.openxmlformats.org/officeDocument/2006/relationships/hyperlink" Target="https://doi.org/10.1002/9781394320769.ch5" TargetMode="External"/><Relationship Id="rId24" Type="http://schemas.openxmlformats.org/officeDocument/2006/relationships/hyperlink" Target="https://www.microsoft.com/en-us/worklab/work-trend-index/2025-the-year-the-frontier-firm-is-born" TargetMode="External"/><Relationship Id="rId23" Type="http://schemas.openxmlformats.org/officeDocument/2006/relationships/hyperlink" Target="https://www.simplypsychology.org/learning-kolb.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yomly.com/employee-engagement-statistics/" TargetMode="External"/><Relationship Id="rId26" Type="http://schemas.openxmlformats.org/officeDocument/2006/relationships/hyperlink" Target="https://doi.org/10.1111/caim.12468" TargetMode="External"/><Relationship Id="rId25" Type="http://schemas.openxmlformats.org/officeDocument/2006/relationships/hyperlink" Target="http://emergingsociety.org/index.php/efltajet/article/view/62" TargetMode="External"/><Relationship Id="rId28" Type="http://schemas.openxmlformats.org/officeDocument/2006/relationships/hyperlink" Target="https://reba.global/resource/8-ways-employee-rewards-and-recognition-impact-company-culture.html" TargetMode="External"/><Relationship Id="rId27" Type="http://schemas.openxmlformats.org/officeDocument/2006/relationships/hyperlink" Target="https://doi.org/10.69987/"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kjmr.com.pk/kjmr/article/view/38" TargetMode="External"/><Relationship Id="rId7" Type="http://schemas.openxmlformats.org/officeDocument/2006/relationships/image" Target="media/image1.png"/><Relationship Id="rId8" Type="http://schemas.openxmlformats.org/officeDocument/2006/relationships/image" Target="media/image3.png"/><Relationship Id="rId31" Type="http://schemas.openxmlformats.org/officeDocument/2006/relationships/hyperlink" Target="https://doi.org/10.1111/jpim.12798" TargetMode="External"/><Relationship Id="rId30" Type="http://schemas.openxmlformats.org/officeDocument/2006/relationships/hyperlink" Target="https://www.mckinsey.com/capabilities/people-and-organizational-performance/our-insights/building-a-learning-culture-that-drives-business-forward" TargetMode="External"/><Relationship Id="rId11" Type="http://schemas.openxmlformats.org/officeDocument/2006/relationships/hyperlink" Target="https://doi.org/10.1016/j.procs.2023.12.225" TargetMode="External"/><Relationship Id="rId33" Type="http://schemas.openxmlformats.org/officeDocument/2006/relationships/hyperlink" Target="https://doi.org/10.33830/jom.v21i1.9786.2025" TargetMode="External"/><Relationship Id="rId10" Type="http://schemas.openxmlformats.org/officeDocument/2006/relationships/hyperlink" Target="https://doi.org/10.53346/wjast.2022.2.1.0037" TargetMode="External"/><Relationship Id="rId32" Type="http://schemas.openxmlformats.org/officeDocument/2006/relationships/hyperlink" Target="https://doi.org/10.1002/cb.1969" TargetMode="External"/><Relationship Id="rId13" Type="http://schemas.openxmlformats.org/officeDocument/2006/relationships/hyperlink" Target="https://theeducationjournals.com/index.php/NJQIBE/article/view/138" TargetMode="External"/><Relationship Id="rId35" Type="http://schemas.openxmlformats.org/officeDocument/2006/relationships/footer" Target="footer1.xml"/><Relationship Id="rId12" Type="http://schemas.openxmlformats.org/officeDocument/2006/relationships/hyperlink" Target="https://www.theguardian.com/business/article/2024/jun/16/hybrid-working-makes-employees-happier-healthier-and-more-productive-study-shows" TargetMode="External"/><Relationship Id="rId34" Type="http://schemas.openxmlformats.org/officeDocument/2006/relationships/header" Target="header1.xml"/><Relationship Id="rId15" Type="http://schemas.openxmlformats.org/officeDocument/2006/relationships/hyperlink" Target="https://doi.org/10.54660/.ijmrge.2024.5.6.1601-1609" TargetMode="External"/><Relationship Id="rId14" Type="http://schemas.openxmlformats.org/officeDocument/2006/relationships/hyperlink" Target="https://doi.org/10.7906/indecs.20.4.4" TargetMode="External"/><Relationship Id="rId17" Type="http://schemas.openxmlformats.org/officeDocument/2006/relationships/hyperlink" Target="https://www.gartner.com/en/newsroom/press-releases/2024-05-14-gartner-survey-reveals-eighty-four-percent-of-marketers-report-experiencing-high-collaboration-drag-from-cross-functional-work" TargetMode="External"/><Relationship Id="rId16" Type="http://schemas.openxmlformats.org/officeDocument/2006/relationships/hyperlink" Target="https://www.gallup.com/workplace/349484/state-of-the-global-workplace.aspx" TargetMode="External"/><Relationship Id="rId19" Type="http://schemas.openxmlformats.org/officeDocument/2006/relationships/hyperlink" Target="https://www.eduresearchjournal.com/index.php/ijcmrs/article/download/85/77/196" TargetMode="External"/><Relationship Id="rId18" Type="http://schemas.openxmlformats.org/officeDocument/2006/relationships/hyperlink" Target="https://hbr.org/sponsored/2023/05/why-overhauling-internal-communications-could-be-your-greatest-revenue-dri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