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colors8.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charts/style8.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Arial" w:hAnsi="Arial" w:cs="Arial"/>
          <w:b/>
          <w:bCs/>
          <w:sz w:val="40"/>
          <w:szCs w:val="40"/>
        </w:rPr>
      </w:pPr>
      <w:r>
        <w:rPr>
          <w:rFonts w:ascii="Arial" w:hAnsi="Arial" w:cs="Arial"/>
          <w:b/>
          <w:bCs/>
          <w:sz w:val="40"/>
          <w:szCs w:val="40"/>
        </w:rPr>
        <w:t>Cover Page</w:t>
      </w: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hint="default" w:ascii="Arial" w:hAnsi="Arial" w:cs="Arial"/>
          <w:sz w:val="24"/>
          <w:szCs w:val="24"/>
          <w:lang w:val="en-GB"/>
        </w:rPr>
      </w:pPr>
      <w:r>
        <w:rPr>
          <w:rFonts w:ascii="Arial" w:hAnsi="Arial" w:cs="Arial"/>
          <w:sz w:val="24"/>
          <w:szCs w:val="24"/>
        </w:rPr>
        <w:t xml:space="preserve">Student number -  </w:t>
      </w:r>
      <w:r>
        <w:rPr>
          <w:rFonts w:hint="default" w:ascii="Arial" w:hAnsi="Arial" w:cs="Arial"/>
          <w:sz w:val="24"/>
          <w:szCs w:val="24"/>
          <w:lang w:val="en-GB"/>
        </w:rPr>
        <w:t>1906346</w:t>
      </w:r>
    </w:p>
    <w:p>
      <w:pPr>
        <w:spacing w:line="360" w:lineRule="auto"/>
        <w:rPr>
          <w:rFonts w:ascii="Arial" w:hAnsi="Arial" w:cs="Arial"/>
          <w:sz w:val="24"/>
          <w:szCs w:val="24"/>
        </w:rPr>
      </w:pPr>
      <w:r>
        <w:rPr>
          <w:rFonts w:ascii="Arial" w:hAnsi="Arial" w:cs="Arial"/>
          <w:sz w:val="24"/>
          <w:szCs w:val="24"/>
        </w:rPr>
        <w:t>Program: BA SOTAH – International Hotel Management</w:t>
      </w:r>
    </w:p>
    <w:p>
      <w:pPr>
        <w:spacing w:line="360" w:lineRule="auto"/>
        <w:rPr>
          <w:rFonts w:ascii="Arial" w:hAnsi="Arial" w:cs="Arial"/>
          <w:sz w:val="24"/>
          <w:szCs w:val="24"/>
        </w:rPr>
      </w:pPr>
      <w:r>
        <w:rPr>
          <w:rFonts w:ascii="Arial" w:hAnsi="Arial" w:cs="Arial"/>
          <w:sz w:val="24"/>
          <w:szCs w:val="24"/>
        </w:rPr>
        <w:t>Module code - BMIH5007</w:t>
      </w:r>
    </w:p>
    <w:p>
      <w:pPr>
        <w:spacing w:line="360" w:lineRule="auto"/>
        <w:rPr>
          <w:rFonts w:ascii="Arial" w:hAnsi="Arial" w:cs="Arial"/>
          <w:sz w:val="24"/>
          <w:szCs w:val="24"/>
        </w:rPr>
      </w:pPr>
      <w:r>
        <w:rPr>
          <w:rFonts w:ascii="Arial" w:hAnsi="Arial" w:cs="Arial"/>
          <w:sz w:val="24"/>
          <w:szCs w:val="24"/>
        </w:rPr>
        <w:t>Module name - Financial Management for the Hotel Industry</w:t>
      </w:r>
    </w:p>
    <w:p>
      <w:pPr>
        <w:spacing w:line="360" w:lineRule="auto"/>
        <w:rPr>
          <w:rFonts w:ascii="Arial" w:hAnsi="Arial" w:cs="Arial"/>
          <w:sz w:val="24"/>
          <w:szCs w:val="24"/>
        </w:rPr>
      </w:pPr>
      <w:r>
        <w:rPr>
          <w:rFonts w:ascii="Arial" w:hAnsi="Arial" w:cs="Arial"/>
          <w:sz w:val="24"/>
          <w:szCs w:val="24"/>
        </w:rPr>
        <w:t>Assignment title - Assignment 1: Hilton Hotel</w:t>
      </w:r>
    </w:p>
    <w:p>
      <w:pPr>
        <w:spacing w:line="360" w:lineRule="auto"/>
        <w:rPr>
          <w:rFonts w:hint="default" w:ascii="Arial" w:hAnsi="Arial" w:cs="Arial"/>
          <w:sz w:val="24"/>
          <w:szCs w:val="24"/>
          <w:lang w:val="en-GB"/>
        </w:rPr>
      </w:pPr>
      <w:r>
        <w:rPr>
          <w:rFonts w:ascii="Arial" w:hAnsi="Arial" w:cs="Arial"/>
          <w:sz w:val="24"/>
          <w:szCs w:val="24"/>
        </w:rPr>
        <w:t xml:space="preserve">Word count - </w:t>
      </w:r>
      <w:r>
        <w:rPr>
          <w:rFonts w:hint="default" w:ascii="Arial" w:hAnsi="Arial" w:cs="Arial"/>
          <w:sz w:val="24"/>
          <w:szCs w:val="24"/>
          <w:lang w:val="en-GB"/>
        </w:rPr>
        <w:t>1630</w:t>
      </w:r>
      <w:bookmarkStart w:id="16" w:name="_GoBack"/>
      <w:bookmarkEnd w:id="16"/>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sdt>
      <w:sdtPr>
        <w:rPr>
          <w:rFonts w:ascii="Arial" w:hAnsi="Arial" w:cs="Arial" w:eastAsiaTheme="minorHAnsi"/>
          <w:b/>
          <w:bCs/>
          <w:color w:val="auto"/>
          <w:sz w:val="22"/>
          <w:szCs w:val="22"/>
        </w:rPr>
        <w:id w:val="-1958485684"/>
        <w:docPartObj>
          <w:docPartGallery w:val="Table of Contents"/>
          <w:docPartUnique/>
        </w:docPartObj>
      </w:sdtPr>
      <w:sdtEndPr>
        <w:rPr>
          <w:rFonts w:ascii="Arial" w:hAnsi="Arial" w:cs="Arial" w:eastAsiaTheme="minorHAnsi"/>
          <w:b/>
          <w:bCs/>
          <w:color w:val="auto"/>
          <w:sz w:val="24"/>
          <w:szCs w:val="24"/>
        </w:rPr>
      </w:sdtEndPr>
      <w:sdtContent>
        <w:p>
          <w:pPr>
            <w:pStyle w:val="11"/>
            <w:spacing w:line="360" w:lineRule="auto"/>
            <w:jc w:val="center"/>
            <w:rPr>
              <w:rFonts w:ascii="Arial" w:hAnsi="Arial" w:cs="Arial"/>
              <w:b/>
              <w:bCs/>
              <w:color w:val="auto"/>
            </w:rPr>
          </w:pPr>
          <w:r>
            <w:rPr>
              <w:rFonts w:ascii="Arial" w:hAnsi="Arial" w:cs="Arial"/>
              <w:b/>
              <w:bCs/>
              <w:color w:val="auto"/>
            </w:rPr>
            <w:t>Contents</w:t>
          </w:r>
        </w:p>
        <w:p>
          <w:pPr>
            <w:pStyle w:val="7"/>
            <w:tabs>
              <w:tab w:val="right" w:leader="dot" w:pos="9350"/>
            </w:tabs>
            <w:rPr>
              <w:rFonts w:cstheme="minorBidi"/>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r>
            <w:fldChar w:fldCharType="begin"/>
          </w:r>
          <w:r>
            <w:instrText xml:space="preserve"> HYPERLINK \l "_Toc104119062" </w:instrText>
          </w:r>
          <w:r>
            <w:fldChar w:fldCharType="separate"/>
          </w:r>
          <w:r>
            <w:rPr>
              <w:rStyle w:val="6"/>
              <w:rFonts w:ascii="Arial" w:hAnsi="Arial" w:cs="Arial"/>
              <w:b/>
              <w:bCs/>
            </w:rPr>
            <w:t>Executive Summary</w:t>
          </w:r>
          <w:r>
            <w:tab/>
          </w:r>
          <w:r>
            <w:fldChar w:fldCharType="begin"/>
          </w:r>
          <w:r>
            <w:instrText xml:space="preserve"> PAGEREF _Toc104119062 \h </w:instrText>
          </w:r>
          <w:r>
            <w:fldChar w:fldCharType="separate"/>
          </w:r>
          <w:r>
            <w:t>3</w:t>
          </w:r>
          <w:r>
            <w:fldChar w:fldCharType="end"/>
          </w:r>
          <w:r>
            <w:fldChar w:fldCharType="end"/>
          </w:r>
        </w:p>
        <w:p>
          <w:pPr>
            <w:pStyle w:val="7"/>
            <w:tabs>
              <w:tab w:val="right" w:leader="dot" w:pos="9350"/>
            </w:tabs>
            <w:rPr>
              <w:rFonts w:cstheme="minorBidi"/>
            </w:rPr>
          </w:pPr>
          <w:r>
            <w:fldChar w:fldCharType="begin"/>
          </w:r>
          <w:r>
            <w:instrText xml:space="preserve"> HYPERLINK \l "_Toc104119063" </w:instrText>
          </w:r>
          <w:r>
            <w:fldChar w:fldCharType="separate"/>
          </w:r>
          <w:r>
            <w:rPr>
              <w:rStyle w:val="6"/>
              <w:rFonts w:ascii="Arial" w:hAnsi="Arial" w:cs="Arial"/>
              <w:b/>
              <w:bCs/>
            </w:rPr>
            <w:t>Introduction aim and methodology</w:t>
          </w:r>
          <w:r>
            <w:tab/>
          </w:r>
          <w:r>
            <w:fldChar w:fldCharType="begin"/>
          </w:r>
          <w:r>
            <w:instrText xml:space="preserve"> PAGEREF _Toc104119063 \h </w:instrText>
          </w:r>
          <w:r>
            <w:fldChar w:fldCharType="separate"/>
          </w:r>
          <w:r>
            <w:t>3</w:t>
          </w:r>
          <w:r>
            <w:fldChar w:fldCharType="end"/>
          </w:r>
          <w:r>
            <w:fldChar w:fldCharType="end"/>
          </w:r>
        </w:p>
        <w:p>
          <w:pPr>
            <w:pStyle w:val="8"/>
            <w:tabs>
              <w:tab w:val="right" w:leader="dot" w:pos="9350"/>
            </w:tabs>
            <w:rPr>
              <w:rFonts w:cstheme="minorBidi"/>
            </w:rPr>
          </w:pPr>
          <w:r>
            <w:fldChar w:fldCharType="begin"/>
          </w:r>
          <w:r>
            <w:instrText xml:space="preserve"> HYPERLINK \l "_Toc104119064" </w:instrText>
          </w:r>
          <w:r>
            <w:fldChar w:fldCharType="separate"/>
          </w:r>
          <w:r>
            <w:rPr>
              <w:rStyle w:val="6"/>
              <w:rFonts w:ascii="Arial" w:hAnsi="Arial" w:cs="Arial"/>
            </w:rPr>
            <w:t>Profitability:</w:t>
          </w:r>
          <w:r>
            <w:tab/>
          </w:r>
          <w:r>
            <w:fldChar w:fldCharType="begin"/>
          </w:r>
          <w:r>
            <w:instrText xml:space="preserve"> PAGEREF _Toc104119064 \h </w:instrText>
          </w:r>
          <w:r>
            <w:fldChar w:fldCharType="separate"/>
          </w:r>
          <w:r>
            <w:t>3</w:t>
          </w:r>
          <w:r>
            <w:fldChar w:fldCharType="end"/>
          </w:r>
          <w:r>
            <w:fldChar w:fldCharType="end"/>
          </w:r>
        </w:p>
        <w:p>
          <w:pPr>
            <w:pStyle w:val="8"/>
            <w:tabs>
              <w:tab w:val="right" w:leader="dot" w:pos="9350"/>
            </w:tabs>
            <w:rPr>
              <w:rFonts w:cstheme="minorBidi"/>
            </w:rPr>
          </w:pPr>
          <w:r>
            <w:fldChar w:fldCharType="begin"/>
          </w:r>
          <w:r>
            <w:instrText xml:space="preserve"> HYPERLINK \l "_Toc104119065" </w:instrText>
          </w:r>
          <w:r>
            <w:fldChar w:fldCharType="separate"/>
          </w:r>
          <w:r>
            <w:rPr>
              <w:rStyle w:val="6"/>
              <w:rFonts w:ascii="Arial" w:hAnsi="Arial" w:cs="Arial"/>
            </w:rPr>
            <w:t>Liquidity:</w:t>
          </w:r>
          <w:r>
            <w:tab/>
          </w:r>
          <w:r>
            <w:fldChar w:fldCharType="begin"/>
          </w:r>
          <w:r>
            <w:instrText xml:space="preserve"> PAGEREF _Toc104119065 \h </w:instrText>
          </w:r>
          <w:r>
            <w:fldChar w:fldCharType="separate"/>
          </w:r>
          <w:r>
            <w:t>4</w:t>
          </w:r>
          <w:r>
            <w:fldChar w:fldCharType="end"/>
          </w:r>
          <w:r>
            <w:fldChar w:fldCharType="end"/>
          </w:r>
        </w:p>
        <w:p>
          <w:pPr>
            <w:pStyle w:val="8"/>
            <w:tabs>
              <w:tab w:val="right" w:leader="dot" w:pos="9350"/>
            </w:tabs>
            <w:rPr>
              <w:rFonts w:cstheme="minorBidi"/>
            </w:rPr>
          </w:pPr>
          <w:r>
            <w:fldChar w:fldCharType="begin"/>
          </w:r>
          <w:r>
            <w:instrText xml:space="preserve"> HYPERLINK \l "_Toc104119066" </w:instrText>
          </w:r>
          <w:r>
            <w:fldChar w:fldCharType="separate"/>
          </w:r>
          <w:r>
            <w:rPr>
              <w:rStyle w:val="6"/>
              <w:rFonts w:ascii="Arial" w:hAnsi="Arial" w:cs="Arial"/>
            </w:rPr>
            <w:t>Efficiency:</w:t>
          </w:r>
          <w:r>
            <w:tab/>
          </w:r>
          <w:r>
            <w:fldChar w:fldCharType="begin"/>
          </w:r>
          <w:r>
            <w:instrText xml:space="preserve"> PAGEREF _Toc104119066 \h </w:instrText>
          </w:r>
          <w:r>
            <w:fldChar w:fldCharType="separate"/>
          </w:r>
          <w:r>
            <w:t>4</w:t>
          </w:r>
          <w:r>
            <w:fldChar w:fldCharType="end"/>
          </w:r>
          <w:r>
            <w:fldChar w:fldCharType="end"/>
          </w:r>
        </w:p>
        <w:p>
          <w:pPr>
            <w:pStyle w:val="7"/>
            <w:tabs>
              <w:tab w:val="right" w:leader="dot" w:pos="9350"/>
            </w:tabs>
            <w:rPr>
              <w:rFonts w:cstheme="minorBidi"/>
            </w:rPr>
          </w:pPr>
          <w:r>
            <w:fldChar w:fldCharType="begin"/>
          </w:r>
          <w:r>
            <w:instrText xml:space="preserve"> HYPERLINK \l "_Toc104119067" </w:instrText>
          </w:r>
          <w:r>
            <w:fldChar w:fldCharType="separate"/>
          </w:r>
          <w:r>
            <w:rPr>
              <w:rStyle w:val="6"/>
              <w:rFonts w:ascii="Arial" w:hAnsi="Arial" w:cs="Arial"/>
              <w:b/>
              <w:bCs/>
            </w:rPr>
            <w:t>Data analysis / numerical investigation</w:t>
          </w:r>
          <w:r>
            <w:tab/>
          </w:r>
          <w:r>
            <w:fldChar w:fldCharType="begin"/>
          </w:r>
          <w:r>
            <w:instrText xml:space="preserve"> PAGEREF _Toc104119067 \h </w:instrText>
          </w:r>
          <w:r>
            <w:fldChar w:fldCharType="separate"/>
          </w:r>
          <w:r>
            <w:t>6</w:t>
          </w:r>
          <w:r>
            <w:fldChar w:fldCharType="end"/>
          </w:r>
          <w:r>
            <w:fldChar w:fldCharType="end"/>
          </w:r>
        </w:p>
        <w:p>
          <w:pPr>
            <w:pStyle w:val="7"/>
            <w:tabs>
              <w:tab w:val="right" w:leader="dot" w:pos="9350"/>
            </w:tabs>
            <w:rPr>
              <w:rFonts w:cstheme="minorBidi"/>
            </w:rPr>
          </w:pPr>
          <w:r>
            <w:fldChar w:fldCharType="begin"/>
          </w:r>
          <w:r>
            <w:instrText xml:space="preserve"> HYPERLINK \l "_Toc104119068" </w:instrText>
          </w:r>
          <w:r>
            <w:fldChar w:fldCharType="separate"/>
          </w:r>
          <w:r>
            <w:rPr>
              <w:rStyle w:val="6"/>
              <w:rFonts w:ascii="Arial" w:hAnsi="Arial" w:cs="Arial"/>
              <w:b/>
              <w:bCs/>
            </w:rPr>
            <w:t>Findings, analysis, interpretation of results and conclusion</w:t>
          </w:r>
          <w:r>
            <w:tab/>
          </w:r>
          <w:r>
            <w:fldChar w:fldCharType="begin"/>
          </w:r>
          <w:r>
            <w:instrText xml:space="preserve"> PAGEREF _Toc104119068 \h </w:instrText>
          </w:r>
          <w:r>
            <w:fldChar w:fldCharType="separate"/>
          </w:r>
          <w:r>
            <w:t>6</w:t>
          </w:r>
          <w:r>
            <w:fldChar w:fldCharType="end"/>
          </w:r>
          <w:r>
            <w:fldChar w:fldCharType="end"/>
          </w:r>
        </w:p>
        <w:p>
          <w:pPr>
            <w:pStyle w:val="8"/>
            <w:tabs>
              <w:tab w:val="right" w:leader="dot" w:pos="9350"/>
            </w:tabs>
            <w:rPr>
              <w:rFonts w:cstheme="minorBidi"/>
            </w:rPr>
          </w:pPr>
          <w:r>
            <w:fldChar w:fldCharType="begin"/>
          </w:r>
          <w:r>
            <w:instrText xml:space="preserve"> HYPERLINK \l "_Toc104119069" </w:instrText>
          </w:r>
          <w:r>
            <w:fldChar w:fldCharType="separate"/>
          </w:r>
          <w:r>
            <w:rPr>
              <w:rStyle w:val="6"/>
              <w:rFonts w:ascii="Arial" w:hAnsi="Arial" w:cs="Arial"/>
            </w:rPr>
            <w:t>Profitability</w:t>
          </w:r>
          <w:r>
            <w:tab/>
          </w:r>
          <w:r>
            <w:fldChar w:fldCharType="begin"/>
          </w:r>
          <w:r>
            <w:instrText xml:space="preserve"> PAGEREF _Toc104119069 \h </w:instrText>
          </w:r>
          <w:r>
            <w:fldChar w:fldCharType="separate"/>
          </w:r>
          <w:r>
            <w:t>6</w:t>
          </w:r>
          <w:r>
            <w:fldChar w:fldCharType="end"/>
          </w:r>
          <w:r>
            <w:fldChar w:fldCharType="end"/>
          </w:r>
        </w:p>
        <w:p>
          <w:pPr>
            <w:pStyle w:val="8"/>
            <w:tabs>
              <w:tab w:val="right" w:leader="dot" w:pos="9350"/>
            </w:tabs>
            <w:rPr>
              <w:rFonts w:cstheme="minorBidi"/>
            </w:rPr>
          </w:pPr>
          <w:r>
            <w:fldChar w:fldCharType="begin"/>
          </w:r>
          <w:r>
            <w:instrText xml:space="preserve"> HYPERLINK \l "_Toc104119070" </w:instrText>
          </w:r>
          <w:r>
            <w:fldChar w:fldCharType="separate"/>
          </w:r>
          <w:r>
            <w:rPr>
              <w:rStyle w:val="6"/>
              <w:rFonts w:ascii="Arial" w:hAnsi="Arial" w:cs="Arial"/>
            </w:rPr>
            <w:t>Liquidity</w:t>
          </w:r>
          <w:r>
            <w:tab/>
          </w:r>
          <w:r>
            <w:fldChar w:fldCharType="begin"/>
          </w:r>
          <w:r>
            <w:instrText xml:space="preserve"> PAGEREF _Toc104119070 \h </w:instrText>
          </w:r>
          <w:r>
            <w:fldChar w:fldCharType="separate"/>
          </w:r>
          <w:r>
            <w:t>8</w:t>
          </w:r>
          <w:r>
            <w:fldChar w:fldCharType="end"/>
          </w:r>
          <w:r>
            <w:fldChar w:fldCharType="end"/>
          </w:r>
        </w:p>
        <w:p>
          <w:pPr>
            <w:pStyle w:val="8"/>
            <w:tabs>
              <w:tab w:val="right" w:leader="dot" w:pos="9350"/>
            </w:tabs>
            <w:rPr>
              <w:rFonts w:cstheme="minorBidi"/>
            </w:rPr>
          </w:pPr>
          <w:r>
            <w:fldChar w:fldCharType="begin"/>
          </w:r>
          <w:r>
            <w:instrText xml:space="preserve"> HYPERLINK \l "_Toc104119071" </w:instrText>
          </w:r>
          <w:r>
            <w:fldChar w:fldCharType="separate"/>
          </w:r>
          <w:r>
            <w:rPr>
              <w:rStyle w:val="6"/>
              <w:rFonts w:ascii="Arial" w:hAnsi="Arial" w:cs="Arial"/>
            </w:rPr>
            <w:t>Efficiency</w:t>
          </w:r>
          <w:r>
            <w:tab/>
          </w:r>
          <w:r>
            <w:fldChar w:fldCharType="begin"/>
          </w:r>
          <w:r>
            <w:instrText xml:space="preserve"> PAGEREF _Toc104119071 \h </w:instrText>
          </w:r>
          <w:r>
            <w:fldChar w:fldCharType="separate"/>
          </w:r>
          <w:r>
            <w:t>8</w:t>
          </w:r>
          <w:r>
            <w:fldChar w:fldCharType="end"/>
          </w:r>
          <w:r>
            <w:fldChar w:fldCharType="end"/>
          </w:r>
        </w:p>
        <w:p>
          <w:pPr>
            <w:pStyle w:val="7"/>
            <w:tabs>
              <w:tab w:val="right" w:leader="dot" w:pos="9350"/>
            </w:tabs>
            <w:rPr>
              <w:rFonts w:cstheme="minorBidi"/>
            </w:rPr>
          </w:pPr>
          <w:r>
            <w:fldChar w:fldCharType="begin"/>
          </w:r>
          <w:r>
            <w:instrText xml:space="preserve"> HYPERLINK \l "_Toc104119072" </w:instrText>
          </w:r>
          <w:r>
            <w:fldChar w:fldCharType="separate"/>
          </w:r>
          <w:r>
            <w:rPr>
              <w:rStyle w:val="6"/>
              <w:rFonts w:ascii="Arial" w:hAnsi="Arial" w:cs="Arial"/>
              <w:b/>
              <w:bCs/>
            </w:rPr>
            <w:t>Usefulness of ratio analysis</w:t>
          </w:r>
          <w:r>
            <w:tab/>
          </w:r>
          <w:r>
            <w:fldChar w:fldCharType="begin"/>
          </w:r>
          <w:r>
            <w:instrText xml:space="preserve"> PAGEREF _Toc104119072 \h </w:instrText>
          </w:r>
          <w:r>
            <w:fldChar w:fldCharType="separate"/>
          </w:r>
          <w:r>
            <w:t>11</w:t>
          </w:r>
          <w:r>
            <w:fldChar w:fldCharType="end"/>
          </w:r>
          <w:r>
            <w:fldChar w:fldCharType="end"/>
          </w:r>
        </w:p>
        <w:p>
          <w:pPr>
            <w:pStyle w:val="7"/>
            <w:tabs>
              <w:tab w:val="right" w:leader="dot" w:pos="9350"/>
            </w:tabs>
            <w:rPr>
              <w:rFonts w:cstheme="minorBidi"/>
            </w:rPr>
          </w:pPr>
          <w:r>
            <w:fldChar w:fldCharType="begin"/>
          </w:r>
          <w:r>
            <w:instrText xml:space="preserve"> HYPERLINK \l "_Toc104119073" </w:instrText>
          </w:r>
          <w:r>
            <w:fldChar w:fldCharType="separate"/>
          </w:r>
          <w:r>
            <w:rPr>
              <w:rStyle w:val="6"/>
              <w:rFonts w:ascii="Arial" w:hAnsi="Arial" w:cs="Arial"/>
              <w:b/>
              <w:bCs/>
            </w:rPr>
            <w:t>Limitations of ratio analysis</w:t>
          </w:r>
          <w:r>
            <w:tab/>
          </w:r>
          <w:r>
            <w:fldChar w:fldCharType="begin"/>
          </w:r>
          <w:r>
            <w:instrText xml:space="preserve"> PAGEREF _Toc104119073 \h </w:instrText>
          </w:r>
          <w:r>
            <w:fldChar w:fldCharType="separate"/>
          </w:r>
          <w:r>
            <w:t>11</w:t>
          </w:r>
          <w:r>
            <w:fldChar w:fldCharType="end"/>
          </w:r>
          <w:r>
            <w:fldChar w:fldCharType="end"/>
          </w:r>
        </w:p>
        <w:p>
          <w:pPr>
            <w:pStyle w:val="7"/>
            <w:tabs>
              <w:tab w:val="right" w:leader="dot" w:pos="9350"/>
            </w:tabs>
            <w:rPr>
              <w:rFonts w:cstheme="minorBidi"/>
            </w:rPr>
          </w:pPr>
          <w:r>
            <w:fldChar w:fldCharType="begin"/>
          </w:r>
          <w:r>
            <w:instrText xml:space="preserve"> HYPERLINK \l "_Toc104119074" </w:instrText>
          </w:r>
          <w:r>
            <w:fldChar w:fldCharType="separate"/>
          </w:r>
          <w:r>
            <w:rPr>
              <w:rStyle w:val="6"/>
              <w:rFonts w:ascii="Arial" w:hAnsi="Arial" w:cs="Arial"/>
              <w:b/>
              <w:bCs/>
            </w:rPr>
            <w:t>Conclusion</w:t>
          </w:r>
          <w:r>
            <w:tab/>
          </w:r>
          <w:r>
            <w:fldChar w:fldCharType="begin"/>
          </w:r>
          <w:r>
            <w:instrText xml:space="preserve"> PAGEREF _Toc104119074 \h </w:instrText>
          </w:r>
          <w:r>
            <w:fldChar w:fldCharType="separate"/>
          </w:r>
          <w:r>
            <w:t>12</w:t>
          </w:r>
          <w:r>
            <w:fldChar w:fldCharType="end"/>
          </w:r>
          <w:r>
            <w:fldChar w:fldCharType="end"/>
          </w:r>
        </w:p>
        <w:p>
          <w:pPr>
            <w:pStyle w:val="7"/>
            <w:tabs>
              <w:tab w:val="right" w:leader="dot" w:pos="9350"/>
            </w:tabs>
            <w:rPr>
              <w:rFonts w:cstheme="minorBidi"/>
            </w:rPr>
          </w:pPr>
          <w:r>
            <w:fldChar w:fldCharType="begin"/>
          </w:r>
          <w:r>
            <w:instrText xml:space="preserve"> HYPERLINK \l "_Toc104119075" </w:instrText>
          </w:r>
          <w:r>
            <w:fldChar w:fldCharType="separate"/>
          </w:r>
          <w:r>
            <w:rPr>
              <w:rStyle w:val="6"/>
              <w:rFonts w:ascii="Arial" w:hAnsi="Arial" w:cs="Arial"/>
              <w:b/>
              <w:bCs/>
            </w:rPr>
            <w:t>References</w:t>
          </w:r>
          <w:r>
            <w:tab/>
          </w:r>
          <w:r>
            <w:fldChar w:fldCharType="begin"/>
          </w:r>
          <w:r>
            <w:instrText xml:space="preserve"> PAGEREF _Toc104119075 \h </w:instrText>
          </w:r>
          <w:r>
            <w:fldChar w:fldCharType="separate"/>
          </w:r>
          <w:r>
            <w:t>12</w:t>
          </w:r>
          <w:r>
            <w:fldChar w:fldCharType="end"/>
          </w:r>
          <w:r>
            <w:fldChar w:fldCharType="end"/>
          </w:r>
        </w:p>
        <w:p>
          <w:pPr>
            <w:spacing w:line="360" w:lineRule="auto"/>
            <w:rPr>
              <w:rFonts w:ascii="Arial" w:hAnsi="Arial" w:cs="Arial"/>
              <w:sz w:val="24"/>
              <w:szCs w:val="24"/>
            </w:rPr>
          </w:pPr>
          <w:r>
            <w:rPr>
              <w:rFonts w:ascii="Arial" w:hAnsi="Arial" w:cs="Arial"/>
              <w:b/>
              <w:bCs/>
              <w:sz w:val="24"/>
              <w:szCs w:val="24"/>
            </w:rPr>
            <w:fldChar w:fldCharType="end"/>
          </w:r>
        </w:p>
      </w:sdtContent>
    </w:sdt>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p>
    <w:p>
      <w:pPr>
        <w:pStyle w:val="2"/>
        <w:spacing w:line="360" w:lineRule="auto"/>
        <w:rPr>
          <w:rFonts w:ascii="Arial" w:hAnsi="Arial" w:cs="Arial"/>
          <w:b/>
          <w:bCs/>
          <w:color w:val="auto"/>
          <w:sz w:val="24"/>
          <w:szCs w:val="24"/>
        </w:rPr>
      </w:pPr>
      <w:bookmarkStart w:id="0" w:name="_Toc104119062"/>
      <w:r>
        <w:rPr>
          <w:rFonts w:ascii="Arial" w:hAnsi="Arial" w:cs="Arial"/>
          <w:b/>
          <w:bCs/>
          <w:color w:val="auto"/>
          <w:sz w:val="24"/>
          <w:szCs w:val="24"/>
        </w:rPr>
        <w:t>Executive Summary</w:t>
      </w:r>
      <w:bookmarkEnd w:id="0"/>
    </w:p>
    <w:p>
      <w:pPr>
        <w:spacing w:line="360" w:lineRule="auto"/>
        <w:rPr>
          <w:rFonts w:ascii="Arial" w:hAnsi="Arial" w:cs="Arial"/>
          <w:sz w:val="24"/>
          <w:szCs w:val="24"/>
        </w:rPr>
      </w:pPr>
      <w:r>
        <w:rPr>
          <w:rFonts w:ascii="Arial" w:hAnsi="Arial" w:cs="Arial"/>
          <w:sz w:val="24"/>
          <w:szCs w:val="24"/>
        </w:rPr>
        <w:t>Tourism industry is a peak source of foreign earnings as well as domestic, for instance in USA it is 3</w:t>
      </w:r>
      <w:r>
        <w:rPr>
          <w:rFonts w:ascii="Arial" w:hAnsi="Arial" w:cs="Arial"/>
          <w:sz w:val="24"/>
          <w:szCs w:val="24"/>
          <w:vertAlign w:val="superscript"/>
        </w:rPr>
        <w:t>rd</w:t>
      </w:r>
      <w:r>
        <w:rPr>
          <w:rFonts w:ascii="Arial" w:hAnsi="Arial" w:cs="Arial"/>
          <w:sz w:val="24"/>
          <w:szCs w:val="24"/>
        </w:rPr>
        <w:t xml:space="preserve"> largest retail industry (Tanji, 2012). As per data survey, France’s tourism industry is at very large with 61.7m visits in 2017 (Lock, 2021). Hilton Worldwide Holdings Inc is a reputed corporation in the hotel and tourism industry with well class brand image and reputation (Hilton, 2021). This report will demonstrate an overview of the financial performance of Hilton with the aid of various financial parameters.</w:t>
      </w:r>
    </w:p>
    <w:p>
      <w:pPr>
        <w:pStyle w:val="2"/>
        <w:spacing w:line="360" w:lineRule="auto"/>
        <w:rPr>
          <w:rFonts w:ascii="Arial" w:hAnsi="Arial" w:cs="Arial"/>
          <w:b/>
          <w:bCs/>
          <w:color w:val="auto"/>
          <w:sz w:val="24"/>
          <w:szCs w:val="24"/>
        </w:rPr>
      </w:pPr>
      <w:bookmarkStart w:id="1" w:name="_Toc104119063"/>
      <w:r>
        <w:rPr>
          <w:rFonts w:ascii="Arial" w:hAnsi="Arial" w:cs="Arial"/>
          <w:b/>
          <w:bCs/>
          <w:color w:val="auto"/>
          <w:sz w:val="24"/>
          <w:szCs w:val="24"/>
        </w:rPr>
        <w:t>Introduction aim and methodology</w:t>
      </w:r>
      <w:bookmarkEnd w:id="1"/>
    </w:p>
    <w:p>
      <w:pPr>
        <w:spacing w:line="360" w:lineRule="auto"/>
        <w:rPr>
          <w:rFonts w:ascii="Arial" w:hAnsi="Arial" w:cs="Arial"/>
          <w:sz w:val="24"/>
          <w:szCs w:val="24"/>
        </w:rPr>
      </w:pPr>
      <w:r>
        <w:rPr>
          <w:rFonts w:ascii="Arial" w:hAnsi="Arial" w:cs="Arial"/>
          <w:sz w:val="24"/>
          <w:szCs w:val="24"/>
        </w:rPr>
        <w:t>Financial analysis consists of scrutiny of financial accounts and identify various trends as well as signs to conclude the performance of a company. Financial accounts and audit report plays an important role in this overall analysis. For a moderate analysis to take place various sectors are analyzed and evaluated. For the purpose of this analysis, the assessment will be broken down into three segments: profitability ratio, liquidity ratio, efficiency ratios.</w:t>
      </w:r>
    </w:p>
    <w:p>
      <w:pPr>
        <w:pStyle w:val="3"/>
        <w:rPr>
          <w:rFonts w:ascii="Arial" w:hAnsi="Arial" w:cs="Arial"/>
          <w:color w:val="auto"/>
          <w:sz w:val="24"/>
          <w:szCs w:val="24"/>
          <w:u w:val="single"/>
        </w:rPr>
      </w:pPr>
      <w:bookmarkStart w:id="2" w:name="_Toc104119064"/>
      <w:r>
        <w:rPr>
          <w:rFonts w:ascii="Arial" w:hAnsi="Arial" w:cs="Arial"/>
          <w:color w:val="auto"/>
          <w:sz w:val="24"/>
          <w:szCs w:val="24"/>
          <w:u w:val="single"/>
        </w:rPr>
        <w:t>Profitability:</w:t>
      </w:r>
      <w:bookmarkEnd w:id="2"/>
    </w:p>
    <w:p>
      <w:pPr>
        <w:spacing w:line="360" w:lineRule="auto"/>
        <w:rPr>
          <w:rFonts w:ascii="Arial" w:hAnsi="Arial" w:cs="Arial"/>
          <w:sz w:val="24"/>
          <w:szCs w:val="24"/>
        </w:rPr>
      </w:pPr>
      <w:bookmarkStart w:id="3" w:name="_Hlk104029350"/>
      <w:r>
        <w:rPr>
          <w:rFonts w:ascii="Arial" w:hAnsi="Arial" w:cs="Arial"/>
          <w:sz w:val="24"/>
          <w:szCs w:val="24"/>
        </w:rPr>
        <w:t>Gross Profit Margin (GPM)</w:t>
      </w:r>
    </w:p>
    <w:p>
      <w:pPr>
        <w:spacing w:line="360" w:lineRule="auto"/>
        <w:rPr>
          <w:rFonts w:ascii="Arial" w:hAnsi="Arial" w:cs="Arial"/>
          <w:sz w:val="24"/>
          <w:szCs w:val="24"/>
        </w:rPr>
      </w:pPr>
      <w:r>
        <w:rPr>
          <w:rFonts w:ascii="Arial" w:hAnsi="Arial" w:cs="Arial"/>
          <w:sz w:val="24"/>
          <w:szCs w:val="24"/>
        </w:rPr>
        <w:t>This ratio calculates how much profit a company makes on its sales revenue (Horngren, 2014). A higher GPM indicates a proper cost control in manufacturing of products.</w:t>
      </w:r>
    </w:p>
    <w:p>
      <w:pPr>
        <w:rPr>
          <w:rFonts w:eastAsiaTheme="minorEastAsia"/>
          <w:sz w:val="24"/>
          <w:szCs w:val="24"/>
        </w:rPr>
      </w:pPr>
      <m:oMathPara>
        <m:oMath>
          <m:f>
            <m:fPr>
              <m:ctrlPr>
                <w:rPr>
                  <w:rFonts w:ascii="Cambria Math" w:hAnsi="Cambria Math"/>
                  <w:i/>
                  <w:sz w:val="24"/>
                  <w:szCs w:val="24"/>
                </w:rPr>
              </m:ctrlPr>
            </m:fPr>
            <m:num>
              <m:r>
                <m:rPr/>
                <w:rPr>
                  <w:rFonts w:ascii="Cambria Math" w:hAnsi="Cambria Math"/>
                  <w:sz w:val="24"/>
                  <w:szCs w:val="24"/>
                </w:rPr>
                <m:t>Gross profit</m:t>
              </m:r>
              <m:ctrlPr>
                <w:rPr>
                  <w:rFonts w:ascii="Cambria Math" w:hAnsi="Cambria Math"/>
                  <w:i/>
                  <w:sz w:val="24"/>
                  <w:szCs w:val="24"/>
                </w:rPr>
              </m:ctrlPr>
            </m:num>
            <m:den>
              <m:r>
                <m:rPr/>
                <w:rPr>
                  <w:rFonts w:ascii="Cambria Math" w:hAnsi="Cambria Math"/>
                  <w:sz w:val="24"/>
                  <w:szCs w:val="24"/>
                </w:rPr>
                <m:t>Sales</m:t>
              </m:r>
              <m:ctrlPr>
                <w:rPr>
                  <w:rFonts w:ascii="Cambria Math" w:hAnsi="Cambria Math"/>
                  <w:i/>
                  <w:sz w:val="24"/>
                  <w:szCs w:val="24"/>
                </w:rPr>
              </m:ctrlPr>
            </m:den>
          </m:f>
          <m:r>
            <m:rPr/>
            <w:rPr>
              <w:rFonts w:ascii="Cambria Math" w:hAnsi="Cambria Math"/>
              <w:sz w:val="24"/>
              <w:szCs w:val="24"/>
            </w:rPr>
            <m:t xml:space="preserve"> ×100</m:t>
          </m:r>
        </m:oMath>
      </m:oMathPara>
    </w:p>
    <w:bookmarkEnd w:id="3"/>
    <w:p>
      <w:pPr>
        <w:spacing w:line="360" w:lineRule="auto"/>
        <w:rPr>
          <w:rFonts w:ascii="Arial" w:hAnsi="Arial" w:cs="Arial"/>
          <w:sz w:val="24"/>
          <w:szCs w:val="24"/>
        </w:rPr>
      </w:pPr>
    </w:p>
    <w:p>
      <w:pPr>
        <w:spacing w:line="360" w:lineRule="auto"/>
        <w:rPr>
          <w:rFonts w:ascii="Arial" w:hAnsi="Arial" w:cs="Arial"/>
          <w:sz w:val="24"/>
          <w:szCs w:val="24"/>
        </w:rPr>
      </w:pPr>
      <w:r>
        <w:rPr>
          <w:rFonts w:ascii="Arial" w:hAnsi="Arial" w:cs="Arial"/>
          <w:sz w:val="24"/>
          <w:szCs w:val="24"/>
        </w:rPr>
        <w:t>Net Profit Margin (NPM)</w:t>
      </w:r>
    </w:p>
    <w:p>
      <w:pPr>
        <w:spacing w:line="360" w:lineRule="auto"/>
        <w:rPr>
          <w:rFonts w:ascii="Arial" w:hAnsi="Arial" w:cs="Arial"/>
          <w:sz w:val="24"/>
          <w:szCs w:val="24"/>
        </w:rPr>
      </w:pPr>
      <w:r>
        <w:rPr>
          <w:rFonts w:ascii="Arial" w:hAnsi="Arial" w:cs="Arial"/>
          <w:sz w:val="24"/>
          <w:szCs w:val="24"/>
        </w:rPr>
        <w:t>Net profit margin calculates how much profit a company made net of its expenses as a percentage of sales revenue (Kieso, Weygandt and Warfield, 2018). This ratio indicates a company’s expense control.</w:t>
      </w:r>
    </w:p>
    <w:p>
      <w:pPr>
        <w:rPr>
          <w:rFonts w:eastAsiaTheme="minorEastAsia"/>
          <w:sz w:val="24"/>
          <w:szCs w:val="24"/>
        </w:rPr>
      </w:pPr>
      <m:oMathPara>
        <m:oMath>
          <m:f>
            <m:fPr>
              <m:ctrlPr>
                <w:rPr>
                  <w:rFonts w:ascii="Cambria Math" w:hAnsi="Cambria Math"/>
                  <w:i/>
                  <w:sz w:val="24"/>
                  <w:szCs w:val="24"/>
                </w:rPr>
              </m:ctrlPr>
            </m:fPr>
            <m:num>
              <m:r>
                <m:rPr/>
                <w:rPr>
                  <w:rFonts w:ascii="Cambria Math" w:hAnsi="Cambria Math"/>
                  <w:sz w:val="24"/>
                  <w:szCs w:val="24"/>
                </w:rPr>
                <m:t>Net Profit</m:t>
              </m:r>
              <m:ctrlPr>
                <w:rPr>
                  <w:rFonts w:ascii="Cambria Math" w:hAnsi="Cambria Math"/>
                  <w:i/>
                  <w:sz w:val="24"/>
                  <w:szCs w:val="24"/>
                </w:rPr>
              </m:ctrlPr>
            </m:num>
            <m:den>
              <m:r>
                <m:rPr/>
                <w:rPr>
                  <w:rFonts w:ascii="Cambria Math" w:hAnsi="Cambria Math"/>
                  <w:sz w:val="24"/>
                  <w:szCs w:val="24"/>
                </w:rPr>
                <m:t>Sales</m:t>
              </m:r>
              <m:ctrlPr>
                <w:rPr>
                  <w:rFonts w:ascii="Cambria Math" w:hAnsi="Cambria Math"/>
                  <w:i/>
                  <w:sz w:val="24"/>
                  <w:szCs w:val="24"/>
                </w:rPr>
              </m:ctrlPr>
            </m:den>
          </m:f>
          <m:r>
            <m:rPr/>
            <w:rPr>
              <w:rFonts w:ascii="Cambria Math" w:hAnsi="Cambria Math"/>
              <w:sz w:val="24"/>
              <w:szCs w:val="24"/>
            </w:rPr>
            <m:t xml:space="preserve"> ×100</m:t>
          </m:r>
        </m:oMath>
      </m:oMathPara>
    </w:p>
    <w:p>
      <w:pPr>
        <w:rPr>
          <w:rFonts w:eastAsiaTheme="minorEastAsia"/>
          <w:sz w:val="24"/>
          <w:szCs w:val="24"/>
        </w:rPr>
      </w:pPr>
    </w:p>
    <w:p>
      <w:pPr>
        <w:rPr>
          <w:rFonts w:eastAsiaTheme="minorEastAsia"/>
          <w:sz w:val="24"/>
          <w:szCs w:val="24"/>
        </w:rPr>
      </w:pPr>
    </w:p>
    <w:p>
      <w:pPr>
        <w:spacing w:line="360" w:lineRule="auto"/>
        <w:rPr>
          <w:rFonts w:ascii="Arial" w:hAnsi="Arial" w:cs="Arial"/>
          <w:sz w:val="24"/>
          <w:szCs w:val="24"/>
        </w:rPr>
      </w:pPr>
      <w:r>
        <w:rPr>
          <w:rFonts w:ascii="Arial" w:hAnsi="Arial" w:cs="Arial"/>
          <w:sz w:val="24"/>
          <w:szCs w:val="24"/>
        </w:rPr>
        <w:t>Return on equity (ROE):</w:t>
      </w:r>
    </w:p>
    <w:p>
      <w:pPr>
        <w:spacing w:line="360" w:lineRule="auto"/>
        <w:rPr>
          <w:rFonts w:ascii="Arial" w:hAnsi="Arial" w:cs="Arial"/>
          <w:sz w:val="24"/>
          <w:szCs w:val="24"/>
        </w:rPr>
      </w:pPr>
      <w:r>
        <w:rPr>
          <w:rFonts w:ascii="Arial" w:hAnsi="Arial" w:cs="Arial"/>
          <w:sz w:val="24"/>
          <w:szCs w:val="24"/>
        </w:rPr>
        <w:t>This ratio indicates how much profit a company generates by utilizing its equity employed cumulatively. This ratio analyzes a company’s overall equity utilization (Thomas, Tietz and Harrison, 2019).</w:t>
      </w:r>
    </w:p>
    <w:p>
      <w:pPr>
        <w:rPr>
          <w:sz w:val="24"/>
          <w:szCs w:val="24"/>
        </w:rPr>
      </w:pPr>
      <m:oMathPara>
        <m:oMath>
          <m:f>
            <m:fPr>
              <m:ctrlPr>
                <w:rPr>
                  <w:rFonts w:ascii="Cambria Math" w:hAnsi="Cambria Math"/>
                  <w:i/>
                  <w:sz w:val="24"/>
                  <w:szCs w:val="24"/>
                </w:rPr>
              </m:ctrlPr>
            </m:fPr>
            <m:num>
              <m:r>
                <m:rPr/>
                <w:rPr>
                  <w:rFonts w:ascii="Cambria Math" w:hAnsi="Cambria Math"/>
                  <w:sz w:val="24"/>
                  <w:szCs w:val="24"/>
                </w:rPr>
                <m:t>Net profit</m:t>
              </m:r>
              <m:ctrlPr>
                <w:rPr>
                  <w:rFonts w:ascii="Cambria Math" w:hAnsi="Cambria Math"/>
                  <w:i/>
                  <w:sz w:val="24"/>
                  <w:szCs w:val="24"/>
                </w:rPr>
              </m:ctrlPr>
            </m:num>
            <m:den>
              <m:r>
                <m:rPr/>
                <w:rPr>
                  <w:rFonts w:ascii="Cambria Math" w:hAnsi="Cambria Math"/>
                  <w:sz w:val="24"/>
                  <w:szCs w:val="24"/>
                </w:rPr>
                <m:t>Total equity and liabilities</m:t>
              </m:r>
              <m:ctrlPr>
                <w:rPr>
                  <w:rFonts w:ascii="Cambria Math" w:hAnsi="Cambria Math"/>
                  <w:i/>
                  <w:sz w:val="24"/>
                  <w:szCs w:val="24"/>
                </w:rPr>
              </m:ctrlPr>
            </m:den>
          </m:f>
          <m:r>
            <m:rPr/>
            <w:rPr>
              <w:rFonts w:ascii="Cambria Math" w:hAnsi="Cambria Math"/>
              <w:sz w:val="24"/>
              <w:szCs w:val="24"/>
            </w:rPr>
            <m:t xml:space="preserve"> ×100</m:t>
          </m:r>
        </m:oMath>
      </m:oMathPara>
    </w:p>
    <w:p>
      <w:pPr>
        <w:spacing w:line="360" w:lineRule="auto"/>
        <w:rPr>
          <w:rFonts w:ascii="Arial" w:hAnsi="Arial" w:cs="Arial"/>
          <w:sz w:val="24"/>
          <w:szCs w:val="24"/>
        </w:rPr>
      </w:pPr>
    </w:p>
    <w:p>
      <w:pPr>
        <w:pStyle w:val="3"/>
        <w:rPr>
          <w:rFonts w:ascii="Arial" w:hAnsi="Arial" w:cs="Arial"/>
          <w:color w:val="auto"/>
          <w:sz w:val="24"/>
          <w:szCs w:val="24"/>
          <w:u w:val="single"/>
        </w:rPr>
      </w:pPr>
      <w:bookmarkStart w:id="4" w:name="_Toc104119065"/>
      <w:r>
        <w:rPr>
          <w:rFonts w:ascii="Arial" w:hAnsi="Arial" w:cs="Arial"/>
          <w:color w:val="auto"/>
          <w:sz w:val="24"/>
          <w:szCs w:val="24"/>
          <w:u w:val="single"/>
        </w:rPr>
        <w:t>Liquidity:</w:t>
      </w:r>
      <w:bookmarkEnd w:id="4"/>
    </w:p>
    <w:p>
      <w:pPr>
        <w:spacing w:line="360" w:lineRule="auto"/>
        <w:rPr>
          <w:rFonts w:ascii="Arial" w:hAnsi="Arial" w:cs="Arial"/>
          <w:sz w:val="24"/>
          <w:szCs w:val="24"/>
        </w:rPr>
      </w:pPr>
      <w:r>
        <w:rPr>
          <w:rFonts w:ascii="Arial" w:hAnsi="Arial" w:cs="Arial"/>
          <w:sz w:val="24"/>
          <w:szCs w:val="24"/>
        </w:rPr>
        <w:t>Current Ratio</w:t>
      </w:r>
    </w:p>
    <w:p>
      <w:pPr>
        <w:spacing w:line="360" w:lineRule="auto"/>
        <w:rPr>
          <w:rFonts w:ascii="Arial" w:hAnsi="Arial" w:cs="Arial"/>
          <w:sz w:val="24"/>
          <w:szCs w:val="24"/>
        </w:rPr>
      </w:pPr>
      <w:r>
        <w:rPr>
          <w:rFonts w:ascii="Arial" w:hAnsi="Arial" w:cs="Arial"/>
          <w:sz w:val="24"/>
          <w:szCs w:val="24"/>
        </w:rPr>
        <w:t>It calculates the ability of a company to pay off its existing current liabilities. The benchmark is considered to be 2:1 (Hill, 2014).</w:t>
      </w:r>
    </w:p>
    <w:p>
      <w:pPr>
        <w:rPr>
          <w:rFonts w:eastAsiaTheme="minorEastAsia"/>
          <w:sz w:val="24"/>
          <w:szCs w:val="24"/>
        </w:rPr>
      </w:pPr>
      <m:oMathPara>
        <m:oMath>
          <m:f>
            <m:fPr>
              <m:ctrlPr>
                <w:rPr>
                  <w:rFonts w:ascii="Cambria Math" w:hAnsi="Cambria Math"/>
                  <w:i/>
                  <w:sz w:val="24"/>
                  <w:szCs w:val="24"/>
                </w:rPr>
              </m:ctrlPr>
            </m:fPr>
            <m:num>
              <m:r>
                <m:rPr/>
                <w:rPr>
                  <w:rFonts w:ascii="Cambria Math" w:hAnsi="Cambria Math"/>
                  <w:sz w:val="24"/>
                  <w:szCs w:val="24"/>
                </w:rPr>
                <m:t>Current Assets</m:t>
              </m:r>
              <m:ctrlPr>
                <w:rPr>
                  <w:rFonts w:ascii="Cambria Math" w:hAnsi="Cambria Math"/>
                  <w:i/>
                  <w:sz w:val="24"/>
                  <w:szCs w:val="24"/>
                </w:rPr>
              </m:ctrlPr>
            </m:num>
            <m:den>
              <m:r>
                <m:rPr/>
                <w:rPr>
                  <w:rFonts w:ascii="Cambria Math" w:hAnsi="Cambria Math"/>
                  <w:sz w:val="24"/>
                  <w:szCs w:val="24"/>
                </w:rPr>
                <m:t>Current Liabilities</m:t>
              </m:r>
              <m:ctrlPr>
                <w:rPr>
                  <w:rFonts w:ascii="Cambria Math" w:hAnsi="Cambria Math"/>
                  <w:i/>
                  <w:sz w:val="24"/>
                  <w:szCs w:val="24"/>
                </w:rPr>
              </m:ctrlPr>
            </m:den>
          </m:f>
          <m:r>
            <m:rPr/>
            <w:rPr>
              <w:rFonts w:ascii="Cambria Math" w:hAnsi="Cambria Math"/>
              <w:sz w:val="24"/>
              <w:szCs w:val="24"/>
            </w:rPr>
            <m:t xml:space="preserve"> </m:t>
          </m:r>
        </m:oMath>
      </m:oMathPara>
    </w:p>
    <w:p>
      <w:pPr>
        <w:spacing w:line="360" w:lineRule="auto"/>
        <w:rPr>
          <w:rFonts w:ascii="Arial" w:hAnsi="Arial" w:cs="Arial"/>
          <w:sz w:val="24"/>
          <w:szCs w:val="24"/>
        </w:rPr>
      </w:pPr>
    </w:p>
    <w:p>
      <w:pPr>
        <w:pStyle w:val="3"/>
        <w:rPr>
          <w:rFonts w:ascii="Arial" w:hAnsi="Arial" w:cs="Arial"/>
          <w:color w:val="auto"/>
          <w:sz w:val="24"/>
          <w:szCs w:val="24"/>
        </w:rPr>
      </w:pPr>
      <w:bookmarkStart w:id="5" w:name="_Toc104119066"/>
      <w:r>
        <w:rPr>
          <w:rFonts w:ascii="Arial" w:hAnsi="Arial" w:cs="Arial"/>
          <w:color w:val="auto"/>
          <w:sz w:val="24"/>
          <w:szCs w:val="24"/>
        </w:rPr>
        <w:t>Efficiency:</w:t>
      </w:r>
      <w:bookmarkEnd w:id="5"/>
    </w:p>
    <w:p>
      <w:pPr>
        <w:spacing w:line="360" w:lineRule="auto"/>
        <w:rPr>
          <w:rFonts w:ascii="Arial" w:hAnsi="Arial" w:cs="Arial"/>
          <w:sz w:val="24"/>
          <w:szCs w:val="24"/>
        </w:rPr>
      </w:pPr>
      <w:r>
        <w:rPr>
          <w:rFonts w:ascii="Arial" w:hAnsi="Arial" w:cs="Arial"/>
          <w:sz w:val="24"/>
          <w:szCs w:val="24"/>
        </w:rPr>
        <w:t>Asset turnover</w:t>
      </w:r>
    </w:p>
    <w:p>
      <w:pPr>
        <w:spacing w:line="360" w:lineRule="auto"/>
        <w:rPr>
          <w:rFonts w:ascii="Arial" w:hAnsi="Arial" w:cs="Arial"/>
          <w:sz w:val="24"/>
          <w:szCs w:val="24"/>
        </w:rPr>
      </w:pPr>
      <w:r>
        <w:rPr>
          <w:rFonts w:ascii="Arial" w:hAnsi="Arial" w:cs="Arial"/>
          <w:sz w:val="24"/>
          <w:szCs w:val="24"/>
        </w:rPr>
        <w:t>This ratio measures how efficiently a company is utilizing its assets. Lower asset turnover means the company is under-performing (Hayes, 2022).</w:t>
      </w:r>
    </w:p>
    <w:p>
      <w:pPr>
        <w:rPr>
          <w:rFonts w:eastAsiaTheme="minorEastAsia"/>
          <w:sz w:val="24"/>
          <w:szCs w:val="24"/>
        </w:rPr>
      </w:pPr>
      <m:oMathPara>
        <m:oMath>
          <m:f>
            <m:fPr>
              <m:ctrlPr>
                <w:rPr>
                  <w:rFonts w:ascii="Cambria Math" w:hAnsi="Cambria Math"/>
                  <w:i/>
                  <w:sz w:val="24"/>
                  <w:szCs w:val="24"/>
                </w:rPr>
              </m:ctrlPr>
            </m:fPr>
            <m:num>
              <m:r>
                <m:rPr/>
                <w:rPr>
                  <w:rFonts w:ascii="Cambria Math" w:hAnsi="Cambria Math"/>
                  <w:sz w:val="24"/>
                  <w:szCs w:val="24"/>
                </w:rPr>
                <m:t>Sales</m:t>
              </m:r>
              <m:ctrlPr>
                <w:rPr>
                  <w:rFonts w:ascii="Cambria Math" w:hAnsi="Cambria Math"/>
                  <w:i/>
                  <w:sz w:val="24"/>
                  <w:szCs w:val="24"/>
                </w:rPr>
              </m:ctrlPr>
            </m:num>
            <m:den>
              <m:r>
                <m:rPr/>
                <w:rPr>
                  <w:rFonts w:ascii="Cambria Math" w:hAnsi="Cambria Math"/>
                  <w:sz w:val="24"/>
                  <w:szCs w:val="24"/>
                </w:rPr>
                <m:t>Total Assets</m:t>
              </m:r>
              <m:ctrlPr>
                <w:rPr>
                  <w:rFonts w:ascii="Cambria Math" w:hAnsi="Cambria Math"/>
                  <w:i/>
                  <w:sz w:val="24"/>
                  <w:szCs w:val="24"/>
                </w:rPr>
              </m:ctrlPr>
            </m:den>
          </m:f>
          <m:r>
            <m:rPr/>
            <w:rPr>
              <w:rFonts w:ascii="Cambria Math" w:hAnsi="Cambria Math"/>
              <w:sz w:val="24"/>
              <w:szCs w:val="24"/>
            </w:rPr>
            <m:t xml:space="preserve"> </m:t>
          </m:r>
        </m:oMath>
      </m:oMathPara>
    </w:p>
    <w:p>
      <w:pPr>
        <w:spacing w:line="360" w:lineRule="auto"/>
        <w:rPr>
          <w:rFonts w:ascii="Arial" w:hAnsi="Arial" w:cs="Arial"/>
          <w:sz w:val="24"/>
          <w:szCs w:val="24"/>
        </w:rPr>
      </w:pPr>
    </w:p>
    <w:p>
      <w:pPr>
        <w:spacing w:line="360" w:lineRule="auto"/>
        <w:rPr>
          <w:rFonts w:ascii="Arial" w:hAnsi="Arial" w:cs="Arial"/>
          <w:sz w:val="24"/>
          <w:szCs w:val="24"/>
        </w:rPr>
      </w:pPr>
      <w:r>
        <w:rPr>
          <w:rFonts w:ascii="Arial" w:hAnsi="Arial" w:cs="Arial"/>
          <w:sz w:val="24"/>
          <w:szCs w:val="24"/>
        </w:rPr>
        <w:t>Gearing Ratio</w:t>
      </w:r>
    </w:p>
    <w:p>
      <w:pPr>
        <w:spacing w:line="360" w:lineRule="auto"/>
        <w:rPr>
          <w:rFonts w:ascii="Arial" w:hAnsi="Arial" w:cs="Arial"/>
          <w:sz w:val="24"/>
          <w:szCs w:val="24"/>
        </w:rPr>
      </w:pPr>
      <w:r>
        <w:rPr>
          <w:rFonts w:ascii="Arial" w:hAnsi="Arial" w:cs="Arial"/>
          <w:sz w:val="24"/>
          <w:szCs w:val="24"/>
        </w:rPr>
        <w:t>Gearing ratio calculates efficiency in the capital structure of a company. It measures how much debt are included in the equity section of a company (Kenton, 2022).</w:t>
      </w:r>
    </w:p>
    <w:p>
      <w:pPr>
        <w:rPr>
          <w:rFonts w:eastAsiaTheme="minorEastAsia"/>
          <w:sz w:val="24"/>
          <w:szCs w:val="24"/>
        </w:rPr>
      </w:pPr>
      <m:oMathPara>
        <m:oMath>
          <m:f>
            <m:fPr>
              <m:ctrlPr>
                <w:rPr>
                  <w:rFonts w:ascii="Cambria Math" w:hAnsi="Cambria Math"/>
                  <w:i/>
                  <w:sz w:val="24"/>
                  <w:szCs w:val="24"/>
                </w:rPr>
              </m:ctrlPr>
            </m:fPr>
            <m:num>
              <m:r>
                <m:rPr/>
                <w:rPr>
                  <w:rFonts w:ascii="Cambria Math" w:hAnsi="Cambria Math"/>
                  <w:sz w:val="24"/>
                  <w:szCs w:val="24"/>
                </w:rPr>
                <m:t>Long−term debt</m:t>
              </m:r>
              <m:ctrlPr>
                <w:rPr>
                  <w:rFonts w:ascii="Cambria Math" w:hAnsi="Cambria Math"/>
                  <w:i/>
                  <w:sz w:val="24"/>
                  <w:szCs w:val="24"/>
                </w:rPr>
              </m:ctrlPr>
            </m:num>
            <m:den>
              <m:r>
                <m:rPr/>
                <w:rPr>
                  <w:rFonts w:ascii="Cambria Math" w:hAnsi="Cambria Math"/>
                  <w:sz w:val="24"/>
                  <w:szCs w:val="24"/>
                </w:rPr>
                <m:t>Total equity and liabilities</m:t>
              </m:r>
              <m:ctrlPr>
                <w:rPr>
                  <w:rFonts w:ascii="Cambria Math" w:hAnsi="Cambria Math"/>
                  <w:i/>
                  <w:sz w:val="24"/>
                  <w:szCs w:val="24"/>
                </w:rPr>
              </m:ctrlPr>
            </m:den>
          </m:f>
          <m:r>
            <m:rPr/>
            <w:rPr>
              <w:rFonts w:ascii="Cambria Math" w:hAnsi="Cambria Math"/>
              <w:sz w:val="24"/>
              <w:szCs w:val="24"/>
            </w:rPr>
            <m:t>×100</m:t>
          </m:r>
        </m:oMath>
      </m:oMathPara>
    </w:p>
    <w:p>
      <w:pPr>
        <w:spacing w:line="360" w:lineRule="auto"/>
        <w:rPr>
          <w:rFonts w:ascii="Arial" w:hAnsi="Arial" w:cs="Arial"/>
          <w:sz w:val="24"/>
          <w:szCs w:val="24"/>
        </w:rPr>
      </w:pPr>
    </w:p>
    <w:p>
      <w:pPr>
        <w:spacing w:line="360" w:lineRule="auto"/>
        <w:rPr>
          <w:rFonts w:ascii="Arial" w:hAnsi="Arial" w:cs="Arial"/>
          <w:sz w:val="24"/>
          <w:szCs w:val="24"/>
        </w:rPr>
      </w:pPr>
    </w:p>
    <w:p>
      <w:pPr>
        <w:spacing w:line="360" w:lineRule="auto"/>
        <w:rPr>
          <w:rFonts w:ascii="Arial" w:hAnsi="Arial" w:cs="Arial"/>
          <w:sz w:val="24"/>
          <w:szCs w:val="24"/>
        </w:rPr>
      </w:pPr>
      <w:r>
        <w:rPr>
          <w:rFonts w:ascii="Arial" w:hAnsi="Arial" w:cs="Arial"/>
          <w:sz w:val="24"/>
          <w:szCs w:val="24"/>
        </w:rPr>
        <w:t>Interest Cover</w:t>
      </w:r>
    </w:p>
    <w:p>
      <w:pPr>
        <w:spacing w:line="360" w:lineRule="auto"/>
        <w:rPr>
          <w:rFonts w:ascii="Arial" w:hAnsi="Arial" w:cs="Arial"/>
          <w:sz w:val="24"/>
          <w:szCs w:val="24"/>
        </w:rPr>
      </w:pPr>
      <w:r>
        <w:rPr>
          <w:rFonts w:ascii="Arial" w:hAnsi="Arial" w:cs="Arial"/>
          <w:sz w:val="24"/>
          <w:szCs w:val="24"/>
        </w:rPr>
        <w:t>This ratio measures how many times a company can pay its existing debt interest from its profits. It is a efficiency measure for a company (CFI Institute, 2018).</w:t>
      </w:r>
    </w:p>
    <w:p>
      <w:pPr>
        <w:rPr>
          <w:rFonts w:eastAsiaTheme="minorEastAsia"/>
          <w:sz w:val="24"/>
          <w:szCs w:val="24"/>
        </w:rPr>
      </w:pPr>
      <m:oMathPara>
        <m:oMath>
          <m:f>
            <m:fPr>
              <m:ctrlPr>
                <w:rPr>
                  <w:rFonts w:ascii="Cambria Math" w:hAnsi="Cambria Math"/>
                  <w:i/>
                  <w:sz w:val="24"/>
                  <w:szCs w:val="24"/>
                </w:rPr>
              </m:ctrlPr>
            </m:fPr>
            <m:num>
              <m:r>
                <m:rPr/>
                <w:rPr>
                  <w:rFonts w:ascii="Cambria Math" w:hAnsi="Cambria Math"/>
                  <w:sz w:val="24"/>
                  <w:szCs w:val="24"/>
                </w:rPr>
                <m:t>Operating Profit</m:t>
              </m:r>
              <m:ctrlPr>
                <w:rPr>
                  <w:rFonts w:ascii="Cambria Math" w:hAnsi="Cambria Math"/>
                  <w:i/>
                  <w:sz w:val="24"/>
                  <w:szCs w:val="24"/>
                </w:rPr>
              </m:ctrlPr>
            </m:num>
            <m:den>
              <m:r>
                <m:rPr/>
                <w:rPr>
                  <w:rFonts w:ascii="Cambria Math" w:hAnsi="Cambria Math"/>
                  <w:sz w:val="24"/>
                  <w:szCs w:val="24"/>
                </w:rPr>
                <m:t>Interest expenses</m:t>
              </m:r>
              <m:ctrlPr>
                <w:rPr>
                  <w:rFonts w:ascii="Cambria Math" w:hAnsi="Cambria Math"/>
                  <w:i/>
                  <w:sz w:val="24"/>
                  <w:szCs w:val="24"/>
                </w:rPr>
              </m:ctrlPr>
            </m:den>
          </m:f>
        </m:oMath>
      </m:oMathPara>
    </w:p>
    <w:p>
      <w:pPr>
        <w:spacing w:line="360" w:lineRule="auto"/>
        <w:rPr>
          <w:rFonts w:ascii="Arial" w:hAnsi="Arial" w:cs="Arial"/>
          <w:sz w:val="24"/>
          <w:szCs w:val="24"/>
        </w:rPr>
      </w:pPr>
      <w:r>
        <w:rPr>
          <w:rFonts w:ascii="Arial" w:hAnsi="Arial" w:cs="Arial"/>
          <w:sz w:val="24"/>
          <w:szCs w:val="24"/>
        </w:rPr>
        <w:t>Receivables Collection Period</w:t>
      </w:r>
    </w:p>
    <w:p>
      <w:pPr>
        <w:spacing w:line="360" w:lineRule="auto"/>
        <w:rPr>
          <w:rFonts w:ascii="Arial" w:hAnsi="Arial" w:cs="Arial"/>
          <w:sz w:val="24"/>
          <w:szCs w:val="24"/>
        </w:rPr>
      </w:pPr>
      <w:r>
        <w:rPr>
          <w:rFonts w:ascii="Arial" w:hAnsi="Arial" w:cs="Arial"/>
          <w:sz w:val="24"/>
          <w:szCs w:val="24"/>
        </w:rPr>
        <w:t>This ratio calculates the number of days a company allows its debtors to pay their existing debts. It is calculated in days and therefore the lower it is the better for a company since it is directly related to cash generations from debtors (Hill, 2014).</w:t>
      </w:r>
    </w:p>
    <w:p>
      <w:pPr>
        <w:rPr>
          <w:rFonts w:eastAsiaTheme="minorEastAsia"/>
          <w:sz w:val="24"/>
          <w:szCs w:val="24"/>
        </w:rPr>
      </w:pPr>
      <m:oMathPara>
        <m:oMath>
          <m:f>
            <m:fPr>
              <m:ctrlPr>
                <w:rPr>
                  <w:rFonts w:ascii="Cambria Math" w:hAnsi="Cambria Math"/>
                  <w:i/>
                  <w:sz w:val="24"/>
                  <w:szCs w:val="24"/>
                </w:rPr>
              </m:ctrlPr>
            </m:fPr>
            <m:num>
              <m:r>
                <m:rPr/>
                <w:rPr>
                  <w:rFonts w:ascii="Cambria Math" w:hAnsi="Cambria Math"/>
                  <w:sz w:val="24"/>
                  <w:szCs w:val="24"/>
                </w:rPr>
                <m:t>Receivables</m:t>
              </m:r>
              <m:ctrlPr>
                <w:rPr>
                  <w:rFonts w:ascii="Cambria Math" w:hAnsi="Cambria Math"/>
                  <w:i/>
                  <w:sz w:val="24"/>
                  <w:szCs w:val="24"/>
                </w:rPr>
              </m:ctrlPr>
            </m:num>
            <m:den>
              <m:r>
                <m:rPr/>
                <w:rPr>
                  <w:rFonts w:ascii="Cambria Math" w:hAnsi="Cambria Math"/>
                  <w:sz w:val="24"/>
                  <w:szCs w:val="24"/>
                </w:rPr>
                <m:t>Sales</m:t>
              </m:r>
              <m:ctrlPr>
                <w:rPr>
                  <w:rFonts w:ascii="Cambria Math" w:hAnsi="Cambria Math"/>
                  <w:i/>
                  <w:sz w:val="24"/>
                  <w:szCs w:val="24"/>
                </w:rPr>
              </m:ctrlPr>
            </m:den>
          </m:f>
          <m:r>
            <m:rPr/>
            <w:rPr>
              <w:rFonts w:ascii="Cambria Math" w:hAnsi="Cambria Math"/>
              <w:sz w:val="24"/>
              <w:szCs w:val="24"/>
            </w:rPr>
            <m:t>×365 days</m:t>
          </m:r>
        </m:oMath>
      </m:oMathPara>
    </w:p>
    <w:p>
      <w:pPr>
        <w:spacing w:line="360" w:lineRule="auto"/>
        <w:rPr>
          <w:rFonts w:ascii="Arial" w:hAnsi="Arial" w:cs="Arial"/>
          <w:sz w:val="24"/>
          <w:szCs w:val="24"/>
        </w:rPr>
      </w:pPr>
    </w:p>
    <w:p>
      <w:pPr>
        <w:spacing w:line="360" w:lineRule="auto"/>
        <w:rPr>
          <w:rFonts w:ascii="Arial" w:hAnsi="Arial" w:cs="Arial"/>
          <w:sz w:val="24"/>
          <w:szCs w:val="24"/>
        </w:rPr>
      </w:pPr>
    </w:p>
    <w:p>
      <w:pPr>
        <w:pStyle w:val="2"/>
        <w:spacing w:line="360" w:lineRule="auto"/>
        <w:rPr>
          <w:rFonts w:ascii="Arial" w:hAnsi="Arial" w:cs="Arial"/>
          <w:b/>
          <w:bCs/>
          <w:color w:val="auto"/>
          <w:sz w:val="24"/>
          <w:szCs w:val="24"/>
        </w:rPr>
      </w:pPr>
      <w:bookmarkStart w:id="6" w:name="_Toc104119067"/>
      <w:r>
        <w:rPr>
          <w:rFonts w:ascii="Arial" w:hAnsi="Arial" w:cs="Arial"/>
          <w:b/>
          <w:bCs/>
          <w:color w:val="auto"/>
          <w:sz w:val="24"/>
          <w:szCs w:val="24"/>
        </w:rPr>
        <w:t>Data analysis / numerical investigation</w:t>
      </w:r>
      <w:bookmarkEnd w:id="6"/>
    </w:p>
    <w:tbl>
      <w:tblPr>
        <w:tblStyle w:val="5"/>
        <w:tblW w:w="10336" w:type="dxa"/>
        <w:tblInd w:w="0" w:type="dxa"/>
        <w:tblLayout w:type="autofit"/>
        <w:tblCellMar>
          <w:top w:w="0" w:type="dxa"/>
          <w:left w:w="108" w:type="dxa"/>
          <w:bottom w:w="0" w:type="dxa"/>
          <w:right w:w="108" w:type="dxa"/>
        </w:tblCellMar>
      </w:tblPr>
      <w:tblGrid>
        <w:gridCol w:w="6745"/>
        <w:gridCol w:w="1800"/>
        <w:gridCol w:w="1791"/>
      </w:tblGrid>
      <w:tr>
        <w:tblPrEx>
          <w:tblCellMar>
            <w:top w:w="0" w:type="dxa"/>
            <w:left w:w="108" w:type="dxa"/>
            <w:bottom w:w="0" w:type="dxa"/>
            <w:right w:w="108" w:type="dxa"/>
          </w:tblCellMar>
        </w:tblPrEx>
        <w:trPr>
          <w:trHeight w:val="349" w:hRule="atLeast"/>
        </w:trPr>
        <w:tc>
          <w:tcPr>
            <w:tcW w:w="6745" w:type="dxa"/>
            <w:tcBorders>
              <w:top w:val="single" w:color="auto" w:sz="4" w:space="0"/>
              <w:left w:val="single" w:color="auto" w:sz="4" w:space="0"/>
              <w:bottom w:val="single" w:color="auto" w:sz="4" w:space="0"/>
              <w:right w:val="single" w:color="auto" w:sz="4" w:space="0"/>
            </w:tcBorders>
            <w:shd w:val="clear" w:color="auto" w:fill="auto"/>
            <w:noWrap/>
            <w:vAlign w:val="bottom"/>
          </w:tcPr>
          <w:p>
            <w:pPr>
              <w:spacing w:after="0" w:line="240" w:lineRule="auto"/>
              <w:jc w:val="center"/>
              <w:rPr>
                <w:rFonts w:ascii="Calibri" w:hAnsi="Calibri" w:eastAsia="Times New Roman" w:cs="Calibri"/>
                <w:b/>
                <w:bCs/>
                <w:i/>
                <w:iCs/>
                <w:color w:val="000000"/>
              </w:rPr>
            </w:pPr>
            <w:r>
              <w:rPr>
                <w:rFonts w:ascii="Calibri" w:hAnsi="Calibri" w:eastAsia="Times New Roman" w:cs="Calibri"/>
                <w:b/>
                <w:bCs/>
                <w:i/>
                <w:iCs/>
                <w:color w:val="000000"/>
              </w:rPr>
              <w:t>Parameters / Financial Ratios</w:t>
            </w:r>
          </w:p>
        </w:tc>
        <w:tc>
          <w:tcPr>
            <w:tcW w:w="1800" w:type="dxa"/>
            <w:tcBorders>
              <w:top w:val="single" w:color="auto" w:sz="4" w:space="0"/>
              <w:left w:val="nil"/>
              <w:bottom w:val="single" w:color="auto" w:sz="4" w:space="0"/>
              <w:right w:val="single" w:color="auto" w:sz="4" w:space="0"/>
            </w:tcBorders>
            <w:shd w:val="clear" w:color="auto" w:fill="auto"/>
            <w:noWrap/>
            <w:vAlign w:val="bottom"/>
          </w:tcPr>
          <w:p>
            <w:pPr>
              <w:spacing w:after="0" w:line="240" w:lineRule="auto"/>
              <w:jc w:val="center"/>
              <w:rPr>
                <w:rFonts w:ascii="Calibri" w:hAnsi="Calibri" w:eastAsia="Times New Roman" w:cs="Calibri"/>
                <w:b/>
                <w:bCs/>
                <w:i/>
                <w:iCs/>
                <w:color w:val="000000"/>
              </w:rPr>
            </w:pPr>
            <w:r>
              <w:rPr>
                <w:rFonts w:ascii="Calibri" w:hAnsi="Calibri" w:eastAsia="Times New Roman" w:cs="Calibri"/>
                <w:b/>
                <w:bCs/>
                <w:i/>
                <w:iCs/>
                <w:color w:val="000000"/>
              </w:rPr>
              <w:t>FY 2019</w:t>
            </w:r>
          </w:p>
        </w:tc>
        <w:tc>
          <w:tcPr>
            <w:tcW w:w="1791" w:type="dxa"/>
            <w:tcBorders>
              <w:top w:val="single" w:color="auto" w:sz="4" w:space="0"/>
              <w:left w:val="nil"/>
              <w:bottom w:val="single" w:color="auto" w:sz="4" w:space="0"/>
              <w:right w:val="single" w:color="auto" w:sz="4" w:space="0"/>
            </w:tcBorders>
            <w:shd w:val="clear" w:color="auto" w:fill="auto"/>
            <w:noWrap/>
            <w:vAlign w:val="bottom"/>
          </w:tcPr>
          <w:p>
            <w:pPr>
              <w:spacing w:after="0" w:line="240" w:lineRule="auto"/>
              <w:jc w:val="center"/>
              <w:rPr>
                <w:rFonts w:ascii="Calibri" w:hAnsi="Calibri" w:eastAsia="Times New Roman" w:cs="Calibri"/>
                <w:b/>
                <w:bCs/>
                <w:i/>
                <w:iCs/>
                <w:color w:val="000000"/>
              </w:rPr>
            </w:pPr>
            <w:r>
              <w:rPr>
                <w:rFonts w:ascii="Calibri" w:hAnsi="Calibri" w:eastAsia="Times New Roman" w:cs="Calibri"/>
                <w:b/>
                <w:bCs/>
                <w:i/>
                <w:iCs/>
                <w:color w:val="000000"/>
              </w:rPr>
              <w:t>FY 2020</w:t>
            </w:r>
          </w:p>
        </w:tc>
      </w:tr>
      <w:tr>
        <w:tblPrEx>
          <w:tblCellMar>
            <w:top w:w="0" w:type="dxa"/>
            <w:left w:w="108" w:type="dxa"/>
            <w:bottom w:w="0" w:type="dxa"/>
            <w:right w:w="108" w:type="dxa"/>
          </w:tblCellMar>
        </w:tblPrEx>
        <w:trPr>
          <w:trHeight w:val="349" w:hRule="atLeast"/>
        </w:trPr>
        <w:tc>
          <w:tcPr>
            <w:tcW w:w="674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rPr>
                <w:rFonts w:ascii="Calibri" w:hAnsi="Calibri" w:eastAsia="Times New Roman" w:cs="Calibri"/>
                <w:color w:val="000000"/>
              </w:rPr>
            </w:pPr>
            <w:r>
              <w:rPr>
                <w:rFonts w:ascii="Calibri" w:hAnsi="Calibri" w:eastAsia="Times New Roman" w:cs="Calibri"/>
                <w:color w:val="000000"/>
              </w:rPr>
              <w:t>Gross Profit Margin</w:t>
            </w:r>
          </w:p>
        </w:tc>
        <w:tc>
          <w:tcPr>
            <w:tcW w:w="180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25.8%</w:t>
            </w:r>
          </w:p>
        </w:tc>
        <w:tc>
          <w:tcPr>
            <w:tcW w:w="1791"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13.5%</w:t>
            </w:r>
          </w:p>
        </w:tc>
      </w:tr>
      <w:tr>
        <w:tblPrEx>
          <w:tblCellMar>
            <w:top w:w="0" w:type="dxa"/>
            <w:left w:w="108" w:type="dxa"/>
            <w:bottom w:w="0" w:type="dxa"/>
            <w:right w:w="108" w:type="dxa"/>
          </w:tblCellMar>
        </w:tblPrEx>
        <w:trPr>
          <w:trHeight w:val="349" w:hRule="atLeast"/>
        </w:trPr>
        <w:tc>
          <w:tcPr>
            <w:tcW w:w="674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rPr>
                <w:rFonts w:ascii="Calibri" w:hAnsi="Calibri" w:eastAsia="Times New Roman" w:cs="Calibri"/>
                <w:color w:val="000000"/>
              </w:rPr>
            </w:pPr>
            <w:r>
              <w:rPr>
                <w:rFonts w:ascii="Calibri" w:hAnsi="Calibri" w:eastAsia="Times New Roman" w:cs="Calibri"/>
                <w:color w:val="000000"/>
              </w:rPr>
              <w:t>Net Profit Margin</w:t>
            </w:r>
          </w:p>
        </w:tc>
        <w:tc>
          <w:tcPr>
            <w:tcW w:w="180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9.3%</w:t>
            </w:r>
          </w:p>
        </w:tc>
        <w:tc>
          <w:tcPr>
            <w:tcW w:w="1791"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-16.6%</w:t>
            </w:r>
          </w:p>
        </w:tc>
      </w:tr>
      <w:tr>
        <w:tblPrEx>
          <w:tblCellMar>
            <w:top w:w="0" w:type="dxa"/>
            <w:left w:w="108" w:type="dxa"/>
            <w:bottom w:w="0" w:type="dxa"/>
            <w:right w:w="108" w:type="dxa"/>
          </w:tblCellMar>
        </w:tblPrEx>
        <w:trPr>
          <w:trHeight w:val="349" w:hRule="atLeast"/>
        </w:trPr>
        <w:tc>
          <w:tcPr>
            <w:tcW w:w="674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rPr>
                <w:rFonts w:ascii="Calibri" w:hAnsi="Calibri" w:eastAsia="Times New Roman" w:cs="Calibri"/>
                <w:color w:val="000000"/>
              </w:rPr>
            </w:pPr>
            <w:r>
              <w:rPr>
                <w:rFonts w:ascii="Calibri" w:hAnsi="Calibri" w:eastAsia="Times New Roman" w:cs="Calibri"/>
                <w:color w:val="000000"/>
              </w:rPr>
              <w:t>Return on Equity</w:t>
            </w:r>
          </w:p>
        </w:tc>
        <w:tc>
          <w:tcPr>
            <w:tcW w:w="180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5.9%</w:t>
            </w:r>
          </w:p>
        </w:tc>
        <w:tc>
          <w:tcPr>
            <w:tcW w:w="1791"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-4.3%</w:t>
            </w:r>
          </w:p>
        </w:tc>
      </w:tr>
      <w:tr>
        <w:tblPrEx>
          <w:tblCellMar>
            <w:top w:w="0" w:type="dxa"/>
            <w:left w:w="108" w:type="dxa"/>
            <w:bottom w:w="0" w:type="dxa"/>
            <w:right w:w="108" w:type="dxa"/>
          </w:tblCellMar>
        </w:tblPrEx>
        <w:trPr>
          <w:trHeight w:val="349" w:hRule="atLeast"/>
        </w:trPr>
        <w:tc>
          <w:tcPr>
            <w:tcW w:w="674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rPr>
                <w:rFonts w:ascii="Calibri" w:hAnsi="Calibri" w:eastAsia="Times New Roman" w:cs="Calibri"/>
                <w:color w:val="000000"/>
              </w:rPr>
            </w:pPr>
            <w:r>
              <w:rPr>
                <w:rFonts w:ascii="Calibri" w:hAnsi="Calibri" w:eastAsia="Times New Roman" w:cs="Calibri"/>
                <w:color w:val="000000"/>
              </w:rPr>
              <w:t>Current Ratio</w:t>
            </w:r>
          </w:p>
        </w:tc>
        <w:tc>
          <w:tcPr>
            <w:tcW w:w="180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0.73</w:t>
            </w:r>
          </w:p>
        </w:tc>
        <w:tc>
          <w:tcPr>
            <w:tcW w:w="1791"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1.73</w:t>
            </w:r>
          </w:p>
        </w:tc>
      </w:tr>
      <w:tr>
        <w:tblPrEx>
          <w:tblCellMar>
            <w:top w:w="0" w:type="dxa"/>
            <w:left w:w="108" w:type="dxa"/>
            <w:bottom w:w="0" w:type="dxa"/>
            <w:right w:w="108" w:type="dxa"/>
          </w:tblCellMar>
        </w:tblPrEx>
        <w:trPr>
          <w:trHeight w:val="349" w:hRule="atLeast"/>
        </w:trPr>
        <w:tc>
          <w:tcPr>
            <w:tcW w:w="674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rPr>
                <w:rFonts w:ascii="Calibri" w:hAnsi="Calibri" w:eastAsia="Times New Roman" w:cs="Calibri"/>
                <w:color w:val="000000"/>
              </w:rPr>
            </w:pPr>
            <w:r>
              <w:rPr>
                <w:rFonts w:ascii="Calibri" w:hAnsi="Calibri" w:eastAsia="Times New Roman" w:cs="Calibri"/>
                <w:color w:val="000000"/>
              </w:rPr>
              <w:t>Quick Ratio</w:t>
            </w:r>
          </w:p>
        </w:tc>
        <w:tc>
          <w:tcPr>
            <w:tcW w:w="180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0.73</w:t>
            </w:r>
          </w:p>
        </w:tc>
        <w:tc>
          <w:tcPr>
            <w:tcW w:w="1791"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1.73</w:t>
            </w:r>
          </w:p>
        </w:tc>
      </w:tr>
      <w:tr>
        <w:tblPrEx>
          <w:tblCellMar>
            <w:top w:w="0" w:type="dxa"/>
            <w:left w:w="108" w:type="dxa"/>
            <w:bottom w:w="0" w:type="dxa"/>
            <w:right w:w="108" w:type="dxa"/>
          </w:tblCellMar>
        </w:tblPrEx>
        <w:trPr>
          <w:trHeight w:val="349" w:hRule="atLeast"/>
        </w:trPr>
        <w:tc>
          <w:tcPr>
            <w:tcW w:w="674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rPr>
                <w:rFonts w:ascii="Calibri" w:hAnsi="Calibri" w:eastAsia="Times New Roman" w:cs="Calibri"/>
                <w:color w:val="000000"/>
              </w:rPr>
            </w:pPr>
            <w:r>
              <w:rPr>
                <w:rFonts w:ascii="Calibri" w:hAnsi="Calibri" w:eastAsia="Times New Roman" w:cs="Calibri"/>
                <w:color w:val="000000"/>
              </w:rPr>
              <w:t>Asset Turnover</w:t>
            </w:r>
          </w:p>
        </w:tc>
        <w:tc>
          <w:tcPr>
            <w:tcW w:w="180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0.63</w:t>
            </w:r>
          </w:p>
        </w:tc>
        <w:tc>
          <w:tcPr>
            <w:tcW w:w="1791"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0.26</w:t>
            </w:r>
          </w:p>
        </w:tc>
      </w:tr>
      <w:tr>
        <w:tblPrEx>
          <w:tblCellMar>
            <w:top w:w="0" w:type="dxa"/>
            <w:left w:w="108" w:type="dxa"/>
            <w:bottom w:w="0" w:type="dxa"/>
            <w:right w:w="108" w:type="dxa"/>
          </w:tblCellMar>
        </w:tblPrEx>
        <w:trPr>
          <w:trHeight w:val="349" w:hRule="atLeast"/>
        </w:trPr>
        <w:tc>
          <w:tcPr>
            <w:tcW w:w="674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rPr>
                <w:rFonts w:ascii="Calibri" w:hAnsi="Calibri" w:eastAsia="Times New Roman" w:cs="Calibri"/>
                <w:color w:val="000000"/>
              </w:rPr>
            </w:pPr>
            <w:r>
              <w:rPr>
                <w:rFonts w:ascii="Calibri" w:hAnsi="Calibri" w:eastAsia="Times New Roman" w:cs="Calibri"/>
                <w:color w:val="000000"/>
              </w:rPr>
              <w:t>Gearing Ratio</w:t>
            </w:r>
          </w:p>
        </w:tc>
        <w:tc>
          <w:tcPr>
            <w:tcW w:w="180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53.2%</w:t>
            </w:r>
          </w:p>
        </w:tc>
        <w:tc>
          <w:tcPr>
            <w:tcW w:w="1791"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62.3%</w:t>
            </w:r>
          </w:p>
        </w:tc>
      </w:tr>
      <w:tr>
        <w:tblPrEx>
          <w:tblCellMar>
            <w:top w:w="0" w:type="dxa"/>
            <w:left w:w="108" w:type="dxa"/>
            <w:bottom w:w="0" w:type="dxa"/>
            <w:right w:w="108" w:type="dxa"/>
          </w:tblCellMar>
        </w:tblPrEx>
        <w:trPr>
          <w:trHeight w:val="349" w:hRule="atLeast"/>
        </w:trPr>
        <w:tc>
          <w:tcPr>
            <w:tcW w:w="674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rPr>
                <w:rFonts w:ascii="Calibri" w:hAnsi="Calibri" w:eastAsia="Times New Roman" w:cs="Calibri"/>
                <w:color w:val="000000"/>
              </w:rPr>
            </w:pPr>
            <w:r>
              <w:rPr>
                <w:rFonts w:ascii="Calibri" w:hAnsi="Calibri" w:eastAsia="Times New Roman" w:cs="Calibri"/>
                <w:color w:val="000000"/>
              </w:rPr>
              <w:t>Interest Cover</w:t>
            </w:r>
          </w:p>
        </w:tc>
        <w:tc>
          <w:tcPr>
            <w:tcW w:w="180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3.8</w:t>
            </w:r>
          </w:p>
        </w:tc>
        <w:tc>
          <w:tcPr>
            <w:tcW w:w="1791"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(0.28)</w:t>
            </w:r>
          </w:p>
        </w:tc>
      </w:tr>
      <w:tr>
        <w:tblPrEx>
          <w:tblCellMar>
            <w:top w:w="0" w:type="dxa"/>
            <w:left w:w="108" w:type="dxa"/>
            <w:bottom w:w="0" w:type="dxa"/>
            <w:right w:w="108" w:type="dxa"/>
          </w:tblCellMar>
        </w:tblPrEx>
        <w:trPr>
          <w:trHeight w:val="349" w:hRule="atLeast"/>
        </w:trPr>
        <w:tc>
          <w:tcPr>
            <w:tcW w:w="674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rPr>
                <w:rFonts w:ascii="Calibri" w:hAnsi="Calibri" w:eastAsia="Times New Roman" w:cs="Calibri"/>
                <w:color w:val="000000"/>
              </w:rPr>
            </w:pPr>
            <w:r>
              <w:rPr>
                <w:rFonts w:ascii="Calibri" w:hAnsi="Calibri" w:eastAsia="Times New Roman" w:cs="Calibri"/>
                <w:color w:val="000000"/>
              </w:rPr>
              <w:t>Receivables Collection Period</w:t>
            </w:r>
          </w:p>
        </w:tc>
        <w:tc>
          <w:tcPr>
            <w:tcW w:w="180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48.69</w:t>
            </w:r>
          </w:p>
        </w:tc>
        <w:tc>
          <w:tcPr>
            <w:tcW w:w="1791"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ascii="Calibri" w:hAnsi="Calibri" w:eastAsia="Times New Roman" w:cs="Calibri"/>
                <w:color w:val="000000"/>
              </w:rPr>
            </w:pPr>
            <w:r>
              <w:rPr>
                <w:rFonts w:ascii="Calibri" w:hAnsi="Calibri" w:eastAsia="Times New Roman" w:cs="Calibri"/>
                <w:color w:val="000000"/>
              </w:rPr>
              <w:t>65.34</w:t>
            </w:r>
          </w:p>
        </w:tc>
      </w:tr>
    </w:tbl>
    <w:p>
      <w:pPr>
        <w:spacing w:line="360" w:lineRule="auto"/>
        <w:rPr>
          <w:rFonts w:ascii="Arial" w:hAnsi="Arial" w:cs="Arial"/>
          <w:sz w:val="24"/>
          <w:szCs w:val="24"/>
        </w:rPr>
      </w:pPr>
    </w:p>
    <w:p>
      <w:pPr>
        <w:spacing w:line="360" w:lineRule="auto"/>
        <w:rPr>
          <w:rFonts w:ascii="Arial" w:hAnsi="Arial" w:cs="Arial"/>
          <w:sz w:val="24"/>
          <w:szCs w:val="24"/>
        </w:rPr>
      </w:pPr>
    </w:p>
    <w:p>
      <w:pPr>
        <w:pStyle w:val="2"/>
        <w:spacing w:line="360" w:lineRule="auto"/>
        <w:rPr>
          <w:rFonts w:ascii="Arial" w:hAnsi="Arial" w:cs="Arial"/>
          <w:b/>
          <w:bCs/>
          <w:color w:val="auto"/>
          <w:sz w:val="24"/>
          <w:szCs w:val="24"/>
        </w:rPr>
      </w:pPr>
      <w:bookmarkStart w:id="7" w:name="_Toc104119068"/>
      <w:r>
        <w:rPr>
          <w:rFonts w:ascii="Arial" w:hAnsi="Arial" w:cs="Arial"/>
          <w:b/>
          <w:bCs/>
          <w:color w:val="auto"/>
          <w:sz w:val="24"/>
          <w:szCs w:val="24"/>
        </w:rPr>
        <w:t>Findings, analysis, interpretation of results and conclusion</w:t>
      </w:r>
      <w:bookmarkEnd w:id="7"/>
    </w:p>
    <w:p>
      <w:pPr>
        <w:pStyle w:val="3"/>
        <w:rPr>
          <w:rFonts w:ascii="Arial" w:hAnsi="Arial" w:cs="Arial"/>
          <w:color w:val="auto"/>
          <w:sz w:val="24"/>
          <w:szCs w:val="24"/>
        </w:rPr>
      </w:pPr>
      <w:bookmarkStart w:id="8" w:name="_Toc104119069"/>
      <w:bookmarkStart w:id="9" w:name="_Hlk104116365"/>
      <w:r>
        <w:rPr>
          <w:rFonts w:ascii="Arial" w:hAnsi="Arial" w:cs="Arial"/>
          <w:color w:val="auto"/>
          <w:sz w:val="24"/>
          <w:szCs w:val="24"/>
        </w:rPr>
        <w:t>Profitability</w:t>
      </w:r>
      <w:bookmarkEnd w:id="8"/>
    </w:p>
    <w:p>
      <w:pPr>
        <w:spacing w:line="360" w:lineRule="auto"/>
        <w:rPr>
          <w:rFonts w:ascii="Arial" w:hAnsi="Arial" w:cs="Arial"/>
          <w:sz w:val="24"/>
          <w:szCs w:val="24"/>
        </w:rPr>
      </w:pPr>
      <w:r>
        <w:rPr>
          <w:rFonts w:ascii="Arial" w:hAnsi="Arial" w:cs="Arial"/>
          <w:sz w:val="24"/>
          <w:szCs w:val="24"/>
        </w:rPr>
        <w:t xml:space="preserve">Gross profit margin fell in 2020 due to perhaps various COVID-19 restrictions which </w:t>
      </w:r>
      <w:bookmarkEnd w:id="9"/>
      <w:r>
        <w:rPr>
          <w:rFonts w:ascii="Arial" w:hAnsi="Arial" w:cs="Arial"/>
          <w:sz w:val="24"/>
          <w:szCs w:val="24"/>
        </w:rPr>
        <w:t>hampered sales revenue of Hilton as well as an increased cost of sales. These combined external factors reduced GPM of Hilton and hence reduced annual sales.</w:t>
      </w:r>
    </w:p>
    <w:p>
      <w:pPr>
        <w:spacing w:line="360" w:lineRule="auto"/>
        <w:rPr>
          <w:rFonts w:ascii="Arial" w:hAnsi="Arial" w:cs="Arial"/>
          <w:sz w:val="24"/>
          <w:szCs w:val="24"/>
        </w:rPr>
      </w:pPr>
      <w:r>
        <w:drawing>
          <wp:inline distT="0" distB="0" distL="0" distR="0">
            <wp:extent cx="4511675" cy="2328545"/>
            <wp:effectExtent l="0" t="0" r="3175" b="146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spacing w:line="360" w:lineRule="auto"/>
        <w:rPr>
          <w:rFonts w:ascii="Arial" w:hAnsi="Arial" w:cs="Arial"/>
          <w:sz w:val="24"/>
          <w:szCs w:val="24"/>
        </w:rPr>
      </w:pPr>
      <w:r>
        <w:rPr>
          <w:rFonts w:ascii="Arial" w:hAnsi="Arial" w:cs="Arial"/>
          <w:sz w:val="24"/>
          <w:szCs w:val="24"/>
        </w:rPr>
        <w:t xml:space="preserve">Moreover, net profit margin fell at a significant rate from 9.3% to -16.6% in 2020 which is due to Hilton entering into loss making phase (Lock, 2022). Hilton entered into loss making phase similarly with all hotel industry with COVID-19 shocks (Phocuswire, 2021). </w:t>
      </w:r>
    </w:p>
    <w:p>
      <w:pPr>
        <w:spacing w:line="360" w:lineRule="auto"/>
        <w:rPr>
          <w:rFonts w:ascii="Arial" w:hAnsi="Arial" w:cs="Arial"/>
          <w:sz w:val="24"/>
          <w:szCs w:val="24"/>
        </w:rPr>
      </w:pPr>
      <w:r>
        <w:drawing>
          <wp:inline distT="0" distB="0" distL="0" distR="0">
            <wp:extent cx="4549775" cy="2764790"/>
            <wp:effectExtent l="0" t="0" r="3175" b="165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spacing w:line="360" w:lineRule="auto"/>
        <w:rPr>
          <w:rFonts w:ascii="Arial" w:hAnsi="Arial" w:cs="Arial"/>
          <w:sz w:val="24"/>
          <w:szCs w:val="24"/>
        </w:rPr>
      </w:pPr>
      <w:r>
        <w:rPr>
          <w:rFonts w:ascii="Arial" w:hAnsi="Arial" w:cs="Arial"/>
          <w:sz w:val="24"/>
          <w:szCs w:val="24"/>
        </w:rPr>
        <w:t>Similarly, it can be argued about return on equity ratio of Hilton which dropped from 5.9% to -4.3% in 2020. This is the direct reflection of loss-making trend of Hilton, as discussed above, due to pandemic. This trend of Hilton will cause shareholders to have a panic at their desired return investment.</w:t>
      </w:r>
    </w:p>
    <w:p>
      <w:pPr>
        <w:spacing w:line="360" w:lineRule="auto"/>
        <w:rPr>
          <w:rFonts w:ascii="Arial" w:hAnsi="Arial" w:cs="Arial"/>
          <w:sz w:val="24"/>
          <w:szCs w:val="24"/>
        </w:rPr>
      </w:pPr>
      <w:r>
        <w:drawing>
          <wp:inline distT="0" distB="0" distL="0" distR="0">
            <wp:extent cx="4544695" cy="2461895"/>
            <wp:effectExtent l="0" t="0" r="8255" b="1460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pacing w:line="360" w:lineRule="auto"/>
        <w:rPr>
          <w:rFonts w:ascii="Arial" w:hAnsi="Arial" w:cs="Arial"/>
          <w:sz w:val="24"/>
          <w:szCs w:val="24"/>
        </w:rPr>
      </w:pPr>
    </w:p>
    <w:p>
      <w:pPr>
        <w:pStyle w:val="3"/>
        <w:rPr>
          <w:rFonts w:ascii="Arial" w:hAnsi="Arial" w:cs="Arial"/>
          <w:color w:val="auto"/>
          <w:sz w:val="24"/>
          <w:szCs w:val="24"/>
        </w:rPr>
      </w:pPr>
      <w:bookmarkStart w:id="10" w:name="_Toc104119070"/>
      <w:r>
        <w:rPr>
          <w:rFonts w:ascii="Arial" w:hAnsi="Arial" w:cs="Arial"/>
          <w:color w:val="auto"/>
          <w:sz w:val="24"/>
          <w:szCs w:val="24"/>
        </w:rPr>
        <w:t>Liquidity</w:t>
      </w:r>
      <w:bookmarkEnd w:id="10"/>
    </w:p>
    <w:p>
      <w:pPr>
        <w:spacing w:line="360" w:lineRule="auto"/>
        <w:rPr>
          <w:rFonts w:ascii="Arial" w:hAnsi="Arial" w:cs="Arial"/>
          <w:sz w:val="24"/>
          <w:szCs w:val="24"/>
        </w:rPr>
      </w:pPr>
      <w:r>
        <w:rPr>
          <w:rFonts w:ascii="Arial" w:hAnsi="Arial" w:cs="Arial"/>
          <w:sz w:val="24"/>
          <w:szCs w:val="24"/>
        </w:rPr>
        <w:t>Current ratio of Hilton improved over the last 2 years from 0.73:1 to 1.73:1 in 2020. This is due to increased cash flow from operating activities of previous financial year. This represents healthy cash flow which can be used for expanding the business internally.</w:t>
      </w:r>
    </w:p>
    <w:p>
      <w:pPr>
        <w:spacing w:line="360" w:lineRule="auto"/>
        <w:rPr>
          <w:rFonts w:ascii="Arial" w:hAnsi="Arial" w:cs="Arial"/>
          <w:sz w:val="24"/>
          <w:szCs w:val="24"/>
        </w:rPr>
      </w:pPr>
      <w:r>
        <w:drawing>
          <wp:inline distT="0" distB="0" distL="0" distR="0">
            <wp:extent cx="4558665" cy="2757170"/>
            <wp:effectExtent l="0" t="0" r="13335" b="50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pStyle w:val="3"/>
        <w:rPr>
          <w:rFonts w:ascii="Arial" w:hAnsi="Arial" w:cs="Arial"/>
          <w:color w:val="auto"/>
          <w:sz w:val="24"/>
          <w:szCs w:val="24"/>
        </w:rPr>
      </w:pPr>
      <w:bookmarkStart w:id="11" w:name="_Toc104119071"/>
      <w:r>
        <w:rPr>
          <w:rFonts w:ascii="Arial" w:hAnsi="Arial" w:cs="Arial"/>
          <w:color w:val="auto"/>
          <w:sz w:val="24"/>
          <w:szCs w:val="24"/>
        </w:rPr>
        <w:t>Efficiency</w:t>
      </w:r>
      <w:bookmarkEnd w:id="11"/>
    </w:p>
    <w:p>
      <w:pPr>
        <w:spacing w:line="360" w:lineRule="auto"/>
        <w:rPr>
          <w:rFonts w:ascii="Arial" w:hAnsi="Arial" w:cs="Arial"/>
          <w:sz w:val="24"/>
          <w:szCs w:val="24"/>
        </w:rPr>
      </w:pPr>
      <w:r>
        <w:rPr>
          <w:rFonts w:ascii="Arial" w:hAnsi="Arial" w:cs="Arial"/>
          <w:sz w:val="24"/>
          <w:szCs w:val="24"/>
        </w:rPr>
        <w:t xml:space="preserve">Asset turnover of Hilton deteriorated from 0.63 to 0.26 in 2020, which represents a low utilization of the company’s assets when generating revenue. This is an efficiency check of the company which is essential for measuring short-term / long-term success and growth. </w:t>
      </w:r>
    </w:p>
    <w:p>
      <w:pPr>
        <w:spacing w:line="360" w:lineRule="auto"/>
        <w:rPr>
          <w:rFonts w:ascii="Arial" w:hAnsi="Arial" w:cs="Arial"/>
          <w:sz w:val="24"/>
          <w:szCs w:val="24"/>
        </w:rPr>
      </w:pPr>
      <w:r>
        <w:drawing>
          <wp:inline distT="0" distB="0" distL="0" distR="0">
            <wp:extent cx="4486275" cy="220027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spacing w:line="360" w:lineRule="auto"/>
        <w:rPr>
          <w:rFonts w:ascii="Arial" w:hAnsi="Arial" w:cs="Arial"/>
          <w:sz w:val="24"/>
          <w:szCs w:val="24"/>
        </w:rPr>
      </w:pPr>
      <w:r>
        <w:rPr>
          <w:rFonts w:ascii="Arial" w:hAnsi="Arial" w:cs="Arial"/>
          <w:sz w:val="24"/>
          <w:szCs w:val="24"/>
        </w:rPr>
        <w:t xml:space="preserve">Moreover, gearing ratio of Hilton jumped from 53% to 62% in 2020 which represents a more inflow of money into the company’s fund from long-term debts. This will cause company to bear its increased interests hence reducing profit margin. In times of loss-making phase, gearing ratio should be kept at minimum to avoid further loss in the company. </w:t>
      </w:r>
    </w:p>
    <w:p>
      <w:pPr>
        <w:spacing w:line="360" w:lineRule="auto"/>
        <w:rPr>
          <w:rFonts w:ascii="Arial" w:hAnsi="Arial" w:cs="Arial"/>
          <w:sz w:val="24"/>
          <w:szCs w:val="24"/>
        </w:rPr>
      </w:pPr>
      <w:r>
        <w:drawing>
          <wp:inline distT="0" distB="0" distL="0" distR="0">
            <wp:extent cx="4276725" cy="2943225"/>
            <wp:effectExtent l="0" t="0" r="952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spacing w:line="360" w:lineRule="auto"/>
        <w:rPr>
          <w:rFonts w:ascii="Arial" w:hAnsi="Arial" w:cs="Arial"/>
          <w:sz w:val="24"/>
          <w:szCs w:val="24"/>
        </w:rPr>
      </w:pPr>
      <w:r>
        <w:rPr>
          <w:rFonts w:ascii="Arial" w:hAnsi="Arial" w:cs="Arial"/>
          <w:sz w:val="24"/>
          <w:szCs w:val="24"/>
        </w:rPr>
        <w:t>Interest cover of Hilton was very poor in 2020 compared to 2019 (for e.g., 3.8 times to negative 0.28 times). This means Hilton could have paid interests from its profits almost 4 times in 2019 with their performance whereas, in 2020 due to loss, Hilton can not afford to pay its interest. Therefore, the company was on the verge of its financial risk.</w:t>
      </w:r>
    </w:p>
    <w:p>
      <w:pPr>
        <w:spacing w:line="360" w:lineRule="auto"/>
        <w:rPr>
          <w:rFonts w:ascii="Arial" w:hAnsi="Arial" w:cs="Arial"/>
          <w:sz w:val="24"/>
          <w:szCs w:val="24"/>
        </w:rPr>
      </w:pPr>
      <w:r>
        <w:drawing>
          <wp:inline distT="0" distB="0" distL="0" distR="0">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360" w:lineRule="auto"/>
        <w:rPr>
          <w:rFonts w:ascii="Arial" w:hAnsi="Arial" w:cs="Arial"/>
          <w:sz w:val="24"/>
          <w:szCs w:val="24"/>
        </w:rPr>
      </w:pPr>
      <w:r>
        <w:rPr>
          <w:rFonts w:ascii="Arial" w:hAnsi="Arial" w:cs="Arial"/>
          <w:sz w:val="24"/>
          <w:szCs w:val="24"/>
        </w:rPr>
        <w:t>Receivables collection period also lowered in 2020 due to perhaps less efficient credit control department as well as pandemic economic slowdown. Thereby, cash flow of Hilton reduced due to this.</w:t>
      </w:r>
    </w:p>
    <w:p>
      <w:pPr>
        <w:spacing w:line="360" w:lineRule="auto"/>
        <w:rPr>
          <w:rFonts w:ascii="Arial" w:hAnsi="Arial" w:cs="Arial"/>
          <w:sz w:val="24"/>
          <w:szCs w:val="24"/>
        </w:rPr>
      </w:pPr>
      <w:r>
        <w:drawing>
          <wp:inline distT="0" distB="0" distL="0" distR="0">
            <wp:extent cx="4562475" cy="2381250"/>
            <wp:effectExtent l="0" t="0" r="952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pPr>
        <w:spacing w:line="360" w:lineRule="auto"/>
        <w:rPr>
          <w:rFonts w:ascii="Arial" w:hAnsi="Arial" w:cs="Arial"/>
          <w:sz w:val="24"/>
          <w:szCs w:val="24"/>
        </w:rPr>
      </w:pPr>
      <w:r>
        <w:rPr>
          <w:rFonts w:ascii="Arial" w:hAnsi="Arial" w:cs="Arial"/>
          <w:sz w:val="24"/>
          <w:szCs w:val="24"/>
        </w:rPr>
        <w:t>A normal debtor of Hilton used to pay their debts within 48 days in 2019 but in 2020 the days were longer for this, for e.g., 65 days.</w:t>
      </w:r>
    </w:p>
    <w:p>
      <w:pPr>
        <w:pStyle w:val="2"/>
        <w:spacing w:line="360" w:lineRule="auto"/>
        <w:rPr>
          <w:rFonts w:ascii="Arial" w:hAnsi="Arial" w:cs="Arial"/>
          <w:b/>
          <w:bCs/>
          <w:color w:val="auto"/>
          <w:sz w:val="24"/>
          <w:szCs w:val="24"/>
        </w:rPr>
      </w:pPr>
      <w:bookmarkStart w:id="12" w:name="_Toc104119072"/>
      <w:r>
        <w:rPr>
          <w:rFonts w:ascii="Arial" w:hAnsi="Arial" w:cs="Arial"/>
          <w:b/>
          <w:bCs/>
          <w:color w:val="auto"/>
          <w:sz w:val="24"/>
          <w:szCs w:val="24"/>
        </w:rPr>
        <w:t>Usefulness of ratio analysis</w:t>
      </w:r>
      <w:bookmarkEnd w:id="12"/>
    </w:p>
    <w:p>
      <w:pPr>
        <w:pStyle w:val="14"/>
        <w:numPr>
          <w:ilvl w:val="0"/>
          <w:numId w:val="1"/>
        </w:numPr>
        <w:spacing w:line="360" w:lineRule="auto"/>
        <w:rPr>
          <w:rFonts w:ascii="Arial" w:hAnsi="Arial" w:cs="Arial"/>
          <w:sz w:val="24"/>
          <w:szCs w:val="24"/>
        </w:rPr>
      </w:pPr>
      <w:r>
        <w:rPr>
          <w:rFonts w:ascii="Arial" w:hAnsi="Arial" w:cs="Arial"/>
          <w:sz w:val="24"/>
          <w:szCs w:val="24"/>
        </w:rPr>
        <w:t>Ratio analysis helps to understand in-depth picture of a company’s financials which accounts does not explicitly present.</w:t>
      </w:r>
    </w:p>
    <w:p>
      <w:pPr>
        <w:pStyle w:val="14"/>
        <w:numPr>
          <w:ilvl w:val="0"/>
          <w:numId w:val="1"/>
        </w:numPr>
        <w:spacing w:line="360" w:lineRule="auto"/>
        <w:rPr>
          <w:rFonts w:ascii="Arial" w:hAnsi="Arial" w:cs="Arial"/>
          <w:sz w:val="24"/>
          <w:szCs w:val="24"/>
        </w:rPr>
      </w:pPr>
      <w:r>
        <w:rPr>
          <w:rFonts w:ascii="Arial" w:hAnsi="Arial" w:cs="Arial"/>
          <w:sz w:val="24"/>
          <w:szCs w:val="24"/>
        </w:rPr>
        <w:t>It gives investors’ confidence thereby they can compare results with other players in the industry.</w:t>
      </w:r>
    </w:p>
    <w:p>
      <w:pPr>
        <w:pStyle w:val="14"/>
        <w:numPr>
          <w:ilvl w:val="0"/>
          <w:numId w:val="1"/>
        </w:numPr>
        <w:spacing w:line="360" w:lineRule="auto"/>
        <w:rPr>
          <w:rFonts w:ascii="Arial" w:hAnsi="Arial" w:cs="Arial"/>
          <w:sz w:val="24"/>
          <w:szCs w:val="24"/>
        </w:rPr>
      </w:pPr>
      <w:r>
        <w:rPr>
          <w:rFonts w:ascii="Arial" w:hAnsi="Arial" w:cs="Arial"/>
          <w:sz w:val="24"/>
          <w:szCs w:val="24"/>
        </w:rPr>
        <w:t>It can be used to identify lacking in various components of accounts which are not normally found without ratio analysis.</w:t>
      </w:r>
    </w:p>
    <w:p>
      <w:pPr>
        <w:pStyle w:val="14"/>
        <w:numPr>
          <w:ilvl w:val="0"/>
          <w:numId w:val="1"/>
        </w:numPr>
        <w:spacing w:line="360" w:lineRule="auto"/>
        <w:rPr>
          <w:rFonts w:ascii="Arial" w:hAnsi="Arial" w:cs="Arial"/>
          <w:sz w:val="24"/>
          <w:szCs w:val="24"/>
        </w:rPr>
      </w:pPr>
      <w:r>
        <w:rPr>
          <w:rFonts w:ascii="Arial" w:hAnsi="Arial" w:cs="Arial"/>
          <w:sz w:val="24"/>
          <w:szCs w:val="24"/>
        </w:rPr>
        <w:t>Business risks can be measured as well as financial risks, thereby management can take appropriate decisions regarding investments and other steps.</w:t>
      </w:r>
    </w:p>
    <w:p>
      <w:pPr>
        <w:pStyle w:val="14"/>
        <w:numPr>
          <w:ilvl w:val="0"/>
          <w:numId w:val="1"/>
        </w:numPr>
        <w:spacing w:line="360" w:lineRule="auto"/>
        <w:rPr>
          <w:rFonts w:ascii="Arial" w:hAnsi="Arial" w:cs="Arial"/>
          <w:sz w:val="24"/>
          <w:szCs w:val="24"/>
        </w:rPr>
      </w:pPr>
      <w:r>
        <w:rPr>
          <w:rFonts w:ascii="Arial" w:hAnsi="Arial" w:cs="Arial"/>
          <w:sz w:val="24"/>
          <w:szCs w:val="24"/>
        </w:rPr>
        <w:t>Planning and coordination becomes accurate and more precise due to proper knowledge available regarding various areas of accounts.</w:t>
      </w:r>
    </w:p>
    <w:p>
      <w:pPr>
        <w:pStyle w:val="14"/>
        <w:numPr>
          <w:ilvl w:val="0"/>
          <w:numId w:val="1"/>
        </w:numPr>
        <w:spacing w:line="360" w:lineRule="auto"/>
        <w:rPr>
          <w:rFonts w:ascii="Arial" w:hAnsi="Arial" w:cs="Arial"/>
          <w:sz w:val="24"/>
          <w:szCs w:val="24"/>
        </w:rPr>
      </w:pPr>
      <w:r>
        <w:rPr>
          <w:rFonts w:ascii="Arial" w:hAnsi="Arial" w:cs="Arial"/>
          <w:sz w:val="24"/>
          <w:szCs w:val="24"/>
        </w:rPr>
        <w:t>Company can know better about forecasting and budgeting therefore more accurate planning.</w:t>
      </w:r>
    </w:p>
    <w:p>
      <w:pPr>
        <w:pStyle w:val="14"/>
        <w:numPr>
          <w:ilvl w:val="0"/>
          <w:numId w:val="1"/>
        </w:numPr>
        <w:spacing w:line="360" w:lineRule="auto"/>
        <w:rPr>
          <w:rFonts w:ascii="Arial" w:hAnsi="Arial" w:cs="Arial"/>
          <w:sz w:val="24"/>
          <w:szCs w:val="24"/>
        </w:rPr>
      </w:pPr>
      <w:r>
        <w:rPr>
          <w:rFonts w:ascii="Arial" w:hAnsi="Arial" w:cs="Arial"/>
          <w:sz w:val="24"/>
          <w:szCs w:val="24"/>
        </w:rPr>
        <w:t xml:space="preserve">Company can draw a well-structured conclusion regarding the performance of the company.  </w:t>
      </w:r>
    </w:p>
    <w:p>
      <w:pPr>
        <w:spacing w:line="360" w:lineRule="auto"/>
        <w:rPr>
          <w:rFonts w:ascii="Arial" w:hAnsi="Arial" w:cs="Arial"/>
          <w:sz w:val="24"/>
          <w:szCs w:val="24"/>
        </w:rPr>
      </w:pPr>
      <w:r>
        <w:rPr>
          <w:rFonts w:ascii="Arial" w:hAnsi="Arial" w:cs="Arial"/>
          <w:sz w:val="24"/>
          <w:szCs w:val="24"/>
        </w:rPr>
        <w:t>(Sanjay Bulaki, 2021)</w:t>
      </w:r>
    </w:p>
    <w:p>
      <w:pPr>
        <w:pStyle w:val="2"/>
        <w:spacing w:line="360" w:lineRule="auto"/>
        <w:rPr>
          <w:rFonts w:ascii="Arial" w:hAnsi="Arial" w:cs="Arial"/>
          <w:b/>
          <w:bCs/>
          <w:color w:val="auto"/>
          <w:sz w:val="24"/>
          <w:szCs w:val="24"/>
        </w:rPr>
      </w:pPr>
      <w:bookmarkStart w:id="13" w:name="_Toc104119073"/>
      <w:r>
        <w:rPr>
          <w:rFonts w:ascii="Arial" w:hAnsi="Arial" w:cs="Arial"/>
          <w:b/>
          <w:bCs/>
          <w:color w:val="auto"/>
          <w:sz w:val="24"/>
          <w:szCs w:val="24"/>
        </w:rPr>
        <w:t>Limitations of ratio analysis</w:t>
      </w:r>
      <w:bookmarkEnd w:id="13"/>
    </w:p>
    <w:p>
      <w:pPr>
        <w:pStyle w:val="14"/>
        <w:numPr>
          <w:ilvl w:val="0"/>
          <w:numId w:val="1"/>
        </w:numPr>
        <w:spacing w:line="360" w:lineRule="auto"/>
        <w:rPr>
          <w:rFonts w:ascii="Arial" w:hAnsi="Arial" w:cs="Arial"/>
          <w:sz w:val="24"/>
          <w:szCs w:val="24"/>
        </w:rPr>
      </w:pPr>
      <w:r>
        <w:rPr>
          <w:rFonts w:ascii="Arial" w:hAnsi="Arial" w:cs="Arial"/>
          <w:sz w:val="24"/>
          <w:szCs w:val="24"/>
        </w:rPr>
        <w:t>Ratio analysis are based on historic data which are subject to fluctuate very frequently.</w:t>
      </w:r>
    </w:p>
    <w:p>
      <w:pPr>
        <w:pStyle w:val="14"/>
        <w:numPr>
          <w:ilvl w:val="0"/>
          <w:numId w:val="1"/>
        </w:numPr>
        <w:spacing w:line="360" w:lineRule="auto"/>
        <w:rPr>
          <w:rFonts w:ascii="Arial" w:hAnsi="Arial" w:cs="Arial"/>
          <w:sz w:val="24"/>
          <w:szCs w:val="24"/>
        </w:rPr>
      </w:pPr>
      <w:r>
        <w:rPr>
          <w:rFonts w:ascii="Arial" w:hAnsi="Arial" w:cs="Arial"/>
          <w:sz w:val="24"/>
          <w:szCs w:val="24"/>
        </w:rPr>
        <w:t>Other factors are necessary for business assessment, such as, non-financial information.</w:t>
      </w:r>
    </w:p>
    <w:p>
      <w:pPr>
        <w:pStyle w:val="14"/>
        <w:numPr>
          <w:ilvl w:val="0"/>
          <w:numId w:val="1"/>
        </w:numPr>
        <w:spacing w:line="360" w:lineRule="auto"/>
        <w:rPr>
          <w:rFonts w:ascii="Arial" w:hAnsi="Arial" w:cs="Arial"/>
          <w:sz w:val="24"/>
          <w:szCs w:val="24"/>
        </w:rPr>
      </w:pPr>
      <w:r>
        <w:rPr>
          <w:rFonts w:ascii="Arial" w:hAnsi="Arial" w:cs="Arial"/>
          <w:sz w:val="24"/>
          <w:szCs w:val="24"/>
        </w:rPr>
        <w:t>Business analysis should be used regularly to get a more accurate picture of a company such as, SWOT, PESTLE, ANSOFF &amp; BOSTON MATRIX etc.</w:t>
      </w:r>
    </w:p>
    <w:p>
      <w:pPr>
        <w:pStyle w:val="14"/>
        <w:numPr>
          <w:ilvl w:val="0"/>
          <w:numId w:val="1"/>
        </w:numPr>
        <w:spacing w:line="360" w:lineRule="auto"/>
        <w:rPr>
          <w:rFonts w:ascii="Arial" w:hAnsi="Arial" w:cs="Arial"/>
          <w:sz w:val="24"/>
          <w:szCs w:val="24"/>
        </w:rPr>
      </w:pPr>
      <w:r>
        <w:rPr>
          <w:rFonts w:ascii="Arial" w:hAnsi="Arial" w:cs="Arial"/>
          <w:sz w:val="24"/>
          <w:szCs w:val="24"/>
        </w:rPr>
        <w:t>Ratio analysis doesn’t take account of human element of a company which is essential in day-to-day running operation of a company.</w:t>
      </w:r>
    </w:p>
    <w:p>
      <w:pPr>
        <w:pStyle w:val="14"/>
        <w:numPr>
          <w:ilvl w:val="0"/>
          <w:numId w:val="1"/>
        </w:numPr>
        <w:spacing w:line="360" w:lineRule="auto"/>
        <w:rPr>
          <w:rFonts w:ascii="Arial" w:hAnsi="Arial" w:cs="Arial"/>
          <w:sz w:val="24"/>
          <w:szCs w:val="24"/>
        </w:rPr>
      </w:pPr>
      <w:r>
        <w:rPr>
          <w:rFonts w:ascii="Arial" w:hAnsi="Arial" w:cs="Arial"/>
          <w:sz w:val="24"/>
          <w:szCs w:val="24"/>
        </w:rPr>
        <w:t>Many companies might not be in favor of sharing their internal information hence, comparison is not available.</w:t>
      </w:r>
    </w:p>
    <w:p>
      <w:pPr>
        <w:spacing w:line="360" w:lineRule="auto"/>
        <w:rPr>
          <w:rFonts w:ascii="Arial" w:hAnsi="Arial" w:cs="Arial"/>
          <w:sz w:val="24"/>
          <w:szCs w:val="24"/>
        </w:rPr>
      </w:pPr>
      <w:r>
        <w:rPr>
          <w:rFonts w:ascii="Arial" w:hAnsi="Arial" w:cs="Arial"/>
          <w:sz w:val="24"/>
          <w:szCs w:val="24"/>
        </w:rPr>
        <w:t>(BBC, n.d.)</w:t>
      </w:r>
    </w:p>
    <w:p>
      <w:pPr>
        <w:pStyle w:val="2"/>
        <w:spacing w:line="360" w:lineRule="auto"/>
        <w:rPr>
          <w:rFonts w:ascii="Arial" w:hAnsi="Arial" w:cs="Arial"/>
          <w:b/>
          <w:bCs/>
          <w:color w:val="auto"/>
          <w:sz w:val="24"/>
          <w:szCs w:val="24"/>
        </w:rPr>
      </w:pPr>
      <w:bookmarkStart w:id="14" w:name="_Toc104119074"/>
      <w:r>
        <w:rPr>
          <w:rFonts w:ascii="Arial" w:hAnsi="Arial" w:cs="Arial"/>
          <w:b/>
          <w:bCs/>
          <w:color w:val="auto"/>
          <w:sz w:val="24"/>
          <w:szCs w:val="24"/>
        </w:rPr>
        <w:t>Conclusion</w:t>
      </w:r>
      <w:bookmarkEnd w:id="14"/>
    </w:p>
    <w:p>
      <w:pPr>
        <w:spacing w:line="360" w:lineRule="auto"/>
        <w:rPr>
          <w:rFonts w:ascii="Arial" w:hAnsi="Arial" w:cs="Arial"/>
          <w:sz w:val="24"/>
          <w:szCs w:val="24"/>
        </w:rPr>
      </w:pPr>
      <w:r>
        <w:rPr>
          <w:rFonts w:ascii="Arial" w:hAnsi="Arial" w:cs="Arial"/>
          <w:sz w:val="24"/>
          <w:szCs w:val="24"/>
        </w:rPr>
        <w:t xml:space="preserve">Hilton should take proper actions after analysing its ratio analysis results. The company should give proper attention towards various red alert ratio results and capitalize on those in order to improve the relevant sectors which were hampered due to pandemic and other external factors. Also, Hilton should exercise business analysis in order to get a proper and more accurate picture of the company. Thereby, a combination of both analyses will enable Hilton to get a balanced picture hence a more accurate and on point plan can be adopted in order to recover from pandemic crisis as well as other external shocks which Hilton might have faced in 2020.  </w:t>
      </w:r>
    </w:p>
    <w:p>
      <w:pPr>
        <w:pStyle w:val="2"/>
        <w:spacing w:line="360" w:lineRule="auto"/>
        <w:rPr>
          <w:rFonts w:ascii="Arial" w:hAnsi="Arial" w:cs="Arial"/>
          <w:b/>
          <w:bCs/>
          <w:color w:val="auto"/>
          <w:sz w:val="24"/>
          <w:szCs w:val="24"/>
        </w:rPr>
      </w:pPr>
      <w:bookmarkStart w:id="15" w:name="_Toc104119075"/>
      <w:r>
        <w:rPr>
          <w:rFonts w:ascii="Arial" w:hAnsi="Arial" w:cs="Arial"/>
          <w:b/>
          <w:bCs/>
          <w:color w:val="auto"/>
          <w:sz w:val="24"/>
          <w:szCs w:val="24"/>
        </w:rPr>
        <w:t>References</w:t>
      </w:r>
      <w:bookmarkEnd w:id="15"/>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BBC (n.d.). </w:t>
      </w:r>
      <w:r>
        <w:rPr>
          <w:rFonts w:ascii="Times New Roman" w:hAnsi="Times New Roman" w:cs="Times New Roman"/>
          <w:i/>
          <w:iCs/>
          <w:sz w:val="24"/>
          <w:szCs w:val="24"/>
        </w:rPr>
        <w:t>Purpose and limitations of Ratio Analysis - Ratios - Higher Business management Revision</w:t>
      </w:r>
      <w:r>
        <w:rPr>
          <w:rFonts w:ascii="Times New Roman" w:hAnsi="Times New Roman" w:cs="Times New Roman"/>
          <w:sz w:val="24"/>
          <w:szCs w:val="24"/>
        </w:rPr>
        <w:t xml:space="preserve">. [online] BBC Bitesize. Available at: </w:t>
      </w:r>
      <w:r>
        <w:fldChar w:fldCharType="begin"/>
      </w:r>
      <w:r>
        <w:instrText xml:space="preserve"> HYPERLINK "https://www.bbc.co.uk/bitesize/guides/zrxn47h/revision/5#:~:text=ratio%20analysis%20does%20not%20measure" </w:instrText>
      </w:r>
      <w:r>
        <w:fldChar w:fldCharType="separate"/>
      </w:r>
      <w:r>
        <w:rPr>
          <w:rFonts w:ascii="Times New Roman" w:hAnsi="Times New Roman" w:cs="Times New Roman"/>
          <w:sz w:val="24"/>
          <w:szCs w:val="24"/>
        </w:rPr>
        <w:t>https://www.bbc.co.uk/bitesize/guides/zrxn47h/revision/5#:~:text=ratio%20analysis%20does%20not%20measure</w:t>
      </w:r>
      <w:r>
        <w:rPr>
          <w:rFonts w:ascii="Times New Roman" w:hAnsi="Times New Roman" w:cs="Times New Roman"/>
          <w:sz w:val="24"/>
          <w:szCs w:val="24"/>
        </w:rPr>
        <w:fldChar w:fldCharType="end"/>
      </w:r>
      <w:r>
        <w:rPr>
          <w:rFonts w:ascii="Times New Roman" w:hAnsi="Times New Roman" w:cs="Times New Roman"/>
          <w:sz w:val="24"/>
          <w:szCs w:val="24"/>
        </w:rPr>
        <w:t>.</w:t>
      </w:r>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CFI Institute (2018). </w:t>
      </w:r>
      <w:r>
        <w:rPr>
          <w:rFonts w:ascii="Times New Roman" w:hAnsi="Times New Roman" w:cs="Times New Roman"/>
          <w:i/>
          <w:iCs/>
          <w:sz w:val="24"/>
          <w:szCs w:val="24"/>
        </w:rPr>
        <w:t>Interest coverage ratio</w:t>
      </w:r>
      <w:r>
        <w:rPr>
          <w:rFonts w:ascii="Times New Roman" w:hAnsi="Times New Roman" w:cs="Times New Roman"/>
          <w:sz w:val="24"/>
          <w:szCs w:val="24"/>
        </w:rPr>
        <w:t xml:space="preserve">. [online] Corporate Finance Institute. Available at: </w:t>
      </w:r>
      <w:r>
        <w:fldChar w:fldCharType="begin"/>
      </w:r>
      <w:r>
        <w:instrText xml:space="preserve"> HYPERLINK "https://corporatefinanceinstitute.com/resources/knowledge/finance/interest-coverage-ratio/" </w:instrText>
      </w:r>
      <w:r>
        <w:fldChar w:fldCharType="separate"/>
      </w:r>
      <w:r>
        <w:rPr>
          <w:rFonts w:ascii="Times New Roman" w:hAnsi="Times New Roman" w:cs="Times New Roman"/>
          <w:sz w:val="24"/>
          <w:szCs w:val="24"/>
        </w:rPr>
        <w:t>https://corporatefinanceinstitute.com/resources/knowledge/finance/interest-coverage-ratio/</w:t>
      </w:r>
      <w:r>
        <w:rPr>
          <w:rFonts w:ascii="Times New Roman" w:hAnsi="Times New Roman" w:cs="Times New Roman"/>
          <w:sz w:val="24"/>
          <w:szCs w:val="24"/>
        </w:rPr>
        <w:fldChar w:fldCharType="end"/>
      </w:r>
      <w:r>
        <w:rPr>
          <w:rFonts w:ascii="Times New Roman" w:hAnsi="Times New Roman" w:cs="Times New Roman"/>
          <w:sz w:val="24"/>
          <w:szCs w:val="24"/>
        </w:rPr>
        <w:t>.</w:t>
      </w:r>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Hill, J.W. (2014). </w:t>
      </w:r>
      <w:r>
        <w:rPr>
          <w:rFonts w:ascii="Times New Roman" w:hAnsi="Times New Roman" w:cs="Times New Roman"/>
          <w:i/>
          <w:iCs/>
          <w:sz w:val="24"/>
          <w:szCs w:val="24"/>
        </w:rPr>
        <w:t>The accounting</w:t>
      </w:r>
      <w:r>
        <w:rPr>
          <w:rFonts w:ascii="Times New Roman" w:hAnsi="Times New Roman" w:cs="Times New Roman"/>
          <w:sz w:val="24"/>
          <w:szCs w:val="24"/>
        </w:rPr>
        <w:t>. The Author.</w:t>
      </w:r>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Hilton (2021). </w:t>
      </w:r>
      <w:r>
        <w:rPr>
          <w:rFonts w:ascii="Times New Roman" w:hAnsi="Times New Roman" w:cs="Times New Roman"/>
          <w:i/>
          <w:iCs/>
          <w:sz w:val="24"/>
          <w:szCs w:val="24"/>
        </w:rPr>
        <w:t>Hilton Brands</w:t>
      </w:r>
      <w:r>
        <w:rPr>
          <w:rFonts w:ascii="Times New Roman" w:hAnsi="Times New Roman" w:cs="Times New Roman"/>
          <w:sz w:val="24"/>
          <w:szCs w:val="24"/>
        </w:rPr>
        <w:t xml:space="preserve">. [online] Hilton.com. Available at: </w:t>
      </w:r>
      <w:r>
        <w:fldChar w:fldCharType="begin"/>
      </w:r>
      <w:r>
        <w:instrText xml:space="preserve"> HYPERLINK "https://www.hilton.com/en/corporate/" </w:instrText>
      </w:r>
      <w:r>
        <w:fldChar w:fldCharType="separate"/>
      </w:r>
      <w:r>
        <w:rPr>
          <w:rFonts w:ascii="Times New Roman" w:hAnsi="Times New Roman" w:cs="Times New Roman"/>
          <w:sz w:val="24"/>
          <w:szCs w:val="24"/>
        </w:rPr>
        <w:t>https://www.hilton.com/en/corporate/</w:t>
      </w:r>
      <w:r>
        <w:rPr>
          <w:rFonts w:ascii="Times New Roman" w:hAnsi="Times New Roman" w:cs="Times New Roman"/>
          <w:sz w:val="24"/>
          <w:szCs w:val="24"/>
        </w:rPr>
        <w:fldChar w:fldCharType="end"/>
      </w:r>
      <w:r>
        <w:rPr>
          <w:rFonts w:ascii="Times New Roman" w:hAnsi="Times New Roman" w:cs="Times New Roman"/>
          <w:sz w:val="24"/>
          <w:szCs w:val="24"/>
        </w:rPr>
        <w:t>.</w:t>
      </w:r>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Horngren, C.T. (2014). </w:t>
      </w:r>
      <w:r>
        <w:rPr>
          <w:rFonts w:ascii="Times New Roman" w:hAnsi="Times New Roman" w:cs="Times New Roman"/>
          <w:i/>
          <w:iCs/>
          <w:sz w:val="24"/>
          <w:szCs w:val="24"/>
        </w:rPr>
        <w:t>Accounting</w:t>
      </w:r>
      <w:r>
        <w:rPr>
          <w:rFonts w:ascii="Times New Roman" w:hAnsi="Times New Roman" w:cs="Times New Roman"/>
          <w:sz w:val="24"/>
          <w:szCs w:val="24"/>
        </w:rPr>
        <w:t>. Toronto: Pearson Canada.</w:t>
      </w:r>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Hayes, A. (2022). </w:t>
      </w:r>
      <w:r>
        <w:rPr>
          <w:rFonts w:ascii="Times New Roman" w:hAnsi="Times New Roman" w:cs="Times New Roman"/>
          <w:i/>
          <w:iCs/>
          <w:sz w:val="24"/>
          <w:szCs w:val="24"/>
        </w:rPr>
        <w:t>Asset Turnover Ratio</w:t>
      </w:r>
      <w:r>
        <w:rPr>
          <w:rFonts w:ascii="Times New Roman" w:hAnsi="Times New Roman" w:cs="Times New Roman"/>
          <w:sz w:val="24"/>
          <w:szCs w:val="24"/>
        </w:rPr>
        <w:t xml:space="preserve">. [online] Investopedia. Available at: </w:t>
      </w:r>
      <w:r>
        <w:fldChar w:fldCharType="begin"/>
      </w:r>
      <w:r>
        <w:instrText xml:space="preserve"> HYPERLINK "https://www.investopedia.com/terms/a/assetturnover.asp" </w:instrText>
      </w:r>
      <w:r>
        <w:fldChar w:fldCharType="separate"/>
      </w:r>
      <w:r>
        <w:rPr>
          <w:rFonts w:ascii="Times New Roman" w:hAnsi="Times New Roman" w:cs="Times New Roman"/>
          <w:sz w:val="24"/>
          <w:szCs w:val="24"/>
        </w:rPr>
        <w:t>https://www.investopedia.com/terms/a/assetturnover.asp</w:t>
      </w:r>
      <w:r>
        <w:rPr>
          <w:rFonts w:ascii="Times New Roman" w:hAnsi="Times New Roman" w:cs="Times New Roman"/>
          <w:sz w:val="24"/>
          <w:szCs w:val="24"/>
        </w:rPr>
        <w:fldChar w:fldCharType="end"/>
      </w:r>
      <w:r>
        <w:rPr>
          <w:rFonts w:ascii="Times New Roman" w:hAnsi="Times New Roman" w:cs="Times New Roman"/>
          <w:sz w:val="24"/>
          <w:szCs w:val="24"/>
        </w:rPr>
        <w:t>.</w:t>
      </w:r>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Hilton Annual Report (2020). </w:t>
      </w:r>
      <w:r>
        <w:rPr>
          <w:rFonts w:ascii="Times New Roman" w:hAnsi="Times New Roman" w:cs="Times New Roman"/>
          <w:i/>
          <w:iCs/>
          <w:sz w:val="24"/>
          <w:szCs w:val="24"/>
        </w:rPr>
        <w:t>Annual Report</w:t>
      </w:r>
      <w:r>
        <w:rPr>
          <w:rFonts w:ascii="Times New Roman" w:hAnsi="Times New Roman" w:cs="Times New Roman"/>
          <w:sz w:val="24"/>
          <w:szCs w:val="24"/>
        </w:rPr>
        <w:t xml:space="preserve">. [online] </w:t>
      </w:r>
      <w:r>
        <w:rPr>
          <w:rFonts w:ascii="Times New Roman" w:hAnsi="Times New Roman" w:cs="Times New Roman"/>
          <w:i/>
          <w:iCs/>
          <w:sz w:val="24"/>
          <w:szCs w:val="24"/>
        </w:rPr>
        <w:t>https://www.corporatereport.com/hilton/2020/ar/downloads/hilton_2020_10k.pdf</w:t>
      </w:r>
      <w:r>
        <w:rPr>
          <w:rFonts w:ascii="Times New Roman" w:hAnsi="Times New Roman" w:cs="Times New Roman"/>
          <w:sz w:val="24"/>
          <w:szCs w:val="24"/>
        </w:rPr>
        <w:t xml:space="preserve">. Available at: </w:t>
      </w:r>
      <w:r>
        <w:fldChar w:fldCharType="begin"/>
      </w:r>
      <w:r>
        <w:instrText xml:space="preserve"> HYPERLINK "https://www.corporatereport.com/hilton/2020/ar/downloads/hilton_2020_10k.pdf" </w:instrText>
      </w:r>
      <w:r>
        <w:fldChar w:fldCharType="separate"/>
      </w:r>
      <w:r>
        <w:rPr>
          <w:rFonts w:ascii="Times New Roman" w:hAnsi="Times New Roman" w:cs="Times New Roman"/>
          <w:sz w:val="24"/>
          <w:szCs w:val="24"/>
        </w:rPr>
        <w:t>https://www.corporatereport.com/hilton/2020/ar/downloads/hilton_2020_10k.pdf</w:t>
      </w:r>
      <w:r>
        <w:rPr>
          <w:rFonts w:ascii="Times New Roman" w:hAnsi="Times New Roman" w:cs="Times New Roman"/>
          <w:sz w:val="24"/>
          <w:szCs w:val="24"/>
        </w:rPr>
        <w:fldChar w:fldCharType="end"/>
      </w:r>
      <w:r>
        <w:rPr>
          <w:rFonts w:ascii="Times New Roman" w:hAnsi="Times New Roman" w:cs="Times New Roman"/>
          <w:sz w:val="24"/>
          <w:szCs w:val="24"/>
        </w:rPr>
        <w:t>.</w:t>
      </w:r>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Kenton, W. (2022). </w:t>
      </w:r>
      <w:r>
        <w:rPr>
          <w:rFonts w:ascii="Times New Roman" w:hAnsi="Times New Roman" w:cs="Times New Roman"/>
          <w:i/>
          <w:iCs/>
          <w:sz w:val="24"/>
          <w:szCs w:val="24"/>
        </w:rPr>
        <w:t>How the Gearing Ratio Works</w:t>
      </w:r>
      <w:r>
        <w:rPr>
          <w:rFonts w:ascii="Times New Roman" w:hAnsi="Times New Roman" w:cs="Times New Roman"/>
          <w:sz w:val="24"/>
          <w:szCs w:val="24"/>
        </w:rPr>
        <w:t xml:space="preserve">. [online] Investopedia. Available at: </w:t>
      </w:r>
      <w:r>
        <w:fldChar w:fldCharType="begin"/>
      </w:r>
      <w:r>
        <w:instrText xml:space="preserve"> HYPERLINK "https://www.investopedia.com/terms/g/gearingratio.asp#:~:text=Gearing%20ratios%20are%20financial%20ratios" </w:instrText>
      </w:r>
      <w:r>
        <w:fldChar w:fldCharType="separate"/>
      </w:r>
      <w:r>
        <w:rPr>
          <w:rFonts w:ascii="Times New Roman" w:hAnsi="Times New Roman" w:cs="Times New Roman"/>
          <w:sz w:val="24"/>
          <w:szCs w:val="24"/>
        </w:rPr>
        <w:t>https://www.investopedia.com/terms/g/gearingratio.asp#:~:text=Gearing%20ratios%20are%20financial%20ratios</w:t>
      </w:r>
      <w:r>
        <w:rPr>
          <w:rFonts w:ascii="Times New Roman" w:hAnsi="Times New Roman" w:cs="Times New Roman"/>
          <w:sz w:val="24"/>
          <w:szCs w:val="24"/>
        </w:rPr>
        <w:fldChar w:fldCharType="end"/>
      </w:r>
      <w:r>
        <w:rPr>
          <w:rFonts w:ascii="Times New Roman" w:hAnsi="Times New Roman" w:cs="Times New Roman"/>
          <w:sz w:val="24"/>
          <w:szCs w:val="24"/>
        </w:rPr>
        <w:t>.</w:t>
      </w:r>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Kieso, D.E., Weygandt, J.J. and Warfield, T.D. (2018). </w:t>
      </w:r>
      <w:r>
        <w:rPr>
          <w:rFonts w:ascii="Times New Roman" w:hAnsi="Times New Roman" w:cs="Times New Roman"/>
          <w:i/>
          <w:iCs/>
          <w:sz w:val="24"/>
          <w:szCs w:val="24"/>
        </w:rPr>
        <w:t>Intermediate accounting</w:t>
      </w:r>
      <w:r>
        <w:rPr>
          <w:rFonts w:ascii="Times New Roman" w:hAnsi="Times New Roman" w:cs="Times New Roman"/>
          <w:sz w:val="24"/>
          <w:szCs w:val="24"/>
        </w:rPr>
        <w:t>. Hoboken, Nj Wiley.</w:t>
      </w:r>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Lock, S. (2022). </w:t>
      </w:r>
      <w:r>
        <w:rPr>
          <w:rFonts w:ascii="Times New Roman" w:hAnsi="Times New Roman" w:cs="Times New Roman"/>
          <w:i/>
          <w:iCs/>
          <w:sz w:val="24"/>
          <w:szCs w:val="24"/>
        </w:rPr>
        <w:t>Hilton Worldwide’s net income 2021</w:t>
      </w:r>
      <w:r>
        <w:rPr>
          <w:rFonts w:ascii="Times New Roman" w:hAnsi="Times New Roman" w:cs="Times New Roman"/>
          <w:sz w:val="24"/>
          <w:szCs w:val="24"/>
        </w:rPr>
        <w:t xml:space="preserve">. [online] Statista. Available at: </w:t>
      </w:r>
      <w:r>
        <w:fldChar w:fldCharType="begin"/>
      </w:r>
      <w:r>
        <w:instrText xml:space="preserve"> HYPERLINK "https://www.statista.com/statistics/297764/net-income-of-hilton-worldwide-holdings-inc/#:~:text=The%20hotel%20company%27s%20net%20loss" </w:instrText>
      </w:r>
      <w:r>
        <w:fldChar w:fldCharType="separate"/>
      </w:r>
      <w:r>
        <w:rPr>
          <w:rFonts w:ascii="Times New Roman" w:hAnsi="Times New Roman" w:cs="Times New Roman"/>
          <w:sz w:val="24"/>
          <w:szCs w:val="24"/>
        </w:rPr>
        <w:t>https://www.statista.com/statistics/297764/net-income-of-hilton-worldwide-holdings-inc/#:~:text=The%20hotel%20company%27s%20net%20loss</w:t>
      </w:r>
      <w:r>
        <w:rPr>
          <w:rFonts w:ascii="Times New Roman" w:hAnsi="Times New Roman" w:cs="Times New Roman"/>
          <w:sz w:val="24"/>
          <w:szCs w:val="24"/>
        </w:rPr>
        <w:fldChar w:fldCharType="end"/>
      </w:r>
      <w:r>
        <w:rPr>
          <w:rFonts w:ascii="Times New Roman" w:hAnsi="Times New Roman" w:cs="Times New Roman"/>
          <w:sz w:val="24"/>
          <w:szCs w:val="24"/>
        </w:rPr>
        <w:t xml:space="preserve"> [Accessed 22 May 2022].</w:t>
      </w:r>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Lock, S. (2021). </w:t>
      </w:r>
      <w:r>
        <w:rPr>
          <w:rFonts w:ascii="Times New Roman" w:hAnsi="Times New Roman" w:cs="Times New Roman"/>
          <w:i/>
          <w:iCs/>
          <w:sz w:val="24"/>
          <w:szCs w:val="24"/>
        </w:rPr>
        <w:t>Topic: Tourism worldwide</w:t>
      </w:r>
      <w:r>
        <w:rPr>
          <w:rFonts w:ascii="Times New Roman" w:hAnsi="Times New Roman" w:cs="Times New Roman"/>
          <w:sz w:val="24"/>
          <w:szCs w:val="24"/>
        </w:rPr>
        <w:t xml:space="preserve">. [online] Statista. Available at: </w:t>
      </w:r>
      <w:r>
        <w:fldChar w:fldCharType="begin"/>
      </w:r>
      <w:r>
        <w:instrText xml:space="preserve"> HYPERLINK "https://www.statista.com/topics/962/global-tourism/#dossierKeyfigures" </w:instrText>
      </w:r>
      <w:r>
        <w:fldChar w:fldCharType="separate"/>
      </w:r>
      <w:r>
        <w:rPr>
          <w:rFonts w:ascii="Times New Roman" w:hAnsi="Times New Roman" w:cs="Times New Roman"/>
          <w:sz w:val="24"/>
          <w:szCs w:val="24"/>
        </w:rPr>
        <w:t>https://www.statista.com/topics/962/global-tourism/#dossierKeyfigures</w:t>
      </w:r>
      <w:r>
        <w:rPr>
          <w:rFonts w:ascii="Times New Roman" w:hAnsi="Times New Roman" w:cs="Times New Roman"/>
          <w:sz w:val="24"/>
          <w:szCs w:val="24"/>
        </w:rPr>
        <w:fldChar w:fldCharType="end"/>
      </w:r>
      <w:r>
        <w:rPr>
          <w:rFonts w:ascii="Times New Roman" w:hAnsi="Times New Roman" w:cs="Times New Roman"/>
          <w:sz w:val="24"/>
          <w:szCs w:val="24"/>
        </w:rPr>
        <w:t xml:space="preserve"> [Accessed 5 May 2022].</w:t>
      </w:r>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Phocuswire (2021). </w:t>
      </w:r>
      <w:r>
        <w:rPr>
          <w:rFonts w:ascii="Times New Roman" w:hAnsi="Times New Roman" w:cs="Times New Roman"/>
          <w:i/>
          <w:iCs/>
          <w:sz w:val="24"/>
          <w:szCs w:val="24"/>
        </w:rPr>
        <w:t>Hilton posts big losses for 2020 yet forging ahead with new properties</w:t>
      </w:r>
      <w:r>
        <w:rPr>
          <w:rFonts w:ascii="Times New Roman" w:hAnsi="Times New Roman" w:cs="Times New Roman"/>
          <w:sz w:val="24"/>
          <w:szCs w:val="24"/>
        </w:rPr>
        <w:t xml:space="preserve">. [online] www.phocuswire.com. Available at: </w:t>
      </w:r>
      <w:r>
        <w:fldChar w:fldCharType="begin"/>
      </w:r>
      <w:r>
        <w:instrText xml:space="preserve"> HYPERLINK "https://www.phocuswire.com/Hilton-q4-FY-2020" </w:instrText>
      </w:r>
      <w:r>
        <w:fldChar w:fldCharType="separate"/>
      </w:r>
      <w:r>
        <w:rPr>
          <w:rFonts w:ascii="Times New Roman" w:hAnsi="Times New Roman" w:cs="Times New Roman"/>
          <w:sz w:val="24"/>
          <w:szCs w:val="24"/>
        </w:rPr>
        <w:t>https://www.phocuswire.com/Hilton-q4-FY-2020</w:t>
      </w:r>
      <w:r>
        <w:rPr>
          <w:rFonts w:ascii="Times New Roman" w:hAnsi="Times New Roman" w:cs="Times New Roman"/>
          <w:sz w:val="24"/>
          <w:szCs w:val="24"/>
        </w:rPr>
        <w:fldChar w:fldCharType="end"/>
      </w:r>
      <w:r>
        <w:rPr>
          <w:rFonts w:ascii="Times New Roman" w:hAnsi="Times New Roman" w:cs="Times New Roman"/>
          <w:sz w:val="24"/>
          <w:szCs w:val="24"/>
        </w:rPr>
        <w:t>.</w:t>
      </w:r>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Sanjay Bulaki (2021). </w:t>
      </w:r>
      <w:r>
        <w:rPr>
          <w:rFonts w:ascii="Times New Roman" w:hAnsi="Times New Roman" w:cs="Times New Roman"/>
          <w:i/>
          <w:iCs/>
          <w:sz w:val="24"/>
          <w:szCs w:val="24"/>
        </w:rPr>
        <w:t>Importance of Ratio Analysis</w:t>
      </w:r>
      <w:r>
        <w:rPr>
          <w:rFonts w:ascii="Times New Roman" w:hAnsi="Times New Roman" w:cs="Times New Roman"/>
          <w:sz w:val="24"/>
          <w:szCs w:val="24"/>
        </w:rPr>
        <w:t xml:space="preserve">. [online] eFinanceManagement. Available at: </w:t>
      </w:r>
      <w:r>
        <w:fldChar w:fldCharType="begin"/>
      </w:r>
      <w:r>
        <w:instrText xml:space="preserve"> HYPERLINK "https://efinancemanagement.com/financial-analysis/importance-of-ratio" </w:instrText>
      </w:r>
      <w:r>
        <w:fldChar w:fldCharType="separate"/>
      </w:r>
      <w:r>
        <w:rPr>
          <w:rFonts w:ascii="Times New Roman" w:hAnsi="Times New Roman" w:cs="Times New Roman"/>
          <w:sz w:val="24"/>
          <w:szCs w:val="24"/>
        </w:rPr>
        <w:t>https://efinancemanagement.com/financial-analysis/importance-of-ratio</w:t>
      </w:r>
      <w:r>
        <w:rPr>
          <w:rFonts w:ascii="Times New Roman" w:hAnsi="Times New Roman" w:cs="Times New Roman"/>
          <w:sz w:val="24"/>
          <w:szCs w:val="24"/>
        </w:rPr>
        <w:fldChar w:fldCharType="end"/>
      </w:r>
      <w:r>
        <w:rPr>
          <w:rFonts w:ascii="Times New Roman" w:hAnsi="Times New Roman" w:cs="Times New Roman"/>
          <w:sz w:val="24"/>
          <w:szCs w:val="24"/>
        </w:rPr>
        <w:t>.</w:t>
      </w:r>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Tanji, H. (2012). </w:t>
      </w:r>
      <w:r>
        <w:rPr>
          <w:rFonts w:ascii="Times New Roman" w:hAnsi="Times New Roman" w:cs="Times New Roman"/>
          <w:i/>
          <w:iCs/>
          <w:sz w:val="24"/>
          <w:szCs w:val="24"/>
        </w:rPr>
        <w:t>Tourism &amp; Hospitality Industry at a Glance</w:t>
      </w:r>
      <w:r>
        <w:rPr>
          <w:rFonts w:ascii="Times New Roman" w:hAnsi="Times New Roman" w:cs="Times New Roman"/>
          <w:sz w:val="24"/>
          <w:szCs w:val="24"/>
        </w:rPr>
        <w:t xml:space="preserve">. [online] Hospitality Management - Free Waiter, Front Office,Housekeeping, Hotel job Training Tutorials. Available at: </w:t>
      </w:r>
      <w:r>
        <w:fldChar w:fldCharType="begin"/>
      </w:r>
      <w:r>
        <w:instrText xml:space="preserve"> HYPERLINK "https://www.hospitality-school.com/tourism-hospitality-industry-1/" </w:instrText>
      </w:r>
      <w:r>
        <w:fldChar w:fldCharType="separate"/>
      </w:r>
      <w:r>
        <w:rPr>
          <w:rFonts w:ascii="Times New Roman" w:hAnsi="Times New Roman" w:cs="Times New Roman"/>
          <w:sz w:val="24"/>
          <w:szCs w:val="24"/>
        </w:rPr>
        <w:t>https://www.hospitality-school.com/tourism-hospitality-industry-1/</w:t>
      </w:r>
      <w:r>
        <w:rPr>
          <w:rFonts w:ascii="Times New Roman" w:hAnsi="Times New Roman" w:cs="Times New Roman"/>
          <w:sz w:val="24"/>
          <w:szCs w:val="24"/>
        </w:rPr>
        <w:fldChar w:fldCharType="end"/>
      </w:r>
      <w:r>
        <w:rPr>
          <w:rFonts w:ascii="Times New Roman" w:hAnsi="Times New Roman" w:cs="Times New Roman"/>
          <w:sz w:val="24"/>
          <w:szCs w:val="24"/>
        </w:rPr>
        <w:t xml:space="preserve"> [Accessed 21 May 2022].</w:t>
      </w:r>
    </w:p>
    <w:p>
      <w:pPr>
        <w:widowControl w:val="0"/>
        <w:autoSpaceDE w:val="0"/>
        <w:autoSpaceDN w:val="0"/>
        <w:adjustRightInd w:val="0"/>
        <w:spacing w:after="240" w:line="360" w:lineRule="auto"/>
        <w:rPr>
          <w:rFonts w:ascii="Times New Roman" w:hAnsi="Times New Roman" w:cs="Times New Roman"/>
          <w:sz w:val="24"/>
          <w:szCs w:val="24"/>
        </w:rPr>
      </w:pPr>
      <w:r>
        <w:rPr>
          <w:rFonts w:ascii="Times New Roman" w:hAnsi="Times New Roman" w:cs="Times New Roman"/>
          <w:sz w:val="24"/>
          <w:szCs w:val="24"/>
        </w:rPr>
        <w:t xml:space="preserve">Thomas, C.W., Tietz, W.M. and Harrison, W.T. (2019). </w:t>
      </w:r>
      <w:r>
        <w:rPr>
          <w:rFonts w:ascii="Times New Roman" w:hAnsi="Times New Roman" w:cs="Times New Roman"/>
          <w:i/>
          <w:iCs/>
          <w:sz w:val="24"/>
          <w:szCs w:val="24"/>
        </w:rPr>
        <w:t>Financial accounting</w:t>
      </w:r>
      <w:r>
        <w:rPr>
          <w:rFonts w:ascii="Times New Roman" w:hAnsi="Times New Roman" w:cs="Times New Roman"/>
          <w:sz w:val="24"/>
          <w:szCs w:val="24"/>
        </w:rPr>
        <w:t>. New York: Pearson.</w:t>
      </w:r>
    </w:p>
    <w:p>
      <w:pPr>
        <w:spacing w:line="360" w:lineRule="auto"/>
        <w:rPr>
          <w:rFonts w:ascii="Arial" w:hAnsi="Arial" w:cs="Arial"/>
          <w:sz w:val="24"/>
          <w:szCs w:val="24"/>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AE7910"/>
    <w:multiLevelType w:val="multilevel"/>
    <w:tmpl w:val="1CAE7910"/>
    <w:lvl w:ilvl="0" w:tentative="0">
      <w:start w:val="0"/>
      <w:numFmt w:val="bullet"/>
      <w:lvlText w:val="-"/>
      <w:lvlJc w:val="left"/>
      <w:pPr>
        <w:ind w:left="720" w:hanging="360"/>
      </w:pPr>
      <w:rPr>
        <w:rFonts w:hint="default" w:ascii="Arial" w:hAnsi="Arial" w:cs="Arial"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AC5"/>
    <w:rsid w:val="00010D2F"/>
    <w:rsid w:val="00064AB7"/>
    <w:rsid w:val="00084B3E"/>
    <w:rsid w:val="000A5250"/>
    <w:rsid w:val="000E7284"/>
    <w:rsid w:val="00191801"/>
    <w:rsid w:val="00223830"/>
    <w:rsid w:val="002535AD"/>
    <w:rsid w:val="002773C8"/>
    <w:rsid w:val="002E34C9"/>
    <w:rsid w:val="002E384F"/>
    <w:rsid w:val="00355FC4"/>
    <w:rsid w:val="003848A0"/>
    <w:rsid w:val="003A5765"/>
    <w:rsid w:val="003B34FA"/>
    <w:rsid w:val="003E6A4B"/>
    <w:rsid w:val="00406CC6"/>
    <w:rsid w:val="004375DD"/>
    <w:rsid w:val="00460A8C"/>
    <w:rsid w:val="00461E20"/>
    <w:rsid w:val="00515325"/>
    <w:rsid w:val="00523715"/>
    <w:rsid w:val="00596C70"/>
    <w:rsid w:val="005A7EAC"/>
    <w:rsid w:val="005B6A35"/>
    <w:rsid w:val="005C171A"/>
    <w:rsid w:val="005C44C9"/>
    <w:rsid w:val="005E4C3D"/>
    <w:rsid w:val="005E6C92"/>
    <w:rsid w:val="005E792D"/>
    <w:rsid w:val="00641B3A"/>
    <w:rsid w:val="0064361F"/>
    <w:rsid w:val="006666AB"/>
    <w:rsid w:val="00695C03"/>
    <w:rsid w:val="00717E1C"/>
    <w:rsid w:val="00750102"/>
    <w:rsid w:val="007669FD"/>
    <w:rsid w:val="00783DBC"/>
    <w:rsid w:val="00791D39"/>
    <w:rsid w:val="007A4BCF"/>
    <w:rsid w:val="007C17CC"/>
    <w:rsid w:val="007C6A37"/>
    <w:rsid w:val="007D6D0D"/>
    <w:rsid w:val="007F5D32"/>
    <w:rsid w:val="007F6FC1"/>
    <w:rsid w:val="00891BCA"/>
    <w:rsid w:val="00904006"/>
    <w:rsid w:val="00962ECC"/>
    <w:rsid w:val="00964982"/>
    <w:rsid w:val="009676DE"/>
    <w:rsid w:val="00970A36"/>
    <w:rsid w:val="00A17043"/>
    <w:rsid w:val="00B1046C"/>
    <w:rsid w:val="00B232B1"/>
    <w:rsid w:val="00B40932"/>
    <w:rsid w:val="00B80073"/>
    <w:rsid w:val="00BA22BC"/>
    <w:rsid w:val="00BA488B"/>
    <w:rsid w:val="00BA5108"/>
    <w:rsid w:val="00BA5B19"/>
    <w:rsid w:val="00BE7560"/>
    <w:rsid w:val="00BF2931"/>
    <w:rsid w:val="00C522A9"/>
    <w:rsid w:val="00C53887"/>
    <w:rsid w:val="00C94E34"/>
    <w:rsid w:val="00CE2A5D"/>
    <w:rsid w:val="00CE60E2"/>
    <w:rsid w:val="00CE6AC5"/>
    <w:rsid w:val="00CF7A4F"/>
    <w:rsid w:val="00D50177"/>
    <w:rsid w:val="00D534A1"/>
    <w:rsid w:val="00DA0912"/>
    <w:rsid w:val="00E32B49"/>
    <w:rsid w:val="00E678FD"/>
    <w:rsid w:val="00E7422E"/>
    <w:rsid w:val="00E92667"/>
    <w:rsid w:val="00EB10F9"/>
    <w:rsid w:val="00ED1F52"/>
    <w:rsid w:val="00F57649"/>
    <w:rsid w:val="00F75B22"/>
    <w:rsid w:val="00F85A2C"/>
    <w:rsid w:val="00FC7578"/>
    <w:rsid w:val="6C1827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0"/>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2"/>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Hyperlink"/>
    <w:basedOn w:val="4"/>
    <w:unhideWhenUsed/>
    <w:qFormat/>
    <w:uiPriority w:val="99"/>
    <w:rPr>
      <w:color w:val="0563C1" w:themeColor="hyperlink"/>
      <w:u w:val="single"/>
      <w14:textFill>
        <w14:solidFill>
          <w14:schemeClr w14:val="hlink"/>
        </w14:solidFill>
      </w14:textFill>
    </w:rPr>
  </w:style>
  <w:style w:type="paragraph" w:styleId="7">
    <w:name w:val="toc 1"/>
    <w:basedOn w:val="1"/>
    <w:next w:val="1"/>
    <w:unhideWhenUsed/>
    <w:uiPriority w:val="39"/>
    <w:pPr>
      <w:spacing w:after="100"/>
    </w:pPr>
    <w:rPr>
      <w:rFonts w:cs="Times New Roman" w:eastAsiaTheme="minorEastAsia"/>
    </w:rPr>
  </w:style>
  <w:style w:type="paragraph" w:styleId="8">
    <w:name w:val="toc 2"/>
    <w:basedOn w:val="1"/>
    <w:next w:val="1"/>
    <w:unhideWhenUsed/>
    <w:uiPriority w:val="39"/>
    <w:pPr>
      <w:spacing w:after="100"/>
      <w:ind w:left="220"/>
    </w:pPr>
    <w:rPr>
      <w:rFonts w:cs="Times New Roman" w:eastAsiaTheme="minorEastAsia"/>
    </w:rPr>
  </w:style>
  <w:style w:type="paragraph" w:styleId="9">
    <w:name w:val="toc 3"/>
    <w:basedOn w:val="1"/>
    <w:next w:val="1"/>
    <w:unhideWhenUsed/>
    <w:qFormat/>
    <w:uiPriority w:val="39"/>
    <w:pPr>
      <w:spacing w:after="100"/>
      <w:ind w:left="440"/>
    </w:pPr>
    <w:rPr>
      <w:rFonts w:cs="Times New Roman" w:eastAsiaTheme="minorEastAsia"/>
    </w:rPr>
  </w:style>
  <w:style w:type="character" w:customStyle="1" w:styleId="10">
    <w:name w:val="Heading 1 Char"/>
    <w:basedOn w:val="4"/>
    <w:link w:val="2"/>
    <w:uiPriority w:val="9"/>
    <w:rPr>
      <w:rFonts w:asciiTheme="majorHAnsi" w:hAnsiTheme="majorHAnsi" w:eastAsiaTheme="majorEastAsia" w:cstheme="majorBidi"/>
      <w:color w:val="2F5597" w:themeColor="accent1" w:themeShade="BF"/>
      <w:sz w:val="32"/>
      <w:szCs w:val="32"/>
    </w:rPr>
  </w:style>
  <w:style w:type="paragraph" w:customStyle="1" w:styleId="11">
    <w:name w:val="TOC Heading"/>
    <w:basedOn w:val="2"/>
    <w:next w:val="1"/>
    <w:unhideWhenUsed/>
    <w:qFormat/>
    <w:uiPriority w:val="39"/>
    <w:pPr>
      <w:outlineLvl w:val="9"/>
    </w:pPr>
  </w:style>
  <w:style w:type="character" w:customStyle="1" w:styleId="12">
    <w:name w:val="Heading 2 Char"/>
    <w:basedOn w:val="4"/>
    <w:link w:val="3"/>
    <w:uiPriority w:val="9"/>
    <w:rPr>
      <w:rFonts w:asciiTheme="majorHAnsi" w:hAnsiTheme="majorHAnsi" w:eastAsiaTheme="majorEastAsia" w:cstheme="majorBidi"/>
      <w:color w:val="2F5597" w:themeColor="accent1" w:themeShade="BF"/>
      <w:sz w:val="26"/>
      <w:szCs w:val="26"/>
    </w:rPr>
  </w:style>
  <w:style w:type="character" w:styleId="13">
    <w:name w:val="Placeholder Text"/>
    <w:basedOn w:val="4"/>
    <w:semiHidden/>
    <w:qFormat/>
    <w:uiPriority w:val="99"/>
    <w:rPr>
      <w:color w:val="808080"/>
    </w:rPr>
  </w:style>
  <w:style w:type="paragraph" w:styleId="1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8.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E:\Outsourcing\Hilton%20Report\Workings.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E:\Outsourcing\Hilton%20Report\Workings.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E:\Outsourcing\Hilton%20Report\Workings.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E:\Outsourcing\Hilton%20Report\Workings.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E:\Outsourcing\Hilton%20Report\Workings.xlsx"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file:///E:\Outsourcing\Hilton%20Report\Workings.xlsx" TargetMode="External"/></Relationships>
</file>

<file path=word/charts/_rels/chart7.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E:\Outsourcing\Hilton%20Report\Workings.xlsx" TargetMode="External"/></Relationships>
</file>

<file path=word/charts/_rels/chart8.xml.rels><?xml version="1.0" encoding="UTF-8" standalone="yes"?>
<Relationships xmlns="http://schemas.openxmlformats.org/package/2006/relationships"><Relationship Id="rId3" Type="http://schemas.microsoft.com/office/2011/relationships/chartColorStyle" Target="colors8.xml"/><Relationship Id="rId2" Type="http://schemas.microsoft.com/office/2011/relationships/chartStyle" Target="style8.xml"/><Relationship Id="rId1" Type="http://schemas.openxmlformats.org/officeDocument/2006/relationships/oleObject" Target="file:///E:\Outsourcing\Hilton%20Report\Working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p>
      </c:txPr>
    </c:title>
    <c:autoTitleDeleted val="0"/>
    <c:plotArea>
      <c:layout/>
      <c:areaChart>
        <c:grouping val="standard"/>
        <c:varyColors val="0"/>
        <c:ser>
          <c:idx val="0"/>
          <c:order val="0"/>
          <c:tx>
            <c:strRef>
              <c:f>Charts!$A$2</c:f>
              <c:strCache>
                <c:ptCount val="1"/>
                <c:pt idx="0">
                  <c:v>Gross Profit Margin</c:v>
                </c:pt>
              </c:strCache>
            </c:strRef>
          </c:tx>
          <c:spPr>
            <a:solidFill>
              <a:schemeClr val="lt1">
                <a:alpha val="40000"/>
              </a:schemeClr>
            </a:solidFill>
            <a:ln>
              <a:noFill/>
            </a:ln>
            <a:effectLst>
              <a:innerShdw dist="38100" dir="16200000">
                <a:schemeClr val="accent1"/>
              </a:innerShdw>
            </a:effectLst>
            <a:sp3d/>
          </c:spPr>
          <c:dLbls>
            <c:spPr>
              <a:solidFill>
                <a:schemeClr val="accent1">
                  <a:alpha val="50000"/>
                </a:schemeClr>
              </a:solid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accent1">
                          <a:lumMod val="60000"/>
                          <a:lumOff val="40000"/>
                        </a:schemeClr>
                      </a:solidFill>
                    </a:ln>
                    <a:effectLst/>
                  </c:spPr>
                </c15:leaderLines>
              </c:ext>
            </c:extLst>
          </c:dLbls>
          <c:cat>
            <c:strRef>
              <c:f>Charts!$B$1:$C$1</c:f>
              <c:strCache>
                <c:ptCount val="2"/>
                <c:pt idx="0">
                  <c:v>FY 2019</c:v>
                </c:pt>
                <c:pt idx="1">
                  <c:v>FY 2020</c:v>
                </c:pt>
              </c:strCache>
            </c:strRef>
          </c:cat>
          <c:val>
            <c:numRef>
              <c:f>Charts!$B$2:$C$2</c:f>
              <c:numCache>
                <c:formatCode>0.0%</c:formatCode>
                <c:ptCount val="2"/>
                <c:pt idx="0">
                  <c:v>0.257617435463394</c:v>
                </c:pt>
                <c:pt idx="1">
                  <c:v>0.13536104016717</c:v>
                </c:pt>
              </c:numCache>
            </c:numRef>
          </c:val>
        </c:ser>
        <c:dLbls>
          <c:showLegendKey val="0"/>
          <c:showVal val="1"/>
          <c:showCatName val="0"/>
          <c:showSerName val="0"/>
          <c:showPercent val="0"/>
          <c:showBubbleSize val="0"/>
        </c:dLbls>
        <c:axId val="39269103"/>
        <c:axId val="89953215"/>
      </c:areaChart>
      <c:catAx>
        <c:axId val="39269103"/>
        <c:scaling>
          <c:orientation val="minMax"/>
        </c:scaling>
        <c:delete val="0"/>
        <c:axPos val="b"/>
        <c:numFmt formatCode="General" sourceLinked="1"/>
        <c:majorTickMark val="none"/>
        <c:minorTickMark val="none"/>
        <c:tickLblPos val="nextTo"/>
        <c:spPr>
          <a:noFill/>
          <a:ln w="9525" cap="flat" cmpd="sng" algn="ctr">
            <a:solidFill>
              <a:schemeClr val="accent1">
                <a:lumMod val="40000"/>
                <a:lumOff val="60000"/>
                <a:alpha val="25000"/>
              </a:schemeClr>
            </a:solidFill>
            <a:round/>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p>
        </c:txPr>
        <c:crossAx val="89953215"/>
        <c:crosses val="autoZero"/>
        <c:auto val="1"/>
        <c:lblAlgn val="ctr"/>
        <c:lblOffset val="100"/>
        <c:noMultiLvlLbl val="0"/>
      </c:catAx>
      <c:valAx>
        <c:axId val="89953215"/>
        <c:scaling>
          <c:orientation val="minMax"/>
        </c:scaling>
        <c:delete val="1"/>
        <c:axPos val="l"/>
        <c:numFmt formatCode="0.0%" sourceLinked="1"/>
        <c:majorTickMark val="out"/>
        <c:minorTickMark val="none"/>
        <c:tickLblPos val="nextTo"/>
        <c:txPr>
          <a:bodyPr rot="-60000000" spcFirstLastPara="0" vertOverflow="ellipsis" vert="horz" wrap="square" anchor="ctr" anchorCtr="1"/>
          <a:lstStyle/>
          <a:p>
            <a:pPr>
              <a:defRPr lang="en-US" sz="900" b="0" i="0" u="none" strike="noStrike" kern="1200" baseline="0">
                <a:solidFill>
                  <a:schemeClr val="lt1"/>
                </a:solidFill>
                <a:latin typeface="+mn-lt"/>
                <a:ea typeface="+mn-ea"/>
                <a:cs typeface="+mn-cs"/>
              </a:defRPr>
            </a:pPr>
          </a:p>
        </c:txPr>
        <c:crossAx val="39269103"/>
        <c:crosses val="autoZero"/>
        <c:crossBetween val="midCat"/>
      </c:valAx>
      <c:dTable>
        <c:showHorzBorder val="1"/>
        <c:showVertBorder val="1"/>
        <c:showOutline val="1"/>
        <c:showKeys val="1"/>
        <c:spPr>
          <a:noFill/>
          <a:ln w="9525">
            <a:solidFill>
              <a:schemeClr val="accent1">
                <a:lumMod val="40000"/>
                <a:lumOff val="60000"/>
                <a:alpha val="25000"/>
              </a:schemeClr>
            </a:solidFill>
          </a:ln>
          <a:effectLst/>
        </c:spPr>
        <c:txPr>
          <a:bodyPr rot="0" spcFirstLastPara="1" vertOverflow="ellipsis" vert="horz" wrap="square" anchor="ctr" anchorCtr="1"/>
          <a:lstStyle/>
          <a:p>
            <a:pPr>
              <a:defRPr lang="en-US" sz="900" b="0" i="0" u="none" strike="noStrike" kern="1200" baseline="0">
                <a:solidFill>
                  <a:schemeClr val="lt1"/>
                </a:solidFill>
                <a:latin typeface="+mn-lt"/>
                <a:ea typeface="+mn-ea"/>
                <a:cs typeface="+mn-cs"/>
              </a:defRPr>
            </a:pPr>
          </a:p>
        </c:txPr>
      </c:dTable>
      <c:spPr>
        <a:noFill/>
        <a:ln>
          <a:noFill/>
        </a:ln>
        <a:effectLst/>
      </c:spPr>
    </c:plotArea>
    <c:plotVisOnly val="1"/>
    <c:dispBlanksAs val="zero"/>
    <c:showDLblsOverMax val="0"/>
  </c:chart>
  <c:spPr>
    <a:solidFill>
      <a:schemeClr val="accent1"/>
    </a:solidFill>
    <a:ln w="9525" cap="flat" cmpd="sng" algn="ctr">
      <a:solidFill>
        <a:schemeClr val="accent1"/>
      </a:solidFill>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Charts!$A$4</c:f>
              <c:strCache>
                <c:ptCount val="1"/>
                <c:pt idx="0">
                  <c:v>Net Profit Margin</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dk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Charts!$B$3:$C$3</c:f>
              <c:strCache>
                <c:ptCount val="2"/>
                <c:pt idx="0">
                  <c:v>FY 2019</c:v>
                </c:pt>
                <c:pt idx="1">
                  <c:v>FY 2020</c:v>
                </c:pt>
              </c:strCache>
            </c:strRef>
          </c:cat>
          <c:val>
            <c:numRef>
              <c:f>Charts!$B$4:$C$4</c:f>
              <c:numCache>
                <c:formatCode>0.0%</c:formatCode>
                <c:ptCount val="2"/>
                <c:pt idx="0">
                  <c:v>0.093207786711807</c:v>
                </c:pt>
                <c:pt idx="1">
                  <c:v>-0.166008822846529</c:v>
                </c:pt>
              </c:numCache>
            </c:numRef>
          </c:val>
        </c:ser>
        <c:dLbls>
          <c:showLegendKey val="0"/>
          <c:showVal val="1"/>
          <c:showCatName val="0"/>
          <c:showSerName val="0"/>
          <c:showPercent val="0"/>
          <c:showBubbleSize val="0"/>
        </c:dLbls>
        <c:gapWidth val="65"/>
        <c:axId val="1278383152"/>
        <c:axId val="1279372160"/>
      </c:barChart>
      <c:catAx>
        <c:axId val="127838315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US" sz="900" b="0" i="0" u="none" strike="noStrike" kern="1200" cap="all" baseline="0">
                <a:solidFill>
                  <a:schemeClr val="dk1">
                    <a:lumMod val="75000"/>
                    <a:lumOff val="25000"/>
                  </a:schemeClr>
                </a:solidFill>
                <a:latin typeface="+mn-lt"/>
                <a:ea typeface="+mn-ea"/>
                <a:cs typeface="+mn-cs"/>
              </a:defRPr>
            </a:pPr>
          </a:p>
        </c:txPr>
        <c:crossAx val="1279372160"/>
        <c:crosses val="autoZero"/>
        <c:auto val="1"/>
        <c:lblAlgn val="ctr"/>
        <c:lblOffset val="100"/>
        <c:noMultiLvlLbl val="0"/>
      </c:catAx>
      <c:valAx>
        <c:axId val="1279372160"/>
        <c:scaling>
          <c:orientation val="minMax"/>
        </c:scaling>
        <c:delete val="0"/>
        <c:axPos val="l"/>
        <c:majorGridlines>
          <c:spPr>
            <a:ln w="9525" cap="flat" cmpd="sng" algn="ctr">
              <a:solidFill>
                <a:schemeClr val="dk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crossAx val="1278383152"/>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dTable>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p>
      </c:txPr>
    </c:title>
    <c:autoTitleDeleted val="0"/>
    <c:plotArea>
      <c:layout/>
      <c:lineChart>
        <c:grouping val="standard"/>
        <c:varyColors val="0"/>
        <c:ser>
          <c:idx val="0"/>
          <c:order val="0"/>
          <c:tx>
            <c:strRef>
              <c:f>Charts!$A$6</c:f>
              <c:strCache>
                <c:ptCount val="1"/>
                <c:pt idx="0">
                  <c:v>Return On Equity</c:v>
                </c:pt>
              </c:strCache>
            </c:strRef>
          </c:tx>
          <c:spPr>
            <a:ln w="25400" cap="rnd">
              <a:solidFill>
                <a:schemeClr val="lt1"/>
              </a:solidFill>
              <a:round/>
            </a:ln>
            <a:effectLst>
              <a:outerShdw dist="25400" dir="2700000" algn="tl" rotWithShape="0">
                <a:schemeClr val="accent1"/>
              </a:outerShdw>
            </a:effectLst>
          </c:spPr>
          <c:marker>
            <c:symbol val="none"/>
          </c:marker>
          <c:dLbls>
            <c:spPr>
              <a:solidFill>
                <a:schemeClr val="accent1"/>
              </a:solid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accent1">
                          <a:lumMod val="60000"/>
                          <a:lumOff val="40000"/>
                        </a:schemeClr>
                      </a:solidFill>
                    </a:ln>
                    <a:effectLst/>
                  </c:spPr>
                </c15:leaderLines>
              </c:ext>
            </c:extLst>
          </c:dLbls>
          <c:cat>
            <c:strRef>
              <c:f>Charts!$B$5:$C$5</c:f>
              <c:strCache>
                <c:ptCount val="2"/>
                <c:pt idx="0">
                  <c:v>FY 2019</c:v>
                </c:pt>
                <c:pt idx="1">
                  <c:v>FY 2020</c:v>
                </c:pt>
              </c:strCache>
            </c:strRef>
          </c:cat>
          <c:val>
            <c:numRef>
              <c:f>Charts!$B$6:$C$6</c:f>
              <c:numCache>
                <c:formatCode>0.0%</c:formatCode>
                <c:ptCount val="2"/>
                <c:pt idx="0">
                  <c:v>0.0589021862672996</c:v>
                </c:pt>
                <c:pt idx="1">
                  <c:v>-0.0426738287078484</c:v>
                </c:pt>
              </c:numCache>
            </c:numRef>
          </c:val>
          <c:smooth val="0"/>
        </c:ser>
        <c:dLbls>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marker val="0"/>
        <c:smooth val="0"/>
        <c:axId val="1374495184"/>
        <c:axId val="1327861056"/>
      </c:lineChart>
      <c:catAx>
        <c:axId val="13744951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spc="30" baseline="0">
                <a:solidFill>
                  <a:schemeClr val="lt1"/>
                </a:solidFill>
                <a:latin typeface="+mn-lt"/>
                <a:ea typeface="+mn-ea"/>
                <a:cs typeface="+mn-cs"/>
              </a:defRPr>
            </a:pPr>
          </a:p>
        </c:txPr>
        <c:crossAx val="1327861056"/>
        <c:crosses val="autoZero"/>
        <c:auto val="1"/>
        <c:lblAlgn val="ctr"/>
        <c:lblOffset val="100"/>
        <c:noMultiLvlLbl val="0"/>
      </c:catAx>
      <c:valAx>
        <c:axId val="1327861056"/>
        <c:scaling>
          <c:orientation val="minMax"/>
        </c:scaling>
        <c:delete val="1"/>
        <c:axPos val="l"/>
        <c:majorGridlines>
          <c:spPr>
            <a:ln w="9525" cap="flat" cmpd="sng" algn="ctr">
              <a:solidFill>
                <a:schemeClr val="lt1">
                  <a:alpha val="25000"/>
                </a:schemeClr>
              </a:solidFill>
              <a:round/>
            </a:ln>
            <a:effectLst/>
          </c:spPr>
        </c:majorGridlines>
        <c:numFmt formatCode="0.0%" sourceLinked="1"/>
        <c:majorTickMark val="none"/>
        <c:minorTickMark val="none"/>
        <c:tickLblPos val="nextTo"/>
        <c:txPr>
          <a:bodyPr rot="-60000000" spcFirstLastPara="0" vertOverflow="ellipsis" vert="horz" wrap="square" anchor="ctr" anchorCtr="1"/>
          <a:lstStyle/>
          <a:p>
            <a:pPr>
              <a:defRPr lang="en-US" sz="900" b="0" i="0" u="none" strike="noStrike" kern="1200" baseline="0">
                <a:solidFill>
                  <a:schemeClr val="lt1"/>
                </a:solidFill>
                <a:latin typeface="+mn-lt"/>
                <a:ea typeface="+mn-ea"/>
                <a:cs typeface="+mn-cs"/>
              </a:defRPr>
            </a:pPr>
          </a:p>
        </c:txPr>
        <c:crossAx val="1374495184"/>
        <c:crosses val="autoZero"/>
        <c:crossBetween val="between"/>
      </c:valAx>
      <c:dTable>
        <c:showHorzBorder val="1"/>
        <c:showVertBorder val="1"/>
        <c:showOutline val="1"/>
        <c:showKeys val="1"/>
        <c:spPr>
          <a:noFill/>
          <a:ln w="9525">
            <a:solidFill>
              <a:schemeClr val="accent1">
                <a:lumMod val="60000"/>
                <a:lumOff val="40000"/>
              </a:schemeClr>
            </a:solidFill>
          </a:ln>
          <a:effectLst/>
        </c:spPr>
        <c:txPr>
          <a:bodyPr rot="0" spcFirstLastPara="1" vertOverflow="ellipsis" vert="horz" wrap="square" anchor="ctr" anchorCtr="1"/>
          <a:lstStyle/>
          <a:p>
            <a:pPr>
              <a:defRPr lang="en-US" sz="900" b="0" i="0" u="none" strike="noStrike" kern="1200" baseline="0">
                <a:solidFill>
                  <a:schemeClr val="lt1"/>
                </a:solidFill>
                <a:latin typeface="+mn-lt"/>
                <a:ea typeface="+mn-ea"/>
                <a:cs typeface="+mn-cs"/>
              </a:defRPr>
            </a:pPr>
          </a:p>
        </c:txPr>
      </c:dTable>
      <c:spPr>
        <a:noFill/>
        <a:ln>
          <a:noFill/>
        </a:ln>
        <a:effectLst/>
      </c:spPr>
    </c:plotArea>
    <c:plotVisOnly val="1"/>
    <c:dispBlanksAs val="gap"/>
    <c:showDLblsOverMax val="0"/>
  </c:chart>
  <c:spPr>
    <a:solidFill>
      <a:schemeClr val="accent1"/>
    </a:solidFill>
    <a:ln w="9525" cap="flat" cmpd="sng" algn="ctr">
      <a:solidFill>
        <a:schemeClr val="lt1">
          <a:lumMod val="85000"/>
        </a:schemeClr>
      </a:solidFill>
      <a:round/>
    </a:ln>
    <a:effectLst/>
  </c:spPr>
  <c:txPr>
    <a:bodyPr/>
    <a:lstStyle/>
    <a:p>
      <a:pPr>
        <a:defRPr lang="en-US"/>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en-US" sz="1800" b="1" i="0" u="none" strike="noStrike" kern="1200" cap="all" spc="50" baseline="0">
              <a:solidFill>
                <a:schemeClr val="tx1">
                  <a:lumMod val="65000"/>
                  <a:lumOff val="35000"/>
                </a:schemeClr>
              </a:solidFill>
              <a:latin typeface="+mn-lt"/>
              <a:ea typeface="+mn-ea"/>
              <a:cs typeface="+mn-cs"/>
            </a:defRPr>
          </a:pPr>
        </a:p>
      </c:txPr>
    </c:title>
    <c:autoTitleDeleted val="0"/>
    <c:plotArea>
      <c:layout/>
      <c:barChart>
        <c:barDir val="bar"/>
        <c:grouping val="clustered"/>
        <c:varyColors val="0"/>
        <c:ser>
          <c:idx val="0"/>
          <c:order val="0"/>
          <c:tx>
            <c:strRef>
              <c:f>Charts!$A$8</c:f>
              <c:strCache>
                <c:ptCount val="1"/>
                <c:pt idx="0">
                  <c:v>Current Ratio</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Lbls>
            <c:delete val="1"/>
          </c:dLbls>
          <c:cat>
            <c:strRef>
              <c:f>Charts!$B$7:$C$7</c:f>
              <c:strCache>
                <c:ptCount val="2"/>
                <c:pt idx="0">
                  <c:v>FY 2019</c:v>
                </c:pt>
                <c:pt idx="1">
                  <c:v>FY 2020</c:v>
                </c:pt>
              </c:strCache>
            </c:strRef>
          </c:cat>
          <c:val>
            <c:numRef>
              <c:f>Charts!$B$8:$C$8</c:f>
              <c:numCache>
                <c:formatCode>_(* #,##0.00_);_(* \(#,##0.00\);_(* "-"??_);_(@_)</c:formatCode>
                <c:ptCount val="2"/>
                <c:pt idx="0">
                  <c:v>0.729014280738419</c:v>
                </c:pt>
                <c:pt idx="1">
                  <c:v>1.72850678733032</c:v>
                </c:pt>
              </c:numCache>
            </c:numRef>
          </c:val>
        </c:ser>
        <c:dLbls>
          <c:showLegendKey val="0"/>
          <c:showVal val="0"/>
          <c:showCatName val="0"/>
          <c:showSerName val="0"/>
          <c:showPercent val="0"/>
          <c:showBubbleSize val="0"/>
        </c:dLbls>
        <c:gapWidth val="326"/>
        <c:overlap val="-58"/>
        <c:axId val="1321375232"/>
        <c:axId val="1280747712"/>
      </c:barChart>
      <c:catAx>
        <c:axId val="1321375232"/>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1280747712"/>
        <c:crosses val="autoZero"/>
        <c:auto val="1"/>
        <c:lblAlgn val="ctr"/>
        <c:lblOffset val="100"/>
        <c:noMultiLvlLbl val="0"/>
      </c:catAx>
      <c:valAx>
        <c:axId val="1280747712"/>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1321375232"/>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0" i="0" u="none" strike="noStrike" kern="1200" cap="none" spc="50" normalizeH="0" baseline="0">
                <a:solidFill>
                  <a:schemeClr val="tx1">
                    <a:lumMod val="65000"/>
                    <a:lumOff val="35000"/>
                  </a:schemeClr>
                </a:solidFill>
                <a:latin typeface="+mj-lt"/>
                <a:ea typeface="+mj-ea"/>
                <a:cs typeface="+mj-cs"/>
              </a:defRPr>
            </a:pPr>
            <a:r>
              <a:rPr lang="en-US"/>
              <a:t>Asset Turnover</a:t>
            </a:r>
            <a:endParaRPr lang="en-US"/>
          </a:p>
        </c:rich>
      </c:tx>
      <c:layout/>
      <c:overlay val="0"/>
      <c:spPr>
        <a:noFill/>
        <a:ln>
          <a:noFill/>
        </a:ln>
        <a:effectLst/>
      </c:spPr>
    </c:title>
    <c:autoTitleDeleted val="0"/>
    <c:plotArea>
      <c:layout/>
      <c:barChart>
        <c:barDir val="col"/>
        <c:grouping val="clustered"/>
        <c:varyColors val="0"/>
        <c:ser>
          <c:idx val="0"/>
          <c:order val="0"/>
          <c:tx>
            <c:strRef>
              <c:f>Charts!$B$11</c:f>
              <c:strCache>
                <c:ptCount val="1"/>
                <c:pt idx="0">
                  <c:v>FY 2019</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Charts!$A$12</c:f>
              <c:strCache>
                <c:ptCount val="1"/>
                <c:pt idx="0">
                  <c:v>Asset Turnover</c:v>
                </c:pt>
              </c:strCache>
            </c:strRef>
          </c:cat>
          <c:val>
            <c:numRef>
              <c:f>Charts!$B$12</c:f>
              <c:numCache>
                <c:formatCode>_(* #,##0.00_);_(* \(#,##0.00\);_(* "-"??_);_(@_)</c:formatCode>
                <c:ptCount val="1"/>
                <c:pt idx="0">
                  <c:v>0.631944908738383</c:v>
                </c:pt>
              </c:numCache>
            </c:numRef>
          </c:val>
        </c:ser>
        <c:ser>
          <c:idx val="1"/>
          <c:order val="1"/>
          <c:tx>
            <c:strRef>
              <c:f>Charts!$C$11</c:f>
              <c:strCache>
                <c:ptCount val="1"/>
                <c:pt idx="0">
                  <c:v>FY 2020</c:v>
                </c:pt>
              </c:strCache>
            </c:strRef>
          </c:tx>
          <c:spPr>
            <a:solidFill>
              <a:schemeClr val="accent4">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Charts!$A$12</c:f>
              <c:strCache>
                <c:ptCount val="1"/>
                <c:pt idx="0">
                  <c:v>Asset Turnover</c:v>
                </c:pt>
              </c:strCache>
            </c:strRef>
          </c:cat>
          <c:val>
            <c:numRef>
              <c:f>Charts!$C$12</c:f>
              <c:numCache>
                <c:formatCode>_(* #,##0.00_);_(* \(#,##0.00\);_(* "-"??_);_(@_)</c:formatCode>
                <c:ptCount val="1"/>
                <c:pt idx="0">
                  <c:v>0.257057594747836</c:v>
                </c:pt>
              </c:numCache>
            </c:numRef>
          </c:val>
        </c:ser>
        <c:dLbls>
          <c:showLegendKey val="0"/>
          <c:showVal val="1"/>
          <c:showCatName val="0"/>
          <c:showSerName val="0"/>
          <c:showPercent val="0"/>
          <c:showBubbleSize val="0"/>
        </c:dLbls>
        <c:gapWidth val="80"/>
        <c:overlap val="25"/>
        <c:axId val="1501153040"/>
        <c:axId val="1501089840"/>
      </c:barChart>
      <c:catAx>
        <c:axId val="1501153040"/>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lang="en-US" sz="900" b="0" i="0" u="none" strike="noStrike" kern="1200" cap="none" spc="20" normalizeH="0" baseline="0">
                <a:solidFill>
                  <a:schemeClr val="tx1">
                    <a:lumMod val="65000"/>
                    <a:lumOff val="35000"/>
                  </a:schemeClr>
                </a:solidFill>
                <a:latin typeface="+mn-lt"/>
                <a:ea typeface="+mn-ea"/>
                <a:cs typeface="+mn-cs"/>
              </a:defRPr>
            </a:pPr>
          </a:p>
        </c:txPr>
        <c:crossAx val="1501089840"/>
        <c:crosses val="autoZero"/>
        <c:auto val="1"/>
        <c:lblAlgn val="ctr"/>
        <c:lblOffset val="100"/>
        <c:noMultiLvlLbl val="0"/>
      </c:catAx>
      <c:valAx>
        <c:axId val="1501089840"/>
        <c:scaling>
          <c:orientation val="minMax"/>
        </c:scaling>
        <c:delete val="0"/>
        <c:axPos val="l"/>
        <c:majorGridlines>
          <c:spPr>
            <a:ln w="9525" cap="flat" cmpd="sng" algn="ctr">
              <a:solidFill>
                <a:schemeClr val="tx1">
                  <a:lumMod val="5000"/>
                  <a:lumOff val="9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spc="20" baseline="0">
                <a:solidFill>
                  <a:schemeClr val="tx1">
                    <a:lumMod val="65000"/>
                    <a:lumOff val="35000"/>
                  </a:schemeClr>
                </a:solidFill>
                <a:latin typeface="+mn-lt"/>
                <a:ea typeface="+mn-ea"/>
                <a:cs typeface="+mn-cs"/>
              </a:defRPr>
            </a:pPr>
          </a:p>
        </c:txPr>
        <c:crossAx val="1501153040"/>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en-US" sz="1500" b="1" i="0" u="none" strike="noStrike" kern="1200" cap="all" spc="100" normalizeH="0" baseline="0">
              <a:solidFill>
                <a:schemeClr val="lt1"/>
              </a:solidFill>
              <a:latin typeface="+mn-lt"/>
              <a:ea typeface="+mn-ea"/>
              <a:cs typeface="+mn-cs"/>
            </a:defRPr>
          </a:pPr>
        </a:p>
      </c:txPr>
    </c:title>
    <c:autoTitleDeleted val="0"/>
    <c:plotArea>
      <c:layout/>
      <c:areaChart>
        <c:grouping val="standard"/>
        <c:varyColors val="0"/>
        <c:ser>
          <c:idx val="0"/>
          <c:order val="0"/>
          <c:tx>
            <c:strRef>
              <c:f>Charts!$A$14</c:f>
              <c:strCache>
                <c:ptCount val="1"/>
                <c:pt idx="0">
                  <c:v>Gearing Ratio</c:v>
                </c:pt>
              </c:strCache>
            </c:strRef>
          </c:tx>
          <c:spPr>
            <a:solidFill>
              <a:schemeClr val="lt1">
                <a:alpha val="40000"/>
              </a:schemeClr>
            </a:solidFill>
            <a:ln>
              <a:noFill/>
            </a:ln>
            <a:effectLst>
              <a:innerShdw dist="38100" dir="16200000">
                <a:schemeClr val="accent1"/>
              </a:innerShdw>
            </a:effectLst>
            <a:sp3d/>
          </c:spPr>
          <c:dLbls>
            <c:spPr>
              <a:solidFill>
                <a:schemeClr val="accent1">
                  <a:alpha val="50000"/>
                </a:schemeClr>
              </a:solid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accent1">
                          <a:lumMod val="60000"/>
                          <a:lumOff val="40000"/>
                        </a:schemeClr>
                      </a:solidFill>
                    </a:ln>
                    <a:effectLst/>
                  </c:spPr>
                </c15:leaderLines>
              </c:ext>
            </c:extLst>
          </c:dLbls>
          <c:cat>
            <c:strRef>
              <c:f>Charts!$B$13:$C$13</c:f>
              <c:strCache>
                <c:ptCount val="2"/>
                <c:pt idx="0">
                  <c:v>FY 2019</c:v>
                </c:pt>
                <c:pt idx="1">
                  <c:v>FY 2020</c:v>
                </c:pt>
              </c:strCache>
            </c:strRef>
          </c:cat>
          <c:val>
            <c:numRef>
              <c:f>Charts!$B$14:$C$14</c:f>
              <c:numCache>
                <c:formatCode>0.0%</c:formatCode>
                <c:ptCount val="2"/>
                <c:pt idx="0">
                  <c:v>0.531924851240222</c:v>
                </c:pt>
                <c:pt idx="1">
                  <c:v>0.622560429722471</c:v>
                </c:pt>
              </c:numCache>
            </c:numRef>
          </c:val>
        </c:ser>
        <c:dLbls>
          <c:showLegendKey val="0"/>
          <c:showVal val="1"/>
          <c:showCatName val="0"/>
          <c:showSerName val="0"/>
          <c:showPercent val="0"/>
          <c:showBubbleSize val="0"/>
        </c:dLbls>
        <c:axId val="1543224928"/>
        <c:axId val="1501084016"/>
      </c:areaChart>
      <c:catAx>
        <c:axId val="1543224928"/>
        <c:scaling>
          <c:orientation val="minMax"/>
        </c:scaling>
        <c:delete val="0"/>
        <c:axPos val="b"/>
        <c:numFmt formatCode="General" sourceLinked="1"/>
        <c:majorTickMark val="none"/>
        <c:minorTickMark val="none"/>
        <c:tickLblPos val="nextTo"/>
        <c:spPr>
          <a:noFill/>
          <a:ln w="9525" cap="flat" cmpd="sng" algn="ctr">
            <a:solidFill>
              <a:schemeClr val="accent1">
                <a:lumMod val="40000"/>
                <a:lumOff val="60000"/>
                <a:alpha val="25000"/>
              </a:schemeClr>
            </a:solidFill>
            <a:round/>
          </a:ln>
          <a:effectLst/>
        </c:spPr>
        <c:txPr>
          <a:bodyPr rot="-60000000" spcFirstLastPara="1" vertOverflow="ellipsis" vert="horz" wrap="square" anchor="ctr" anchorCtr="1"/>
          <a:lstStyle/>
          <a:p>
            <a:pPr>
              <a:defRPr lang="en-US" sz="900" b="0" i="0" u="none" strike="noStrike" kern="1200" baseline="0">
                <a:solidFill>
                  <a:schemeClr val="lt1"/>
                </a:solidFill>
                <a:latin typeface="+mn-lt"/>
                <a:ea typeface="+mn-ea"/>
                <a:cs typeface="+mn-cs"/>
              </a:defRPr>
            </a:pPr>
          </a:p>
        </c:txPr>
        <c:crossAx val="1501084016"/>
        <c:crosses val="autoZero"/>
        <c:auto val="1"/>
        <c:lblAlgn val="ctr"/>
        <c:lblOffset val="100"/>
        <c:noMultiLvlLbl val="0"/>
      </c:catAx>
      <c:valAx>
        <c:axId val="1501084016"/>
        <c:scaling>
          <c:orientation val="minMax"/>
        </c:scaling>
        <c:delete val="1"/>
        <c:axPos val="l"/>
        <c:numFmt formatCode="0.0%" sourceLinked="1"/>
        <c:majorTickMark val="out"/>
        <c:minorTickMark val="none"/>
        <c:tickLblPos val="nextTo"/>
        <c:txPr>
          <a:bodyPr rot="-60000000" spcFirstLastPara="0" vertOverflow="ellipsis" vert="horz" wrap="square" anchor="ctr" anchorCtr="1"/>
          <a:lstStyle/>
          <a:p>
            <a:pPr>
              <a:defRPr lang="en-US" sz="900" b="0" i="0" u="none" strike="noStrike" kern="1200" baseline="0">
                <a:solidFill>
                  <a:schemeClr val="lt1"/>
                </a:solidFill>
                <a:latin typeface="+mn-lt"/>
                <a:ea typeface="+mn-ea"/>
                <a:cs typeface="+mn-cs"/>
              </a:defRPr>
            </a:pPr>
          </a:p>
        </c:txPr>
        <c:crossAx val="1543224928"/>
        <c:crosses val="autoZero"/>
        <c:crossBetween val="midCat"/>
      </c:valAx>
      <c:dTable>
        <c:showHorzBorder val="1"/>
        <c:showVertBorder val="1"/>
        <c:showOutline val="1"/>
        <c:showKeys val="1"/>
        <c:spPr>
          <a:noFill/>
          <a:ln w="9525">
            <a:solidFill>
              <a:schemeClr val="accent1">
                <a:lumMod val="40000"/>
                <a:lumOff val="60000"/>
                <a:alpha val="25000"/>
              </a:schemeClr>
            </a:solidFill>
          </a:ln>
          <a:effectLst/>
        </c:spPr>
        <c:txPr>
          <a:bodyPr rot="0" spcFirstLastPara="1" vertOverflow="ellipsis" vert="horz" wrap="square" anchor="ctr" anchorCtr="1"/>
          <a:lstStyle/>
          <a:p>
            <a:pPr>
              <a:defRPr lang="en-US" sz="900" b="0" i="0" u="none" strike="noStrike" kern="1200" baseline="0">
                <a:solidFill>
                  <a:schemeClr val="lt1"/>
                </a:solidFill>
                <a:latin typeface="+mn-lt"/>
                <a:ea typeface="+mn-ea"/>
                <a:cs typeface="+mn-cs"/>
              </a:defRPr>
            </a:pPr>
          </a:p>
        </c:txPr>
      </c:dTable>
      <c:spPr>
        <a:noFill/>
        <a:ln>
          <a:noFill/>
        </a:ln>
        <a:effectLst/>
      </c:spPr>
    </c:plotArea>
    <c:plotVisOnly val="1"/>
    <c:dispBlanksAs val="zero"/>
    <c:showDLblsOverMax val="0"/>
  </c:chart>
  <c:spPr>
    <a:solidFill>
      <a:schemeClr val="accent1"/>
    </a:solidFill>
    <a:ln w="9525" cap="flat" cmpd="sng" algn="ctr">
      <a:solidFill>
        <a:schemeClr val="accent1"/>
      </a:solidFill>
      <a:round/>
    </a:ln>
    <a:effectLst/>
  </c:spPr>
  <c:txPr>
    <a:bodyPr/>
    <a:lstStyle/>
    <a:p>
      <a:pPr>
        <a:defRPr lang="en-US"/>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p>
      </c:txPr>
    </c:title>
    <c:autoTitleDeleted val="0"/>
    <c:plotArea>
      <c:layout/>
      <c:lineChart>
        <c:grouping val="standard"/>
        <c:varyColors val="0"/>
        <c:ser>
          <c:idx val="0"/>
          <c:order val="0"/>
          <c:tx>
            <c:strRef>
              <c:f>Charts!$A$16</c:f>
              <c:strCache>
                <c:ptCount val="1"/>
                <c:pt idx="0">
                  <c:v>Interest Cover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8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95000"/>
                          <a:alpha val="54000"/>
                        </a:schemeClr>
                      </a:solidFill>
                    </a:ln>
                    <a:effectLst/>
                  </c:spPr>
                </c15:leaderLines>
              </c:ext>
            </c:extLst>
          </c:dLbls>
          <c:cat>
            <c:strRef>
              <c:f>Charts!$B$15:$C$15</c:f>
              <c:strCache>
                <c:ptCount val="2"/>
                <c:pt idx="0">
                  <c:v>FY 2019</c:v>
                </c:pt>
                <c:pt idx="1">
                  <c:v>FY 2020</c:v>
                </c:pt>
              </c:strCache>
            </c:strRef>
          </c:cat>
          <c:val>
            <c:numRef>
              <c:f>Charts!$B$16:$C$16</c:f>
              <c:numCache>
                <c:formatCode>_(* #,##0.0_);_(* \(#,##0.0\);_(* "-"??_);_(@_)</c:formatCode>
                <c:ptCount val="2"/>
                <c:pt idx="0">
                  <c:v>3.80676328502415</c:v>
                </c:pt>
                <c:pt idx="1" c:formatCode="_(* #,##0.00_);_(* \(#,##0.00\);_(* &quot;-&quot;??_);_(@_)">
                  <c:v>-0.277389277389277</c:v>
                </c:pt>
              </c:numCache>
            </c:numRef>
          </c:val>
          <c:smooth val="0"/>
        </c:ser>
        <c:dLbls>
          <c:showLegendKey val="0"/>
          <c:showVal val="1"/>
          <c:showCatName val="0"/>
          <c:showSerName val="0"/>
          <c:showPercent val="0"/>
          <c:showBubbleSize val="0"/>
        </c:dLbls>
        <c:marker val="0"/>
        <c:smooth val="0"/>
        <c:axId val="1543221328"/>
        <c:axId val="1545235536"/>
      </c:lineChart>
      <c:catAx>
        <c:axId val="1543221328"/>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p>
        </c:txPr>
        <c:crossAx val="1545235536"/>
        <c:crosses val="autoZero"/>
        <c:auto val="1"/>
        <c:lblAlgn val="ctr"/>
        <c:lblOffset val="100"/>
        <c:noMultiLvlLbl val="0"/>
      </c:catAx>
      <c:valAx>
        <c:axId val="1545235536"/>
        <c:scaling>
          <c:orientation val="minMax"/>
        </c:scaling>
        <c:delete val="0"/>
        <c:axPos val="l"/>
        <c:majorGridlines>
          <c:spPr>
            <a:ln w="9525" cap="flat" cmpd="sng" algn="ctr">
              <a:solidFill>
                <a:schemeClr val="lt1">
                  <a:lumMod val="95000"/>
                  <a:alpha val="10000"/>
                </a:schemeClr>
              </a:solidFill>
              <a:round/>
            </a:ln>
            <a:effectLst/>
          </c:spPr>
        </c:majorGridlines>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p>
        </c:txPr>
        <c:crossAx val="154322132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lang="en-US"/>
      </a:pP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en-US" sz="1400" b="0" i="0" u="none" strike="noStrike" kern="1200" cap="none" spc="20" baseline="0">
              <a:solidFill>
                <a:schemeClr val="tx1">
                  <a:lumMod val="50000"/>
                  <a:lumOff val="50000"/>
                </a:schemeClr>
              </a:solidFill>
              <a:latin typeface="+mn-lt"/>
              <a:ea typeface="+mn-ea"/>
              <a:cs typeface="+mn-cs"/>
            </a:defRPr>
          </a:pPr>
        </a:p>
      </c:txPr>
    </c:title>
    <c:autoTitleDeleted val="0"/>
    <c:plotArea>
      <c:layout/>
      <c:barChart>
        <c:barDir val="col"/>
        <c:grouping val="clustered"/>
        <c:varyColors val="0"/>
        <c:ser>
          <c:idx val="0"/>
          <c:order val="0"/>
          <c:tx>
            <c:strRef>
              <c:f>Charts!$A$18</c:f>
              <c:strCache>
                <c:ptCount val="1"/>
                <c:pt idx="0">
                  <c:v>Receivables Collection Period</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elete val="1"/>
          </c:dLbls>
          <c:cat>
            <c:strRef>
              <c:f>Charts!$B$17:$C$17</c:f>
              <c:strCache>
                <c:ptCount val="2"/>
                <c:pt idx="0">
                  <c:v>FY 2019</c:v>
                </c:pt>
                <c:pt idx="1">
                  <c:v>FY 2020</c:v>
                </c:pt>
              </c:strCache>
            </c:strRef>
          </c:cat>
          <c:val>
            <c:numRef>
              <c:f>Charts!$B$18:$C$18</c:f>
              <c:numCache>
                <c:formatCode>_(* #,##0.00_);_(* \(#,##0.00\);_(* "-"??_);_(@_)</c:formatCode>
                <c:ptCount val="2"/>
                <c:pt idx="0">
                  <c:v>48.6949851883199</c:v>
                </c:pt>
                <c:pt idx="1">
                  <c:v>65.3389830508475</c:v>
                </c:pt>
              </c:numCache>
            </c:numRef>
          </c:val>
        </c:ser>
        <c:dLbls>
          <c:showLegendKey val="0"/>
          <c:showVal val="0"/>
          <c:showCatName val="0"/>
          <c:showSerName val="0"/>
          <c:showPercent val="0"/>
          <c:showBubbleSize val="0"/>
        </c:dLbls>
        <c:gapWidth val="100"/>
        <c:overlap val="-24"/>
        <c:axId val="1397423424"/>
        <c:axId val="1528765296"/>
      </c:barChart>
      <c:catAx>
        <c:axId val="1397423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50000"/>
                    <a:lumOff val="50000"/>
                  </a:schemeClr>
                </a:solidFill>
                <a:latin typeface="+mn-lt"/>
                <a:ea typeface="+mn-ea"/>
                <a:cs typeface="+mn-cs"/>
              </a:defRPr>
            </a:pPr>
          </a:p>
        </c:txPr>
        <c:crossAx val="1528765296"/>
        <c:crosses val="autoZero"/>
        <c:auto val="1"/>
        <c:lblAlgn val="ctr"/>
        <c:lblOffset val="100"/>
        <c:noMultiLvlLbl val="0"/>
      </c:catAx>
      <c:valAx>
        <c:axId val="1528765296"/>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50000"/>
                    <a:lumOff val="50000"/>
                  </a:schemeClr>
                </a:solidFill>
                <a:latin typeface="+mn-lt"/>
                <a:ea typeface="+mn-ea"/>
                <a:cs typeface="+mn-cs"/>
              </a:defRPr>
            </a:pPr>
          </a:p>
        </c:txPr>
        <c:crossAx val="1397423424"/>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a:defRPr lang="en-US" sz="900" b="0" i="0" u="none" strike="noStrike" kern="1200" baseline="0">
                <a:solidFill>
                  <a:schemeClr val="tx1">
                    <a:lumMod val="50000"/>
                    <a:lumOff val="50000"/>
                  </a:schemeClr>
                </a:solidFill>
                <a:latin typeface="+mn-lt"/>
                <a:ea typeface="+mn-ea"/>
                <a:cs typeface="+mn-cs"/>
              </a:defRPr>
            </a:pPr>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6">
  <cs:axisTitle>
    <cs:lnRef idx="0"/>
    <cs:fillRef idx="0"/>
    <cs:effectRef idx="0"/>
    <cs:fontRef idx="minor">
      <a:schemeClr val="lt1"/>
    </cs:fontRef>
    <cs:defRPr sz="900" kern="1200"/>
  </cs:axisTitle>
  <cs:categoryAxis>
    <cs:lnRef idx="0">
      <cs:styleClr val="0"/>
    </cs:lnRef>
    <cs:fillRef idx="0"/>
    <cs:effectRef idx="0"/>
    <cs:fontRef idx="minor">
      <a:schemeClr val="lt1"/>
    </cs:fontRef>
    <cs:spPr>
      <a:ln w="9525" cap="flat" cmpd="sng" algn="ctr">
        <a:solidFill>
          <a:schemeClr val="phClr">
            <a:lumMod val="40000"/>
            <a:lumOff val="60000"/>
            <a:alpha val="25000"/>
          </a:schemeClr>
        </a:solidFill>
        <a:round/>
      </a:ln>
    </cs:spPr>
    <cs:defRPr sz="900" kern="1200"/>
  </cs:categoryAxis>
  <cs:chartArea>
    <cs:lnRef idx="0">
      <cs:styleClr val="0"/>
    </cs:lnRef>
    <cs:fillRef idx="0">
      <cs:styleClr val="0"/>
    </cs:fillRef>
    <cs:effectRef idx="0"/>
    <cs:fontRef idx="minor">
      <a:schemeClr val="lt1"/>
    </cs:fontRef>
    <cs:spPr>
      <a:solidFill>
        <a:schemeClr val="phClr"/>
      </a:solidFill>
      <a:ln w="9525" cap="flat" cmpd="sng" algn="ctr">
        <a:solidFill>
          <a:schemeClr val="phClr"/>
        </a:solidFill>
        <a:round/>
      </a:ln>
    </cs:spPr>
    <cs:defRPr sz="900" kern="1200"/>
  </cs:chartArea>
  <cs:dataLabel>
    <cs:lnRef idx="0"/>
    <cs:fillRef idx="0">
      <cs:styleClr val="0"/>
    </cs:fillRef>
    <cs:effectRef idx="0"/>
    <cs:fontRef idx="minor">
      <a:schemeClr val="lt1"/>
    </cs:fontRef>
    <cs:spPr>
      <a:solidFill>
        <a:schemeClr val="phClr">
          <a:alpha val="50000"/>
        </a:scheme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effectRef idx="0">
      <cs:styleClr val="auto"/>
    </cs:effectRef>
    <cs:fontRef idx="minor">
      <a:schemeClr val="lt1"/>
    </cs:fontRef>
    <cs:spPr>
      <a:solidFill>
        <a:schemeClr val="lt1">
          <a:alpha val="40000"/>
        </a:schemeClr>
      </a:solidFill>
      <a:effectLst>
        <a:innerShdw dist="38100" dir="16200000">
          <a:schemeClr val="phClr"/>
        </a:innerShdw>
      </a:effectLst>
      <a:sp3d/>
    </cs:spPr>
  </cs:dataPoint>
  <cs:dataPoint3D>
    <cs:lnRef idx="0"/>
    <cs:fillRef idx="0"/>
    <cs:effectRef idx="0">
      <cs:styleClr val="auto"/>
    </cs:effectRef>
    <cs:fontRef idx="minor">
      <a:schemeClr val="lt1"/>
    </cs:fontRef>
    <cs:spPr>
      <a:solidFill>
        <a:schemeClr val="lt1">
          <a:alpha val="40000"/>
        </a:schemeClr>
      </a:solidFill>
      <a:effectLst>
        <a:innerShdw dist="38100" dir="16200000">
          <a:schemeClr val="phClr"/>
        </a:innerShdw>
      </a:effectLst>
      <a:sp3d/>
    </cs:spPr>
  </cs:dataPoint3D>
  <cs:dataPointLine>
    <cs:lnRef idx="0">
      <cs:styleClr val="auto"/>
    </cs:lnRef>
    <cs:fillRef idx="0"/>
    <cs:effectRef idx="0">
      <cs:styleClr val="auto"/>
    </cs:effectRef>
    <cs:fontRef idx="minor">
      <a:schemeClr val="lt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lt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lt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40000"/>
            <a:lumOff val="60000"/>
            <a:alpha val="25000"/>
          </a:schemeClr>
        </a:solidFill>
      </a:ln>
    </cs:spPr>
    <cs:defRPr sz="900" kern="1200"/>
  </cs:dataTable>
  <cs:downBar>
    <cs:lnRef idx="0">
      <cs:styleClr val="0"/>
    </cs:lnRef>
    <cs:fillRef idx="0"/>
    <cs:effectRef idx="0"/>
    <cs:fontRef idx="minor">
      <a:schemeClr val="lt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lt1"/>
    </cs:fontRef>
    <cs:spPr>
      <a:ln w="9525">
        <a:solidFill>
          <a:schemeClr val="phClr">
            <a:lumMod val="60000"/>
            <a:lumOff val="40000"/>
          </a:schemeClr>
        </a:solidFill>
      </a:ln>
    </cs:spPr>
  </cs:dropLine>
  <cs:errorBar>
    <cs:lnRef idx="0">
      <cs:styleClr val="0"/>
    </cs:lnRef>
    <cs:fillRef idx="0"/>
    <cs:effectRef idx="0"/>
    <cs:fontRef idx="minor">
      <a:schemeClr val="lt1"/>
    </cs:fontRef>
    <cs:spPr>
      <a:ln w="9525">
        <a:solidFill>
          <a:schemeClr val="phClr">
            <a:lumMod val="60000"/>
            <a:lumOff val="40000"/>
          </a:schemeClr>
        </a:solidFill>
        <a:round/>
      </a:ln>
      <a:effectLst>
        <a:glow rad="25400">
          <a:schemeClr val="lt1"/>
        </a:glow>
      </a:effectLst>
    </cs:spPr>
  </cs:errorBar>
  <cs:floor>
    <cs:lnRef idx="0"/>
    <cs:fillRef idx="0">
      <cs:styleClr val="0"/>
    </cs:fillRef>
    <cs:effectRef idx="0"/>
    <cs:fontRef idx="minor">
      <a:schemeClr val="lt1"/>
    </cs:fontRef>
    <cs:spPr>
      <a:solidFill>
        <a:schemeClr val="phClr">
          <a:alpha val="20000"/>
        </a:schemeClr>
      </a:solidFill>
      <a:sp3d/>
    </cs:spPr>
  </cs:floor>
  <cs:gridlineMajor>
    <cs:lnRef idx="0">
      <cs:styleClr val="0"/>
    </cs:lnRef>
    <cs:fillRef idx="0"/>
    <cs:effectRef idx="0"/>
    <cs:fontRef idx="minor">
      <a:schemeClr val="lt1"/>
    </cs:fontRef>
    <cs:spPr>
      <a:ln>
        <a:solidFill>
          <a:schemeClr val="phClr">
            <a:lumMod val="40000"/>
            <a:lumOff val="60000"/>
            <a:alpha val="25000"/>
          </a:schemeClr>
        </a:solidFill>
      </a:ln>
    </cs:spPr>
  </cs:gridlineMajor>
  <cs:gridlineMinor>
    <cs:lnRef idx="0">
      <cs:styleClr val="0"/>
    </cs:lnRef>
    <cs:fillRef idx="0"/>
    <cs:effectRef idx="0"/>
    <cs:fontRef idx="minor">
      <a:schemeClr val="lt1"/>
    </cs:fontRef>
    <cs:spPr>
      <a:ln>
        <a:solidFill>
          <a:schemeClr val="phClr">
            <a:lumMod val="40000"/>
            <a:lumOff val="60000"/>
            <a:alpha val="25000"/>
          </a:schemeClr>
        </a:solidFill>
      </a:ln>
    </cs:spPr>
  </cs:gridlineMinor>
  <cs:hiLoLine>
    <cs:lnRef idx="0">
      <cs:styleClr val="0"/>
    </cs:lnRef>
    <cs:fillRef idx="0"/>
    <cs:effectRef idx="0"/>
    <cs:fontRef idx="minor">
      <a:schemeClr val="lt1"/>
    </cs:fontRef>
    <cs:spPr>
      <a:ln w="9525">
        <a:solidFill>
          <a:schemeClr val="phClr">
            <a:lumMod val="60000"/>
            <a:lumOff val="40000"/>
          </a:schemeClr>
        </a:solidFill>
      </a:ln>
    </cs:spPr>
  </cs:hiLoLine>
  <cs:leaderLine>
    <cs:lnRef idx="0">
      <cs:styleClr val="0"/>
    </cs:lnRef>
    <cs:fillRef idx="0"/>
    <cs:effectRef idx="0"/>
    <cs:fontRef idx="minor">
      <a:schemeClr val="lt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styleClr val="0"/>
    </cs:lnRef>
    <cs:fillRef idx="0"/>
    <cs:effectRef idx="0"/>
    <cs:fontRef idx="minor">
      <a:schemeClr val="lt1"/>
    </cs:fontRef>
    <cs:spPr>
      <a:ln w="9525" cap="flat" cmpd="sng" algn="ctr">
        <a:solidFill>
          <a:schemeClr val="phClr">
            <a:lumMod val="40000"/>
            <a:lumOff val="60000"/>
            <a:alpha val="25000"/>
          </a:schemeClr>
        </a:solidFill>
        <a:round/>
      </a:ln>
    </cs:spPr>
    <cs:defRPr sz="900" kern="1200"/>
  </cs:seriesAxis>
  <cs:seriesLine>
    <cs:lnRef idx="0">
      <cs:styleClr val="0"/>
    </cs:lnRef>
    <cs:fillRef idx="0"/>
    <cs:effectRef idx="0"/>
    <cs:fontRef idx="minor">
      <a:schemeClr val="lt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lt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lt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bodyPr/>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8">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spc="3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lt1">
            <a:lumMod val="85000"/>
          </a:schemeClr>
        </a:solidFill>
        <a:round/>
      </a:ln>
    </cs:spPr>
    <cs:defRPr sz="1000" kern="1200"/>
  </cs:chartArea>
  <cs:dataLabel>
    <cs:lnRef idx="0"/>
    <cs:fillRef idx="0">
      <cs:styleClr val="0"/>
    </cs:fillRef>
    <cs:effectRef idx="0"/>
    <cs:fontRef idx="minor">
      <a:schemeClr val="lt1"/>
    </cs:fontRef>
    <cs:spPr>
      <a:solidFill>
        <a:schemeClr val="ph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5400"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cs:spPr>
  </cs:dataPointMarker>
  <cs:dataPointMarkerLayout symbol="circle" size="14"/>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316">
  <cs:axisTitle>
    <cs:lnRef idx="0"/>
    <cs:fillRef idx="0"/>
    <cs:effectRef idx="0"/>
    <cs:fontRef idx="minor">
      <a:schemeClr val="lt1"/>
    </cs:fontRef>
    <cs:defRPr sz="900" kern="1200"/>
  </cs:axisTitle>
  <cs:categoryAxis>
    <cs:lnRef idx="0">
      <cs:styleClr val="0"/>
    </cs:lnRef>
    <cs:fillRef idx="0"/>
    <cs:effectRef idx="0"/>
    <cs:fontRef idx="minor">
      <a:schemeClr val="lt1"/>
    </cs:fontRef>
    <cs:spPr>
      <a:ln w="9525" cap="flat" cmpd="sng" algn="ctr">
        <a:solidFill>
          <a:schemeClr val="phClr">
            <a:lumMod val="40000"/>
            <a:lumOff val="60000"/>
            <a:alpha val="25000"/>
          </a:schemeClr>
        </a:solidFill>
        <a:round/>
      </a:ln>
    </cs:spPr>
    <cs:defRPr sz="900" kern="1200"/>
  </cs:categoryAxis>
  <cs:chartArea>
    <cs:lnRef idx="0">
      <cs:styleClr val="0"/>
    </cs:lnRef>
    <cs:fillRef idx="0">
      <cs:styleClr val="0"/>
    </cs:fillRef>
    <cs:effectRef idx="0"/>
    <cs:fontRef idx="minor">
      <a:schemeClr val="lt1"/>
    </cs:fontRef>
    <cs:spPr>
      <a:solidFill>
        <a:schemeClr val="phClr"/>
      </a:solidFill>
      <a:ln w="9525" cap="flat" cmpd="sng" algn="ctr">
        <a:solidFill>
          <a:schemeClr val="phClr"/>
        </a:solidFill>
        <a:round/>
      </a:ln>
    </cs:spPr>
    <cs:defRPr sz="900" kern="1200"/>
  </cs:chartArea>
  <cs:dataLabel>
    <cs:lnRef idx="0"/>
    <cs:fillRef idx="0">
      <cs:styleClr val="0"/>
    </cs:fillRef>
    <cs:effectRef idx="0"/>
    <cs:fontRef idx="minor">
      <a:schemeClr val="lt1"/>
    </cs:fontRef>
    <cs:spPr>
      <a:solidFill>
        <a:schemeClr val="phClr">
          <a:alpha val="50000"/>
        </a:scheme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effectRef idx="0">
      <cs:styleClr val="auto"/>
    </cs:effectRef>
    <cs:fontRef idx="minor">
      <a:schemeClr val="lt1"/>
    </cs:fontRef>
    <cs:spPr>
      <a:solidFill>
        <a:schemeClr val="lt1">
          <a:alpha val="40000"/>
        </a:schemeClr>
      </a:solidFill>
      <a:effectLst>
        <a:innerShdw dist="38100" dir="16200000">
          <a:schemeClr val="phClr"/>
        </a:innerShdw>
      </a:effectLst>
      <a:sp3d/>
    </cs:spPr>
  </cs:dataPoint>
  <cs:dataPoint3D>
    <cs:lnRef idx="0"/>
    <cs:fillRef idx="0"/>
    <cs:effectRef idx="0">
      <cs:styleClr val="auto"/>
    </cs:effectRef>
    <cs:fontRef idx="minor">
      <a:schemeClr val="lt1"/>
    </cs:fontRef>
    <cs:spPr>
      <a:solidFill>
        <a:schemeClr val="lt1">
          <a:alpha val="40000"/>
        </a:schemeClr>
      </a:solidFill>
      <a:effectLst>
        <a:innerShdw dist="38100" dir="16200000">
          <a:schemeClr val="phClr"/>
        </a:innerShdw>
      </a:effectLst>
      <a:sp3d/>
    </cs:spPr>
  </cs:dataPoint3D>
  <cs:dataPointLine>
    <cs:lnRef idx="0">
      <cs:styleClr val="auto"/>
    </cs:lnRef>
    <cs:fillRef idx="0"/>
    <cs:effectRef idx="0">
      <cs:styleClr val="auto"/>
    </cs:effectRef>
    <cs:fontRef idx="minor">
      <a:schemeClr val="lt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lt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lt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40000"/>
            <a:lumOff val="60000"/>
            <a:alpha val="25000"/>
          </a:schemeClr>
        </a:solidFill>
      </a:ln>
    </cs:spPr>
    <cs:defRPr sz="900" kern="1200"/>
  </cs:dataTable>
  <cs:downBar>
    <cs:lnRef idx="0">
      <cs:styleClr val="0"/>
    </cs:lnRef>
    <cs:fillRef idx="0"/>
    <cs:effectRef idx="0"/>
    <cs:fontRef idx="minor">
      <a:schemeClr val="lt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lt1"/>
    </cs:fontRef>
    <cs:spPr>
      <a:ln w="9525">
        <a:solidFill>
          <a:schemeClr val="phClr">
            <a:lumMod val="60000"/>
            <a:lumOff val="40000"/>
          </a:schemeClr>
        </a:solidFill>
      </a:ln>
    </cs:spPr>
  </cs:dropLine>
  <cs:errorBar>
    <cs:lnRef idx="0">
      <cs:styleClr val="0"/>
    </cs:lnRef>
    <cs:fillRef idx="0"/>
    <cs:effectRef idx="0"/>
    <cs:fontRef idx="minor">
      <a:schemeClr val="lt1"/>
    </cs:fontRef>
    <cs:spPr>
      <a:ln w="9525">
        <a:solidFill>
          <a:schemeClr val="phClr">
            <a:lumMod val="60000"/>
            <a:lumOff val="40000"/>
          </a:schemeClr>
        </a:solidFill>
        <a:round/>
      </a:ln>
      <a:effectLst>
        <a:glow rad="25400">
          <a:schemeClr val="lt1"/>
        </a:glow>
      </a:effectLst>
    </cs:spPr>
  </cs:errorBar>
  <cs:floor>
    <cs:lnRef idx="0"/>
    <cs:fillRef idx="0">
      <cs:styleClr val="0"/>
    </cs:fillRef>
    <cs:effectRef idx="0"/>
    <cs:fontRef idx="minor">
      <a:schemeClr val="lt1"/>
    </cs:fontRef>
    <cs:spPr>
      <a:solidFill>
        <a:schemeClr val="phClr">
          <a:alpha val="20000"/>
        </a:schemeClr>
      </a:solidFill>
      <a:sp3d/>
    </cs:spPr>
  </cs:floor>
  <cs:gridlineMajor>
    <cs:lnRef idx="0">
      <cs:styleClr val="0"/>
    </cs:lnRef>
    <cs:fillRef idx="0"/>
    <cs:effectRef idx="0"/>
    <cs:fontRef idx="minor">
      <a:schemeClr val="lt1"/>
    </cs:fontRef>
    <cs:spPr>
      <a:ln>
        <a:solidFill>
          <a:schemeClr val="phClr">
            <a:lumMod val="40000"/>
            <a:lumOff val="60000"/>
            <a:alpha val="25000"/>
          </a:schemeClr>
        </a:solidFill>
      </a:ln>
    </cs:spPr>
  </cs:gridlineMajor>
  <cs:gridlineMinor>
    <cs:lnRef idx="0">
      <cs:styleClr val="0"/>
    </cs:lnRef>
    <cs:fillRef idx="0"/>
    <cs:effectRef idx="0"/>
    <cs:fontRef idx="minor">
      <a:schemeClr val="lt1"/>
    </cs:fontRef>
    <cs:spPr>
      <a:ln>
        <a:solidFill>
          <a:schemeClr val="phClr">
            <a:lumMod val="40000"/>
            <a:lumOff val="60000"/>
            <a:alpha val="25000"/>
          </a:schemeClr>
        </a:solidFill>
      </a:ln>
    </cs:spPr>
  </cs:gridlineMinor>
  <cs:hiLoLine>
    <cs:lnRef idx="0">
      <cs:styleClr val="0"/>
    </cs:lnRef>
    <cs:fillRef idx="0"/>
    <cs:effectRef idx="0"/>
    <cs:fontRef idx="minor">
      <a:schemeClr val="lt1"/>
    </cs:fontRef>
    <cs:spPr>
      <a:ln w="9525">
        <a:solidFill>
          <a:schemeClr val="phClr">
            <a:lumMod val="60000"/>
            <a:lumOff val="40000"/>
          </a:schemeClr>
        </a:solidFill>
      </a:ln>
    </cs:spPr>
  </cs:hiLoLine>
  <cs:leaderLine>
    <cs:lnRef idx="0">
      <cs:styleClr val="0"/>
    </cs:lnRef>
    <cs:fillRef idx="0"/>
    <cs:effectRef idx="0"/>
    <cs:fontRef idx="minor">
      <a:schemeClr val="lt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styleClr val="0"/>
    </cs:lnRef>
    <cs:fillRef idx="0"/>
    <cs:effectRef idx="0"/>
    <cs:fontRef idx="minor">
      <a:schemeClr val="lt1"/>
    </cs:fontRef>
    <cs:spPr>
      <a:ln w="9525" cap="flat" cmpd="sng" algn="ctr">
        <a:solidFill>
          <a:schemeClr val="phClr">
            <a:lumMod val="40000"/>
            <a:lumOff val="60000"/>
            <a:alpha val="25000"/>
          </a:schemeClr>
        </a:solidFill>
        <a:round/>
      </a:ln>
    </cs:spPr>
    <cs:defRPr sz="900" kern="1200"/>
  </cs:seriesAxis>
  <cs:seriesLine>
    <cs:lnRef idx="0">
      <cs:styleClr val="0"/>
    </cs:lnRef>
    <cs:fillRef idx="0"/>
    <cs:effectRef idx="0"/>
    <cs:fontRef idx="minor">
      <a:schemeClr val="lt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lt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lt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bodyPr/>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CC6690-E2CA-4C9B-9111-82FD34BE44D6}">
  <ds:schemaRefs/>
</ds:datastoreItem>
</file>

<file path=docProps/app.xml><?xml version="1.0" encoding="utf-8"?>
<Properties xmlns="http://schemas.openxmlformats.org/officeDocument/2006/extended-properties" xmlns:vt="http://schemas.openxmlformats.org/officeDocument/2006/docPropsVTypes">
  <Template>Normal</Template>
  <Pages>12</Pages>
  <Words>1950</Words>
  <Characters>11115</Characters>
  <Lines>92</Lines>
  <Paragraphs>26</Paragraphs>
  <TotalTime>662</TotalTime>
  <ScaleCrop>false</ScaleCrop>
  <LinksUpToDate>false</LinksUpToDate>
  <CharactersWithSpaces>13039</CharactersWithSpaces>
  <Application>WPS Office_11.2.0.10451_F1E327BC-269C-435d-A152-05C5408002CA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2022-05-12T06:37:00Z</dcterms:created>
  <dc:creator>User</dc:creator>
  <cp:lastModifiedBy>Muhammed Ali</cp:lastModifiedBy>
  <dcterms:modified xsi:type="dcterms:W3CDTF">2022-05-29T14:50:15Z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1033-11.2.0.10451</vt:lpwstr>
  </property>
  <property fmtid="{D5CDD505-2E9C-101B-9397-08002B2CF9AE}" pid="3" name="ICV">
    <vt:lpwstr>5DA9C9048F0E43E684E5FF3F38EC5A08</vt:lpwstr>
  </property>
</Properties>
</file>