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id w:val="930390944"/>
        <w:docPartObj>
          <w:docPartGallery w:val="autotext"/>
        </w:docPartObj>
      </w:sdtPr>
      <w:sdtContent>
        <w:p>
          <w:r>
            <mc:AlternateContent>
              <mc:Choice Requires="wps">
                <w:drawing>
                  <wp:anchor distT="0" distB="0" distL="114300" distR="114300" simplePos="0" relativeHeight="251660288" behindDoc="0" locked="0" layoutInCell="1" allowOverlap="1">
                    <wp:simplePos x="0" y="0"/>
                    <wp:positionH relativeFrom="page">
                      <wp:align>center</wp:align>
                    </wp:positionH>
                    <wp:positionV relativeFrom="page">
                      <wp:align>center</wp:align>
                    </wp:positionV>
                    <wp:extent cx="1712595"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Style w:val="9"/>
                                  <w:tblW w:w="5000" w:type="pct"/>
                                  <w:jc w:val="center"/>
                                  <w:tblBorders>
                                    <w:top w:val="none" w:color="auto" w:sz="0" w:space="0"/>
                                    <w:left w:val="none" w:color="auto" w:sz="0" w:space="0"/>
                                    <w:bottom w:val="none" w:color="auto" w:sz="0" w:space="0"/>
                                    <w:right w:val="none" w:color="auto" w:sz="0" w:space="0"/>
                                    <w:insideH w:val="none" w:color="auto" w:sz="0" w:space="0"/>
                                    <w:insideV w:val="single" w:color="ED7D31" w:themeColor="accent2" w:sz="12" w:space="0"/>
                                  </w:tblBorders>
                                  <w:tblLayout w:type="autofit"/>
                                  <w:tblCellMar>
                                    <w:top w:w="1296" w:type="dxa"/>
                                    <w:left w:w="360" w:type="dxa"/>
                                    <w:bottom w:w="1296" w:type="dxa"/>
                                    <w:right w:w="360" w:type="dxa"/>
                                  </w:tblCellMar>
                                </w:tblPr>
                                <w:tblGrid>
                                  <w:gridCol w:w="6960"/>
                                  <w:gridCol w:w="4951"/>
                                </w:tblGrid>
                                <w:tr>
                                  <w:tblPrEx>
                                    <w:tblBorders>
                                      <w:top w:val="none" w:color="auto" w:sz="0" w:space="0"/>
                                      <w:left w:val="none" w:color="auto" w:sz="0" w:space="0"/>
                                      <w:bottom w:val="none" w:color="auto" w:sz="0" w:space="0"/>
                                      <w:right w:val="none" w:color="auto" w:sz="0" w:space="0"/>
                                      <w:insideH w:val="none" w:color="auto" w:sz="0" w:space="0"/>
                                      <w:insideV w:val="single" w:color="ED7D31" w:themeColor="accent2" w:sz="12" w:space="0"/>
                                    </w:tblBorders>
                                    <w:tblCellMar>
                                      <w:top w:w="1296" w:type="dxa"/>
                                      <w:left w:w="360" w:type="dxa"/>
                                      <w:bottom w:w="1296" w:type="dxa"/>
                                      <w:right w:w="360" w:type="dxa"/>
                                    </w:tblCellMar>
                                  </w:tblPrEx>
                                  <w:trPr>
                                    <w:jc w:val="center"/>
                                  </w:trPr>
                                  <w:tc>
                                    <w:tcPr>
                                      <w:tcW w:w="2568" w:type="pct"/>
                                      <w:vAlign w:val="center"/>
                                    </w:tcPr>
                                    <w:p>
                                      <w:pPr>
                                        <w:jc w:val="right"/>
                                      </w:pPr>
                                      <w:r>
                                        <w:drawing>
                                          <wp:inline distT="0" distB="0" distL="0" distR="0">
                                            <wp:extent cx="3064510" cy="3830955"/>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descr="A picture of a winding road and trees" title="Road"/>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p>
                                      <w:pPr>
                                        <w:pStyle w:val="12"/>
                                        <w:spacing w:line="312" w:lineRule="auto"/>
                                        <w:jc w:val="right"/>
                                        <w:rPr>
                                          <w:caps/>
                                          <w:color w:val="1A1A1A" w:themeColor="text1" w:themeTint="E6"/>
                                          <w:sz w:val="72"/>
                                          <w:szCs w:val="72"/>
                                          <w14:textFill>
                                            <w14:solidFill>
                                              <w14:schemeClr w14:val="tx1">
                                                <w14:lumMod w14:val="90000"/>
                                                <w14:lumOff w14:val="10000"/>
                                              </w14:schemeClr>
                                            </w14:solidFill>
                                          </w14:textFill>
                                        </w:rPr>
                                      </w:pPr>
                                      <w:sdt>
                                        <w:sdtPr>
                                          <w:rPr>
                                            <w:rFonts w:hint="default" w:ascii="Arial" w:hAnsi="Arial" w:cs="Arial"/>
                                            <w:caps/>
                                            <w:color w:val="1A1A1A" w:themeColor="text1" w:themeTint="E6"/>
                                            <w:sz w:val="72"/>
                                            <w:szCs w:val="72"/>
                                            <w14:textFill>
                                              <w14:solidFill>
                                                <w14:schemeClr w14:val="tx1">
                                                  <w14:lumMod w14:val="90000"/>
                                                  <w14:lumOff w14:val="10000"/>
                                                </w14:schemeClr>
                                              </w14:solidFill>
                                            </w14:textFill>
                                          </w:rPr>
                                          <w:alias w:val="Title"/>
                                          <w:id w:val="-438379639"/>
                                          <w:showingPlcHdr/>
                                          <w:dataBinding w:prefixMappings="xmlns:ns0='http://purl.org/dc/elements/1.1/' xmlns:ns1='http://schemas.openxmlformats.org/package/2006/metadata/core-properties' " w:xpath="/ns1:coreProperties[1]/ns0:title[1]" w:storeItemID="{6C3C8BC8-F283-45AE-878A-BAB7291924A1}"/>
                                          <w:text/>
                                        </w:sdtPr>
                                        <w:sdtEndPr>
                                          <w:rPr>
                                            <w:rFonts w:hint="default" w:ascii="Arial" w:hAnsi="Arial" w:cs="Arial"/>
                                            <w:caps/>
                                            <w:color w:val="1A1A1A" w:themeColor="text1" w:themeTint="E6"/>
                                            <w:sz w:val="72"/>
                                            <w:szCs w:val="72"/>
                                            <w14:textFill>
                                              <w14:solidFill>
                                                <w14:schemeClr w14:val="tx1">
                                                  <w14:lumMod w14:val="90000"/>
                                                  <w14:lumOff w14:val="10000"/>
                                                </w14:schemeClr>
                                              </w14:solidFill>
                                            </w14:textFill>
                                          </w:rPr>
                                        </w:sdtEndPr>
                                        <w:sdtContent/>
                                      </w:sdt>
                                      <w:r>
                                        <w:rPr>
                                          <w:rFonts w:hint="default" w:ascii="Arial" w:hAnsi="Arial" w:cs="Arial"/>
                                          <w:caps/>
                                          <w:color w:val="1A1A1A" w:themeColor="text1" w:themeTint="E6"/>
                                          <w:sz w:val="72"/>
                                          <w:szCs w:val="72"/>
                                          <w14:textFill>
                                            <w14:solidFill>
                                              <w14:schemeClr w14:val="tx1">
                                                <w14:lumMod w14:val="90000"/>
                                                <w14:lumOff w14:val="10000"/>
                                              </w14:schemeClr>
                                            </w14:solidFill>
                                          </w14:textFill>
                                        </w:rPr>
                                        <w:t>Challenges of cross-cultural business communication</w:t>
                                      </w:r>
                                    </w:p>
                                    <w:sdt>
                                      <w:sdtPr>
                                        <w:rPr>
                                          <w:color w:val="000000" w:themeColor="text1"/>
                                          <w:sz w:val="24"/>
                                          <w:szCs w:val="24"/>
                                          <w14:textFill>
                                            <w14:solidFill>
                                              <w14:schemeClr w14:val="tx1"/>
                                            </w14:solidFill>
                                          </w14:textFill>
                                        </w:rPr>
                                        <w:alias w:val="Subtitle"/>
                                        <w:id w:val="1354072561"/>
                                        <w:dataBinding w:prefixMappings="xmlns:ns0='http://purl.org/dc/elements/1.1/' xmlns:ns1='http://schemas.openxmlformats.org/package/2006/metadata/core-properties' " w:xpath="/ns1:coreProperties[1]/ns0:subject[1]" w:storeItemID="{6C3C8BC8-F283-45AE-878A-BAB7291924A1}"/>
                                        <w:text/>
                                      </w:sdtPr>
                                      <w:sdtEndPr>
                                        <w:rPr>
                                          <w:color w:val="000000" w:themeColor="text1"/>
                                          <w:sz w:val="24"/>
                                          <w:szCs w:val="24"/>
                                          <w14:textFill>
                                            <w14:solidFill>
                                              <w14:schemeClr w14:val="tx1"/>
                                            </w14:solidFill>
                                          </w14:textFill>
                                        </w:rPr>
                                      </w:sdtEndPr>
                                      <w:sdtContent>
                                        <w:p>
                                          <w:pPr>
                                            <w:jc w:val="right"/>
                                            <w:rPr>
                                              <w:sz w:val="24"/>
                                              <w:szCs w:val="24"/>
                                            </w:rPr>
                                          </w:pPr>
                                        </w:p>
                                      </w:sdtContent>
                                    </w:sdt>
                                  </w:tc>
                                  <w:tc>
                                    <w:tcPr>
                                      <w:tcW w:w="2432" w:type="pct"/>
                                      <w:vAlign w:val="center"/>
                                    </w:tcPr>
                                    <w:p>
                                      <w:pPr>
                                        <w:pStyle w:val="12"/>
                                        <w:rPr>
                                          <w:rFonts w:hint="default" w:ascii="Arial" w:hAnsi="Arial" w:cs="Arial"/>
                                          <w:color w:val="44546A" w:themeColor="text2"/>
                                          <w:sz w:val="24"/>
                                          <w:szCs w:val="24"/>
                                          <w14:textFill>
                                            <w14:solidFill>
                                              <w14:schemeClr w14:val="tx2"/>
                                            </w14:solidFill>
                                          </w14:textFill>
                                        </w:rPr>
                                      </w:pPr>
                                      <w:sdt>
                                        <w:sdtPr>
                                          <w:rPr>
                                            <w:rFonts w:hint="default" w:ascii="Arial" w:hAnsi="Arial" w:cs="Arial"/>
                                            <w:color w:val="44546A" w:themeColor="text2"/>
                                            <w:sz w:val="24"/>
                                            <w:szCs w:val="24"/>
                                            <w14:textFill>
                                              <w14:solidFill>
                                                <w14:schemeClr w14:val="tx2"/>
                                              </w14:solidFill>
                                            </w14:textFill>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rPr>
                                            <w:rFonts w:hint="default" w:ascii="Arial" w:hAnsi="Arial" w:cs="Arial"/>
                                            <w:color w:val="44546A" w:themeColor="text2"/>
                                            <w:sz w:val="24"/>
                                            <w:szCs w:val="24"/>
                                            <w14:textFill>
                                              <w14:solidFill>
                                                <w14:schemeClr w14:val="tx2"/>
                                              </w14:solidFill>
                                            </w14:textFill>
                                          </w:rPr>
                                        </w:sdtEndPr>
                                        <w:sdtContent/>
                                      </w:sdt>
                                      <w:r>
                                        <w:rPr>
                                          <w:rFonts w:hint="default" w:ascii="Arial" w:hAnsi="Arial" w:cs="Arial"/>
                                          <w:color w:val="44546A" w:themeColor="text2"/>
                                          <w:sz w:val="24"/>
                                          <w:szCs w:val="24"/>
                                          <w14:textFill>
                                            <w14:solidFill>
                                              <w14:schemeClr w14:val="tx2"/>
                                            </w14:solidFill>
                                          </w14:textFill>
                                        </w:rPr>
                                        <w:t>Module Code: BMBM6021</w:t>
                                      </w:r>
                                    </w:p>
                                    <w:p>
                                      <w:pPr>
                                        <w:pStyle w:val="12"/>
                                        <w:rPr>
                                          <w:rFonts w:hint="default" w:ascii="Arial" w:hAnsi="Arial" w:cs="Arial"/>
                                          <w:color w:val="44546A" w:themeColor="text2"/>
                                          <w:sz w:val="24"/>
                                          <w:szCs w:val="24"/>
                                          <w14:textFill>
                                            <w14:solidFill>
                                              <w14:schemeClr w14:val="tx2"/>
                                            </w14:solidFill>
                                          </w14:textFill>
                                        </w:rPr>
                                      </w:pPr>
                                      <w:r>
                                        <w:rPr>
                                          <w:rFonts w:hint="default" w:ascii="Arial" w:hAnsi="Arial" w:cs="Arial"/>
                                          <w:color w:val="44546A" w:themeColor="text2"/>
                                          <w:sz w:val="24"/>
                                          <w:szCs w:val="24"/>
                                          <w14:textFill>
                                            <w14:solidFill>
                                              <w14:schemeClr w14:val="tx2"/>
                                            </w14:solidFill>
                                          </w14:textFill>
                                        </w:rPr>
                                        <w:t>Module Title: International Business Communication</w:t>
                                      </w:r>
                                    </w:p>
                                    <w:p>
                                      <w:pPr>
                                        <w:pStyle w:val="12"/>
                                        <w:rPr>
                                          <w:rFonts w:hint="default" w:ascii="Arial" w:hAnsi="Arial" w:cs="Arial"/>
                                          <w:color w:val="44546A" w:themeColor="text2"/>
                                          <w:sz w:val="24"/>
                                          <w:szCs w:val="24"/>
                                          <w14:textFill>
                                            <w14:solidFill>
                                              <w14:schemeClr w14:val="tx2"/>
                                            </w14:solidFill>
                                          </w14:textFill>
                                        </w:rPr>
                                      </w:pPr>
                                      <w:r>
                                        <w:rPr>
                                          <w:rFonts w:hint="default" w:ascii="Arial" w:hAnsi="Arial" w:cs="Arial"/>
                                          <w:color w:val="44546A" w:themeColor="text2"/>
                                          <w:sz w:val="24"/>
                                          <w:szCs w:val="24"/>
                                          <w14:textFill>
                                            <w14:solidFill>
                                              <w14:schemeClr w14:val="tx2"/>
                                            </w14:solidFill>
                                          </w14:textFill>
                                        </w:rPr>
                                        <w:t>Tutor: Gwyneth Jones</w:t>
                                      </w:r>
                                    </w:p>
                                    <w:p>
                                      <w:pPr>
                                        <w:pStyle w:val="12"/>
                                        <w:rPr>
                                          <w:rFonts w:hint="default" w:ascii="Arial" w:hAnsi="Arial" w:cs="Arial"/>
                                          <w:color w:val="44546A" w:themeColor="text2"/>
                                          <w:sz w:val="24"/>
                                          <w:szCs w:val="24"/>
                                          <w14:textFill>
                                            <w14:solidFill>
                                              <w14:schemeClr w14:val="tx2"/>
                                            </w14:solidFill>
                                          </w14:textFill>
                                        </w:rPr>
                                      </w:pPr>
                                      <w:r>
                                        <w:rPr>
                                          <w:rFonts w:hint="default" w:ascii="Arial" w:hAnsi="Arial" w:cs="Arial"/>
                                          <w:color w:val="44546A" w:themeColor="text2"/>
                                          <w:sz w:val="24"/>
                                          <w:szCs w:val="24"/>
                                          <w14:textFill>
                                            <w14:solidFill>
                                              <w14:schemeClr w14:val="tx2"/>
                                            </w14:solidFill>
                                          </w14:textFill>
                                        </w:rPr>
                                        <w:t>Semester 1 2023</w:t>
                                      </w:r>
                                    </w:p>
                                    <w:p>
                                      <w:pPr>
                                        <w:pStyle w:val="12"/>
                                        <w:rPr>
                                          <w:rFonts w:hint="default" w:ascii="Arial" w:hAnsi="Arial" w:cs="Arial"/>
                                          <w:color w:val="44546A" w:themeColor="text2"/>
                                          <w:sz w:val="24"/>
                                          <w:szCs w:val="24"/>
                                          <w14:textFill>
                                            <w14:solidFill>
                                              <w14:schemeClr w14:val="tx2"/>
                                            </w14:solidFill>
                                          </w14:textFill>
                                        </w:rPr>
                                      </w:pPr>
                                      <w:r>
                                        <w:rPr>
                                          <w:rFonts w:hint="default" w:ascii="Arial" w:hAnsi="Arial" w:cs="Arial"/>
                                          <w:color w:val="44546A" w:themeColor="text2"/>
                                          <w:sz w:val="24"/>
                                          <w:szCs w:val="24"/>
                                          <w14:textFill>
                                            <w14:solidFill>
                                              <w14:schemeClr w14:val="tx2"/>
                                            </w14:solidFill>
                                          </w14:textFill>
                                        </w:rPr>
                                        <w:t>Name: Weizi Yan</w:t>
                                      </w:r>
                                    </w:p>
                                    <w:p>
                                      <w:pPr>
                                        <w:pStyle w:val="12"/>
                                        <w:rPr>
                                          <w:rFonts w:hint="default" w:ascii="Arial" w:hAnsi="Arial" w:cs="Arial"/>
                                          <w:color w:val="44546A" w:themeColor="text2"/>
                                          <w:sz w:val="24"/>
                                          <w:szCs w:val="24"/>
                                          <w14:textFill>
                                            <w14:solidFill>
                                              <w14:schemeClr w14:val="tx2"/>
                                            </w14:solidFill>
                                          </w14:textFill>
                                        </w:rPr>
                                      </w:pPr>
                                      <w:r>
                                        <w:rPr>
                                          <w:rFonts w:hint="default" w:ascii="Arial" w:hAnsi="Arial" w:cs="Arial"/>
                                          <w:color w:val="44546A" w:themeColor="text2"/>
                                          <w:sz w:val="24"/>
                                          <w:szCs w:val="24"/>
                                          <w14:textFill>
                                            <w14:solidFill>
                                              <w14:schemeClr w14:val="tx2"/>
                                            </w14:solidFill>
                                          </w14:textFill>
                                        </w:rPr>
                                        <w:t>Student number:2307034</w:t>
                                      </w:r>
                                    </w:p>
                                    <w:p>
                                      <w:pPr>
                                        <w:pStyle w:val="12"/>
                                        <w:rPr>
                                          <w:rFonts w:hint="default" w:eastAsiaTheme="minorEastAsia"/>
                                          <w:lang w:val="en-US" w:eastAsia="zh-CN"/>
                                        </w:rPr>
                                      </w:pPr>
                                      <w:r>
                                        <w:rPr>
                                          <w:rFonts w:hint="default" w:ascii="Arial" w:hAnsi="Arial" w:cs="Arial"/>
                                          <w:color w:val="44546A" w:themeColor="text2"/>
                                          <w:sz w:val="24"/>
                                          <w:szCs w:val="24"/>
                                          <w14:textFill>
                                            <w14:solidFill>
                                              <w14:schemeClr w14:val="tx2"/>
                                            </w14:solidFill>
                                          </w14:textFill>
                                        </w:rPr>
                                        <w:t>Number:25</w:t>
                                      </w:r>
                                      <w:r>
                                        <w:rPr>
                                          <w:rFonts w:hint="eastAsia" w:ascii="Arial" w:hAnsi="Arial" w:cs="Arial"/>
                                          <w:color w:val="44546A" w:themeColor="text2"/>
                                          <w:sz w:val="24"/>
                                          <w:szCs w:val="24"/>
                                          <w:lang w:val="en-US" w:eastAsia="zh-CN"/>
                                          <w14:textFill>
                                            <w14:solidFill>
                                              <w14:schemeClr w14:val="tx2"/>
                                            </w14:solidFill>
                                          </w14:textFill>
                                        </w:rPr>
                                        <w:t>85</w:t>
                                      </w:r>
                                    </w:p>
                                  </w:tc>
                                </w:tr>
                              </w:tbl>
                              <w:p/>
                            </w:txbxContent>
                          </wps:txbx>
                          <wps:bodyPr rot="0" spcFirstLastPara="0" vertOverflow="overflow" horzOverflow="overflow" vert="horz" wrap="square" lIns="0" tIns="0" rIns="0" bIns="0" numCol="1" spcCol="0" rtlCol="0" fromWordArt="0" anchor="ctr" anchorCtr="0" forceAA="0" compatLnSpc="1">
                            <a:noAutofit/>
                          </wps:bodyPr>
                        </wps:wsp>
                      </a:graphicData>
                    </a:graphic>
                    <wp14:sizeRelH relativeFrom="page">
                      <wp14:pctWidth>94100</wp14:pctWidth>
                    </wp14:sizeRelH>
                    <wp14:sizeRelV relativeFrom="page">
                      <wp14:pctHeight>77300</wp14:pctHeight>
                    </wp14:sizeRelV>
                  </wp:anchor>
                </w:drawing>
              </mc:Choice>
              <mc:Fallback>
                <w:pict>
                  <v:shape id="Text Box 138" o:spid="_x0000_s1026" o:spt="202" type="#_x0000_t202" style="position:absolute;left:0pt;height:302.4pt;width:134.85pt;mso-position-horizontal:center;mso-position-horizontal-relative:page;mso-position-vertical:center;mso-position-vertical-relative:page;z-index:251660288;v-text-anchor:middle;mso-width-relative:page;mso-height-relative:page;mso-width-percent:941;mso-height-percent:773;" fillcolor="#FFFFFF [3201]" filled="t" stroked="f" coordsize="21600,21600" o:gfxdata="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">
                    <v:fill on="t" focussize="0,0"/>
                    <v:stroke on="f" weight="0.5pt"/>
                    <v:imagedata o:title=""/>
                    <o:lock v:ext="edit" aspectratio="f"/>
                    <v:textbox inset="0mm,0mm,0mm,0mm">
                      <w:txbxContent>
                        <w:tbl>
                          <w:tblPr>
                            <w:tblStyle w:val="9"/>
                            <w:tblW w:w="5000" w:type="pct"/>
                            <w:jc w:val="center"/>
                            <w:tblBorders>
                              <w:top w:val="none" w:color="auto" w:sz="0" w:space="0"/>
                              <w:left w:val="none" w:color="auto" w:sz="0" w:space="0"/>
                              <w:bottom w:val="none" w:color="auto" w:sz="0" w:space="0"/>
                              <w:right w:val="none" w:color="auto" w:sz="0" w:space="0"/>
                              <w:insideH w:val="none" w:color="auto" w:sz="0" w:space="0"/>
                              <w:insideV w:val="single" w:color="ED7D31" w:themeColor="accent2" w:sz="12" w:space="0"/>
                            </w:tblBorders>
                            <w:tblLayout w:type="autofit"/>
                            <w:tblCellMar>
                              <w:top w:w="1296" w:type="dxa"/>
                              <w:left w:w="360" w:type="dxa"/>
                              <w:bottom w:w="1296" w:type="dxa"/>
                              <w:right w:w="360" w:type="dxa"/>
                            </w:tblCellMar>
                          </w:tblPr>
                          <w:tblGrid>
                            <w:gridCol w:w="6960"/>
                            <w:gridCol w:w="4951"/>
                          </w:tblGrid>
                          <w:tr>
                            <w:tblPrEx>
                              <w:tblBorders>
                                <w:top w:val="none" w:color="auto" w:sz="0" w:space="0"/>
                                <w:left w:val="none" w:color="auto" w:sz="0" w:space="0"/>
                                <w:bottom w:val="none" w:color="auto" w:sz="0" w:space="0"/>
                                <w:right w:val="none" w:color="auto" w:sz="0" w:space="0"/>
                                <w:insideH w:val="none" w:color="auto" w:sz="0" w:space="0"/>
                                <w:insideV w:val="single" w:color="ED7D31" w:themeColor="accent2" w:sz="12" w:space="0"/>
                              </w:tblBorders>
                              <w:tblCellMar>
                                <w:top w:w="1296" w:type="dxa"/>
                                <w:left w:w="360" w:type="dxa"/>
                                <w:bottom w:w="1296" w:type="dxa"/>
                                <w:right w:w="360" w:type="dxa"/>
                              </w:tblCellMar>
                            </w:tblPrEx>
                            <w:trPr>
                              <w:jc w:val="center"/>
                            </w:trPr>
                            <w:tc>
                              <w:tcPr>
                                <w:tcW w:w="2568" w:type="pct"/>
                                <w:vAlign w:val="center"/>
                              </w:tcPr>
                              <w:p>
                                <w:pPr>
                                  <w:jc w:val="right"/>
                                </w:pPr>
                                <w:r>
                                  <w:drawing>
                                    <wp:inline distT="0" distB="0" distL="0" distR="0">
                                      <wp:extent cx="3064510" cy="3830955"/>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descr="A picture of a winding road and trees" title="Road"/>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p>
                                <w:pPr>
                                  <w:pStyle w:val="12"/>
                                  <w:spacing w:line="312" w:lineRule="auto"/>
                                  <w:jc w:val="right"/>
                                  <w:rPr>
                                    <w:caps/>
                                    <w:color w:val="1A1A1A" w:themeColor="text1" w:themeTint="E6"/>
                                    <w:sz w:val="72"/>
                                    <w:szCs w:val="72"/>
                                    <w14:textFill>
                                      <w14:solidFill>
                                        <w14:schemeClr w14:val="tx1">
                                          <w14:lumMod w14:val="90000"/>
                                          <w14:lumOff w14:val="10000"/>
                                        </w14:schemeClr>
                                      </w14:solidFill>
                                    </w14:textFill>
                                  </w:rPr>
                                </w:pPr>
                                <w:sdt>
                                  <w:sdtPr>
                                    <w:rPr>
                                      <w:rFonts w:hint="default" w:ascii="Arial" w:hAnsi="Arial" w:cs="Arial"/>
                                      <w:caps/>
                                      <w:color w:val="1A1A1A" w:themeColor="text1" w:themeTint="E6"/>
                                      <w:sz w:val="72"/>
                                      <w:szCs w:val="72"/>
                                      <w14:textFill>
                                        <w14:solidFill>
                                          <w14:schemeClr w14:val="tx1">
                                            <w14:lumMod w14:val="90000"/>
                                            <w14:lumOff w14:val="10000"/>
                                          </w14:schemeClr>
                                        </w14:solidFill>
                                      </w14:textFill>
                                    </w:rPr>
                                    <w:alias w:val="Title"/>
                                    <w:id w:val="-438379639"/>
                                    <w:showingPlcHdr/>
                                    <w:dataBinding w:prefixMappings="xmlns:ns0='http://purl.org/dc/elements/1.1/' xmlns:ns1='http://schemas.openxmlformats.org/package/2006/metadata/core-properties' " w:xpath="/ns1:coreProperties[1]/ns0:title[1]" w:storeItemID="{6C3C8BC8-F283-45AE-878A-BAB7291924A1}"/>
                                    <w:text/>
                                  </w:sdtPr>
                                  <w:sdtEndPr>
                                    <w:rPr>
                                      <w:rFonts w:hint="default" w:ascii="Arial" w:hAnsi="Arial" w:cs="Arial"/>
                                      <w:caps/>
                                      <w:color w:val="1A1A1A" w:themeColor="text1" w:themeTint="E6"/>
                                      <w:sz w:val="72"/>
                                      <w:szCs w:val="72"/>
                                      <w14:textFill>
                                        <w14:solidFill>
                                          <w14:schemeClr w14:val="tx1">
                                            <w14:lumMod w14:val="90000"/>
                                            <w14:lumOff w14:val="10000"/>
                                          </w14:schemeClr>
                                        </w14:solidFill>
                                      </w14:textFill>
                                    </w:rPr>
                                  </w:sdtEndPr>
                                  <w:sdtContent/>
                                </w:sdt>
                                <w:r>
                                  <w:rPr>
                                    <w:rFonts w:hint="default" w:ascii="Arial" w:hAnsi="Arial" w:cs="Arial"/>
                                    <w:caps/>
                                    <w:color w:val="1A1A1A" w:themeColor="text1" w:themeTint="E6"/>
                                    <w:sz w:val="72"/>
                                    <w:szCs w:val="72"/>
                                    <w14:textFill>
                                      <w14:solidFill>
                                        <w14:schemeClr w14:val="tx1">
                                          <w14:lumMod w14:val="90000"/>
                                          <w14:lumOff w14:val="10000"/>
                                        </w14:schemeClr>
                                      </w14:solidFill>
                                    </w14:textFill>
                                  </w:rPr>
                                  <w:t>Challenges of cross-cultural business communication</w:t>
                                </w:r>
                              </w:p>
                              <w:sdt>
                                <w:sdtPr>
                                  <w:rPr>
                                    <w:color w:val="000000" w:themeColor="text1"/>
                                    <w:sz w:val="24"/>
                                    <w:szCs w:val="24"/>
                                    <w14:textFill>
                                      <w14:solidFill>
                                        <w14:schemeClr w14:val="tx1"/>
                                      </w14:solidFill>
                                    </w14:textFill>
                                  </w:rPr>
                                  <w:alias w:val="Subtitle"/>
                                  <w:id w:val="1354072561"/>
                                  <w:dataBinding w:prefixMappings="xmlns:ns0='http://purl.org/dc/elements/1.1/' xmlns:ns1='http://schemas.openxmlformats.org/package/2006/metadata/core-properties' " w:xpath="/ns1:coreProperties[1]/ns0:subject[1]" w:storeItemID="{6C3C8BC8-F283-45AE-878A-BAB7291924A1}"/>
                                  <w:text/>
                                </w:sdtPr>
                                <w:sdtEndPr>
                                  <w:rPr>
                                    <w:color w:val="000000" w:themeColor="text1"/>
                                    <w:sz w:val="24"/>
                                    <w:szCs w:val="24"/>
                                    <w14:textFill>
                                      <w14:solidFill>
                                        <w14:schemeClr w14:val="tx1"/>
                                      </w14:solidFill>
                                    </w14:textFill>
                                  </w:rPr>
                                </w:sdtEndPr>
                                <w:sdtContent>
                                  <w:p>
                                    <w:pPr>
                                      <w:jc w:val="right"/>
                                      <w:rPr>
                                        <w:sz w:val="24"/>
                                        <w:szCs w:val="24"/>
                                      </w:rPr>
                                    </w:pPr>
                                  </w:p>
                                </w:sdtContent>
                              </w:sdt>
                            </w:tc>
                            <w:tc>
                              <w:tcPr>
                                <w:tcW w:w="2432" w:type="pct"/>
                                <w:vAlign w:val="center"/>
                              </w:tcPr>
                              <w:p>
                                <w:pPr>
                                  <w:pStyle w:val="12"/>
                                  <w:rPr>
                                    <w:rFonts w:hint="default" w:ascii="Arial" w:hAnsi="Arial" w:cs="Arial"/>
                                    <w:color w:val="44546A" w:themeColor="text2"/>
                                    <w:sz w:val="24"/>
                                    <w:szCs w:val="24"/>
                                    <w14:textFill>
                                      <w14:solidFill>
                                        <w14:schemeClr w14:val="tx2"/>
                                      </w14:solidFill>
                                    </w14:textFill>
                                  </w:rPr>
                                </w:pPr>
                                <w:sdt>
                                  <w:sdtPr>
                                    <w:rPr>
                                      <w:rFonts w:hint="default" w:ascii="Arial" w:hAnsi="Arial" w:cs="Arial"/>
                                      <w:color w:val="44546A" w:themeColor="text2"/>
                                      <w:sz w:val="24"/>
                                      <w:szCs w:val="24"/>
                                      <w14:textFill>
                                        <w14:solidFill>
                                          <w14:schemeClr w14:val="tx2"/>
                                        </w14:solidFill>
                                      </w14:textFill>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rPr>
                                      <w:rFonts w:hint="default" w:ascii="Arial" w:hAnsi="Arial" w:cs="Arial"/>
                                      <w:color w:val="44546A" w:themeColor="text2"/>
                                      <w:sz w:val="24"/>
                                      <w:szCs w:val="24"/>
                                      <w14:textFill>
                                        <w14:solidFill>
                                          <w14:schemeClr w14:val="tx2"/>
                                        </w14:solidFill>
                                      </w14:textFill>
                                    </w:rPr>
                                  </w:sdtEndPr>
                                  <w:sdtContent/>
                                </w:sdt>
                                <w:r>
                                  <w:rPr>
                                    <w:rFonts w:hint="default" w:ascii="Arial" w:hAnsi="Arial" w:cs="Arial"/>
                                    <w:color w:val="44546A" w:themeColor="text2"/>
                                    <w:sz w:val="24"/>
                                    <w:szCs w:val="24"/>
                                    <w14:textFill>
                                      <w14:solidFill>
                                        <w14:schemeClr w14:val="tx2"/>
                                      </w14:solidFill>
                                    </w14:textFill>
                                  </w:rPr>
                                  <w:t>Module Code: BMBM6021</w:t>
                                </w:r>
                              </w:p>
                              <w:p>
                                <w:pPr>
                                  <w:pStyle w:val="12"/>
                                  <w:rPr>
                                    <w:rFonts w:hint="default" w:ascii="Arial" w:hAnsi="Arial" w:cs="Arial"/>
                                    <w:color w:val="44546A" w:themeColor="text2"/>
                                    <w:sz w:val="24"/>
                                    <w:szCs w:val="24"/>
                                    <w14:textFill>
                                      <w14:solidFill>
                                        <w14:schemeClr w14:val="tx2"/>
                                      </w14:solidFill>
                                    </w14:textFill>
                                  </w:rPr>
                                </w:pPr>
                                <w:r>
                                  <w:rPr>
                                    <w:rFonts w:hint="default" w:ascii="Arial" w:hAnsi="Arial" w:cs="Arial"/>
                                    <w:color w:val="44546A" w:themeColor="text2"/>
                                    <w:sz w:val="24"/>
                                    <w:szCs w:val="24"/>
                                    <w14:textFill>
                                      <w14:solidFill>
                                        <w14:schemeClr w14:val="tx2"/>
                                      </w14:solidFill>
                                    </w14:textFill>
                                  </w:rPr>
                                  <w:t>Module Title: International Business Communication</w:t>
                                </w:r>
                              </w:p>
                              <w:p>
                                <w:pPr>
                                  <w:pStyle w:val="12"/>
                                  <w:rPr>
                                    <w:rFonts w:hint="default" w:ascii="Arial" w:hAnsi="Arial" w:cs="Arial"/>
                                    <w:color w:val="44546A" w:themeColor="text2"/>
                                    <w:sz w:val="24"/>
                                    <w:szCs w:val="24"/>
                                    <w14:textFill>
                                      <w14:solidFill>
                                        <w14:schemeClr w14:val="tx2"/>
                                      </w14:solidFill>
                                    </w14:textFill>
                                  </w:rPr>
                                </w:pPr>
                                <w:r>
                                  <w:rPr>
                                    <w:rFonts w:hint="default" w:ascii="Arial" w:hAnsi="Arial" w:cs="Arial"/>
                                    <w:color w:val="44546A" w:themeColor="text2"/>
                                    <w:sz w:val="24"/>
                                    <w:szCs w:val="24"/>
                                    <w14:textFill>
                                      <w14:solidFill>
                                        <w14:schemeClr w14:val="tx2"/>
                                      </w14:solidFill>
                                    </w14:textFill>
                                  </w:rPr>
                                  <w:t>Tutor: Gwyneth Jones</w:t>
                                </w:r>
                              </w:p>
                              <w:p>
                                <w:pPr>
                                  <w:pStyle w:val="12"/>
                                  <w:rPr>
                                    <w:rFonts w:hint="default" w:ascii="Arial" w:hAnsi="Arial" w:cs="Arial"/>
                                    <w:color w:val="44546A" w:themeColor="text2"/>
                                    <w:sz w:val="24"/>
                                    <w:szCs w:val="24"/>
                                    <w14:textFill>
                                      <w14:solidFill>
                                        <w14:schemeClr w14:val="tx2"/>
                                      </w14:solidFill>
                                    </w14:textFill>
                                  </w:rPr>
                                </w:pPr>
                                <w:r>
                                  <w:rPr>
                                    <w:rFonts w:hint="default" w:ascii="Arial" w:hAnsi="Arial" w:cs="Arial"/>
                                    <w:color w:val="44546A" w:themeColor="text2"/>
                                    <w:sz w:val="24"/>
                                    <w:szCs w:val="24"/>
                                    <w14:textFill>
                                      <w14:solidFill>
                                        <w14:schemeClr w14:val="tx2"/>
                                      </w14:solidFill>
                                    </w14:textFill>
                                  </w:rPr>
                                  <w:t>Semester 1 2023</w:t>
                                </w:r>
                              </w:p>
                              <w:p>
                                <w:pPr>
                                  <w:pStyle w:val="12"/>
                                  <w:rPr>
                                    <w:rFonts w:hint="default" w:ascii="Arial" w:hAnsi="Arial" w:cs="Arial"/>
                                    <w:color w:val="44546A" w:themeColor="text2"/>
                                    <w:sz w:val="24"/>
                                    <w:szCs w:val="24"/>
                                    <w14:textFill>
                                      <w14:solidFill>
                                        <w14:schemeClr w14:val="tx2"/>
                                      </w14:solidFill>
                                    </w14:textFill>
                                  </w:rPr>
                                </w:pPr>
                                <w:r>
                                  <w:rPr>
                                    <w:rFonts w:hint="default" w:ascii="Arial" w:hAnsi="Arial" w:cs="Arial"/>
                                    <w:color w:val="44546A" w:themeColor="text2"/>
                                    <w:sz w:val="24"/>
                                    <w:szCs w:val="24"/>
                                    <w14:textFill>
                                      <w14:solidFill>
                                        <w14:schemeClr w14:val="tx2"/>
                                      </w14:solidFill>
                                    </w14:textFill>
                                  </w:rPr>
                                  <w:t>Name: Weizi Yan</w:t>
                                </w:r>
                              </w:p>
                              <w:p>
                                <w:pPr>
                                  <w:pStyle w:val="12"/>
                                  <w:rPr>
                                    <w:rFonts w:hint="default" w:ascii="Arial" w:hAnsi="Arial" w:cs="Arial"/>
                                    <w:color w:val="44546A" w:themeColor="text2"/>
                                    <w:sz w:val="24"/>
                                    <w:szCs w:val="24"/>
                                    <w14:textFill>
                                      <w14:solidFill>
                                        <w14:schemeClr w14:val="tx2"/>
                                      </w14:solidFill>
                                    </w14:textFill>
                                  </w:rPr>
                                </w:pPr>
                                <w:r>
                                  <w:rPr>
                                    <w:rFonts w:hint="default" w:ascii="Arial" w:hAnsi="Arial" w:cs="Arial"/>
                                    <w:color w:val="44546A" w:themeColor="text2"/>
                                    <w:sz w:val="24"/>
                                    <w:szCs w:val="24"/>
                                    <w14:textFill>
                                      <w14:solidFill>
                                        <w14:schemeClr w14:val="tx2"/>
                                      </w14:solidFill>
                                    </w14:textFill>
                                  </w:rPr>
                                  <w:t>Student number:2307034</w:t>
                                </w:r>
                              </w:p>
                              <w:p>
                                <w:pPr>
                                  <w:pStyle w:val="12"/>
                                  <w:rPr>
                                    <w:rFonts w:hint="default" w:eastAsiaTheme="minorEastAsia"/>
                                    <w:lang w:val="en-US" w:eastAsia="zh-CN"/>
                                  </w:rPr>
                                </w:pPr>
                                <w:r>
                                  <w:rPr>
                                    <w:rFonts w:hint="default" w:ascii="Arial" w:hAnsi="Arial" w:cs="Arial"/>
                                    <w:color w:val="44546A" w:themeColor="text2"/>
                                    <w:sz w:val="24"/>
                                    <w:szCs w:val="24"/>
                                    <w14:textFill>
                                      <w14:solidFill>
                                        <w14:schemeClr w14:val="tx2"/>
                                      </w14:solidFill>
                                    </w14:textFill>
                                  </w:rPr>
                                  <w:t>Number:25</w:t>
                                </w:r>
                                <w:r>
                                  <w:rPr>
                                    <w:rFonts w:hint="eastAsia" w:ascii="Arial" w:hAnsi="Arial" w:cs="Arial"/>
                                    <w:color w:val="44546A" w:themeColor="text2"/>
                                    <w:sz w:val="24"/>
                                    <w:szCs w:val="24"/>
                                    <w:lang w:val="en-US" w:eastAsia="zh-CN"/>
                                    <w14:textFill>
                                      <w14:solidFill>
                                        <w14:schemeClr w14:val="tx2"/>
                                      </w14:solidFill>
                                    </w14:textFill>
                                  </w:rPr>
                                  <w:t>85</w:t>
                                </w:r>
                              </w:p>
                            </w:tc>
                          </w:tr>
                        </w:tbl>
                        <w:p/>
                      </w:txbxContent>
                    </v:textbox>
                  </v:shape>
                </w:pict>
              </mc:Fallback>
            </mc:AlternateContent>
          </w:r>
          <w:r>
            <w:br w:type="page"/>
          </w:r>
        </w:p>
      </w:sdtContent>
    </w:sdt>
    <w:p>
      <w:pPr>
        <w:pBdr>
          <w:bottom w:val="single" w:color="auto" w:sz="4" w:space="1"/>
        </w:pBdr>
        <w:rPr>
          <w:rFonts w:hint="default" w:ascii="Arial" w:hAnsi="Arial" w:cs="Arial"/>
          <w:b/>
          <w:bCs/>
          <w:sz w:val="24"/>
          <w:szCs w:val="24"/>
        </w:rPr>
      </w:pPr>
      <w:r>
        <w:rPr>
          <w:rFonts w:hint="default" w:ascii="Arial" w:hAnsi="Arial" w:cs="Arial"/>
          <w:b/>
          <w:bCs/>
          <w:sz w:val="24"/>
          <w:szCs w:val="24"/>
        </w:rPr>
        <w:t>Content Page</w:t>
      </w:r>
    </w:p>
    <w:sdt>
      <w:sdtPr>
        <w:rPr>
          <w:rFonts w:ascii="宋体" w:hAnsi="宋体" w:eastAsia="宋体" w:cstheme="minorBidi"/>
          <w:sz w:val="21"/>
          <w:szCs w:val="22"/>
          <w:lang w:val="en-GB" w:eastAsia="zh-CN" w:bidi="ar-SA"/>
        </w:rPr>
        <w:id w:val="147457122"/>
        <w15:color w:val="DBDBDB"/>
        <w:docPartObj>
          <w:docPartGallery w:val="Table of Contents"/>
          <w:docPartUnique/>
        </w:docPartObj>
      </w:sdtPr>
      <w:sdtEndPr>
        <w:rPr>
          <w:rFonts w:hint="default" w:ascii="Arial" w:hAnsi="Arial" w:cs="Arial" w:eastAsiaTheme="minorEastAsia"/>
          <w:b/>
          <w:sz w:val="22"/>
          <w:szCs w:val="24"/>
          <w:lang w:val="en-GB" w:eastAsia="zh-CN" w:bidi="ar-SA"/>
        </w:rPr>
      </w:sdtEndPr>
      <w:sdtContent>
        <w:p>
          <w:pPr>
            <w:spacing w:before="0" w:beforeLines="0" w:after="0" w:afterLines="0" w:line="240" w:lineRule="auto"/>
            <w:ind w:left="0" w:leftChars="0" w:right="0" w:rightChars="0" w:firstLine="0" w:firstLineChars="0"/>
            <w:jc w:val="center"/>
          </w:pPr>
        </w:p>
        <w:p>
          <w:pPr>
            <w:pStyle w:val="6"/>
            <w:tabs>
              <w:tab w:val="right" w:leader="dot" w:pos="9026"/>
            </w:tabs>
          </w:pPr>
          <w:r>
            <w:rPr>
              <w:rFonts w:hint="default" w:ascii="Arial" w:hAnsi="Arial" w:cs="Arial"/>
              <w:sz w:val="24"/>
              <w:szCs w:val="24"/>
            </w:rPr>
            <w:fldChar w:fldCharType="begin"/>
          </w:r>
          <w:r>
            <w:rPr>
              <w:rFonts w:hint="default" w:ascii="Arial" w:hAnsi="Arial" w:cs="Arial"/>
              <w:sz w:val="24"/>
              <w:szCs w:val="24"/>
            </w:rPr>
            <w:instrText xml:space="preserve">TOC \o "1-2" \h \u </w:instrText>
          </w:r>
          <w:r>
            <w:rPr>
              <w:rFonts w:hint="default" w:ascii="Arial" w:hAnsi="Arial" w:cs="Arial"/>
              <w:sz w:val="24"/>
              <w:szCs w:val="24"/>
            </w:rPr>
            <w:fldChar w:fldCharType="separate"/>
          </w:r>
          <w:r>
            <w:rPr>
              <w:rFonts w:hint="default" w:ascii="Arial" w:hAnsi="Arial" w:cs="Arial"/>
              <w:szCs w:val="24"/>
            </w:rPr>
            <w:fldChar w:fldCharType="begin"/>
          </w:r>
          <w:r>
            <w:rPr>
              <w:rFonts w:hint="default" w:ascii="Arial" w:hAnsi="Arial" w:cs="Arial"/>
              <w:szCs w:val="24"/>
            </w:rPr>
            <w:instrText xml:space="preserve"> HYPERLINK \l _Toc31871 </w:instrText>
          </w:r>
          <w:r>
            <w:rPr>
              <w:rFonts w:hint="default" w:ascii="Arial" w:hAnsi="Arial" w:cs="Arial"/>
              <w:szCs w:val="24"/>
            </w:rPr>
            <w:fldChar w:fldCharType="separate"/>
          </w:r>
          <w:r>
            <w:rPr>
              <w:rFonts w:hint="eastAsia" w:ascii="Arial" w:hAnsi="Arial" w:cs="Arial"/>
              <w:lang w:val="en-US" w:eastAsia="zh-CN"/>
            </w:rPr>
            <w:t>1.0</w:t>
          </w:r>
          <w:r>
            <w:rPr>
              <w:rFonts w:hint="default" w:ascii="Arial" w:hAnsi="Arial" w:cs="Arial"/>
            </w:rPr>
            <w:t>– Introduction</w:t>
          </w:r>
          <w:r>
            <w:tab/>
          </w:r>
          <w:r>
            <w:fldChar w:fldCharType="begin"/>
          </w:r>
          <w:r>
            <w:instrText xml:space="preserve"> PAGEREF _Toc31871 \h </w:instrText>
          </w:r>
          <w:r>
            <w:fldChar w:fldCharType="separate"/>
          </w:r>
          <w:r>
            <w:t>1</w:t>
          </w:r>
          <w:r>
            <w:fldChar w:fldCharType="end"/>
          </w:r>
          <w:r>
            <w:rPr>
              <w:rFonts w:hint="default" w:ascii="Arial" w:hAnsi="Arial" w:cs="Arial"/>
              <w:szCs w:val="24"/>
            </w:rPr>
            <w:fldChar w:fldCharType="end"/>
          </w:r>
        </w:p>
        <w:p>
          <w:pPr>
            <w:pStyle w:val="6"/>
            <w:tabs>
              <w:tab w:val="right" w:leader="dot" w:pos="9026"/>
            </w:tabs>
          </w:pPr>
          <w:r>
            <w:rPr>
              <w:rFonts w:hint="default" w:ascii="Arial" w:hAnsi="Arial" w:cs="Arial"/>
              <w:szCs w:val="24"/>
            </w:rPr>
            <w:fldChar w:fldCharType="begin"/>
          </w:r>
          <w:r>
            <w:rPr>
              <w:rFonts w:hint="default" w:ascii="Arial" w:hAnsi="Arial" w:cs="Arial"/>
              <w:szCs w:val="24"/>
            </w:rPr>
            <w:instrText xml:space="preserve"> HYPERLINK \l _Toc24731 </w:instrText>
          </w:r>
          <w:r>
            <w:rPr>
              <w:rFonts w:hint="default" w:ascii="Arial" w:hAnsi="Arial" w:cs="Arial"/>
              <w:szCs w:val="24"/>
            </w:rPr>
            <w:fldChar w:fldCharType="separate"/>
          </w:r>
          <w:r>
            <w:rPr>
              <w:rFonts w:hint="default" w:ascii="Arial" w:hAnsi="Arial" w:cs="Arial"/>
              <w:bCs/>
            </w:rPr>
            <w:t>2.0 – IBC Situation Analysis</w:t>
          </w:r>
          <w:r>
            <w:tab/>
          </w:r>
          <w:r>
            <w:fldChar w:fldCharType="begin"/>
          </w:r>
          <w:r>
            <w:instrText xml:space="preserve"> PAGEREF _Toc24731 \h </w:instrText>
          </w:r>
          <w:r>
            <w:fldChar w:fldCharType="separate"/>
          </w:r>
          <w:r>
            <w:t>2</w:t>
          </w:r>
          <w:r>
            <w:fldChar w:fldCharType="end"/>
          </w:r>
          <w:r>
            <w:rPr>
              <w:rFonts w:hint="default" w:ascii="Arial" w:hAnsi="Arial" w:cs="Arial"/>
              <w:szCs w:val="24"/>
            </w:rPr>
            <w:fldChar w:fldCharType="end"/>
          </w:r>
        </w:p>
        <w:p>
          <w:pPr>
            <w:pStyle w:val="6"/>
            <w:tabs>
              <w:tab w:val="right" w:leader="dot" w:pos="9026"/>
            </w:tabs>
          </w:pPr>
          <w:r>
            <w:rPr>
              <w:rFonts w:hint="default" w:ascii="Arial" w:hAnsi="Arial" w:cs="Arial"/>
              <w:szCs w:val="24"/>
            </w:rPr>
            <w:fldChar w:fldCharType="begin"/>
          </w:r>
          <w:r>
            <w:rPr>
              <w:rFonts w:hint="default" w:ascii="Arial" w:hAnsi="Arial" w:cs="Arial"/>
              <w:szCs w:val="24"/>
            </w:rPr>
            <w:instrText xml:space="preserve"> HYPERLINK \l _Toc19838 </w:instrText>
          </w:r>
          <w:r>
            <w:rPr>
              <w:rFonts w:hint="default" w:ascii="Arial" w:hAnsi="Arial" w:cs="Arial"/>
              <w:szCs w:val="24"/>
            </w:rPr>
            <w:fldChar w:fldCharType="separate"/>
          </w:r>
          <w:r>
            <w:rPr>
              <w:rFonts w:hint="default" w:ascii="Arial" w:hAnsi="Arial" w:cs="Arial"/>
              <w:bCs/>
              <w:szCs w:val="28"/>
            </w:rPr>
            <w:t>3.0 Different scenarios of communication</w:t>
          </w:r>
          <w:r>
            <w:tab/>
          </w:r>
          <w:r>
            <w:fldChar w:fldCharType="begin"/>
          </w:r>
          <w:r>
            <w:instrText xml:space="preserve"> PAGEREF _Toc19838 \h </w:instrText>
          </w:r>
          <w:r>
            <w:fldChar w:fldCharType="separate"/>
          </w:r>
          <w:r>
            <w:t>3</w:t>
          </w:r>
          <w:r>
            <w:fldChar w:fldCharType="end"/>
          </w:r>
          <w:r>
            <w:rPr>
              <w:rFonts w:hint="default" w:ascii="Arial" w:hAnsi="Arial" w:cs="Arial"/>
              <w:szCs w:val="24"/>
            </w:rPr>
            <w:fldChar w:fldCharType="end"/>
          </w:r>
        </w:p>
        <w:p>
          <w:pPr>
            <w:pStyle w:val="6"/>
            <w:tabs>
              <w:tab w:val="right" w:leader="dot" w:pos="9026"/>
            </w:tabs>
          </w:pPr>
          <w:r>
            <w:rPr>
              <w:rFonts w:hint="default" w:ascii="Arial" w:hAnsi="Arial" w:cs="Arial"/>
              <w:szCs w:val="24"/>
            </w:rPr>
            <w:fldChar w:fldCharType="begin"/>
          </w:r>
          <w:r>
            <w:rPr>
              <w:rFonts w:hint="default" w:ascii="Arial" w:hAnsi="Arial" w:cs="Arial"/>
              <w:szCs w:val="24"/>
            </w:rPr>
            <w:instrText xml:space="preserve"> HYPERLINK \l _Toc6943 </w:instrText>
          </w:r>
          <w:r>
            <w:rPr>
              <w:rFonts w:hint="default" w:ascii="Arial" w:hAnsi="Arial" w:cs="Arial"/>
              <w:szCs w:val="24"/>
            </w:rPr>
            <w:fldChar w:fldCharType="separate"/>
          </w:r>
          <w:r>
            <w:rPr>
              <w:rFonts w:hint="default" w:ascii="Arial" w:hAnsi="Arial" w:cs="Arial"/>
              <w:bCs/>
              <w:szCs w:val="28"/>
            </w:rPr>
            <w:t>4.0 Cultural Dimension</w:t>
          </w:r>
          <w:r>
            <w:tab/>
          </w:r>
          <w:r>
            <w:fldChar w:fldCharType="begin"/>
          </w:r>
          <w:r>
            <w:instrText xml:space="preserve"> PAGEREF _Toc6943 \h </w:instrText>
          </w:r>
          <w:r>
            <w:fldChar w:fldCharType="separate"/>
          </w:r>
          <w:r>
            <w:t>5</w:t>
          </w:r>
          <w:r>
            <w:fldChar w:fldCharType="end"/>
          </w:r>
          <w:r>
            <w:rPr>
              <w:rFonts w:hint="default" w:ascii="Arial" w:hAnsi="Arial" w:cs="Arial"/>
              <w:szCs w:val="24"/>
            </w:rPr>
            <w:fldChar w:fldCharType="end"/>
          </w:r>
        </w:p>
        <w:p>
          <w:pPr>
            <w:pStyle w:val="7"/>
            <w:tabs>
              <w:tab w:val="right" w:leader="dot" w:pos="9026"/>
            </w:tabs>
          </w:pPr>
          <w:r>
            <w:rPr>
              <w:rFonts w:hint="default" w:ascii="Arial" w:hAnsi="Arial" w:cs="Arial"/>
              <w:szCs w:val="24"/>
            </w:rPr>
            <w:fldChar w:fldCharType="begin"/>
          </w:r>
          <w:r>
            <w:rPr>
              <w:rFonts w:hint="default" w:ascii="Arial" w:hAnsi="Arial" w:cs="Arial"/>
              <w:szCs w:val="24"/>
            </w:rPr>
            <w:instrText xml:space="preserve"> HYPERLINK \l _Toc5517 </w:instrText>
          </w:r>
          <w:r>
            <w:rPr>
              <w:rFonts w:hint="default" w:ascii="Arial" w:hAnsi="Arial" w:cs="Arial"/>
              <w:szCs w:val="24"/>
            </w:rPr>
            <w:fldChar w:fldCharType="separate"/>
          </w:r>
          <w:r>
            <w:rPr>
              <w:rFonts w:hint="default"/>
              <w:bCs w:val="0"/>
              <w:szCs w:val="24"/>
            </w:rPr>
            <w:t>4.1 Hofstede Cultural Dimension</w:t>
          </w:r>
          <w:r>
            <w:tab/>
          </w:r>
          <w:r>
            <w:fldChar w:fldCharType="begin"/>
          </w:r>
          <w:r>
            <w:instrText xml:space="preserve"> PAGEREF _Toc5517 \h </w:instrText>
          </w:r>
          <w:r>
            <w:fldChar w:fldCharType="separate"/>
          </w:r>
          <w:r>
            <w:t>5</w:t>
          </w:r>
          <w:r>
            <w:fldChar w:fldCharType="end"/>
          </w:r>
          <w:r>
            <w:rPr>
              <w:rFonts w:hint="default" w:ascii="Arial" w:hAnsi="Arial" w:cs="Arial"/>
              <w:szCs w:val="24"/>
            </w:rPr>
            <w:fldChar w:fldCharType="end"/>
          </w:r>
        </w:p>
        <w:p>
          <w:pPr>
            <w:pStyle w:val="7"/>
            <w:tabs>
              <w:tab w:val="right" w:leader="dot" w:pos="9026"/>
            </w:tabs>
          </w:pPr>
          <w:r>
            <w:rPr>
              <w:rFonts w:hint="default" w:ascii="Arial" w:hAnsi="Arial" w:cs="Arial"/>
              <w:szCs w:val="24"/>
            </w:rPr>
            <w:fldChar w:fldCharType="begin"/>
          </w:r>
          <w:r>
            <w:rPr>
              <w:rFonts w:hint="default" w:ascii="Arial" w:hAnsi="Arial" w:cs="Arial"/>
              <w:szCs w:val="24"/>
            </w:rPr>
            <w:instrText xml:space="preserve"> HYPERLINK \l _Toc23488 </w:instrText>
          </w:r>
          <w:r>
            <w:rPr>
              <w:rFonts w:hint="default" w:ascii="Arial" w:hAnsi="Arial" w:cs="Arial"/>
              <w:szCs w:val="24"/>
            </w:rPr>
            <w:fldChar w:fldCharType="separate"/>
          </w:r>
          <w:r>
            <w:rPr>
              <w:rFonts w:hint="default"/>
              <w:szCs w:val="24"/>
            </w:rPr>
            <w:t>4.2 Trompenaar Cultural Dimension</w:t>
          </w:r>
          <w:r>
            <w:tab/>
          </w:r>
          <w:r>
            <w:fldChar w:fldCharType="begin"/>
          </w:r>
          <w:r>
            <w:instrText xml:space="preserve"> PAGEREF _Toc23488 \h </w:instrText>
          </w:r>
          <w:r>
            <w:fldChar w:fldCharType="separate"/>
          </w:r>
          <w:r>
            <w:t>6</w:t>
          </w:r>
          <w:r>
            <w:fldChar w:fldCharType="end"/>
          </w:r>
          <w:r>
            <w:rPr>
              <w:rFonts w:hint="default" w:ascii="Arial" w:hAnsi="Arial" w:cs="Arial"/>
              <w:szCs w:val="24"/>
            </w:rPr>
            <w:fldChar w:fldCharType="end"/>
          </w:r>
        </w:p>
        <w:p>
          <w:pPr>
            <w:pStyle w:val="6"/>
            <w:tabs>
              <w:tab w:val="right" w:leader="dot" w:pos="9026"/>
            </w:tabs>
          </w:pPr>
          <w:r>
            <w:rPr>
              <w:rFonts w:hint="default" w:ascii="Arial" w:hAnsi="Arial" w:cs="Arial"/>
              <w:szCs w:val="24"/>
            </w:rPr>
            <w:fldChar w:fldCharType="begin"/>
          </w:r>
          <w:r>
            <w:rPr>
              <w:rFonts w:hint="default" w:ascii="Arial" w:hAnsi="Arial" w:cs="Arial"/>
              <w:szCs w:val="24"/>
            </w:rPr>
            <w:instrText xml:space="preserve"> HYPERLINK \l _Toc2658 </w:instrText>
          </w:r>
          <w:r>
            <w:rPr>
              <w:rFonts w:hint="default" w:ascii="Arial" w:hAnsi="Arial" w:cs="Arial"/>
              <w:szCs w:val="24"/>
            </w:rPr>
            <w:fldChar w:fldCharType="separate"/>
          </w:r>
          <w:r>
            <w:rPr>
              <w:rFonts w:hint="default" w:ascii="Arial" w:hAnsi="Arial" w:cs="Arial"/>
              <w:bCs/>
              <w:szCs w:val="28"/>
            </w:rPr>
            <w:t>5.0 Communication style</w:t>
          </w:r>
          <w:r>
            <w:tab/>
          </w:r>
          <w:r>
            <w:fldChar w:fldCharType="begin"/>
          </w:r>
          <w:r>
            <w:instrText xml:space="preserve"> PAGEREF _Toc2658 \h </w:instrText>
          </w:r>
          <w:r>
            <w:fldChar w:fldCharType="separate"/>
          </w:r>
          <w:r>
            <w:t>8</w:t>
          </w:r>
          <w:r>
            <w:fldChar w:fldCharType="end"/>
          </w:r>
          <w:r>
            <w:rPr>
              <w:rFonts w:hint="default" w:ascii="Arial" w:hAnsi="Arial" w:cs="Arial"/>
              <w:szCs w:val="24"/>
            </w:rPr>
            <w:fldChar w:fldCharType="end"/>
          </w:r>
        </w:p>
        <w:p>
          <w:pPr>
            <w:pStyle w:val="6"/>
            <w:tabs>
              <w:tab w:val="right" w:leader="dot" w:pos="9026"/>
            </w:tabs>
          </w:pPr>
          <w:r>
            <w:rPr>
              <w:rFonts w:hint="default" w:ascii="Arial" w:hAnsi="Arial" w:cs="Arial"/>
              <w:szCs w:val="24"/>
            </w:rPr>
            <w:fldChar w:fldCharType="begin"/>
          </w:r>
          <w:r>
            <w:rPr>
              <w:rFonts w:hint="default" w:ascii="Arial" w:hAnsi="Arial" w:cs="Arial"/>
              <w:szCs w:val="24"/>
            </w:rPr>
            <w:instrText xml:space="preserve"> HYPERLINK \l _Toc21950 </w:instrText>
          </w:r>
          <w:r>
            <w:rPr>
              <w:rFonts w:hint="default" w:ascii="Arial" w:hAnsi="Arial" w:cs="Arial"/>
              <w:szCs w:val="24"/>
            </w:rPr>
            <w:fldChar w:fldCharType="separate"/>
          </w:r>
          <w:r>
            <w:rPr>
              <w:rFonts w:hint="default" w:ascii="Arial" w:hAnsi="Arial" w:cs="Arial"/>
              <w:bCs/>
              <w:szCs w:val="28"/>
            </w:rPr>
            <w:t>6.0 Conclusion</w:t>
          </w:r>
          <w:r>
            <w:tab/>
          </w:r>
          <w:r>
            <w:fldChar w:fldCharType="begin"/>
          </w:r>
          <w:r>
            <w:instrText xml:space="preserve"> PAGEREF _Toc21950 \h </w:instrText>
          </w:r>
          <w:r>
            <w:fldChar w:fldCharType="separate"/>
          </w:r>
          <w:r>
            <w:t>9</w:t>
          </w:r>
          <w:r>
            <w:fldChar w:fldCharType="end"/>
          </w:r>
          <w:r>
            <w:rPr>
              <w:rFonts w:hint="default" w:ascii="Arial" w:hAnsi="Arial" w:cs="Arial"/>
              <w:szCs w:val="24"/>
            </w:rPr>
            <w:fldChar w:fldCharType="end"/>
          </w:r>
        </w:p>
        <w:p>
          <w:pPr>
            <w:pStyle w:val="6"/>
            <w:tabs>
              <w:tab w:val="right" w:leader="dot" w:pos="9026"/>
            </w:tabs>
          </w:pPr>
          <w:r>
            <w:rPr>
              <w:rFonts w:hint="default" w:ascii="Arial" w:hAnsi="Arial" w:cs="Arial"/>
              <w:szCs w:val="24"/>
            </w:rPr>
            <w:fldChar w:fldCharType="begin"/>
          </w:r>
          <w:r>
            <w:rPr>
              <w:rFonts w:hint="default" w:ascii="Arial" w:hAnsi="Arial" w:cs="Arial"/>
              <w:szCs w:val="24"/>
            </w:rPr>
            <w:instrText xml:space="preserve"> HYPERLINK \l _Toc7443 </w:instrText>
          </w:r>
          <w:r>
            <w:rPr>
              <w:rFonts w:hint="default" w:ascii="Arial" w:hAnsi="Arial" w:cs="Arial"/>
              <w:szCs w:val="24"/>
            </w:rPr>
            <w:fldChar w:fldCharType="separate"/>
          </w:r>
          <w:r>
            <w:rPr>
              <w:rFonts w:hint="default" w:ascii="Arial" w:hAnsi="Arial" w:cs="Arial"/>
              <w:szCs w:val="28"/>
              <w:lang w:val="en-US" w:eastAsia="zh-CN"/>
            </w:rPr>
            <w:t>7.0 References</w:t>
          </w:r>
          <w:r>
            <w:tab/>
          </w:r>
          <w:r>
            <w:fldChar w:fldCharType="begin"/>
          </w:r>
          <w:r>
            <w:instrText xml:space="preserve"> PAGEREF _Toc7443 \h </w:instrText>
          </w:r>
          <w:r>
            <w:fldChar w:fldCharType="separate"/>
          </w:r>
          <w:r>
            <w:t>10</w:t>
          </w:r>
          <w:r>
            <w:fldChar w:fldCharType="end"/>
          </w:r>
          <w:r>
            <w:rPr>
              <w:rFonts w:hint="default" w:ascii="Arial" w:hAnsi="Arial" w:cs="Arial"/>
              <w:szCs w:val="24"/>
            </w:rPr>
            <w:fldChar w:fldCharType="end"/>
          </w:r>
        </w:p>
        <w:p>
          <w:pPr>
            <w:rPr>
              <w:rFonts w:hint="default" w:ascii="Arial" w:hAnsi="Arial" w:cs="Arial"/>
              <w:sz w:val="24"/>
              <w:szCs w:val="24"/>
            </w:rPr>
          </w:pPr>
          <w:r>
            <w:rPr>
              <w:rFonts w:hint="default" w:ascii="Arial" w:hAnsi="Arial" w:cs="Arial"/>
              <w:szCs w:val="24"/>
            </w:rPr>
            <w:fldChar w:fldCharType="end"/>
          </w:r>
        </w:p>
      </w:sdtContent>
    </w:sdt>
    <w:p>
      <w:pPr>
        <w:rPr>
          <w:rFonts w:hint="default" w:ascii="Arial" w:hAnsi="Arial" w:cs="Arial"/>
          <w:sz w:val="24"/>
          <w:szCs w:val="24"/>
        </w:rPr>
      </w:pPr>
      <w:bookmarkStart w:id="9" w:name="_GoBack"/>
      <w:bookmarkEnd w:id="9"/>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pStyle w:val="2"/>
        <w:numPr>
          <w:ilvl w:val="0"/>
          <w:numId w:val="0"/>
        </w:numPr>
        <w:bidi w:val="0"/>
        <w:ind w:leftChars="0"/>
        <w:rPr>
          <w:rFonts w:hint="eastAsia" w:ascii="Arial" w:hAnsi="Arial" w:cs="Arial"/>
          <w:color w:val="auto"/>
          <w:lang w:val="en-US" w:eastAsia="zh-CN"/>
        </w:rPr>
      </w:pPr>
    </w:p>
    <w:p>
      <w:pPr>
        <w:rPr>
          <w:rFonts w:hint="eastAsia" w:ascii="Arial" w:hAnsi="Arial" w:cs="Arial"/>
          <w:color w:val="auto"/>
          <w:lang w:val="en-US" w:eastAsia="zh-CN"/>
        </w:rPr>
      </w:pPr>
    </w:p>
    <w:p>
      <w:pPr>
        <w:rPr>
          <w:rFonts w:hint="eastAsia" w:ascii="Arial" w:hAnsi="Arial" w:cs="Arial"/>
          <w:color w:val="auto"/>
          <w:lang w:val="en-US" w:eastAsia="zh-CN"/>
        </w:rPr>
      </w:pPr>
    </w:p>
    <w:p>
      <w:pPr>
        <w:pStyle w:val="2"/>
        <w:numPr>
          <w:ilvl w:val="0"/>
          <w:numId w:val="0"/>
        </w:numPr>
        <w:bidi w:val="0"/>
        <w:ind w:leftChars="0"/>
        <w:rPr>
          <w:rFonts w:hint="default" w:ascii="Arial" w:hAnsi="Arial" w:cs="Arial"/>
          <w:color w:val="auto"/>
        </w:rPr>
      </w:pPr>
      <w:bookmarkStart w:id="0" w:name="_Toc31871"/>
      <w:r>
        <w:rPr>
          <w:rFonts w:hint="eastAsia" w:ascii="Arial" w:hAnsi="Arial" w:cs="Arial"/>
          <w:color w:val="auto"/>
          <w:lang w:val="en-US" w:eastAsia="zh-CN"/>
        </w:rPr>
        <w:t>1.0</w:t>
      </w:r>
      <w:r>
        <w:rPr>
          <w:rFonts w:hint="default" w:ascii="Arial" w:hAnsi="Arial" w:cs="Arial"/>
          <w:color w:val="auto"/>
        </w:rPr>
        <w:t>– Introduction</w:t>
      </w:r>
      <w:bookmarkEnd w:id="0"/>
    </w:p>
    <w:p>
      <w:pPr>
        <w:rPr>
          <w:rFonts w:hint="default" w:ascii="Arial" w:hAnsi="Arial" w:cs="Arial"/>
          <w:sz w:val="24"/>
          <w:szCs w:val="24"/>
        </w:rPr>
      </w:pPr>
      <w:r>
        <w:rPr>
          <w:rFonts w:hint="default" w:ascii="Arial" w:hAnsi="Arial" w:cs="Arial"/>
          <w:sz w:val="24"/>
          <w:szCs w:val="24"/>
        </w:rPr>
        <w:t>With the deepening process of globalisation, it has become the norm for multinational corporations to conduct business in different cultural contexts. However, due to cultural differences, there are many challenges in international business communication. This article will take the example of a British company conducting business with Japan to discuss the communication challenges and corresponding strategies that may arise in this cross-cultural environment. The article will analyse how to deal with potential communication failures and provide solutions by incorporating Hofstede and Trompenaar's cultural dimensions as well as Hall's high-context and low-context theories.</w:t>
      </w: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pStyle w:val="2"/>
        <w:bidi w:val="0"/>
        <w:rPr>
          <w:rFonts w:hint="default" w:ascii="Arial" w:hAnsi="Arial" w:cs="Arial"/>
          <w:b/>
          <w:bCs/>
          <w:color w:val="auto"/>
        </w:rPr>
      </w:pPr>
      <w:bookmarkStart w:id="1" w:name="_Toc24731"/>
      <w:r>
        <w:rPr>
          <w:rFonts w:hint="default" w:ascii="Arial" w:hAnsi="Arial" w:cs="Arial"/>
          <w:b/>
          <w:bCs/>
          <w:color w:val="auto"/>
        </w:rPr>
        <w:t>2.0 – IBC Situation Analysis</w:t>
      </w:r>
      <w:bookmarkEnd w:id="1"/>
    </w:p>
    <w:p>
      <w:pPr>
        <w:rPr>
          <w:rFonts w:hint="default" w:ascii="Arial" w:hAnsi="Arial" w:cs="Arial"/>
          <w:sz w:val="24"/>
          <w:szCs w:val="24"/>
        </w:rPr>
      </w:pPr>
      <w:r>
        <w:rPr>
          <w:rFonts w:hint="default" w:ascii="Arial" w:hAnsi="Arial" w:cs="Arial"/>
          <w:sz w:val="24"/>
          <w:szCs w:val="24"/>
        </w:rPr>
        <w:t>IBC stands for International Business Communication. This refers to the various forms and techniques of communication used in business activities involving the crossing of international boundaries (Marketing Admin, 2022b).IBC includes written, verbal, and non-verbal communication and is used to promote co-operation between businesses, exchange information, and facilitate international trade. In an international business environment, good IBC is essential for establishing and maintaining business relationships, solving problems, and achieving business goals. International business communication is no different from regular business communication, except that it takes place across cultures. However, this can be challenging because cultural norms and expectations can vary greatly from country to country (International Business Communication, n.d.). Language barriers, different business practices, and the use of technology may further complicate international communication. However, with some careful planning, expert training and a basic understanding of the principles of cross-cultural communication, it is possible to overcome these challenges and conduct successful international business dealings.</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There are a number of potential challenges in international business communication between the UK and Japan. For cultural differences: the UK and Japan have very different cultural traditions and values. Understanding and adapting to cultural differences can have a profound effect on business relationships. For language barriers: English and Japanese being two different languages can lead to misunderstandings or inaccurate information in communication. Ensuring accurate translations and proper language skills are essential for effective national business communication. For business etiquette and traditions: The UK and Japan have unique business etiquette and traditions. Failure to understand or respect each other's business etiquette can lead to misunderstandings and resentment. For Time Zone Differences: There are significant time zone differences between the UK and Japan, which can make it challenging to communicate and organise meetings, requiring flexibility in scheduling and communication. For negotiation style: The British may be more direct and pragmatic, whereas the Japanese tend to be more tactful and considerate. This difference in negotiation style may add to the complexity and challenges of communication.</w:t>
      </w:r>
    </w:p>
    <w:p>
      <w:pPr>
        <w:rPr>
          <w:rFonts w:hint="default" w:ascii="Arial" w:hAnsi="Arial" w:cs="Arial"/>
          <w:sz w:val="24"/>
          <w:szCs w:val="24"/>
        </w:rPr>
      </w:pPr>
    </w:p>
    <w:p>
      <w:pPr>
        <w:pStyle w:val="2"/>
        <w:bidi w:val="0"/>
        <w:rPr>
          <w:rFonts w:hint="default" w:ascii="Arial" w:hAnsi="Arial" w:cs="Arial"/>
          <w:b/>
          <w:bCs/>
          <w:color w:val="auto"/>
          <w:sz w:val="28"/>
          <w:szCs w:val="28"/>
        </w:rPr>
      </w:pPr>
      <w:bookmarkStart w:id="2" w:name="_Toc19838"/>
      <w:r>
        <w:rPr>
          <w:rFonts w:hint="default" w:ascii="Arial" w:hAnsi="Arial" w:cs="Arial"/>
          <w:b/>
          <w:bCs/>
          <w:color w:val="auto"/>
          <w:sz w:val="28"/>
          <w:szCs w:val="28"/>
        </w:rPr>
        <w:t>3.0 Different scenarios of communication</w:t>
      </w:r>
      <w:bookmarkEnd w:id="2"/>
    </w:p>
    <w:p>
      <w:pPr>
        <w:rPr>
          <w:rFonts w:hint="default" w:ascii="Arial" w:hAnsi="Arial" w:cs="Arial"/>
          <w:sz w:val="24"/>
          <w:szCs w:val="24"/>
        </w:rPr>
      </w:pPr>
      <w:r>
        <w:rPr>
          <w:rFonts w:hint="default" w:ascii="Arial" w:hAnsi="Arial" w:cs="Arial"/>
          <w:sz w:val="24"/>
          <w:szCs w:val="24"/>
        </w:rPr>
        <w:t>In international business activities, the process of negotiating the terms and conditions of a transaction between different interested parties in order to reach a certain deal. In this process, you may meet people from different cultural backgrounds whose communication styles and habits may be different from yours. For example, different countries and nationalities have different ways of thinking and values due to their different geographic environments and historical backgrounds, and show different styles in negotiations. In cross-cultural business communication, the following situations may be encountered (Marketing Admin, 2022).</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For language barriers: English is not a second language for all Japanese businesspeople, and when it comes to communicating across language barriers, there is a need to consider how to overcome the language barriers, which may require the use of an interpreter or the use of a common second language to communicate (Simpson, 2020).</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For cultural differences: as people from different countries, regions or cultural backgrounds are involved, there may be different communication styles, values and habits, and attention needs to be paid to the impact of cultural differences on communication. For example, Japanese people usually emphasise teamwork and collective decision-making in business situations, whereas British people focus more on individual performance and independent thinking (Grand Master Feb., 2020).</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For Time Zone Differences: When conducting business globally, it may be necessary to communicate across different time zones, and it is necessary to co-ordinate the schedules of both parties in order to communicate effectively. Time zone differences may have an impact on international business communications. The time difference between the UK and Japan is 9 hours (London Time to Japan Time Conversion, n.d.). This means that if you are in the UK, you need to consider the impact of the time difference when you are preparing to communicate with Japan for business. For example, if you call Japan at 3.00 p.m. in the UK, it should be the early hours of the morning in Japan.</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For business etiquette: Different countries or regions have different business etiquette and norms, and you need to understand and respect each other's business etiquette to ensure good business relations. For example, in Japan, people usually bow to show respect, while in the UK, people usually shake hands.</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For laws and regulations: In international business activities, which involve laws and regulations of different countries, it is necessary to communicate clearly and accurately to ensure compliance with the laws and regulations of each country. For example, the legal requirements for patents, trade mark registration and copyright protection may differ between the UK and Japan. For example, the UK and Japan may have different trade restrictions and controls on the import and export of goods.</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For conflicts of interest: Conflicts of interest may arise in situations such as negotiation and bargaining. When there are conflicts of interest between the parties in a business negotiation, it takes more time to co-ordinate and resolve the differences, which may delay the conclusion of a business agreement or increase the complexity of the negotiation. And it may also lead to may lead to instability or even eventual breakdown of the co-operative relationship. This may result in loss of reputation and loss of business opportunities for the enterprise in the international market.</w:t>
      </w:r>
    </w:p>
    <w:p>
      <w:pPr>
        <w:rPr>
          <w:rFonts w:hint="default" w:ascii="Arial" w:hAnsi="Arial" w:cs="Arial"/>
          <w:sz w:val="24"/>
          <w:szCs w:val="24"/>
        </w:rPr>
      </w:pPr>
    </w:p>
    <w:p>
      <w:pPr>
        <w:pStyle w:val="2"/>
        <w:bidi w:val="0"/>
        <w:rPr>
          <w:rFonts w:hint="default" w:ascii="Arial" w:hAnsi="Arial" w:cs="Arial"/>
          <w:b/>
          <w:bCs/>
          <w:color w:val="auto"/>
          <w:sz w:val="28"/>
          <w:szCs w:val="28"/>
        </w:rPr>
      </w:pPr>
      <w:bookmarkStart w:id="3" w:name="_Toc6943"/>
      <w:r>
        <w:rPr>
          <w:rFonts w:hint="default" w:ascii="Arial" w:hAnsi="Arial" w:cs="Arial"/>
          <w:b/>
          <w:bCs/>
          <w:color w:val="auto"/>
          <w:sz w:val="28"/>
          <w:szCs w:val="28"/>
        </w:rPr>
        <w:t>4.0 Cultural Dimension</w:t>
      </w:r>
      <w:bookmarkEnd w:id="3"/>
    </w:p>
    <w:p>
      <w:pPr>
        <w:pStyle w:val="3"/>
        <w:bidi w:val="0"/>
        <w:rPr>
          <w:rFonts w:hint="default"/>
          <w:b/>
          <w:bCs w:val="0"/>
          <w:sz w:val="24"/>
          <w:szCs w:val="24"/>
        </w:rPr>
      </w:pPr>
      <w:bookmarkStart w:id="4" w:name="_Toc5517"/>
      <w:r>
        <w:rPr>
          <w:rFonts w:hint="default"/>
          <w:b/>
          <w:bCs w:val="0"/>
          <w:sz w:val="24"/>
          <w:szCs w:val="24"/>
        </w:rPr>
        <w:t>4.1 Hofstede Cultural Dimension</w:t>
      </w:r>
      <w:bookmarkEnd w:id="4"/>
    </w:p>
    <w:p>
      <w:pPr>
        <w:rPr>
          <w:rFonts w:hint="default" w:ascii="Arial" w:hAnsi="Arial" w:cs="Arial"/>
          <w:sz w:val="24"/>
          <w:szCs w:val="24"/>
        </w:rPr>
      </w:pPr>
      <w:r>
        <w:rPr>
          <w:rFonts w:hint="default" w:ascii="Arial" w:hAnsi="Arial" w:cs="Arial"/>
          <w:sz w:val="24"/>
          <w:szCs w:val="24"/>
        </w:rPr>
        <w:t>Hofstede's Cultural Dimensions Theory (CDT) is a framework theory of cross-cultural communication that helps us to understand the different perspectives through which business issues are viewed in different cultures. The theory uses constructs derived from factor analysis to illustrate the influence of a society's culture on the values of its members and the relationship between those values and behaviour. It consists of six dimensions: rights distance, individualism versus collectivism, uncertainty avoidance, male preference or female preference, long-term versus short-term orientation, and indulgence versus self-restraint (Nickerson, 2023).</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In terms of Rights Distance: the UK has a lower Rights Distance score of 35 whilst Japan has a higher Rights Distance score of 54. This implies that the British are more inclined towards equality and democracy while the Japanese are more inclined to accept power differentials. This could mean that in business communication, the British may be more inclined to open discussion and debate, whereas the Japanese may be more focussed on respect and reliance on authority. I feel that companies should respect the authority and position of the Japanese when conducting business negotiations with them and avoid overly affectionate or overly enthusiastic behaviour.</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Individualism versus Collectivism: The British scored higher on Individualism at 76 whilst the Japanese scored higher on Collectivism at 62. This suggests that the British are more focused on individual interests while the Japanese are more focused on collective interests. In business communication, the British may be more focused on individual achievement and competition, whereas the Japanese may be more focused on teamwork and collective interests. I feel that companies should consider the interests of the team rather than the individual when engaging in business negotiations with the Japanese.</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In terms of Uncertainty Avoidance: The British have a lower score of 35 for Uncertainty Avoidance while the Japanese have a higher score of 92. This means that the British are more willing to take risks, while the Japanese are more risk-averse. This may result in the British being more open to flexible arrangements and changes in business exchanges, whereas the Japanese may be more inclined to seek clear rules and standards. I feel that companies should provide as much detail and information as possible when conducting business negotiations with Japanese people so that they can make informed decisions.</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For male bias or female bias: both the UK and Japan scored higher, but Japan scored higher. This suggests that Japan places more emphasis on masculine qualities such as competitiveness and independence, whereas the UK is more balanced. I think companies should be aware when negotiating with Japanese people in business that they may focus more on relationships and emotions rather than simple business transactions.</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In terms of long-term orientation and short-term orientation: both the UK and Japan scored higher, but Japan scored higher at 100. The UK scored 60. This suggests that Japan is more focused on long-term goals and achievements while the UK is more focused on short-term goals and achievements. In terms of indulgence and self-restraint: the UK scored 69 and Japan scored 42, with Japan scoring lower. This suggests that Japan focuses more on self-restraint, whereas the UK focuses more on indulgence (Country Comparison Tool, n.d.). I feel that companies should consider long-term goals and plans rather than short-term gains when conducting business negotiations with the Japanese.</w:t>
      </w:r>
    </w:p>
    <w:p>
      <w:pPr>
        <w:rPr>
          <w:rFonts w:hint="default" w:ascii="Arial" w:hAnsi="Arial" w:cs="Arial"/>
          <w:sz w:val="24"/>
          <w:szCs w:val="24"/>
        </w:rPr>
      </w:pPr>
      <w:r>
        <w:drawing>
          <wp:inline distT="0" distB="0" distL="114300" distR="114300">
            <wp:extent cx="5269230" cy="2576195"/>
            <wp:effectExtent l="0" t="0" r="7620" b="508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a:picLocks noChangeAspect="1"/>
                    </pic:cNvPicPr>
                  </pic:nvPicPr>
                  <pic:blipFill>
                    <a:blip r:embed="rId9"/>
                    <a:stretch>
                      <a:fillRect/>
                    </a:stretch>
                  </pic:blipFill>
                  <pic:spPr>
                    <a:xfrm>
                      <a:off x="0" y="0"/>
                      <a:ext cx="5269230" cy="2576195"/>
                    </a:xfrm>
                    <a:prstGeom prst="rect">
                      <a:avLst/>
                    </a:prstGeom>
                    <a:noFill/>
                    <a:ln>
                      <a:noFill/>
                    </a:ln>
                  </pic:spPr>
                </pic:pic>
              </a:graphicData>
            </a:graphic>
          </wp:inline>
        </w:drawing>
      </w:r>
    </w:p>
    <w:p>
      <w:pPr>
        <w:pStyle w:val="3"/>
        <w:bidi w:val="0"/>
        <w:rPr>
          <w:rFonts w:hint="default"/>
          <w:sz w:val="24"/>
          <w:szCs w:val="24"/>
        </w:rPr>
      </w:pPr>
      <w:bookmarkStart w:id="5" w:name="_Toc23488"/>
      <w:r>
        <w:rPr>
          <w:rFonts w:hint="default"/>
          <w:sz w:val="24"/>
          <w:szCs w:val="24"/>
        </w:rPr>
        <w:t>4.2 Trompenaar Cultural Dimension</w:t>
      </w:r>
      <w:bookmarkEnd w:id="5"/>
    </w:p>
    <w:p>
      <w:pPr>
        <w:rPr>
          <w:rFonts w:hint="default" w:ascii="Arial" w:hAnsi="Arial" w:cs="Arial"/>
          <w:sz w:val="24"/>
          <w:szCs w:val="24"/>
        </w:rPr>
      </w:pPr>
      <w:r>
        <w:rPr>
          <w:rFonts w:hint="default" w:ascii="Arial" w:hAnsi="Arial" w:cs="Arial"/>
          <w:sz w:val="24"/>
          <w:szCs w:val="24"/>
        </w:rPr>
        <w:t>Trompenaars' model of national cultural differences is a comparative cultural model designed to study and understand cultural differences between different countries and regions. The model consists of the following seven cultural dimensions: universalism-particularism, individualism-collectivism, neutrality-emotionality, relational specificity-relational diffusion, focus on individual achievement-focus on social hierarchies, longterm-short-term orientation, and human-nature relations (Trompenaars, 1997).</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Universalism-Specialism Dimension: On the universalism-specialism dimension, the British and Japanese cultures differ significantly. British culture tends to be universalist, i.e. it emphasises that laws and regulations should guide behaviour and that these guidelines should not vary from person to person(G, 2022). On the contrary, Japanese culture tends to be particularistic, i.e. it emphasises "concrete analysis of specific problems", and I think that companies should adopt a flexible approach and take different actions according to different situations. For universalists, laws and regulations should be emphasised, while for particularists, an approach of specific problem analysis should be adopted.</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Individualism-Collectivism: British culture favours individualism, i.e. individual interests over collective interests; Japanese culture favours collectivism, i.e. collective interests over individual interests(Trompenaars Hampden-Turner, 2023). I think companies should understand each other's cultural background in order to better understand each other's behaviour and decision-making. For individualists, there should be a greater focus on personal interests and achievements, while for collectivists, there is a greater focus on the interests of the team and a sense of belonging.</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Neutral - Emotional: British culture tends to be neutral, i.e. there is little physical contact between people and communication is subtle as emotions are rarely shown and need to be understood(MindTools | Home, n.d.). On the contrary, in an emotional culture, physical contact between people is more open and natural, and communication is expressive, exaggerated and full of body language. Japanese culture tends to be an emotional culture. I think companies should understand each other's cultural background in order to better understand each other's behaviour and decision-making. For neutral cultures, there should be more focus on objectivity and rationality, while for emotional cultures, there should be more focus on emotional expression and communication.</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Specific Relationships - Distant Relationships: Japanese culture tends to favour specific relationships, i.e. people prefer to build close relationships with relatives, friends, colleagues, etc., while British culture tends to favour distant relationships, i.e. people prefer to build relationships with strangers(Gërguri, 2023). I think companies should understand each other's cultural backgrounds in order to better understand each other's behaviours and decisions. For specific relationships, there should be more focus on the relationship, whereas for distant relationships, there should be more focus on the task.</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Personal Achievement - Social Hierarchy: British culture tends to focus on personal achievement, i.e. a person's social status and how he/she is regarded by others depends on his/her recent achievements and performance. Japanese culture tends to focus on social hierarchy, i.e. a person's social status and how he/she is regarded by others depends on his/her origin, blood relationship, gender or age, or on his/her interpersonal relationships and educational background(Jill Romford, 2022). I feel that companies should understand each other's cultural backgrounds in order to better understand each other's behaviour and decision-making. For achievement cultures, there should be more focus on individual achievement, while for belonging cultures, there should be more focus on social hierarchy.</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Long-term - short-term orientation: Japanese culture tends to be long-term orientated, i.e. people are more focused on the future and long-term interests, whereas British culture tends to be short-term orientated, i.e. people are more focused on immediate interests. I think companies should understand each other's cultural background to better understand each other's behaviour and decision making. For long term orientated cultures, there should be more focus on the future, whereas for short term orientated cultures, there should be more focus on the present.</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Human-Nature Relationship: British culture tends to value control over the environment, i.e. it is more concerned with organisations and its own functioning, and is uncomfortable when the environment is out of its control. On the other hand, Japanese culture tends to value adaptation to the environment, i.e. promoting harmony with the environment and recognising the impact of the environment on future development (Trompenaars Hampden-Turner, 2023). I feel that companies should learn about each other's cultural backgrounds in order to better understand each other's behaviours and decisions. For cultures that control the environment, there should be a greater focus on the organisation and the achievement of their own functions, whereas for cultures that adapt to the environment, there should be a greater focus on living in harmony with the environment.</w:t>
      </w:r>
    </w:p>
    <w:p>
      <w:pPr>
        <w:rPr>
          <w:rFonts w:hint="default" w:ascii="Arial" w:hAnsi="Arial" w:cs="Arial"/>
          <w:sz w:val="24"/>
          <w:szCs w:val="24"/>
        </w:rPr>
      </w:pPr>
    </w:p>
    <w:p>
      <w:pPr>
        <w:pStyle w:val="2"/>
        <w:bidi w:val="0"/>
        <w:rPr>
          <w:rFonts w:hint="default" w:ascii="Arial" w:hAnsi="Arial" w:cs="Arial"/>
          <w:b/>
          <w:bCs/>
          <w:color w:val="auto"/>
          <w:sz w:val="28"/>
          <w:szCs w:val="28"/>
        </w:rPr>
      </w:pPr>
      <w:bookmarkStart w:id="6" w:name="_Toc2658"/>
      <w:r>
        <w:rPr>
          <w:rFonts w:hint="default" w:ascii="Arial" w:hAnsi="Arial" w:cs="Arial"/>
          <w:b/>
          <w:bCs/>
          <w:color w:val="auto"/>
          <w:sz w:val="28"/>
          <w:szCs w:val="28"/>
        </w:rPr>
        <w:t>5.0 Communication style</w:t>
      </w:r>
      <w:bookmarkEnd w:id="6"/>
    </w:p>
    <w:p>
      <w:pPr>
        <w:rPr>
          <w:rFonts w:hint="default" w:ascii="Arial" w:hAnsi="Arial" w:cs="Arial"/>
          <w:sz w:val="24"/>
          <w:szCs w:val="24"/>
        </w:rPr>
      </w:pPr>
      <w:r>
        <w:rPr>
          <w:rFonts w:hint="default" w:ascii="Arial" w:hAnsi="Arial" w:cs="Arial"/>
          <w:sz w:val="24"/>
          <w:szCs w:val="24"/>
        </w:rPr>
        <w:t>High-context and low-context are important concepts in cultural and communication theory (Edward T. Hall, 1959). In high-context cultures, people rely on non-verbal and implicit information to understand the content of communication, such as context, non-verbal tone and social relations, etc. Most of the information exists in the actual context or is internalised deep in the communicator's mental memory, and the transmission of the information depends on the socio-cultural environment and the specific situation in which the communicator finds himself. On the contrary, in low-context cultures, people rely more on direct and explicit speech for communication, most of the information exists in the physical context or is internalised deep in the communicator's mental memory, and the transmission of information depends on the socio-cultural environment and the specific situation in which the communicator finds himself or herself (Wikipedia contributors, 2024a).</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As far as low-context cultures are concerned, the UK is a low-context culture where people prefer to communicate using direct and clear language, tend to express opinions and ideas directly, and focus on logic and clear language (Jean, 2018). Whereas Japan is a high context culture where people prefer to communicate using hints and metaphors, focusing more on non-verbal cues and context, and maintaining good interpersonal relationships (Jacob, 2023).</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Understanding these cultural differences in international business communication is essential for successful communication. I believe that for international business communication between the UK and Japan, the following points should be noted: direct versus indirect communication: when communicating with a UK business person, it may be necessary to express opinions and suggestions more directly. When communicating with Japanese business people, it may be necessary to focus more on non-verbal messages and avoid being too direct. Social Relationships: When doing business with Japan, it is very important in Japanese culture to establish good relationships and respect the other person's position. In contrast, when communicating with the UK, there is a greater emphasis on efficiency and practical business. Context and Innuendo: When doing business with Japan, more attention needs to be paid to context and innuendo as many messages in Japanese culture are not spoken directly. Whereas in business communication with the UK, more emphasis is placed on facts and logic. Therefore, in international business communication, communication between the UK and Japan may be affected by cultural differences. For better international business communication, both parties need to understand each other's cultural differences, respect each other's culture and adopt appropriate communication methods to achieve better communication results.</w:t>
      </w:r>
    </w:p>
    <w:p>
      <w:pPr>
        <w:rPr>
          <w:rFonts w:hint="default" w:ascii="Arial" w:hAnsi="Arial" w:cs="Arial"/>
          <w:sz w:val="24"/>
          <w:szCs w:val="24"/>
        </w:rPr>
      </w:pPr>
    </w:p>
    <w:p>
      <w:pPr>
        <w:pStyle w:val="2"/>
        <w:bidi w:val="0"/>
        <w:rPr>
          <w:rFonts w:hint="default" w:ascii="Arial" w:hAnsi="Arial" w:cs="Arial"/>
          <w:b/>
          <w:bCs/>
          <w:color w:val="auto"/>
          <w:sz w:val="28"/>
          <w:szCs w:val="28"/>
        </w:rPr>
      </w:pPr>
      <w:bookmarkStart w:id="7" w:name="_Toc21950"/>
      <w:r>
        <w:rPr>
          <w:rFonts w:hint="default" w:ascii="Arial" w:hAnsi="Arial" w:cs="Arial"/>
          <w:b/>
          <w:bCs/>
          <w:color w:val="auto"/>
          <w:sz w:val="28"/>
          <w:szCs w:val="28"/>
        </w:rPr>
        <w:t>6.0 Conclusion</w:t>
      </w:r>
      <w:bookmarkEnd w:id="7"/>
    </w:p>
    <w:p>
      <w:pPr>
        <w:rPr>
          <w:rFonts w:hint="default" w:ascii="Arial" w:hAnsi="Arial" w:cs="Arial"/>
          <w:sz w:val="24"/>
          <w:szCs w:val="24"/>
        </w:rPr>
      </w:pPr>
      <w:r>
        <w:rPr>
          <w:rFonts w:hint="default" w:ascii="Arial" w:hAnsi="Arial" w:cs="Arial"/>
          <w:sz w:val="24"/>
          <w:szCs w:val="24"/>
        </w:rPr>
        <w:t>In this essay, this is reflected in the process of analysing the challenges of international business communication and the selection of strategies. By critically evaluating the different challenges and coping strategies, in-depth consideration has been given to the impact of cultural differences between the UK and Japan on business communication and how these differences can be accommodated. When selecting cross-cultural training and customised communication strategies, the strengths and applicability were thoroughly considered and evaluated. In analysing and evaluating the strategies, Hofstede and Trompenaars' theory of cultural dimensions and high and low contexts are combined to reflect on their application in practical situations.</w:t>
      </w: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pStyle w:val="2"/>
        <w:bidi w:val="0"/>
        <w:rPr>
          <w:rFonts w:hint="default" w:ascii="Arial" w:hAnsi="Arial" w:cs="Arial"/>
          <w:color w:val="auto"/>
          <w:sz w:val="28"/>
          <w:szCs w:val="28"/>
          <w:lang w:val="en-US" w:eastAsia="zh-CN"/>
        </w:rPr>
      </w:pPr>
      <w:bookmarkStart w:id="8" w:name="_Toc7443"/>
      <w:r>
        <w:rPr>
          <w:rFonts w:hint="default" w:ascii="Arial" w:hAnsi="Arial" w:cs="Arial"/>
          <w:color w:val="auto"/>
          <w:sz w:val="28"/>
          <w:szCs w:val="28"/>
          <w:lang w:val="en-US" w:eastAsia="zh-CN"/>
        </w:rPr>
        <w:t>7.0 References</w:t>
      </w:r>
      <w:bookmarkEnd w:id="8"/>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r>
        <w:rPr>
          <w:rFonts w:hint="default" w:ascii="Arial" w:hAnsi="Arial" w:cs="Arial"/>
          <w:sz w:val="24"/>
          <w:szCs w:val="24"/>
        </w:rPr>
        <w:t xml:space="preserve"> Cardon, Peter W. (October 2008). "A Critique of Hall's Contexting Model". Journal of Business and Technical Communication. 22 (4): 399–428.</w:t>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r>
        <w:rPr>
          <w:rFonts w:hint="default" w:ascii="Arial" w:hAnsi="Arial" w:cs="Arial"/>
          <w:sz w:val="24"/>
          <w:szCs w:val="24"/>
        </w:rPr>
        <w:t>Twitchell., Hall, Edward (1989). Beyond culture. Doubleday. ISBN 0-385-12474-0. OCLC 243438080.</w:t>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r>
        <w:rPr>
          <w:rFonts w:hint="default" w:ascii="Arial" w:hAnsi="Arial" w:cs="Arial"/>
          <w:sz w:val="24"/>
          <w:szCs w:val="24"/>
        </w:rPr>
        <w:t xml:space="preserve">Business Bliss FZE. (2023, November 6). </w:t>
      </w:r>
      <w:r>
        <w:rPr>
          <w:rFonts w:hint="default" w:ascii="Arial" w:hAnsi="Arial" w:cs="Arial"/>
          <w:i/>
          <w:iCs/>
          <w:sz w:val="24"/>
          <w:szCs w:val="24"/>
        </w:rPr>
        <w:t>Hofstede and Trompenaars Framework of Cultural Dimensions Commerce Essay</w:t>
      </w:r>
      <w:r>
        <w:rPr>
          <w:rFonts w:hint="default" w:ascii="Arial" w:hAnsi="Arial" w:cs="Arial"/>
          <w:sz w:val="24"/>
          <w:szCs w:val="24"/>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"https://www.ukessays.com/essays/commerce/hofstede-and-trompenaars-framework-of-cultural-dimensions-commerce-essay.php" </w:instrText>
      </w:r>
      <w:r>
        <w:rPr>
          <w:rFonts w:hint="default" w:ascii="Arial" w:hAnsi="Arial" w:cs="Arial"/>
          <w:sz w:val="24"/>
          <w:szCs w:val="24"/>
        </w:rPr>
        <w:fldChar w:fldCharType="separate"/>
      </w:r>
      <w:r>
        <w:rPr>
          <w:rStyle w:val="11"/>
          <w:rFonts w:hint="default" w:ascii="Arial" w:hAnsi="Arial" w:cs="Arial"/>
          <w:sz w:val="24"/>
          <w:szCs w:val="24"/>
        </w:rPr>
        <w:t>https://www.ukessays.com/essays/commerce/hofstede-and-trompenaars-framework-of-cultural-dimensions-commerce-essay.php</w:t>
      </w:r>
      <w:r>
        <w:rPr>
          <w:rFonts w:hint="default" w:ascii="Arial" w:hAnsi="Arial" w:cs="Arial"/>
          <w:sz w:val="24"/>
          <w:szCs w:val="24"/>
        </w:rPr>
        <w:fldChar w:fldCharType="end"/>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r>
        <w:rPr>
          <w:rFonts w:hint="default" w:ascii="Arial" w:hAnsi="Arial" w:cs="Arial"/>
          <w:i/>
          <w:iCs/>
          <w:sz w:val="24"/>
          <w:szCs w:val="24"/>
        </w:rPr>
        <w:t>Country comparison tool</w:t>
      </w:r>
      <w:r>
        <w:rPr>
          <w:rFonts w:hint="default" w:ascii="Arial" w:hAnsi="Arial" w:cs="Arial"/>
          <w:sz w:val="24"/>
          <w:szCs w:val="24"/>
        </w:rPr>
        <w:t xml:space="preserve">. (n.d.). </w:t>
      </w:r>
      <w:r>
        <w:rPr>
          <w:rFonts w:hint="default" w:ascii="Arial" w:hAnsi="Arial" w:cs="Arial"/>
          <w:sz w:val="24"/>
          <w:szCs w:val="24"/>
        </w:rPr>
        <w:fldChar w:fldCharType="begin"/>
      </w:r>
      <w:r>
        <w:rPr>
          <w:rFonts w:hint="default" w:ascii="Arial" w:hAnsi="Arial" w:cs="Arial"/>
          <w:sz w:val="24"/>
          <w:szCs w:val="24"/>
        </w:rPr>
        <w:instrText xml:space="preserve"> HYPERLINK "https://www.hofstede-insights.com/country-comparison-tool?countries=japan%2Cunited+kingdom" </w:instrText>
      </w:r>
      <w:r>
        <w:rPr>
          <w:rFonts w:hint="default" w:ascii="Arial" w:hAnsi="Arial" w:cs="Arial"/>
          <w:sz w:val="24"/>
          <w:szCs w:val="24"/>
        </w:rPr>
        <w:fldChar w:fldCharType="separate"/>
      </w:r>
      <w:r>
        <w:rPr>
          <w:rStyle w:val="11"/>
          <w:rFonts w:hint="default" w:ascii="Arial" w:hAnsi="Arial" w:cs="Arial"/>
          <w:sz w:val="24"/>
          <w:szCs w:val="24"/>
        </w:rPr>
        <w:t>https://www.hofstede-insights.com/country-comparison-tool?countries=japan%2Cunited+kingdom</w:t>
      </w:r>
      <w:r>
        <w:rPr>
          <w:rFonts w:hint="default" w:ascii="Arial" w:hAnsi="Arial" w:cs="Arial"/>
          <w:sz w:val="24"/>
          <w:szCs w:val="24"/>
        </w:rPr>
        <w:fldChar w:fldCharType="end"/>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r>
        <w:rPr>
          <w:rFonts w:hint="default" w:ascii="Arial" w:hAnsi="Arial" w:cs="Arial"/>
          <w:sz w:val="24"/>
          <w:szCs w:val="24"/>
        </w:rPr>
        <w:t xml:space="preserve">Duan, P. (2017). Understanding international communications. In </w:t>
      </w:r>
      <w:r>
        <w:rPr>
          <w:rFonts w:hint="default" w:ascii="Arial" w:hAnsi="Arial" w:cs="Arial"/>
          <w:i/>
          <w:iCs/>
          <w:sz w:val="24"/>
          <w:szCs w:val="24"/>
        </w:rPr>
        <w:t>Springer eBooks</w:t>
      </w:r>
      <w:r>
        <w:rPr>
          <w:rFonts w:hint="default" w:ascii="Arial" w:hAnsi="Arial" w:cs="Arial"/>
          <w:sz w:val="24"/>
          <w:szCs w:val="24"/>
        </w:rPr>
        <w:t xml:space="preserve"> (pp. 1–41). </w:t>
      </w:r>
      <w:r>
        <w:rPr>
          <w:rFonts w:hint="default" w:ascii="Arial" w:hAnsi="Arial" w:cs="Arial"/>
          <w:sz w:val="24"/>
          <w:szCs w:val="24"/>
        </w:rPr>
        <w:fldChar w:fldCharType="begin"/>
      </w:r>
      <w:r>
        <w:rPr>
          <w:rFonts w:hint="default" w:ascii="Arial" w:hAnsi="Arial" w:cs="Arial"/>
          <w:sz w:val="24"/>
          <w:szCs w:val="24"/>
        </w:rPr>
        <w:instrText xml:space="preserve"> HYPERLINK "https://doi.org/10.1007/978-981-10-4460-1_1" </w:instrText>
      </w:r>
      <w:r>
        <w:rPr>
          <w:rFonts w:hint="default" w:ascii="Arial" w:hAnsi="Arial" w:cs="Arial"/>
          <w:sz w:val="24"/>
          <w:szCs w:val="24"/>
        </w:rPr>
        <w:fldChar w:fldCharType="separate"/>
      </w:r>
      <w:r>
        <w:rPr>
          <w:rStyle w:val="11"/>
          <w:rFonts w:hint="default" w:ascii="Arial" w:hAnsi="Arial" w:cs="Arial"/>
          <w:sz w:val="24"/>
          <w:szCs w:val="24"/>
        </w:rPr>
        <w:t>https://doi.org/10.1007/978-981-10-4460-1_1</w:t>
      </w:r>
      <w:r>
        <w:rPr>
          <w:rFonts w:hint="default" w:ascii="Arial" w:hAnsi="Arial" w:cs="Arial"/>
          <w:sz w:val="24"/>
          <w:szCs w:val="24"/>
        </w:rPr>
        <w:fldChar w:fldCharType="end"/>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r>
        <w:rPr>
          <w:rFonts w:hint="default" w:ascii="Arial" w:hAnsi="Arial" w:cs="Arial"/>
          <w:sz w:val="24"/>
          <w:szCs w:val="24"/>
        </w:rPr>
        <w:t xml:space="preserve">G, D. (2022, November 23). </w:t>
      </w:r>
      <w:r>
        <w:rPr>
          <w:rFonts w:hint="default" w:ascii="Arial" w:hAnsi="Arial" w:cs="Arial"/>
          <w:i/>
          <w:iCs/>
          <w:sz w:val="24"/>
          <w:szCs w:val="24"/>
        </w:rPr>
        <w:t>Trompenaars Cultural Dimensions - The 7 Dimensions of Culture</w:t>
      </w:r>
      <w:r>
        <w:rPr>
          <w:rFonts w:hint="default" w:ascii="Arial" w:hAnsi="Arial" w:cs="Arial"/>
          <w:sz w:val="24"/>
          <w:szCs w:val="24"/>
        </w:rPr>
        <w:t xml:space="preserve">. Expert. </w:t>
      </w:r>
      <w:r>
        <w:rPr>
          <w:rFonts w:hint="default" w:ascii="Arial" w:hAnsi="Arial" w:cs="Arial"/>
          <w:sz w:val="24"/>
          <w:szCs w:val="24"/>
        </w:rPr>
        <w:fldChar w:fldCharType="begin"/>
      </w:r>
      <w:r>
        <w:rPr>
          <w:rFonts w:hint="default" w:ascii="Arial" w:hAnsi="Arial" w:cs="Arial"/>
          <w:sz w:val="24"/>
          <w:szCs w:val="24"/>
        </w:rPr>
        <w:instrText xml:space="preserve"> HYPERLINK "https://expertprogrammanagement.com/2017/10/trompenaars-cultural-dimensions/" </w:instrText>
      </w:r>
      <w:r>
        <w:rPr>
          <w:rFonts w:hint="default" w:ascii="Arial" w:hAnsi="Arial" w:cs="Arial"/>
          <w:sz w:val="24"/>
          <w:szCs w:val="24"/>
        </w:rPr>
        <w:fldChar w:fldCharType="separate"/>
      </w:r>
      <w:r>
        <w:rPr>
          <w:rStyle w:val="11"/>
          <w:rFonts w:hint="default" w:ascii="Arial" w:hAnsi="Arial" w:cs="Arial"/>
          <w:sz w:val="24"/>
          <w:szCs w:val="24"/>
        </w:rPr>
        <w:t>https://expertprogrammanagement.com/2017/10/trompenaars-cultural-dimensions/</w:t>
      </w:r>
      <w:r>
        <w:rPr>
          <w:rFonts w:hint="default" w:ascii="Arial" w:hAnsi="Arial" w:cs="Arial"/>
          <w:sz w:val="24"/>
          <w:szCs w:val="24"/>
        </w:rPr>
        <w:fldChar w:fldCharType="end"/>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r>
        <w:rPr>
          <w:rFonts w:hint="default" w:ascii="Arial" w:hAnsi="Arial" w:cs="Arial"/>
          <w:sz w:val="24"/>
          <w:szCs w:val="24"/>
        </w:rPr>
        <w:t xml:space="preserve">Gërguri, F. (2023, September 14). </w:t>
      </w:r>
      <w:r>
        <w:rPr>
          <w:rFonts w:hint="default" w:ascii="Arial" w:hAnsi="Arial" w:cs="Arial"/>
          <w:i/>
          <w:iCs/>
          <w:sz w:val="24"/>
          <w:szCs w:val="24"/>
        </w:rPr>
        <w:t>Understanding Trompenaars cultural Dimensions – a complete guide</w:t>
      </w:r>
      <w:r>
        <w:rPr>
          <w:rFonts w:hint="default" w:ascii="Arial" w:hAnsi="Arial" w:cs="Arial"/>
          <w:sz w:val="24"/>
          <w:szCs w:val="24"/>
        </w:rPr>
        <w:t xml:space="preserve">. Employee Experience Magazine. </w:t>
      </w:r>
      <w:r>
        <w:rPr>
          <w:rFonts w:hint="default" w:ascii="Arial" w:hAnsi="Arial" w:cs="Arial"/>
          <w:sz w:val="24"/>
          <w:szCs w:val="24"/>
        </w:rPr>
        <w:fldChar w:fldCharType="begin"/>
      </w:r>
      <w:r>
        <w:rPr>
          <w:rFonts w:hint="default" w:ascii="Arial" w:hAnsi="Arial" w:cs="Arial"/>
          <w:sz w:val="24"/>
          <w:szCs w:val="24"/>
        </w:rPr>
        <w:instrText xml:space="preserve"> HYPERLINK "https://www.emexmag.com/understanding-trompenaars-cultural-dimensions-a-complete-guide/" </w:instrText>
      </w:r>
      <w:r>
        <w:rPr>
          <w:rFonts w:hint="default" w:ascii="Arial" w:hAnsi="Arial" w:cs="Arial"/>
          <w:sz w:val="24"/>
          <w:szCs w:val="24"/>
        </w:rPr>
        <w:fldChar w:fldCharType="separate"/>
      </w:r>
      <w:r>
        <w:rPr>
          <w:rStyle w:val="11"/>
          <w:rFonts w:hint="default" w:ascii="Arial" w:hAnsi="Arial" w:cs="Arial"/>
          <w:sz w:val="24"/>
          <w:szCs w:val="24"/>
        </w:rPr>
        <w:t>https://www.emexmag.com/understanding-trompenaars-cultural-dimensions-a-complete-guide/</w:t>
      </w:r>
      <w:r>
        <w:rPr>
          <w:rFonts w:hint="default" w:ascii="Arial" w:hAnsi="Arial" w:cs="Arial"/>
          <w:sz w:val="24"/>
          <w:szCs w:val="24"/>
        </w:rPr>
        <w:fldChar w:fldCharType="end"/>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r>
        <w:rPr>
          <w:rFonts w:hint="default" w:ascii="Arial" w:hAnsi="Arial" w:cs="Arial"/>
          <w:sz w:val="24"/>
          <w:szCs w:val="24"/>
        </w:rPr>
        <w:t xml:space="preserve">Grand Master Feb. (2020, April 28). </w:t>
      </w:r>
      <w:r>
        <w:rPr>
          <w:rFonts w:hint="default" w:ascii="Arial" w:hAnsi="Arial" w:cs="Arial"/>
          <w:i/>
          <w:iCs/>
          <w:sz w:val="24"/>
          <w:szCs w:val="24"/>
        </w:rPr>
        <w:t>Discuss the impact of cultural differences on business negotiation strategies and the different outcomes of business negotiations in different cultures?</w:t>
      </w:r>
      <w:r>
        <w:rPr>
          <w:rFonts w:hint="default" w:ascii="Arial" w:hAnsi="Arial" w:cs="Arial"/>
          <w:sz w:val="24"/>
          <w:szCs w:val="24"/>
        </w:rPr>
        <w:t xml:space="preserve"> Zhihu. </w:t>
      </w:r>
      <w:r>
        <w:rPr>
          <w:rFonts w:hint="default" w:ascii="Arial" w:hAnsi="Arial" w:cs="Arial"/>
          <w:sz w:val="24"/>
          <w:szCs w:val="24"/>
        </w:rPr>
        <w:fldChar w:fldCharType="begin"/>
      </w:r>
      <w:r>
        <w:rPr>
          <w:rFonts w:hint="default" w:ascii="Arial" w:hAnsi="Arial" w:cs="Arial"/>
          <w:sz w:val="24"/>
          <w:szCs w:val="24"/>
        </w:rPr>
        <w:instrText xml:space="preserve"> HYPERLINK "https://www.zhihu.com/question/264627550" </w:instrText>
      </w:r>
      <w:r>
        <w:rPr>
          <w:rFonts w:hint="default" w:ascii="Arial" w:hAnsi="Arial" w:cs="Arial"/>
          <w:sz w:val="24"/>
          <w:szCs w:val="24"/>
        </w:rPr>
        <w:fldChar w:fldCharType="separate"/>
      </w:r>
      <w:r>
        <w:rPr>
          <w:rStyle w:val="11"/>
          <w:rFonts w:hint="default" w:ascii="Arial" w:hAnsi="Arial" w:cs="Arial"/>
          <w:sz w:val="24"/>
          <w:szCs w:val="24"/>
        </w:rPr>
        <w:t>https://www.zhihu.com/question/264627550</w:t>
      </w:r>
      <w:r>
        <w:rPr>
          <w:rFonts w:hint="default" w:ascii="Arial" w:hAnsi="Arial" w:cs="Arial"/>
          <w:sz w:val="24"/>
          <w:szCs w:val="24"/>
        </w:rPr>
        <w:fldChar w:fldCharType="end"/>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r>
        <w:rPr>
          <w:rFonts w:hint="default" w:ascii="Arial" w:hAnsi="Arial" w:cs="Arial"/>
          <w:i/>
          <w:iCs/>
          <w:sz w:val="24"/>
          <w:szCs w:val="24"/>
        </w:rPr>
        <w:t>International Business Communication</w:t>
      </w:r>
      <w:r>
        <w:rPr>
          <w:rFonts w:hint="default" w:ascii="Arial" w:hAnsi="Arial" w:cs="Arial"/>
          <w:sz w:val="24"/>
          <w:szCs w:val="24"/>
        </w:rPr>
        <w:t xml:space="preserve">. (n.d.). InterNations. </w:t>
      </w:r>
      <w:r>
        <w:rPr>
          <w:rFonts w:hint="default" w:ascii="Arial" w:hAnsi="Arial" w:cs="Arial"/>
          <w:sz w:val="24"/>
          <w:szCs w:val="24"/>
        </w:rPr>
        <w:fldChar w:fldCharType="begin"/>
      </w:r>
      <w:r>
        <w:rPr>
          <w:rFonts w:hint="default" w:ascii="Arial" w:hAnsi="Arial" w:cs="Arial"/>
          <w:sz w:val="24"/>
          <w:szCs w:val="24"/>
        </w:rPr>
        <w:instrText xml:space="preserve"> HYPERLINK "https://www.internations.org/guide/global/international-business-issues-15385/international-business-communication-2" </w:instrText>
      </w:r>
      <w:r>
        <w:rPr>
          <w:rFonts w:hint="default" w:ascii="Arial" w:hAnsi="Arial" w:cs="Arial"/>
          <w:sz w:val="24"/>
          <w:szCs w:val="24"/>
        </w:rPr>
        <w:fldChar w:fldCharType="separate"/>
      </w:r>
      <w:r>
        <w:rPr>
          <w:rStyle w:val="11"/>
          <w:rFonts w:hint="default" w:ascii="Arial" w:hAnsi="Arial" w:cs="Arial"/>
          <w:sz w:val="24"/>
          <w:szCs w:val="24"/>
        </w:rPr>
        <w:t>https://www.internations.org/guide/global/international-business-issues-15385/international-business-communication-2</w:t>
      </w:r>
      <w:r>
        <w:rPr>
          <w:rFonts w:hint="default" w:ascii="Arial" w:hAnsi="Arial" w:cs="Arial"/>
          <w:sz w:val="24"/>
          <w:szCs w:val="24"/>
        </w:rPr>
        <w:fldChar w:fldCharType="end"/>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r>
        <w:rPr>
          <w:rFonts w:hint="default" w:ascii="Arial" w:hAnsi="Arial" w:cs="Arial"/>
          <w:sz w:val="24"/>
          <w:szCs w:val="24"/>
        </w:rPr>
        <w:t xml:space="preserve">Jacob. (2023, October 16). </w:t>
      </w:r>
      <w:r>
        <w:rPr>
          <w:rFonts w:hint="default" w:ascii="Arial" w:hAnsi="Arial" w:cs="Arial"/>
          <w:i/>
          <w:iCs/>
          <w:sz w:val="24"/>
          <w:szCs w:val="24"/>
        </w:rPr>
        <w:t>Understanding Japan's High Context Culture</w:t>
      </w:r>
      <w:r>
        <w:rPr>
          <w:rFonts w:hint="default" w:ascii="Arial" w:hAnsi="Arial" w:cs="Arial"/>
          <w:sz w:val="24"/>
          <w:szCs w:val="24"/>
        </w:rPr>
        <w:t xml:space="preserve">. Japanjunky. </w:t>
      </w:r>
      <w:r>
        <w:rPr>
          <w:rFonts w:hint="default" w:ascii="Arial" w:hAnsi="Arial" w:cs="Arial"/>
          <w:sz w:val="24"/>
          <w:szCs w:val="24"/>
        </w:rPr>
        <w:fldChar w:fldCharType="begin"/>
      </w:r>
      <w:r>
        <w:rPr>
          <w:rFonts w:hint="default" w:ascii="Arial" w:hAnsi="Arial" w:cs="Arial"/>
          <w:sz w:val="24"/>
          <w:szCs w:val="24"/>
        </w:rPr>
        <w:instrText xml:space="preserve"> HYPERLINK "https://japanjunky.com/understanding-japans-high-context-culture/" </w:instrText>
      </w:r>
      <w:r>
        <w:rPr>
          <w:rFonts w:hint="default" w:ascii="Arial" w:hAnsi="Arial" w:cs="Arial"/>
          <w:sz w:val="24"/>
          <w:szCs w:val="24"/>
        </w:rPr>
        <w:fldChar w:fldCharType="separate"/>
      </w:r>
      <w:r>
        <w:rPr>
          <w:rStyle w:val="11"/>
          <w:rFonts w:hint="default" w:ascii="Arial" w:hAnsi="Arial" w:cs="Arial"/>
          <w:sz w:val="24"/>
          <w:szCs w:val="24"/>
        </w:rPr>
        <w:t>https://japanjunky.com/understanding-japans-high-context-culture/</w:t>
      </w:r>
      <w:r>
        <w:rPr>
          <w:rFonts w:hint="default" w:ascii="Arial" w:hAnsi="Arial" w:cs="Arial"/>
          <w:sz w:val="24"/>
          <w:szCs w:val="24"/>
        </w:rPr>
        <w:fldChar w:fldCharType="end"/>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r>
        <w:rPr>
          <w:rFonts w:hint="default" w:ascii="Arial" w:hAnsi="Arial" w:cs="Arial"/>
          <w:sz w:val="24"/>
          <w:szCs w:val="24"/>
        </w:rPr>
        <w:t xml:space="preserve">Jean, J. (2018). Negotiating with Managers from Britain. In </w:t>
      </w:r>
      <w:r>
        <w:rPr>
          <w:rFonts w:hint="default" w:ascii="Arial" w:hAnsi="Arial" w:cs="Arial"/>
          <w:i/>
          <w:iCs/>
          <w:sz w:val="24"/>
          <w:szCs w:val="24"/>
        </w:rPr>
        <w:t>Springer eBooks</w:t>
      </w:r>
      <w:r>
        <w:rPr>
          <w:rFonts w:hint="default" w:ascii="Arial" w:hAnsi="Arial" w:cs="Arial"/>
          <w:sz w:val="24"/>
          <w:szCs w:val="24"/>
        </w:rPr>
        <w:t xml:space="preserve"> (pp. 141–168). </w:t>
      </w:r>
      <w:r>
        <w:rPr>
          <w:rFonts w:hint="default" w:ascii="Arial" w:hAnsi="Arial" w:cs="Arial"/>
          <w:sz w:val="24"/>
          <w:szCs w:val="24"/>
        </w:rPr>
        <w:fldChar w:fldCharType="begin"/>
      </w:r>
      <w:r>
        <w:rPr>
          <w:rFonts w:hint="default" w:ascii="Arial" w:hAnsi="Arial" w:cs="Arial"/>
          <w:sz w:val="24"/>
          <w:szCs w:val="24"/>
        </w:rPr>
        <w:instrText xml:space="preserve"> HYPERLINK "https://doi.org/10.1007/978-3-030-00277-0_7" </w:instrText>
      </w:r>
      <w:r>
        <w:rPr>
          <w:rFonts w:hint="default" w:ascii="Arial" w:hAnsi="Arial" w:cs="Arial"/>
          <w:sz w:val="24"/>
          <w:szCs w:val="24"/>
        </w:rPr>
        <w:fldChar w:fldCharType="separate"/>
      </w:r>
      <w:r>
        <w:rPr>
          <w:rStyle w:val="11"/>
          <w:rFonts w:hint="default" w:ascii="Arial" w:hAnsi="Arial" w:cs="Arial"/>
          <w:sz w:val="24"/>
          <w:szCs w:val="24"/>
        </w:rPr>
        <w:t>https://doi.org/10.1007/978-3-030-00277-0_7</w:t>
      </w:r>
      <w:r>
        <w:rPr>
          <w:rFonts w:hint="default" w:ascii="Arial" w:hAnsi="Arial" w:cs="Arial"/>
          <w:sz w:val="24"/>
          <w:szCs w:val="24"/>
        </w:rPr>
        <w:fldChar w:fldCharType="end"/>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r>
        <w:rPr>
          <w:rFonts w:hint="default" w:ascii="Arial" w:hAnsi="Arial" w:cs="Arial"/>
          <w:sz w:val="24"/>
          <w:szCs w:val="24"/>
        </w:rPr>
        <w:t xml:space="preserve">Jill Romford, J. R. (2022, May 20). </w:t>
      </w:r>
      <w:r>
        <w:rPr>
          <w:rFonts w:hint="default" w:ascii="Arial" w:hAnsi="Arial" w:cs="Arial"/>
          <w:i/>
          <w:iCs/>
          <w:sz w:val="24"/>
          <w:szCs w:val="24"/>
        </w:rPr>
        <w:t>Trompenaars Cultural Dimensions – UPDATED 2022 – A complete guide</w:t>
      </w:r>
      <w:r>
        <w:rPr>
          <w:rFonts w:hint="default" w:ascii="Arial" w:hAnsi="Arial" w:cs="Arial"/>
          <w:sz w:val="24"/>
          <w:szCs w:val="24"/>
        </w:rPr>
        <w:t xml:space="preserve">. AgilityPortal. </w:t>
      </w:r>
      <w:r>
        <w:rPr>
          <w:rFonts w:hint="default" w:ascii="Arial" w:hAnsi="Arial" w:cs="Arial"/>
          <w:sz w:val="24"/>
          <w:szCs w:val="24"/>
        </w:rPr>
        <w:fldChar w:fldCharType="begin"/>
      </w:r>
      <w:r>
        <w:rPr>
          <w:rFonts w:hint="default" w:ascii="Arial" w:hAnsi="Arial" w:cs="Arial"/>
          <w:sz w:val="24"/>
          <w:szCs w:val="24"/>
        </w:rPr>
        <w:instrText xml:space="preserve"> HYPERLINK "https://agilityportal.io/blog/trompenaars-cultural-dimensions" </w:instrText>
      </w:r>
      <w:r>
        <w:rPr>
          <w:rFonts w:hint="default" w:ascii="Arial" w:hAnsi="Arial" w:cs="Arial"/>
          <w:sz w:val="24"/>
          <w:szCs w:val="24"/>
        </w:rPr>
        <w:fldChar w:fldCharType="separate"/>
      </w:r>
      <w:r>
        <w:rPr>
          <w:rStyle w:val="11"/>
          <w:rFonts w:hint="default" w:ascii="Arial" w:hAnsi="Arial" w:cs="Arial"/>
          <w:sz w:val="24"/>
          <w:szCs w:val="24"/>
        </w:rPr>
        <w:t>https://agilityportal.io/blog/trompenaars-cultural-dimensions</w:t>
      </w:r>
      <w:r>
        <w:rPr>
          <w:rFonts w:hint="default" w:ascii="Arial" w:hAnsi="Arial" w:cs="Arial"/>
          <w:sz w:val="24"/>
          <w:szCs w:val="24"/>
        </w:rPr>
        <w:fldChar w:fldCharType="end"/>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r>
        <w:rPr>
          <w:rFonts w:hint="default" w:ascii="Arial" w:hAnsi="Arial" w:cs="Arial"/>
          <w:i/>
          <w:iCs/>
          <w:sz w:val="24"/>
          <w:szCs w:val="24"/>
        </w:rPr>
        <w:t>London time to Japan time conversion</w:t>
      </w:r>
      <w:r>
        <w:rPr>
          <w:rFonts w:hint="default" w:ascii="Arial" w:hAnsi="Arial" w:cs="Arial"/>
          <w:sz w:val="24"/>
          <w:szCs w:val="24"/>
        </w:rPr>
        <w:t xml:space="preserve">. (n.d.). </w:t>
      </w:r>
      <w:r>
        <w:rPr>
          <w:rFonts w:hint="default" w:ascii="Arial" w:hAnsi="Arial" w:cs="Arial"/>
          <w:sz w:val="24"/>
          <w:szCs w:val="24"/>
        </w:rPr>
        <w:fldChar w:fldCharType="begin"/>
      </w:r>
      <w:r>
        <w:rPr>
          <w:rFonts w:hint="default" w:ascii="Arial" w:hAnsi="Arial" w:cs="Arial"/>
          <w:sz w:val="24"/>
          <w:szCs w:val="24"/>
        </w:rPr>
        <w:instrText xml:space="preserve"> HYPERLINK "https://24timezones.com/difference/london/japan" </w:instrText>
      </w:r>
      <w:r>
        <w:rPr>
          <w:rFonts w:hint="default" w:ascii="Arial" w:hAnsi="Arial" w:cs="Arial"/>
          <w:sz w:val="24"/>
          <w:szCs w:val="24"/>
        </w:rPr>
        <w:fldChar w:fldCharType="separate"/>
      </w:r>
      <w:r>
        <w:rPr>
          <w:rStyle w:val="11"/>
          <w:rFonts w:hint="default" w:ascii="Arial" w:hAnsi="Arial" w:cs="Arial"/>
          <w:sz w:val="24"/>
          <w:szCs w:val="24"/>
        </w:rPr>
        <w:t>https://24timezones.com/difference/london/japan</w:t>
      </w:r>
      <w:r>
        <w:rPr>
          <w:rFonts w:hint="default" w:ascii="Arial" w:hAnsi="Arial" w:cs="Arial"/>
          <w:sz w:val="24"/>
          <w:szCs w:val="24"/>
        </w:rPr>
        <w:fldChar w:fldCharType="end"/>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r>
        <w:rPr>
          <w:rFonts w:hint="default" w:ascii="Arial" w:hAnsi="Arial" w:cs="Arial"/>
          <w:sz w:val="24"/>
          <w:szCs w:val="24"/>
        </w:rPr>
        <w:t xml:space="preserve">Marketing Admin. (2022a, March 22). The Complete Guide To International Business Communication | SIMON &amp; SIMON. </w:t>
      </w:r>
      <w:r>
        <w:rPr>
          <w:rFonts w:hint="default" w:ascii="Arial" w:hAnsi="Arial" w:cs="Arial"/>
          <w:i/>
          <w:iCs/>
          <w:sz w:val="24"/>
          <w:szCs w:val="24"/>
        </w:rPr>
        <w:t>SIMON &amp; SIMON</w:t>
      </w:r>
      <w:r>
        <w:rPr>
          <w:rFonts w:hint="default" w:ascii="Arial" w:hAnsi="Arial" w:cs="Arial"/>
          <w:sz w:val="24"/>
          <w:szCs w:val="24"/>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"https://www.simonandsimon.co.uk/blog/the-complete-guide-to-international-business-communication" </w:instrText>
      </w:r>
      <w:r>
        <w:rPr>
          <w:rFonts w:hint="default" w:ascii="Arial" w:hAnsi="Arial" w:cs="Arial"/>
          <w:sz w:val="24"/>
          <w:szCs w:val="24"/>
        </w:rPr>
        <w:fldChar w:fldCharType="separate"/>
      </w:r>
      <w:r>
        <w:rPr>
          <w:rStyle w:val="11"/>
          <w:rFonts w:hint="default" w:ascii="Arial" w:hAnsi="Arial" w:cs="Arial"/>
          <w:sz w:val="24"/>
          <w:szCs w:val="24"/>
        </w:rPr>
        <w:t>https://www.simonandsimon.co.uk/blog/the-complete-guide-to-international-business-communication</w:t>
      </w:r>
      <w:r>
        <w:rPr>
          <w:rFonts w:hint="default" w:ascii="Arial" w:hAnsi="Arial" w:cs="Arial"/>
          <w:sz w:val="24"/>
          <w:szCs w:val="24"/>
        </w:rPr>
        <w:fldChar w:fldCharType="end"/>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r>
        <w:rPr>
          <w:rFonts w:hint="default" w:ascii="Arial" w:hAnsi="Arial" w:cs="Arial"/>
          <w:sz w:val="24"/>
          <w:szCs w:val="24"/>
        </w:rPr>
        <w:t xml:space="preserve">Marketing Admin. (2022b, March 22). The Complete Guide To International Business Communication | SIMON &amp; SIMON. </w:t>
      </w:r>
      <w:r>
        <w:rPr>
          <w:rFonts w:hint="default" w:ascii="Arial" w:hAnsi="Arial" w:cs="Arial"/>
          <w:i/>
          <w:iCs/>
          <w:sz w:val="24"/>
          <w:szCs w:val="24"/>
        </w:rPr>
        <w:t>SIMON &amp; SIMON</w:t>
      </w:r>
      <w:r>
        <w:rPr>
          <w:rFonts w:hint="default" w:ascii="Arial" w:hAnsi="Arial" w:cs="Arial"/>
          <w:sz w:val="24"/>
          <w:szCs w:val="24"/>
        </w:rPr>
        <w:t>. https://www.simonandsimon.co.uk/blog/the-complete-guide-to-international-businesscommunication#:~:text=What%20is%20International%20Business%20Communication%3F%20International%20business%20communication,expectations%20can%20vary%20greatly%20from%20country%20to%20country.</w:t>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r>
        <w:rPr>
          <w:rFonts w:hint="default" w:ascii="Arial" w:hAnsi="Arial" w:cs="Arial"/>
          <w:i/>
          <w:iCs/>
          <w:sz w:val="24"/>
          <w:szCs w:val="24"/>
        </w:rPr>
        <w:t>MindTools | Home</w:t>
      </w:r>
      <w:r>
        <w:rPr>
          <w:rFonts w:hint="default" w:ascii="Arial" w:hAnsi="Arial" w:cs="Arial"/>
          <w:sz w:val="24"/>
          <w:szCs w:val="24"/>
        </w:rPr>
        <w:t xml:space="preserve">. (n.d.). </w:t>
      </w:r>
      <w:r>
        <w:rPr>
          <w:rFonts w:hint="default" w:ascii="Arial" w:hAnsi="Arial" w:cs="Arial"/>
          <w:sz w:val="24"/>
          <w:szCs w:val="24"/>
        </w:rPr>
        <w:fldChar w:fldCharType="begin"/>
      </w:r>
      <w:r>
        <w:rPr>
          <w:rFonts w:hint="default" w:ascii="Arial" w:hAnsi="Arial" w:cs="Arial"/>
          <w:sz w:val="24"/>
          <w:szCs w:val="24"/>
        </w:rPr>
        <w:instrText xml:space="preserve"> HYPERLINK "https://www.mindtools.com/a5ce21r/the-seven-dimensions-of-culture" </w:instrText>
      </w:r>
      <w:r>
        <w:rPr>
          <w:rFonts w:hint="default" w:ascii="Arial" w:hAnsi="Arial" w:cs="Arial"/>
          <w:sz w:val="24"/>
          <w:szCs w:val="24"/>
        </w:rPr>
        <w:fldChar w:fldCharType="separate"/>
      </w:r>
      <w:r>
        <w:rPr>
          <w:rStyle w:val="11"/>
          <w:rFonts w:hint="default" w:ascii="Arial" w:hAnsi="Arial" w:cs="Arial"/>
          <w:sz w:val="24"/>
          <w:szCs w:val="24"/>
        </w:rPr>
        <w:t>https://www.mindtools.com/a5ce21r/the-seven-dimensions-of-culture</w:t>
      </w:r>
      <w:r>
        <w:rPr>
          <w:rFonts w:hint="default" w:ascii="Arial" w:hAnsi="Arial" w:cs="Arial"/>
          <w:sz w:val="24"/>
          <w:szCs w:val="24"/>
        </w:rPr>
        <w:fldChar w:fldCharType="end"/>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r>
        <w:rPr>
          <w:rFonts w:hint="default" w:ascii="Arial" w:hAnsi="Arial" w:cs="Arial"/>
          <w:sz w:val="24"/>
          <w:szCs w:val="24"/>
        </w:rPr>
        <w:t xml:space="preserve">Nickerson, C. (2023a, October 24). </w:t>
      </w:r>
      <w:r>
        <w:rPr>
          <w:rFonts w:hint="default" w:ascii="Arial" w:hAnsi="Arial" w:cs="Arial"/>
          <w:i/>
          <w:iCs/>
          <w:sz w:val="24"/>
          <w:szCs w:val="24"/>
        </w:rPr>
        <w:t>Hofstede’s Cultural Dimensions Theory &amp; Examples</w:t>
      </w:r>
      <w:r>
        <w:rPr>
          <w:rFonts w:hint="default" w:ascii="Arial" w:hAnsi="Arial" w:cs="Arial"/>
          <w:sz w:val="24"/>
          <w:szCs w:val="24"/>
        </w:rPr>
        <w:t xml:space="preserve">. Simply Psychology. </w:t>
      </w:r>
      <w:r>
        <w:rPr>
          <w:rFonts w:hint="default" w:ascii="Arial" w:hAnsi="Arial" w:cs="Arial"/>
          <w:sz w:val="24"/>
          <w:szCs w:val="24"/>
        </w:rPr>
        <w:fldChar w:fldCharType="begin"/>
      </w:r>
      <w:r>
        <w:rPr>
          <w:rFonts w:hint="default" w:ascii="Arial" w:hAnsi="Arial" w:cs="Arial"/>
          <w:sz w:val="24"/>
          <w:szCs w:val="24"/>
        </w:rPr>
        <w:instrText xml:space="preserve"> HYPERLINK "https://www.simplypsychology.org/hofstedes-cultural-dimensions-theory.html" </w:instrText>
      </w:r>
      <w:r>
        <w:rPr>
          <w:rFonts w:hint="default" w:ascii="Arial" w:hAnsi="Arial" w:cs="Arial"/>
          <w:sz w:val="24"/>
          <w:szCs w:val="24"/>
        </w:rPr>
        <w:fldChar w:fldCharType="separate"/>
      </w:r>
      <w:r>
        <w:rPr>
          <w:rStyle w:val="11"/>
          <w:rFonts w:hint="default" w:ascii="Arial" w:hAnsi="Arial" w:cs="Arial"/>
          <w:sz w:val="24"/>
          <w:szCs w:val="24"/>
        </w:rPr>
        <w:t>https://www.simplypsychology.org/hofstedes-cultural-dimensions-theory.html</w:t>
      </w:r>
      <w:r>
        <w:rPr>
          <w:rFonts w:hint="default" w:ascii="Arial" w:hAnsi="Arial" w:cs="Arial"/>
          <w:sz w:val="24"/>
          <w:szCs w:val="24"/>
        </w:rPr>
        <w:fldChar w:fldCharType="end"/>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r>
        <w:rPr>
          <w:rFonts w:hint="default" w:ascii="Arial" w:hAnsi="Arial" w:cs="Arial"/>
          <w:sz w:val="24"/>
          <w:szCs w:val="24"/>
        </w:rPr>
        <w:t xml:space="preserve">Nickerson, C. (2023b, October 24). </w:t>
      </w:r>
      <w:r>
        <w:rPr>
          <w:rFonts w:hint="default" w:ascii="Arial" w:hAnsi="Arial" w:cs="Arial"/>
          <w:i/>
          <w:iCs/>
          <w:sz w:val="24"/>
          <w:szCs w:val="24"/>
        </w:rPr>
        <w:t>Hofstede’s Cultural Dimensions Theory &amp; Examples</w:t>
      </w:r>
      <w:r>
        <w:rPr>
          <w:rFonts w:hint="default" w:ascii="Arial" w:hAnsi="Arial" w:cs="Arial"/>
          <w:sz w:val="24"/>
          <w:szCs w:val="24"/>
        </w:rPr>
        <w:t xml:space="preserve">. Simply Psychology. </w:t>
      </w:r>
      <w:r>
        <w:rPr>
          <w:rFonts w:hint="default" w:ascii="Arial" w:hAnsi="Arial" w:cs="Arial"/>
          <w:sz w:val="24"/>
          <w:szCs w:val="24"/>
        </w:rPr>
        <w:fldChar w:fldCharType="begin"/>
      </w:r>
      <w:r>
        <w:rPr>
          <w:rFonts w:hint="default" w:ascii="Arial" w:hAnsi="Arial" w:cs="Arial"/>
          <w:sz w:val="24"/>
          <w:szCs w:val="24"/>
        </w:rPr>
        <w:instrText xml:space="preserve"> HYPERLINK "https://www.simplypsychology.org/hofstedes-cultural-dimensions-theory.html" </w:instrText>
      </w:r>
      <w:r>
        <w:rPr>
          <w:rFonts w:hint="default" w:ascii="Arial" w:hAnsi="Arial" w:cs="Arial"/>
          <w:sz w:val="24"/>
          <w:szCs w:val="24"/>
        </w:rPr>
        <w:fldChar w:fldCharType="separate"/>
      </w:r>
      <w:r>
        <w:rPr>
          <w:rStyle w:val="11"/>
          <w:rFonts w:hint="default" w:ascii="Arial" w:hAnsi="Arial" w:cs="Arial"/>
          <w:sz w:val="24"/>
          <w:szCs w:val="24"/>
        </w:rPr>
        <w:t>https://www.simplypsychology.org/hofstedes-cultural-dimensions-theory.html</w:t>
      </w:r>
      <w:r>
        <w:rPr>
          <w:rFonts w:hint="default" w:ascii="Arial" w:hAnsi="Arial" w:cs="Arial"/>
          <w:sz w:val="24"/>
          <w:szCs w:val="24"/>
        </w:rPr>
        <w:fldChar w:fldCharType="end"/>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r>
        <w:rPr>
          <w:rFonts w:hint="default" w:ascii="Arial" w:hAnsi="Arial" w:cs="Arial"/>
          <w:sz w:val="24"/>
          <w:szCs w:val="24"/>
        </w:rPr>
        <w:t xml:space="preserve">Nickerson, C. (2023c, October 24). </w:t>
      </w:r>
      <w:r>
        <w:rPr>
          <w:rFonts w:hint="default" w:ascii="Arial" w:hAnsi="Arial" w:cs="Arial"/>
          <w:i/>
          <w:iCs/>
          <w:sz w:val="24"/>
          <w:szCs w:val="24"/>
        </w:rPr>
        <w:t>Hofstede’s Cultural Dimensions Theory &amp; Examples</w:t>
      </w:r>
      <w:r>
        <w:rPr>
          <w:rFonts w:hint="default" w:ascii="Arial" w:hAnsi="Arial" w:cs="Arial"/>
          <w:sz w:val="24"/>
          <w:szCs w:val="24"/>
        </w:rPr>
        <w:t xml:space="preserve">. Simply Psychology. </w:t>
      </w:r>
      <w:r>
        <w:rPr>
          <w:rFonts w:hint="default" w:ascii="Arial" w:hAnsi="Arial" w:cs="Arial"/>
          <w:sz w:val="24"/>
          <w:szCs w:val="24"/>
        </w:rPr>
        <w:fldChar w:fldCharType="begin"/>
      </w:r>
      <w:r>
        <w:rPr>
          <w:rFonts w:hint="default" w:ascii="Arial" w:hAnsi="Arial" w:cs="Arial"/>
          <w:sz w:val="24"/>
          <w:szCs w:val="24"/>
        </w:rPr>
        <w:instrText xml:space="preserve"> HYPERLINK "https://www.simplypsychology.org/hofstedes-cultural-dimensions-theory.html" </w:instrText>
      </w:r>
      <w:r>
        <w:rPr>
          <w:rFonts w:hint="default" w:ascii="Arial" w:hAnsi="Arial" w:cs="Arial"/>
          <w:sz w:val="24"/>
          <w:szCs w:val="24"/>
        </w:rPr>
        <w:fldChar w:fldCharType="separate"/>
      </w:r>
      <w:r>
        <w:rPr>
          <w:rStyle w:val="11"/>
          <w:rFonts w:hint="default" w:ascii="Arial" w:hAnsi="Arial" w:cs="Arial"/>
          <w:sz w:val="24"/>
          <w:szCs w:val="24"/>
        </w:rPr>
        <w:t>https://www.simplypsychology.org/hofstedes-cultural-dimensions-theory.html</w:t>
      </w:r>
      <w:r>
        <w:rPr>
          <w:rFonts w:hint="default" w:ascii="Arial" w:hAnsi="Arial" w:cs="Arial"/>
          <w:sz w:val="24"/>
          <w:szCs w:val="24"/>
        </w:rPr>
        <w:fldChar w:fldCharType="end"/>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r>
        <w:rPr>
          <w:rFonts w:hint="default" w:ascii="Arial" w:hAnsi="Arial" w:cs="Arial"/>
          <w:sz w:val="24"/>
          <w:szCs w:val="24"/>
        </w:rPr>
        <w:t xml:space="preserve">Trompenaars Hampden-Turner. (2023, December 14). </w:t>
      </w:r>
      <w:r>
        <w:rPr>
          <w:rFonts w:hint="default" w:ascii="Arial" w:hAnsi="Arial" w:cs="Arial"/>
          <w:i/>
          <w:iCs/>
          <w:sz w:val="24"/>
          <w:szCs w:val="24"/>
        </w:rPr>
        <w:t>Compare countries – Trompenaars Hampden-Turner</w:t>
      </w:r>
      <w:r>
        <w:rPr>
          <w:rFonts w:hint="default" w:ascii="Arial" w:hAnsi="Arial" w:cs="Arial"/>
          <w:sz w:val="24"/>
          <w:szCs w:val="24"/>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"https://www.thtconsulting.com/culture-factory/culture-explore/compare-countries/" </w:instrText>
      </w:r>
      <w:r>
        <w:rPr>
          <w:rFonts w:hint="default" w:ascii="Arial" w:hAnsi="Arial" w:cs="Arial"/>
          <w:sz w:val="24"/>
          <w:szCs w:val="24"/>
        </w:rPr>
        <w:fldChar w:fldCharType="separate"/>
      </w:r>
      <w:r>
        <w:rPr>
          <w:rStyle w:val="11"/>
          <w:rFonts w:hint="default" w:ascii="Arial" w:hAnsi="Arial" w:cs="Arial"/>
          <w:sz w:val="24"/>
          <w:szCs w:val="24"/>
        </w:rPr>
        <w:t>https://www.thtconsulting.com/culture-factory/culture-explore/compare-countries/</w:t>
      </w:r>
      <w:r>
        <w:rPr>
          <w:rFonts w:hint="default" w:ascii="Arial" w:hAnsi="Arial" w:cs="Arial"/>
          <w:sz w:val="24"/>
          <w:szCs w:val="24"/>
        </w:rPr>
        <w:fldChar w:fldCharType="end"/>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r>
        <w:rPr>
          <w:rFonts w:hint="default" w:ascii="Arial" w:hAnsi="Arial" w:cs="Arial"/>
          <w:sz w:val="24"/>
          <w:szCs w:val="24"/>
        </w:rPr>
        <w:t xml:space="preserve">Wikipedia contributors. (2023, December 27). </w:t>
      </w:r>
      <w:r>
        <w:rPr>
          <w:rFonts w:hint="default" w:ascii="Arial" w:hAnsi="Arial" w:cs="Arial"/>
          <w:i/>
          <w:iCs/>
          <w:sz w:val="24"/>
          <w:szCs w:val="24"/>
        </w:rPr>
        <w:t>International communication</w:t>
      </w:r>
      <w:r>
        <w:rPr>
          <w:rFonts w:hint="default" w:ascii="Arial" w:hAnsi="Arial" w:cs="Arial"/>
          <w:sz w:val="24"/>
          <w:szCs w:val="24"/>
        </w:rPr>
        <w:t xml:space="preserve">. Wikipedia. </w:t>
      </w:r>
      <w:r>
        <w:rPr>
          <w:rFonts w:hint="default" w:ascii="Arial" w:hAnsi="Arial" w:cs="Arial"/>
          <w:sz w:val="24"/>
          <w:szCs w:val="24"/>
        </w:rPr>
        <w:fldChar w:fldCharType="begin"/>
      </w:r>
      <w:r>
        <w:rPr>
          <w:rFonts w:hint="default" w:ascii="Arial" w:hAnsi="Arial" w:cs="Arial"/>
          <w:sz w:val="24"/>
          <w:szCs w:val="24"/>
        </w:rPr>
        <w:instrText xml:space="preserve"> HYPERLINK "https://en.wikipedia.org/wiki/International_communication" </w:instrText>
      </w:r>
      <w:r>
        <w:rPr>
          <w:rFonts w:hint="default" w:ascii="Arial" w:hAnsi="Arial" w:cs="Arial"/>
          <w:sz w:val="24"/>
          <w:szCs w:val="24"/>
        </w:rPr>
        <w:fldChar w:fldCharType="separate"/>
      </w:r>
      <w:r>
        <w:rPr>
          <w:rStyle w:val="11"/>
          <w:rFonts w:hint="default" w:ascii="Arial" w:hAnsi="Arial" w:cs="Arial"/>
          <w:sz w:val="24"/>
          <w:szCs w:val="24"/>
        </w:rPr>
        <w:t>https://en.wikipedia.org/wiki/International_communication</w:t>
      </w:r>
      <w:r>
        <w:rPr>
          <w:rFonts w:hint="default" w:ascii="Arial" w:hAnsi="Arial" w:cs="Arial"/>
          <w:sz w:val="24"/>
          <w:szCs w:val="24"/>
        </w:rPr>
        <w:fldChar w:fldCharType="end"/>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r>
        <w:rPr>
          <w:rFonts w:hint="default" w:ascii="Arial" w:hAnsi="Arial" w:cs="Arial"/>
          <w:sz w:val="24"/>
          <w:szCs w:val="24"/>
        </w:rPr>
        <w:t xml:space="preserve">Wikipedia contributors. (2024a, January 5). </w:t>
      </w:r>
      <w:r>
        <w:rPr>
          <w:rFonts w:hint="default" w:ascii="Arial" w:hAnsi="Arial" w:cs="Arial"/>
          <w:i/>
          <w:iCs/>
          <w:sz w:val="24"/>
          <w:szCs w:val="24"/>
        </w:rPr>
        <w:t>High-context and low-context cultures</w:t>
      </w:r>
      <w:r>
        <w:rPr>
          <w:rFonts w:hint="default" w:ascii="Arial" w:hAnsi="Arial" w:cs="Arial"/>
          <w:sz w:val="24"/>
          <w:szCs w:val="24"/>
        </w:rPr>
        <w:t xml:space="preserve">. Wikipedia. </w:t>
      </w:r>
      <w:r>
        <w:rPr>
          <w:rFonts w:hint="default" w:ascii="Arial" w:hAnsi="Arial" w:cs="Arial"/>
          <w:sz w:val="24"/>
          <w:szCs w:val="24"/>
        </w:rPr>
        <w:fldChar w:fldCharType="begin"/>
      </w:r>
      <w:r>
        <w:rPr>
          <w:rFonts w:hint="default" w:ascii="Arial" w:hAnsi="Arial" w:cs="Arial"/>
          <w:sz w:val="24"/>
          <w:szCs w:val="24"/>
        </w:rPr>
        <w:instrText xml:space="preserve"> HYPERLINK "https://en.wikipedia.org/wiki/High-context_and_low-context_cultures" </w:instrText>
      </w:r>
      <w:r>
        <w:rPr>
          <w:rFonts w:hint="default" w:ascii="Arial" w:hAnsi="Arial" w:cs="Arial"/>
          <w:sz w:val="24"/>
          <w:szCs w:val="24"/>
        </w:rPr>
        <w:fldChar w:fldCharType="separate"/>
      </w:r>
      <w:r>
        <w:rPr>
          <w:rStyle w:val="11"/>
          <w:rFonts w:hint="default" w:ascii="Arial" w:hAnsi="Arial" w:cs="Arial"/>
          <w:sz w:val="24"/>
          <w:szCs w:val="24"/>
        </w:rPr>
        <w:t>https://en.wikipedia.org/wiki/High-context_and_low-context_cultures</w:t>
      </w:r>
      <w:r>
        <w:rPr>
          <w:rFonts w:hint="default" w:ascii="Arial" w:hAnsi="Arial" w:cs="Arial"/>
          <w:sz w:val="24"/>
          <w:szCs w:val="24"/>
        </w:rPr>
        <w:fldChar w:fldCharType="end"/>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r>
        <w:rPr>
          <w:rFonts w:hint="default" w:ascii="Arial" w:hAnsi="Arial" w:cs="Arial"/>
          <w:sz w:val="24"/>
          <w:szCs w:val="24"/>
        </w:rPr>
        <w:t xml:space="preserve">Wikipedia contributors. (2024b, January 9). </w:t>
      </w:r>
      <w:r>
        <w:rPr>
          <w:rFonts w:hint="default" w:ascii="Arial" w:hAnsi="Arial" w:cs="Arial"/>
          <w:i/>
          <w:iCs/>
          <w:sz w:val="24"/>
          <w:szCs w:val="24"/>
        </w:rPr>
        <w:t>Trompenaars’s model of national culture differences</w:t>
      </w:r>
      <w:r>
        <w:rPr>
          <w:rFonts w:hint="default" w:ascii="Arial" w:hAnsi="Arial" w:cs="Arial"/>
          <w:sz w:val="24"/>
          <w:szCs w:val="24"/>
        </w:rPr>
        <w:t xml:space="preserve">. Wikipedia. </w:t>
      </w:r>
      <w:r>
        <w:rPr>
          <w:rFonts w:hint="default" w:ascii="Arial" w:hAnsi="Arial" w:cs="Arial"/>
          <w:sz w:val="24"/>
          <w:szCs w:val="24"/>
        </w:rPr>
        <w:fldChar w:fldCharType="begin"/>
      </w:r>
      <w:r>
        <w:rPr>
          <w:rFonts w:hint="default" w:ascii="Arial" w:hAnsi="Arial" w:cs="Arial"/>
          <w:sz w:val="24"/>
          <w:szCs w:val="24"/>
        </w:rPr>
        <w:instrText xml:space="preserve"> HYPERLINK "https://en.wikipedia.org/wiki/Trompenaars%27s_model_of_national_culture_differences" </w:instrText>
      </w:r>
      <w:r>
        <w:rPr>
          <w:rFonts w:hint="default" w:ascii="Arial" w:hAnsi="Arial" w:cs="Arial"/>
          <w:sz w:val="24"/>
          <w:szCs w:val="24"/>
        </w:rPr>
        <w:fldChar w:fldCharType="separate"/>
      </w:r>
      <w:r>
        <w:rPr>
          <w:rStyle w:val="11"/>
          <w:rFonts w:hint="default" w:ascii="Arial" w:hAnsi="Arial" w:cs="Arial"/>
          <w:sz w:val="24"/>
          <w:szCs w:val="24"/>
        </w:rPr>
        <w:t>https://en.wikipedia.org/wiki/Trompenaars%27s_model_of_national_culture_differences</w:t>
      </w:r>
      <w:r>
        <w:rPr>
          <w:rFonts w:hint="default" w:ascii="Arial" w:hAnsi="Arial" w:cs="Arial"/>
          <w:sz w:val="24"/>
          <w:szCs w:val="24"/>
        </w:rPr>
        <w:fldChar w:fldCharType="end"/>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rPr>
          <w:rFonts w:hint="default"/>
          <w:lang w:val="en-US" w:eastAsia="zh-CN"/>
        </w:rPr>
      </w:pPr>
    </w:p>
    <w:sectPr>
      <w:footerReference r:id="rId6" w:type="first"/>
      <w:footerReference r:id="rId5" w:type="default"/>
      <w:pgSz w:w="11906" w:h="16838"/>
      <w:pgMar w:top="1440" w:right="1440" w:bottom="1440" w:left="1440" w:header="708" w:footer="708" w:gutter="0"/>
      <w:pgNumType w:start="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Calibri Light">
    <w:panose1 w:val="020F0302020204030204"/>
    <w:charset w:val="00"/>
    <w:family w:val="swiss"/>
    <w:pitch w:val="default"/>
    <w:sig w:usb0="E4002EFF" w:usb1="C000247B" w:usb2="00000009" w:usb3="00000000" w:csb0="200001FF" w:csb1="00000000"/>
  </w:font>
  <w:font w:name="等线 Light">
    <w:panose1 w:val="02010600030101010101"/>
    <w:charset w:val="86"/>
    <w:family w:val="auto"/>
    <w:pitch w:val="default"/>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Brhfn7MQIAAGEEAAAOAAAAAAAAAAEAIAAAAB8BAABkcnMvZTJvRG9jLnhtbFBLBQYA&#10;AAAABgAGAFkBAADCBQ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60288" behindDoc="0" locked="0" layoutInCell="1" allowOverlap="1">
              <wp:simplePos x="0" y="0"/>
              <wp:positionH relativeFrom="margin">
                <wp:align>right</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0</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SCRrQ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kgka0MQIAAGEEAAAOAAAAAAAAAAEAIAAAAB8BAABkcnMvZTJvRG9jLnhtbFBLBQYA&#10;AAAABgAGAFkBAADCBQ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0</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YmQ2YjFkNjdmMjRkMmRiMTAzZjNmOTA0ZTVlMjJiNTAifQ=="/>
  </w:docVars>
  <w:rsids>
    <w:rsidRoot w:val="00571F12"/>
    <w:rsid w:val="00102068"/>
    <w:rsid w:val="001652C1"/>
    <w:rsid w:val="00390E8A"/>
    <w:rsid w:val="00571F12"/>
    <w:rsid w:val="007C4355"/>
    <w:rsid w:val="00905F82"/>
    <w:rsid w:val="00A85BB5"/>
    <w:rsid w:val="00D86589"/>
    <w:rsid w:val="00F81595"/>
    <w:rsid w:val="0544168B"/>
    <w:rsid w:val="3272300E"/>
    <w:rsid w:val="3E8D0504"/>
    <w:rsid w:val="5EC70B5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name="toc 1"/>
    <w:lsdException w:qFormat="1"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name="header"/>
    <w:lsdException w:qFormat="1"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GB" w:eastAsia="zh-CN" w:bidi="ar-SA"/>
    </w:rPr>
  </w:style>
  <w:style w:type="paragraph" w:styleId="2">
    <w:name w:val="heading 1"/>
    <w:basedOn w:val="1"/>
    <w:next w:val="1"/>
    <w:link w:val="15"/>
    <w:qFormat/>
    <w:uiPriority w:val="9"/>
    <w:pPr>
      <w:keepNext/>
      <w:keepLines/>
      <w:spacing w:before="240" w:after="0"/>
      <w:outlineLvl w:val="0"/>
    </w:pPr>
    <w:rPr>
      <w:rFonts w:asciiTheme="majorHAnsi" w:hAnsiTheme="majorHAnsi" w:eastAsiaTheme="majorEastAsia" w:cstheme="majorBidi"/>
      <w:color w:val="2F5597" w:themeColor="accent1" w:themeShade="BF"/>
      <w:sz w:val="32"/>
      <w:szCs w:val="32"/>
    </w:rPr>
  </w:style>
  <w:style w:type="paragraph" w:styleId="3">
    <w:name w:val="heading 2"/>
    <w:basedOn w:val="1"/>
    <w:next w:val="1"/>
    <w:unhideWhenUsed/>
    <w:qFormat/>
    <w:uiPriority w:val="9"/>
    <w:pPr>
      <w:keepNext/>
      <w:keepLines/>
      <w:spacing w:before="260" w:beforeLines="0" w:beforeAutospacing="0" w:after="260" w:afterLines="0" w:afterAutospacing="0" w:line="413" w:lineRule="auto"/>
      <w:outlineLvl w:val="1"/>
    </w:pPr>
    <w:rPr>
      <w:rFonts w:ascii="Arial" w:hAnsi="Arial" w:eastAsia="黑体"/>
      <w:b/>
      <w:sz w:val="32"/>
    </w:rPr>
  </w:style>
  <w:style w:type="character" w:default="1" w:styleId="10">
    <w:name w:val="Default Paragraph Font"/>
    <w:semiHidden/>
    <w:unhideWhenUsed/>
    <w:qFormat/>
    <w:uiPriority w:val="1"/>
  </w:style>
  <w:style w:type="table" w:default="1" w:styleId="9">
    <w:name w:val="Normal Table"/>
    <w:semiHidden/>
    <w:unhideWhenUsed/>
    <w:qFormat/>
    <w:uiPriority w:val="99"/>
    <w:tblPr>
      <w:tblCellMar>
        <w:top w:w="0" w:type="dxa"/>
        <w:left w:w="108" w:type="dxa"/>
        <w:bottom w:w="0" w:type="dxa"/>
        <w:right w:w="108" w:type="dxa"/>
      </w:tblCellMar>
    </w:tblPr>
  </w:style>
  <w:style w:type="paragraph" w:styleId="4">
    <w:name w:val="footer"/>
    <w:basedOn w:val="1"/>
    <w:semiHidden/>
    <w:unhideWhenUsed/>
    <w:qFormat/>
    <w:uiPriority w:val="99"/>
    <w:pPr>
      <w:tabs>
        <w:tab w:val="center" w:pos="4153"/>
        <w:tab w:val="right" w:pos="8306"/>
      </w:tabs>
      <w:snapToGrid w:val="0"/>
      <w:jc w:val="left"/>
    </w:pPr>
    <w:rPr>
      <w:sz w:val="18"/>
    </w:rPr>
  </w:style>
  <w:style w:type="paragraph" w:styleId="5">
    <w:name w:val="header"/>
    <w:basedOn w:val="1"/>
    <w:semiHidden/>
    <w:unhideWhenUsed/>
    <w:qFormat/>
    <w:uiPriority w:val="99"/>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6">
    <w:name w:val="toc 1"/>
    <w:basedOn w:val="1"/>
    <w:next w:val="1"/>
    <w:semiHidden/>
    <w:unhideWhenUsed/>
    <w:qFormat/>
    <w:uiPriority w:val="39"/>
  </w:style>
  <w:style w:type="paragraph" w:styleId="7">
    <w:name w:val="toc 2"/>
    <w:basedOn w:val="1"/>
    <w:next w:val="1"/>
    <w:semiHidden/>
    <w:unhideWhenUsed/>
    <w:qFormat/>
    <w:uiPriority w:val="39"/>
    <w:pPr>
      <w:ind w:left="420" w:leftChars="200"/>
    </w:pPr>
  </w:style>
  <w:style w:type="paragraph" w:styleId="8">
    <w:name w:val="Normal (Web)"/>
    <w:basedOn w:val="1"/>
    <w:semiHidden/>
    <w:unhideWhenUsed/>
    <w:qFormat/>
    <w:uiPriority w:val="99"/>
    <w:pPr>
      <w:spacing w:before="0" w:beforeAutospacing="1" w:after="0" w:afterAutospacing="1"/>
      <w:ind w:left="0" w:right="0"/>
      <w:jc w:val="left"/>
    </w:pPr>
    <w:rPr>
      <w:kern w:val="0"/>
      <w:sz w:val="24"/>
      <w:lang w:val="en-US" w:eastAsia="zh-CN" w:bidi="ar"/>
    </w:rPr>
  </w:style>
  <w:style w:type="character" w:styleId="11">
    <w:name w:val="Hyperlink"/>
    <w:basedOn w:val="10"/>
    <w:semiHidden/>
    <w:unhideWhenUsed/>
    <w:qFormat/>
    <w:uiPriority w:val="99"/>
    <w:rPr>
      <w:color w:val="0000FF"/>
      <w:u w:val="single"/>
    </w:rPr>
  </w:style>
  <w:style w:type="paragraph" w:styleId="12">
    <w:name w:val="No Spacing"/>
    <w:link w:val="13"/>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3">
    <w:name w:val="No Spacing Char"/>
    <w:basedOn w:val="10"/>
    <w:link w:val="12"/>
    <w:qFormat/>
    <w:uiPriority w:val="1"/>
    <w:rPr>
      <w:lang w:val="en-US" w:eastAsia="en-US"/>
    </w:rPr>
  </w:style>
  <w:style w:type="paragraph" w:styleId="14">
    <w:name w:val="List Paragraph"/>
    <w:basedOn w:val="1"/>
    <w:qFormat/>
    <w:uiPriority w:val="34"/>
    <w:pPr>
      <w:ind w:left="720"/>
      <w:contextualSpacing/>
    </w:pPr>
  </w:style>
  <w:style w:type="character" w:customStyle="1" w:styleId="15">
    <w:name w:val="Heading 1 Char"/>
    <w:basedOn w:val="10"/>
    <w:link w:val="2"/>
    <w:qFormat/>
    <w:uiPriority w:val="9"/>
    <w:rPr>
      <w:rFonts w:asciiTheme="majorHAnsi" w:hAnsiTheme="majorHAnsi" w:eastAsiaTheme="majorEastAsia" w:cstheme="majorBidi"/>
      <w:color w:val="2F5597" w:themeColor="accent1" w:themeShade="BF"/>
      <w:sz w:val="32"/>
      <w:szCs w:val="32"/>
    </w:rPr>
  </w:style>
  <w:style w:type="paragraph" w:customStyle="1" w:styleId="16">
    <w:name w:val="TOC Heading"/>
    <w:basedOn w:val="2"/>
    <w:next w:val="1"/>
    <w:unhideWhenUsed/>
    <w:qFormat/>
    <w:uiPriority w:val="39"/>
    <w:pPr>
      <w:outlineLvl w:val="9"/>
    </w:pPr>
    <w:rPr>
      <w:lang w:val="en-US" w:eastAsia="en-US"/>
    </w:rPr>
  </w:style>
  <w:style w:type="paragraph" w:customStyle="1" w:styleId="17">
    <w:name w:val="WPSOffice手动目录 1"/>
    <w:qFormat/>
    <w:uiPriority w:val="0"/>
    <w:pPr>
      <w:ind w:leftChars="0"/>
    </w:pPr>
    <w:rPr>
      <w:rFonts w:ascii="Times New Roman" w:hAnsi="Times New Roman" w:eastAsia="宋体" w:cs="Times New Roman"/>
      <w:sz w:val="20"/>
      <w:szCs w:val="20"/>
    </w:rPr>
  </w:style>
  <w:style w:type="paragraph" w:customStyle="1" w:styleId="18">
    <w:name w:val="WPSOffice手动目录 2"/>
    <w:qFormat/>
    <w:uiPriority w:val="0"/>
    <w:pPr>
      <w:ind w:leftChars="2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image" Target="media/image2.png"/><Relationship Id="rId8" Type="http://schemas.openxmlformats.org/officeDocument/2006/relationships/image" Target="media/image1.jpeg"/><Relationship Id="rId7" Type="http://schemas.openxmlformats.org/officeDocument/2006/relationships/theme" Target="theme/theme1.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2.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099F4080-421D-4C91-868C-0DF8A87F284B}">
  <ds:schemaRefs/>
</ds:datastoreItem>
</file>

<file path=docProps/app.xml><?xml version="1.0" encoding="utf-8"?>
<Properties xmlns="http://schemas.openxmlformats.org/officeDocument/2006/extended-properties" xmlns:vt="http://schemas.openxmlformats.org/officeDocument/2006/docPropsVTypes">
  <Template>Normal</Template>
  <Pages>9</Pages>
  <Words>206</Words>
  <Characters>1175</Characters>
  <Lines>9</Lines>
  <Paragraphs>2</Paragraphs>
  <TotalTime>1</TotalTime>
  <ScaleCrop>false</ScaleCrop>
  <LinksUpToDate>false</LinksUpToDate>
  <CharactersWithSpaces>1379</CharactersWithSpaces>
  <Application>WPS Office_12.1.0.15990_F1E327BC-269C-435d-A152-05C5408002CA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2023-10-23T22:25:00Z</dcterms:created>
  <dc:creator>Gwyneth Jones</dc:creator>
  <cp:lastModifiedBy>WPS_1340919765</cp:lastModifiedBy>
  <dcterms:modified xsi:type="dcterms:W3CDTF">2024-01-17T16:02:40Z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2052-12.1.0.15990</vt:lpwstr>
  </property>
  <property fmtid="{D5CDD505-2E9C-101B-9397-08002B2CF9AE}" pid="3" name="ICV">
    <vt:lpwstr>7A4C64F1A5CB456B80C81AABA8F4504B_13</vt:lpwstr>
  </property>
</Properties>
</file>