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FECCF" w14:textId="77777777" w:rsidR="00D508DE" w:rsidRDefault="00D508DE" w:rsidP="00042177">
      <w:pPr>
        <w:spacing w:after="0"/>
        <w:jc w:val="center"/>
        <w:rPr>
          <w:rFonts w:cs="Times New Roman"/>
          <w:lang w:val="en-GB"/>
        </w:rPr>
      </w:pPr>
    </w:p>
    <w:p w14:paraId="3E9CC84C" w14:textId="77777777" w:rsidR="00042177" w:rsidRDefault="00042177" w:rsidP="00042177">
      <w:pPr>
        <w:spacing w:after="0"/>
        <w:jc w:val="center"/>
        <w:rPr>
          <w:rFonts w:cs="Times New Roman"/>
          <w:lang w:val="en-GB"/>
        </w:rPr>
      </w:pPr>
    </w:p>
    <w:p w14:paraId="1FBCD245" w14:textId="77777777" w:rsidR="00042177" w:rsidRDefault="00042177" w:rsidP="00042177">
      <w:pPr>
        <w:spacing w:after="0"/>
        <w:jc w:val="center"/>
        <w:rPr>
          <w:rFonts w:cs="Times New Roman"/>
          <w:lang w:val="en-GB"/>
        </w:rPr>
      </w:pPr>
    </w:p>
    <w:p w14:paraId="29DB5F8F" w14:textId="77777777" w:rsidR="00042177" w:rsidRDefault="00042177" w:rsidP="00042177">
      <w:pPr>
        <w:spacing w:after="0"/>
        <w:jc w:val="center"/>
        <w:rPr>
          <w:rFonts w:cs="Times New Roman"/>
          <w:lang w:val="en-GB"/>
        </w:rPr>
      </w:pPr>
    </w:p>
    <w:p w14:paraId="5FEDB728" w14:textId="77777777" w:rsidR="00042177" w:rsidRDefault="00042177" w:rsidP="00042177">
      <w:pPr>
        <w:spacing w:after="0"/>
        <w:jc w:val="center"/>
        <w:rPr>
          <w:rFonts w:cs="Times New Roman"/>
          <w:lang w:val="en-GB"/>
        </w:rPr>
      </w:pPr>
    </w:p>
    <w:p w14:paraId="3D985AF0" w14:textId="77777777" w:rsidR="00042177" w:rsidRPr="00042177" w:rsidRDefault="00042177" w:rsidP="00042177">
      <w:pPr>
        <w:spacing w:after="0"/>
        <w:jc w:val="center"/>
        <w:rPr>
          <w:rFonts w:cs="Times New Roman"/>
          <w:lang w:val="en-GB"/>
        </w:rPr>
      </w:pPr>
    </w:p>
    <w:p w14:paraId="18E58820" w14:textId="77777777" w:rsidR="00C751D8" w:rsidRPr="00042177" w:rsidRDefault="00C751D8" w:rsidP="00042177">
      <w:pPr>
        <w:spacing w:after="0"/>
        <w:jc w:val="center"/>
        <w:rPr>
          <w:rFonts w:cs="Times New Roman"/>
          <w:lang w:val="en-GB"/>
        </w:rPr>
      </w:pPr>
    </w:p>
    <w:p w14:paraId="38A3EC6C" w14:textId="77777777" w:rsidR="00BE4D86" w:rsidRPr="00042177" w:rsidRDefault="00EF41A5" w:rsidP="00042177">
      <w:pPr>
        <w:spacing w:after="0"/>
        <w:jc w:val="center"/>
        <w:rPr>
          <w:rFonts w:cs="Times New Roman"/>
          <w:b/>
          <w:bCs/>
          <w:sz w:val="28"/>
          <w:szCs w:val="24"/>
          <w:lang w:val="en-GB"/>
        </w:rPr>
      </w:pPr>
      <w:r w:rsidRPr="00042177">
        <w:rPr>
          <w:rFonts w:cs="Times New Roman"/>
          <w:noProof/>
          <w:lang w:val="en-GB"/>
        </w:rPr>
        <w:drawing>
          <wp:inline distT="0" distB="0" distL="0" distR="0" wp14:anchorId="75BA2732" wp14:editId="017EAB78">
            <wp:extent cx="2025650" cy="686738"/>
            <wp:effectExtent l="0" t="0" r="0" b="0"/>
            <wp:docPr id="1331059163" name="Picture 1"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059163" name="Picture 1" descr="University of the week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046823" cy="693916"/>
                    </a:xfrm>
                    <a:prstGeom prst="rect">
                      <a:avLst/>
                    </a:prstGeom>
                    <a:noFill/>
                    <a:ln>
                      <a:noFill/>
                    </a:ln>
                    <a:extLst>
                      <a:ext uri="{53640926-AAD7-44D8-BBD7-CCE9431645EC}">
                        <a14:shadowObscured xmlns:a14="http://schemas.microsoft.com/office/drawing/2010/main"/>
                      </a:ext>
                    </a:extLst>
                  </pic:spPr>
                </pic:pic>
              </a:graphicData>
            </a:graphic>
          </wp:inline>
        </w:drawing>
      </w:r>
    </w:p>
    <w:p w14:paraId="03B1B8F0" w14:textId="77777777" w:rsidR="00C751D8" w:rsidRPr="00042177" w:rsidRDefault="00EF41A5" w:rsidP="00042177">
      <w:pPr>
        <w:spacing w:after="0"/>
        <w:jc w:val="center"/>
        <w:rPr>
          <w:rFonts w:cs="Times New Roman"/>
          <w:b/>
          <w:bCs/>
          <w:sz w:val="28"/>
          <w:szCs w:val="28"/>
          <w:lang w:val="en-GB"/>
        </w:rPr>
      </w:pPr>
      <w:r w:rsidRPr="00042177">
        <w:rPr>
          <w:rFonts w:cs="Times New Roman"/>
          <w:b/>
          <w:bCs/>
          <w:sz w:val="28"/>
          <w:szCs w:val="28"/>
          <w:lang w:val="en-GB"/>
        </w:rPr>
        <w:t xml:space="preserve">BA Business Management </w:t>
      </w:r>
    </w:p>
    <w:p w14:paraId="54109086" w14:textId="77777777" w:rsidR="00C751D8" w:rsidRPr="00042177" w:rsidRDefault="00EF41A5" w:rsidP="00042177">
      <w:pPr>
        <w:spacing w:after="0"/>
        <w:jc w:val="center"/>
        <w:rPr>
          <w:rFonts w:cs="Times New Roman"/>
          <w:b/>
          <w:bCs/>
          <w:sz w:val="28"/>
          <w:szCs w:val="28"/>
          <w:lang w:val="en-GB"/>
        </w:rPr>
      </w:pPr>
      <w:r w:rsidRPr="00042177">
        <w:rPr>
          <w:rFonts w:cs="Times New Roman"/>
          <w:b/>
          <w:bCs/>
          <w:sz w:val="28"/>
          <w:szCs w:val="28"/>
          <w:lang w:val="en-GB"/>
        </w:rPr>
        <w:t xml:space="preserve">LCBB4002 – Community Engagement </w:t>
      </w:r>
    </w:p>
    <w:p w14:paraId="1A854D82" w14:textId="77777777" w:rsidR="00C751D8" w:rsidRPr="00042177" w:rsidRDefault="00EF41A5" w:rsidP="00042177">
      <w:pPr>
        <w:spacing w:after="0"/>
        <w:jc w:val="center"/>
        <w:rPr>
          <w:rFonts w:cs="Times New Roman"/>
          <w:b/>
          <w:bCs/>
          <w:sz w:val="28"/>
          <w:szCs w:val="28"/>
          <w:lang w:val="en-GB"/>
        </w:rPr>
      </w:pPr>
      <w:r w:rsidRPr="00042177">
        <w:rPr>
          <w:rFonts w:cs="Times New Roman"/>
          <w:b/>
          <w:bCs/>
          <w:sz w:val="28"/>
          <w:szCs w:val="28"/>
          <w:lang w:val="en-GB"/>
        </w:rPr>
        <w:t xml:space="preserve">Component 1: Essay </w:t>
      </w:r>
    </w:p>
    <w:p w14:paraId="06FB2C20" w14:textId="534C1FC3" w:rsidR="00C751D8" w:rsidRPr="00042177" w:rsidRDefault="00EF41A5" w:rsidP="00042177">
      <w:pPr>
        <w:spacing w:after="0"/>
        <w:jc w:val="center"/>
        <w:rPr>
          <w:rFonts w:cs="Times New Roman"/>
          <w:b/>
          <w:bCs/>
          <w:sz w:val="28"/>
          <w:szCs w:val="28"/>
          <w:lang w:val="en-GB"/>
        </w:rPr>
      </w:pPr>
      <w:r w:rsidRPr="00042177">
        <w:rPr>
          <w:rFonts w:cs="Times New Roman"/>
          <w:b/>
          <w:bCs/>
          <w:sz w:val="28"/>
          <w:szCs w:val="28"/>
          <w:lang w:val="en-GB"/>
        </w:rPr>
        <w:t>Student Name:</w:t>
      </w:r>
      <w:r w:rsidR="00733BFE">
        <w:rPr>
          <w:rFonts w:cs="Times New Roman"/>
          <w:b/>
          <w:bCs/>
          <w:sz w:val="28"/>
          <w:szCs w:val="28"/>
          <w:lang w:val="en-GB"/>
        </w:rPr>
        <w:t xml:space="preserve"> Cristina Elena </w:t>
      </w:r>
      <w:proofErr w:type="spellStart"/>
      <w:r w:rsidR="00733BFE">
        <w:rPr>
          <w:rFonts w:cs="Times New Roman"/>
          <w:b/>
          <w:bCs/>
          <w:sz w:val="28"/>
          <w:szCs w:val="28"/>
          <w:lang w:val="en-GB"/>
        </w:rPr>
        <w:t>Negoita</w:t>
      </w:r>
      <w:proofErr w:type="spellEnd"/>
    </w:p>
    <w:p w14:paraId="6CD88E6E" w14:textId="514EF126" w:rsidR="00C751D8" w:rsidRPr="00042177" w:rsidRDefault="00EF41A5" w:rsidP="00042177">
      <w:pPr>
        <w:spacing w:after="0"/>
        <w:jc w:val="center"/>
        <w:rPr>
          <w:rFonts w:cs="Times New Roman"/>
          <w:b/>
          <w:bCs/>
          <w:sz w:val="28"/>
          <w:szCs w:val="28"/>
          <w:lang w:val="en-GB"/>
        </w:rPr>
      </w:pPr>
      <w:r w:rsidRPr="00042177">
        <w:rPr>
          <w:rFonts w:cs="Times New Roman"/>
          <w:b/>
          <w:bCs/>
          <w:sz w:val="28"/>
          <w:szCs w:val="28"/>
          <w:lang w:val="en-GB"/>
        </w:rPr>
        <w:t>Student ID:</w:t>
      </w:r>
      <w:r w:rsidR="00733BFE">
        <w:rPr>
          <w:rFonts w:cs="Times New Roman"/>
          <w:b/>
          <w:bCs/>
          <w:sz w:val="28"/>
          <w:szCs w:val="28"/>
          <w:lang w:val="en-GB"/>
        </w:rPr>
        <w:t xml:space="preserve"> 2133077</w:t>
      </w:r>
    </w:p>
    <w:p w14:paraId="4ADD04C0" w14:textId="760F9D9F" w:rsidR="00BE4D86" w:rsidRDefault="00C97082" w:rsidP="00042177">
      <w:pPr>
        <w:spacing w:after="0"/>
        <w:jc w:val="center"/>
        <w:rPr>
          <w:rFonts w:cs="Times New Roman"/>
          <w:b/>
          <w:bCs/>
          <w:sz w:val="28"/>
          <w:szCs w:val="28"/>
          <w:lang w:val="en-GB"/>
        </w:rPr>
      </w:pPr>
      <w:r>
        <w:rPr>
          <w:rFonts w:cs="Times New Roman"/>
          <w:b/>
          <w:bCs/>
          <w:sz w:val="28"/>
          <w:szCs w:val="28"/>
          <w:lang w:val="en-GB"/>
        </w:rPr>
        <w:t xml:space="preserve">Lecturer: Dr </w:t>
      </w:r>
      <w:proofErr w:type="spellStart"/>
      <w:r>
        <w:rPr>
          <w:rFonts w:cs="Times New Roman"/>
          <w:b/>
          <w:bCs/>
          <w:sz w:val="28"/>
          <w:szCs w:val="28"/>
          <w:lang w:val="en-GB"/>
        </w:rPr>
        <w:t>Faizu</w:t>
      </w:r>
      <w:proofErr w:type="spellEnd"/>
      <w:r>
        <w:rPr>
          <w:rFonts w:cs="Times New Roman"/>
          <w:b/>
          <w:bCs/>
          <w:sz w:val="28"/>
          <w:szCs w:val="28"/>
          <w:lang w:val="en-GB"/>
        </w:rPr>
        <w:t xml:space="preserve"> Edu</w:t>
      </w:r>
    </w:p>
    <w:p w14:paraId="1C0C1E15" w14:textId="77777777" w:rsidR="005916CB" w:rsidRPr="00042177" w:rsidRDefault="005916CB" w:rsidP="00042177">
      <w:pPr>
        <w:spacing w:after="0"/>
        <w:jc w:val="center"/>
        <w:rPr>
          <w:rFonts w:cs="Times New Roman"/>
          <w:b/>
          <w:bCs/>
          <w:sz w:val="28"/>
          <w:szCs w:val="28"/>
          <w:lang w:val="en-GB"/>
        </w:rPr>
      </w:pPr>
      <w:r>
        <w:rPr>
          <w:rFonts w:cs="Times New Roman"/>
          <w:b/>
          <w:bCs/>
          <w:sz w:val="28"/>
          <w:szCs w:val="28"/>
          <w:lang w:val="en-GB"/>
        </w:rPr>
        <w:t>Word count: 2088</w:t>
      </w:r>
    </w:p>
    <w:p w14:paraId="17EAC76D" w14:textId="77777777" w:rsidR="00C12494" w:rsidRPr="00042177" w:rsidRDefault="00EF41A5" w:rsidP="00042177">
      <w:pPr>
        <w:spacing w:after="0"/>
        <w:jc w:val="left"/>
        <w:rPr>
          <w:rFonts w:cs="Times New Roman"/>
          <w:b/>
          <w:bCs/>
          <w:sz w:val="28"/>
          <w:szCs w:val="24"/>
          <w:lang w:val="en-GB"/>
        </w:rPr>
      </w:pPr>
      <w:r w:rsidRPr="00042177">
        <w:rPr>
          <w:rFonts w:cs="Times New Roman"/>
          <w:b/>
          <w:bCs/>
          <w:sz w:val="28"/>
          <w:szCs w:val="24"/>
          <w:lang w:val="en-GB"/>
        </w:rPr>
        <w:br w:type="page"/>
      </w:r>
    </w:p>
    <w:p w14:paraId="24F15221" w14:textId="77777777" w:rsidR="00BF0EE6" w:rsidRPr="00042177" w:rsidRDefault="00EF41A5" w:rsidP="00042177">
      <w:pPr>
        <w:spacing w:after="0"/>
        <w:jc w:val="center"/>
        <w:rPr>
          <w:rFonts w:cs="Times New Roman"/>
          <w:b/>
          <w:bCs/>
          <w:sz w:val="32"/>
          <w:szCs w:val="32"/>
          <w:lang w:val="en-GB"/>
        </w:rPr>
      </w:pPr>
      <w:r w:rsidRPr="00042177">
        <w:rPr>
          <w:rFonts w:cs="Times New Roman"/>
          <w:b/>
          <w:bCs/>
          <w:sz w:val="32"/>
          <w:szCs w:val="32"/>
          <w:lang w:val="en-GB"/>
        </w:rPr>
        <w:lastRenderedPageBreak/>
        <w:t>An Essay on Community Engagement Project-</w:t>
      </w:r>
    </w:p>
    <w:p w14:paraId="58E871EF" w14:textId="77777777" w:rsidR="00EE5755" w:rsidRPr="00042177" w:rsidRDefault="00EF41A5" w:rsidP="00042177">
      <w:pPr>
        <w:spacing w:after="0"/>
        <w:jc w:val="center"/>
        <w:rPr>
          <w:rFonts w:cs="Times New Roman"/>
          <w:b/>
          <w:bCs/>
          <w:sz w:val="32"/>
          <w:szCs w:val="32"/>
          <w:lang w:val="en-GB"/>
        </w:rPr>
      </w:pPr>
      <w:r w:rsidRPr="00042177">
        <w:rPr>
          <w:rFonts w:cs="Times New Roman"/>
          <w:b/>
          <w:bCs/>
          <w:sz w:val="32"/>
          <w:szCs w:val="32"/>
          <w:lang w:val="en-GB"/>
        </w:rPr>
        <w:t xml:space="preserve">The Big Lunch </w:t>
      </w:r>
    </w:p>
    <w:p w14:paraId="6867D5A2" w14:textId="77777777" w:rsidR="00C12494" w:rsidRPr="00042177" w:rsidRDefault="00EF41A5" w:rsidP="00042177">
      <w:pPr>
        <w:pStyle w:val="Heading1"/>
        <w:rPr>
          <w:lang w:val="en-GB"/>
        </w:rPr>
      </w:pPr>
      <w:r w:rsidRPr="00042177">
        <w:rPr>
          <w:lang w:val="en-GB"/>
        </w:rPr>
        <w:t xml:space="preserve">Introduction </w:t>
      </w:r>
    </w:p>
    <w:p w14:paraId="727B92B2" w14:textId="77777777" w:rsidR="000B4895" w:rsidRPr="00042177" w:rsidRDefault="00EF41A5" w:rsidP="00042177">
      <w:pPr>
        <w:spacing w:after="0"/>
        <w:rPr>
          <w:rFonts w:cs="Times New Roman"/>
          <w:b/>
          <w:bCs/>
          <w:lang w:val="en-GB"/>
        </w:rPr>
      </w:pPr>
      <w:r w:rsidRPr="00042177">
        <w:rPr>
          <w:rFonts w:cs="Times New Roman"/>
          <w:lang w:val="en-GB"/>
        </w:rPr>
        <w:t xml:space="preserve">According to Watson (2007), including and empowering community people, community engagement is an approach that aims to increase their participation, collaboration, and shared decision-making. Its objective is to encourage companies, institutions, and community members to communicate with one another in a way that goes beyond just relaying facts (Inman and Schutze, 2010). An instance that exemplifies the profound impact of human interaction is the community-oriented Eden Project Communities project, known as The Big Lunch. The </w:t>
      </w:r>
      <w:r w:rsidR="00C814A7" w:rsidRPr="00042177">
        <w:rPr>
          <w:rFonts w:cs="Times New Roman"/>
          <w:lang w:val="en-GB"/>
        </w:rPr>
        <w:t>essay</w:t>
      </w:r>
      <w:r w:rsidRPr="00042177">
        <w:rPr>
          <w:rFonts w:cs="Times New Roman"/>
          <w:lang w:val="en-GB"/>
        </w:rPr>
        <w:t xml:space="preserve"> provides an in-depth analysis of the Big Lunch Project, including its objectives, benefits, stakeholder engagement, and strategic methodologies. The plan is a complete community development model that promotes volunteer empowerment and establishes collaborative networks to drive community improvement (Streck, 20220). In order to get a deeper comprehension of the constantly evolving dynamics of community engagement and its impacts on individuals and collectives, this report will use the hypothetical analysis to understand the project "</w:t>
      </w:r>
      <w:r w:rsidRPr="00042177">
        <w:rPr>
          <w:rFonts w:cs="Times New Roman"/>
          <w:b/>
          <w:bCs/>
          <w:lang w:val="en-GB"/>
        </w:rPr>
        <w:t xml:space="preserve">The Big Lunch better". </w:t>
      </w:r>
    </w:p>
    <w:p w14:paraId="09B7B79F" w14:textId="77777777" w:rsidR="00C12494" w:rsidRPr="00042177" w:rsidRDefault="00EF41A5" w:rsidP="00042177">
      <w:pPr>
        <w:pStyle w:val="Heading1"/>
        <w:rPr>
          <w:lang w:val="en-GB"/>
        </w:rPr>
      </w:pPr>
      <w:r w:rsidRPr="00042177">
        <w:rPr>
          <w:lang w:val="en-GB"/>
        </w:rPr>
        <w:t xml:space="preserve">About the Project </w:t>
      </w:r>
    </w:p>
    <w:p w14:paraId="680BF31A" w14:textId="77777777" w:rsidR="00A53004" w:rsidRPr="00042177" w:rsidRDefault="00EF41A5" w:rsidP="00042177">
      <w:pPr>
        <w:keepNext/>
        <w:spacing w:after="0"/>
        <w:jc w:val="center"/>
        <w:rPr>
          <w:rFonts w:cs="Times New Roman"/>
          <w:b/>
          <w:bCs/>
          <w:sz w:val="20"/>
          <w:szCs w:val="20"/>
          <w:lang w:val="en-GB"/>
        </w:rPr>
      </w:pPr>
      <w:r w:rsidRPr="00042177">
        <w:rPr>
          <w:rFonts w:cs="Times New Roman"/>
          <w:b/>
          <w:bCs/>
          <w:noProof/>
          <w:sz w:val="20"/>
          <w:szCs w:val="20"/>
          <w:lang w:val="en-GB"/>
        </w:rPr>
        <w:drawing>
          <wp:inline distT="0" distB="0" distL="0" distR="0" wp14:anchorId="7384C945" wp14:editId="1BD82511">
            <wp:extent cx="5921075" cy="2158409"/>
            <wp:effectExtent l="0" t="0" r="3810" b="0"/>
            <wp:docPr id="1340192892" name="Picture 3" descr="Case Study: Big Lunch &amp; Great Get Together - Sh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92892" name="Picture 3" descr="Case Study: Big Lunch &amp; Great Get Together - Shift"/>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45510" cy="2167316"/>
                    </a:xfrm>
                    <a:prstGeom prst="rect">
                      <a:avLst/>
                    </a:prstGeom>
                    <a:noFill/>
                    <a:ln>
                      <a:noFill/>
                    </a:ln>
                  </pic:spPr>
                </pic:pic>
              </a:graphicData>
            </a:graphic>
          </wp:inline>
        </w:drawing>
      </w:r>
    </w:p>
    <w:p w14:paraId="2D7A09F5" w14:textId="77777777" w:rsidR="00A53004" w:rsidRPr="00042177" w:rsidRDefault="00EF41A5" w:rsidP="00042177">
      <w:pPr>
        <w:pStyle w:val="Caption"/>
        <w:spacing w:after="0" w:line="360" w:lineRule="auto"/>
        <w:jc w:val="center"/>
        <w:rPr>
          <w:rFonts w:cs="Times New Roman"/>
          <w:b/>
          <w:bCs/>
          <w:i w:val="0"/>
          <w:iCs w:val="0"/>
          <w:color w:val="auto"/>
          <w:sz w:val="20"/>
          <w:szCs w:val="20"/>
          <w:lang w:val="en-GB"/>
        </w:rPr>
      </w:pPr>
      <w:r w:rsidRPr="00042177">
        <w:rPr>
          <w:rFonts w:cs="Times New Roman"/>
          <w:b/>
          <w:bCs/>
          <w:i w:val="0"/>
          <w:iCs w:val="0"/>
          <w:color w:val="auto"/>
          <w:sz w:val="20"/>
          <w:szCs w:val="20"/>
          <w:lang w:val="en-GB"/>
        </w:rPr>
        <w:t xml:space="preserve">Figure </w:t>
      </w:r>
      <w:r w:rsidRPr="00042177">
        <w:rPr>
          <w:rFonts w:cs="Times New Roman"/>
          <w:b/>
          <w:bCs/>
          <w:i w:val="0"/>
          <w:iCs w:val="0"/>
          <w:color w:val="auto"/>
          <w:sz w:val="20"/>
          <w:szCs w:val="20"/>
          <w:lang w:val="en-GB"/>
        </w:rPr>
        <w:fldChar w:fldCharType="begin"/>
      </w:r>
      <w:r w:rsidRPr="00042177">
        <w:rPr>
          <w:rFonts w:cs="Times New Roman"/>
          <w:b/>
          <w:bCs/>
          <w:i w:val="0"/>
          <w:iCs w:val="0"/>
          <w:color w:val="auto"/>
          <w:sz w:val="20"/>
          <w:szCs w:val="20"/>
          <w:lang w:val="en-GB"/>
        </w:rPr>
        <w:instrText xml:space="preserve"> SEQ Figure \* ARABIC </w:instrText>
      </w:r>
      <w:r w:rsidRPr="00042177">
        <w:rPr>
          <w:rFonts w:cs="Times New Roman"/>
          <w:b/>
          <w:bCs/>
          <w:i w:val="0"/>
          <w:iCs w:val="0"/>
          <w:color w:val="auto"/>
          <w:sz w:val="20"/>
          <w:szCs w:val="20"/>
          <w:lang w:val="en-GB"/>
        </w:rPr>
        <w:fldChar w:fldCharType="separate"/>
      </w:r>
      <w:r w:rsidRPr="00042177">
        <w:rPr>
          <w:rFonts w:cs="Times New Roman"/>
          <w:b/>
          <w:bCs/>
          <w:i w:val="0"/>
          <w:iCs w:val="0"/>
          <w:noProof/>
          <w:color w:val="auto"/>
          <w:sz w:val="20"/>
          <w:szCs w:val="20"/>
          <w:lang w:val="en-GB"/>
        </w:rPr>
        <w:t>1</w:t>
      </w:r>
      <w:r w:rsidRPr="00042177">
        <w:rPr>
          <w:rFonts w:cs="Times New Roman"/>
          <w:b/>
          <w:bCs/>
          <w:i w:val="0"/>
          <w:iCs w:val="0"/>
          <w:color w:val="auto"/>
          <w:sz w:val="20"/>
          <w:szCs w:val="20"/>
          <w:lang w:val="en-GB"/>
        </w:rPr>
        <w:fldChar w:fldCharType="end"/>
      </w:r>
      <w:r w:rsidRPr="00042177">
        <w:rPr>
          <w:rFonts w:cs="Times New Roman"/>
          <w:b/>
          <w:bCs/>
          <w:i w:val="0"/>
          <w:iCs w:val="0"/>
          <w:color w:val="auto"/>
          <w:sz w:val="20"/>
          <w:szCs w:val="20"/>
          <w:lang w:val="en-GB"/>
        </w:rPr>
        <w:t>: The Big Lunch Project</w:t>
      </w:r>
    </w:p>
    <w:p w14:paraId="3DDCC9DB" w14:textId="77777777" w:rsidR="00A53004" w:rsidRPr="00042177" w:rsidRDefault="00EF41A5" w:rsidP="00042177">
      <w:pPr>
        <w:spacing w:after="0"/>
        <w:jc w:val="center"/>
        <w:rPr>
          <w:rFonts w:cs="Times New Roman"/>
          <w:b/>
          <w:bCs/>
          <w:sz w:val="20"/>
          <w:szCs w:val="20"/>
          <w:lang w:val="en-GB"/>
        </w:rPr>
      </w:pPr>
      <w:r w:rsidRPr="00042177">
        <w:rPr>
          <w:rFonts w:cs="Times New Roman"/>
          <w:b/>
          <w:bCs/>
          <w:sz w:val="20"/>
          <w:szCs w:val="20"/>
          <w:lang w:val="en-GB"/>
        </w:rPr>
        <w:t>Source: (Rossi et al., 2021)</w:t>
      </w:r>
    </w:p>
    <w:p w14:paraId="5A38A5D5" w14:textId="77777777" w:rsidR="00C12494" w:rsidRPr="00042177" w:rsidRDefault="00EF41A5" w:rsidP="00042177">
      <w:pPr>
        <w:spacing w:after="0"/>
        <w:rPr>
          <w:rFonts w:cs="Times New Roman"/>
          <w:lang w:val="en-GB"/>
        </w:rPr>
      </w:pPr>
      <w:r w:rsidRPr="00042177">
        <w:rPr>
          <w:rFonts w:cs="Times New Roman"/>
          <w:lang w:val="en-GB"/>
        </w:rPr>
        <w:t>The neighbourhood-centric initiative, The Big Lunch, promoted by Eden Project Communities, aims to foster community engagement, collaboration, and a sense of belonging among individuals within their local area</w:t>
      </w:r>
      <w:r w:rsidR="00A53004" w:rsidRPr="00042177">
        <w:rPr>
          <w:rFonts w:cs="Times New Roman"/>
          <w:lang w:val="en-GB"/>
        </w:rPr>
        <w:t xml:space="preserve"> (Radomska, 2023)</w:t>
      </w:r>
      <w:r w:rsidRPr="00042177">
        <w:rPr>
          <w:rFonts w:cs="Times New Roman"/>
          <w:lang w:val="en-GB"/>
        </w:rPr>
        <w:t xml:space="preserve">. The method acknowledges the significance of informal community participation in event coordination, allowing individuals to use their abilities and </w:t>
      </w:r>
      <w:r w:rsidRPr="00042177">
        <w:rPr>
          <w:rFonts w:cs="Times New Roman"/>
          <w:lang w:val="en-GB"/>
        </w:rPr>
        <w:lastRenderedPageBreak/>
        <w:t>passions while simultaneously enjoying themselves. The initiative's guiding principles prioritise fostering a feeling of belonging, active involvement, and genuine interest in one's community</w:t>
      </w:r>
      <w:r w:rsidR="00A53004" w:rsidRPr="00042177">
        <w:rPr>
          <w:rFonts w:cs="Times New Roman"/>
          <w:lang w:val="en-GB"/>
        </w:rPr>
        <w:t xml:space="preserve"> (Acer, 2012)</w:t>
      </w:r>
      <w:r w:rsidRPr="00042177">
        <w:rPr>
          <w:rFonts w:cs="Times New Roman"/>
          <w:lang w:val="en-GB"/>
        </w:rPr>
        <w:t>.</w:t>
      </w:r>
    </w:p>
    <w:p w14:paraId="4A3EBCF6" w14:textId="77777777" w:rsidR="00C12494" w:rsidRPr="00042177" w:rsidRDefault="00EF41A5" w:rsidP="00042177">
      <w:pPr>
        <w:pStyle w:val="Heading2"/>
        <w:rPr>
          <w:lang w:val="en-GB"/>
        </w:rPr>
      </w:pPr>
      <w:r w:rsidRPr="00042177">
        <w:rPr>
          <w:lang w:val="en-GB"/>
        </w:rPr>
        <w:t>Objectives of the Project</w:t>
      </w:r>
    </w:p>
    <w:p w14:paraId="63E40860" w14:textId="77777777" w:rsidR="00C12494" w:rsidRPr="00042177" w:rsidRDefault="00EF41A5" w:rsidP="00042177">
      <w:pPr>
        <w:spacing w:after="0"/>
        <w:rPr>
          <w:rFonts w:cs="Times New Roman"/>
          <w:lang w:val="en-GB"/>
        </w:rPr>
      </w:pPr>
      <w:r w:rsidRPr="00042177">
        <w:rPr>
          <w:rFonts w:cs="Times New Roman"/>
          <w:lang w:val="en-GB"/>
        </w:rPr>
        <w:t xml:space="preserve">The Big Lunch Project has several objectives that are provided below: </w:t>
      </w:r>
    </w:p>
    <w:p w14:paraId="3E223101" w14:textId="77777777" w:rsidR="00C12494" w:rsidRPr="00042177" w:rsidRDefault="00EF41A5" w:rsidP="00042177">
      <w:pPr>
        <w:spacing w:after="0"/>
        <w:rPr>
          <w:rFonts w:cs="Times New Roman"/>
          <w:lang w:val="en-GB"/>
        </w:rPr>
      </w:pPr>
      <w:r w:rsidRPr="00042177">
        <w:rPr>
          <w:rFonts w:cs="Times New Roman"/>
          <w:b/>
          <w:bCs/>
          <w:lang w:val="en-GB"/>
        </w:rPr>
        <w:t xml:space="preserve">Community Building: </w:t>
      </w:r>
      <w:r w:rsidRPr="00042177">
        <w:rPr>
          <w:rFonts w:cs="Times New Roman"/>
          <w:lang w:val="en-GB"/>
        </w:rPr>
        <w:t>The primary objective of events such as The Big Lunch, where people gather to exchange tales, recipes, and other culinary delights, is to promote community growth via collaboration.</w:t>
      </w:r>
    </w:p>
    <w:p w14:paraId="40BEBCF1" w14:textId="77777777" w:rsidR="00C12494" w:rsidRPr="00042177" w:rsidRDefault="00EF41A5" w:rsidP="00042177">
      <w:pPr>
        <w:spacing w:after="0"/>
        <w:rPr>
          <w:rFonts w:cs="Times New Roman"/>
          <w:lang w:val="en-GB"/>
        </w:rPr>
      </w:pPr>
      <w:r w:rsidRPr="00042177">
        <w:rPr>
          <w:rFonts w:cs="Times New Roman"/>
          <w:b/>
          <w:bCs/>
          <w:lang w:val="en-GB"/>
        </w:rPr>
        <w:t xml:space="preserve">Volunteer Empowerment: </w:t>
      </w:r>
      <w:r w:rsidRPr="00042177">
        <w:rPr>
          <w:rFonts w:cs="Times New Roman"/>
          <w:lang w:val="en-GB"/>
        </w:rPr>
        <w:t>Volunteer empowerment equips individuals with the necessary resources to make significant contributions based on their distinct talents, interests, and capabilities. Furthermore, this approach contributes to the betterment of the community and instils a sense of purpose among volunteers</w:t>
      </w:r>
      <w:r w:rsidR="00A53004" w:rsidRPr="00042177">
        <w:rPr>
          <w:rFonts w:cs="Times New Roman"/>
          <w:lang w:val="en-GB"/>
        </w:rPr>
        <w:t xml:space="preserve"> (Acer, 2012)</w:t>
      </w:r>
      <w:r w:rsidRPr="00042177">
        <w:rPr>
          <w:rFonts w:cs="Times New Roman"/>
          <w:lang w:val="en-GB"/>
        </w:rPr>
        <w:t>.</w:t>
      </w:r>
    </w:p>
    <w:p w14:paraId="706351A0" w14:textId="77777777" w:rsidR="00C12494" w:rsidRPr="00042177" w:rsidRDefault="00EF41A5" w:rsidP="00042177">
      <w:pPr>
        <w:spacing w:after="0"/>
        <w:rPr>
          <w:rFonts w:cs="Times New Roman"/>
          <w:lang w:val="en-GB"/>
        </w:rPr>
      </w:pPr>
      <w:r w:rsidRPr="00042177">
        <w:rPr>
          <w:rFonts w:cs="Times New Roman"/>
          <w:b/>
          <w:bCs/>
          <w:lang w:val="en-GB"/>
        </w:rPr>
        <w:t xml:space="preserve">Collaborative Working: </w:t>
      </w:r>
      <w:r w:rsidRPr="00042177">
        <w:rPr>
          <w:rFonts w:cs="Times New Roman"/>
          <w:lang w:val="en-GB"/>
        </w:rPr>
        <w:t>The primary objective of collaborative work is to foster cohesion and cooperation among area enterprises, organisations, and other organisations. The programme aims to facilitate communication among individuals, streamline event organisation and execution via collaborative efforts, and eliminate obstacles in accessing assistance from local government.</w:t>
      </w:r>
    </w:p>
    <w:p w14:paraId="2D3F4C6E" w14:textId="77777777" w:rsidR="00C12494" w:rsidRPr="00042177" w:rsidRDefault="00EF41A5" w:rsidP="00042177">
      <w:pPr>
        <w:pStyle w:val="Heading2"/>
        <w:rPr>
          <w:lang w:val="en-GB"/>
        </w:rPr>
      </w:pPr>
      <w:r w:rsidRPr="00042177">
        <w:rPr>
          <w:lang w:val="en-GB"/>
        </w:rPr>
        <w:t xml:space="preserve">Target Stakeholders </w:t>
      </w:r>
    </w:p>
    <w:p w14:paraId="7063E19D" w14:textId="77777777" w:rsidR="00093BC9" w:rsidRPr="00042177" w:rsidRDefault="00EF41A5" w:rsidP="00042177">
      <w:pPr>
        <w:spacing w:after="0"/>
        <w:rPr>
          <w:rFonts w:cs="Times New Roman"/>
          <w:lang w:val="en-GB"/>
        </w:rPr>
      </w:pPr>
      <w:r w:rsidRPr="00042177">
        <w:rPr>
          <w:rFonts w:cs="Times New Roman"/>
          <w:lang w:val="en-GB"/>
        </w:rPr>
        <w:t xml:space="preserve">The targeted stakeholders are provided using the table below: </w:t>
      </w:r>
    </w:p>
    <w:p w14:paraId="42D33314" w14:textId="77777777" w:rsidR="00C453D2" w:rsidRPr="00042177" w:rsidRDefault="00EF41A5" w:rsidP="00042177">
      <w:pPr>
        <w:pStyle w:val="Caption"/>
        <w:spacing w:after="0" w:line="360" w:lineRule="auto"/>
        <w:jc w:val="center"/>
        <w:rPr>
          <w:rFonts w:cs="Times New Roman"/>
          <w:b/>
          <w:bCs/>
          <w:i w:val="0"/>
          <w:iCs w:val="0"/>
          <w:color w:val="auto"/>
          <w:sz w:val="20"/>
          <w:szCs w:val="20"/>
          <w:lang w:val="en-GB"/>
        </w:rPr>
      </w:pPr>
      <w:r w:rsidRPr="00042177">
        <w:rPr>
          <w:rFonts w:cs="Times New Roman"/>
          <w:b/>
          <w:bCs/>
          <w:i w:val="0"/>
          <w:iCs w:val="0"/>
          <w:color w:val="auto"/>
          <w:sz w:val="20"/>
          <w:szCs w:val="20"/>
          <w:lang w:val="en-GB"/>
        </w:rPr>
        <w:t xml:space="preserve">Table </w:t>
      </w:r>
      <w:r w:rsidRPr="00042177">
        <w:rPr>
          <w:rFonts w:cs="Times New Roman"/>
          <w:b/>
          <w:bCs/>
          <w:i w:val="0"/>
          <w:iCs w:val="0"/>
          <w:color w:val="auto"/>
          <w:sz w:val="20"/>
          <w:szCs w:val="20"/>
          <w:lang w:val="en-GB"/>
        </w:rPr>
        <w:fldChar w:fldCharType="begin"/>
      </w:r>
      <w:r w:rsidRPr="00042177">
        <w:rPr>
          <w:rFonts w:cs="Times New Roman"/>
          <w:b/>
          <w:bCs/>
          <w:i w:val="0"/>
          <w:iCs w:val="0"/>
          <w:color w:val="auto"/>
          <w:sz w:val="20"/>
          <w:szCs w:val="20"/>
          <w:lang w:val="en-GB"/>
        </w:rPr>
        <w:instrText xml:space="preserve"> SEQ Table \* ARABIC </w:instrText>
      </w:r>
      <w:r w:rsidRPr="00042177">
        <w:rPr>
          <w:rFonts w:cs="Times New Roman"/>
          <w:b/>
          <w:bCs/>
          <w:i w:val="0"/>
          <w:iCs w:val="0"/>
          <w:color w:val="auto"/>
          <w:sz w:val="20"/>
          <w:szCs w:val="20"/>
          <w:lang w:val="en-GB"/>
        </w:rPr>
        <w:fldChar w:fldCharType="separate"/>
      </w:r>
      <w:r w:rsidRPr="00042177">
        <w:rPr>
          <w:rFonts w:cs="Times New Roman"/>
          <w:b/>
          <w:bCs/>
          <w:i w:val="0"/>
          <w:iCs w:val="0"/>
          <w:noProof/>
          <w:color w:val="auto"/>
          <w:sz w:val="20"/>
          <w:szCs w:val="20"/>
          <w:lang w:val="en-GB"/>
        </w:rPr>
        <w:t>1</w:t>
      </w:r>
      <w:r w:rsidRPr="00042177">
        <w:rPr>
          <w:rFonts w:cs="Times New Roman"/>
          <w:b/>
          <w:bCs/>
          <w:i w:val="0"/>
          <w:iCs w:val="0"/>
          <w:color w:val="auto"/>
          <w:sz w:val="20"/>
          <w:szCs w:val="20"/>
          <w:lang w:val="en-GB"/>
        </w:rPr>
        <w:fldChar w:fldCharType="end"/>
      </w:r>
      <w:r w:rsidRPr="00042177">
        <w:rPr>
          <w:rFonts w:cs="Times New Roman"/>
          <w:b/>
          <w:bCs/>
          <w:i w:val="0"/>
          <w:iCs w:val="0"/>
          <w:color w:val="auto"/>
          <w:sz w:val="20"/>
          <w:szCs w:val="20"/>
          <w:lang w:val="en-GB"/>
        </w:rPr>
        <w:t>: Stakeholders of the project</w:t>
      </w:r>
    </w:p>
    <w:tbl>
      <w:tblPr>
        <w:tblStyle w:val="TableGrid"/>
        <w:tblW w:w="0" w:type="auto"/>
        <w:tblLook w:val="04A0" w:firstRow="1" w:lastRow="0" w:firstColumn="1" w:lastColumn="0" w:noHBand="0" w:noVBand="1"/>
      </w:tblPr>
      <w:tblGrid>
        <w:gridCol w:w="2346"/>
        <w:gridCol w:w="7004"/>
      </w:tblGrid>
      <w:tr w:rsidR="00890959" w14:paraId="58A07A5B" w14:textId="77777777" w:rsidTr="00093BC9">
        <w:tc>
          <w:tcPr>
            <w:tcW w:w="2376" w:type="dxa"/>
            <w:shd w:val="clear" w:color="auto" w:fill="95B3D7" w:themeFill="accent1" w:themeFillTint="99"/>
          </w:tcPr>
          <w:p w14:paraId="3B5B6773" w14:textId="77777777" w:rsidR="00093BC9" w:rsidRPr="00042177" w:rsidRDefault="00EF41A5" w:rsidP="00042177">
            <w:pPr>
              <w:spacing w:after="0"/>
              <w:jc w:val="center"/>
              <w:rPr>
                <w:rFonts w:cs="Times New Roman"/>
                <w:b/>
                <w:bCs/>
                <w:lang w:val="en-GB"/>
              </w:rPr>
            </w:pPr>
            <w:r w:rsidRPr="00042177">
              <w:rPr>
                <w:rFonts w:cs="Times New Roman"/>
                <w:b/>
                <w:bCs/>
                <w:lang w:val="en-GB"/>
              </w:rPr>
              <w:t>Stakeholders</w:t>
            </w:r>
          </w:p>
        </w:tc>
        <w:tc>
          <w:tcPr>
            <w:tcW w:w="7200" w:type="dxa"/>
            <w:shd w:val="clear" w:color="auto" w:fill="95B3D7" w:themeFill="accent1" w:themeFillTint="99"/>
          </w:tcPr>
          <w:p w14:paraId="3C9C70CF" w14:textId="77777777" w:rsidR="00093BC9" w:rsidRPr="00042177" w:rsidRDefault="00EF41A5" w:rsidP="00042177">
            <w:pPr>
              <w:spacing w:after="0"/>
              <w:jc w:val="center"/>
              <w:rPr>
                <w:rFonts w:cs="Times New Roman"/>
                <w:b/>
                <w:bCs/>
                <w:lang w:val="en-GB"/>
              </w:rPr>
            </w:pPr>
            <w:r w:rsidRPr="00042177">
              <w:rPr>
                <w:rFonts w:cs="Times New Roman"/>
                <w:b/>
                <w:bCs/>
                <w:lang w:val="en-GB"/>
              </w:rPr>
              <w:t>Description</w:t>
            </w:r>
          </w:p>
        </w:tc>
      </w:tr>
      <w:tr w:rsidR="00890959" w14:paraId="50075ED5" w14:textId="77777777" w:rsidTr="00093BC9">
        <w:tc>
          <w:tcPr>
            <w:tcW w:w="2376" w:type="dxa"/>
          </w:tcPr>
          <w:p w14:paraId="1F82E800" w14:textId="77777777" w:rsidR="00093BC9" w:rsidRPr="00042177" w:rsidRDefault="00EF41A5" w:rsidP="00042177">
            <w:pPr>
              <w:spacing w:after="0"/>
              <w:rPr>
                <w:rFonts w:cs="Times New Roman"/>
                <w:lang w:val="en-GB"/>
              </w:rPr>
            </w:pPr>
            <w:r w:rsidRPr="00042177">
              <w:rPr>
                <w:rFonts w:cs="Times New Roman"/>
                <w:lang w:val="en-GB"/>
              </w:rPr>
              <w:t>Community Members</w:t>
            </w:r>
          </w:p>
        </w:tc>
        <w:tc>
          <w:tcPr>
            <w:tcW w:w="7200" w:type="dxa"/>
          </w:tcPr>
          <w:p w14:paraId="7C0B13E6" w14:textId="77777777" w:rsidR="00093BC9" w:rsidRPr="00042177" w:rsidRDefault="00EF41A5" w:rsidP="00042177">
            <w:pPr>
              <w:spacing w:after="0"/>
              <w:rPr>
                <w:rFonts w:cs="Times New Roman"/>
                <w:lang w:val="en-GB"/>
              </w:rPr>
            </w:pPr>
            <w:r w:rsidRPr="00042177">
              <w:rPr>
                <w:rFonts w:cs="Times New Roman"/>
                <w:lang w:val="en-GB"/>
              </w:rPr>
              <w:t>Residents actively participating in and attending local community events like The Big Lunch are considered community members.</w:t>
            </w:r>
          </w:p>
        </w:tc>
      </w:tr>
      <w:tr w:rsidR="00890959" w14:paraId="5D8BF597" w14:textId="77777777" w:rsidTr="00093BC9">
        <w:tc>
          <w:tcPr>
            <w:tcW w:w="2376" w:type="dxa"/>
          </w:tcPr>
          <w:p w14:paraId="45CDEA05" w14:textId="77777777" w:rsidR="00093BC9" w:rsidRPr="00042177" w:rsidRDefault="00EF41A5" w:rsidP="00042177">
            <w:pPr>
              <w:spacing w:after="0"/>
              <w:rPr>
                <w:rFonts w:cs="Times New Roman"/>
                <w:lang w:val="en-GB"/>
              </w:rPr>
            </w:pPr>
            <w:r w:rsidRPr="00042177">
              <w:rPr>
                <w:rFonts w:cs="Times New Roman"/>
                <w:lang w:val="en-GB"/>
              </w:rPr>
              <w:t>Volunteers</w:t>
            </w:r>
          </w:p>
        </w:tc>
        <w:tc>
          <w:tcPr>
            <w:tcW w:w="7200" w:type="dxa"/>
          </w:tcPr>
          <w:p w14:paraId="07979717" w14:textId="77777777" w:rsidR="00093BC9" w:rsidRPr="00042177" w:rsidRDefault="00EF41A5" w:rsidP="00042177">
            <w:pPr>
              <w:spacing w:after="0"/>
              <w:rPr>
                <w:rFonts w:cs="Times New Roman"/>
                <w:lang w:val="en-GB"/>
              </w:rPr>
            </w:pPr>
            <w:r w:rsidRPr="00042177">
              <w:rPr>
                <w:rFonts w:cs="Times New Roman"/>
                <w:lang w:val="en-GB"/>
              </w:rPr>
              <w:t>Volunteers are those within the community who are prepared to provide assistance in the organisation and implementation of events.</w:t>
            </w:r>
          </w:p>
        </w:tc>
      </w:tr>
      <w:tr w:rsidR="00890959" w14:paraId="4767A958" w14:textId="77777777" w:rsidTr="00093BC9">
        <w:tc>
          <w:tcPr>
            <w:tcW w:w="2376" w:type="dxa"/>
          </w:tcPr>
          <w:p w14:paraId="5D599073" w14:textId="77777777" w:rsidR="00093BC9" w:rsidRPr="00042177" w:rsidRDefault="00EF41A5" w:rsidP="00042177">
            <w:pPr>
              <w:spacing w:after="0"/>
              <w:rPr>
                <w:rFonts w:cs="Times New Roman"/>
                <w:lang w:val="en-GB"/>
              </w:rPr>
            </w:pPr>
            <w:r w:rsidRPr="00042177">
              <w:rPr>
                <w:rFonts w:cs="Times New Roman"/>
                <w:lang w:val="en-GB"/>
              </w:rPr>
              <w:t>Local Organisations</w:t>
            </w:r>
          </w:p>
        </w:tc>
        <w:tc>
          <w:tcPr>
            <w:tcW w:w="7200" w:type="dxa"/>
          </w:tcPr>
          <w:p w14:paraId="50076983" w14:textId="77777777" w:rsidR="00093BC9" w:rsidRPr="00042177" w:rsidRDefault="00EF41A5" w:rsidP="00042177">
            <w:pPr>
              <w:spacing w:after="0"/>
              <w:rPr>
                <w:rFonts w:cs="Times New Roman"/>
                <w:lang w:val="en-GB"/>
              </w:rPr>
            </w:pPr>
            <w:r w:rsidRPr="00042177">
              <w:rPr>
                <w:rFonts w:cs="Times New Roman"/>
                <w:lang w:val="en-GB"/>
              </w:rPr>
              <w:t>The Big Lunch engages with local organisations and corporations to organise, execute, and support these events effectively.</w:t>
            </w:r>
          </w:p>
        </w:tc>
      </w:tr>
      <w:tr w:rsidR="00890959" w14:paraId="1BAC95E1" w14:textId="77777777" w:rsidTr="00093BC9">
        <w:tc>
          <w:tcPr>
            <w:tcW w:w="2376" w:type="dxa"/>
          </w:tcPr>
          <w:p w14:paraId="6ED87E3E" w14:textId="77777777" w:rsidR="00093BC9" w:rsidRPr="00042177" w:rsidRDefault="00EF41A5" w:rsidP="00042177">
            <w:pPr>
              <w:spacing w:after="0"/>
              <w:rPr>
                <w:rFonts w:cs="Times New Roman"/>
                <w:lang w:val="en-GB"/>
              </w:rPr>
            </w:pPr>
            <w:r w:rsidRPr="00042177">
              <w:rPr>
                <w:rFonts w:cs="Times New Roman"/>
                <w:lang w:val="en-GB"/>
              </w:rPr>
              <w:t xml:space="preserve">Local Authorities </w:t>
            </w:r>
          </w:p>
        </w:tc>
        <w:tc>
          <w:tcPr>
            <w:tcW w:w="7200" w:type="dxa"/>
          </w:tcPr>
          <w:p w14:paraId="026FF23C" w14:textId="77777777" w:rsidR="00093BC9" w:rsidRPr="00042177" w:rsidRDefault="00EF41A5" w:rsidP="00042177">
            <w:pPr>
              <w:spacing w:after="0"/>
              <w:rPr>
                <w:rFonts w:cs="Times New Roman"/>
                <w:lang w:val="en-GB"/>
              </w:rPr>
            </w:pPr>
            <w:r w:rsidRPr="00042177">
              <w:rPr>
                <w:rFonts w:cs="Times New Roman"/>
                <w:lang w:val="en-GB"/>
              </w:rPr>
              <w:t>The programme aims to foster a fair and empowered relationship between citizens and their local governments by collaborating with communities instead of opposing them.</w:t>
            </w:r>
          </w:p>
        </w:tc>
      </w:tr>
    </w:tbl>
    <w:p w14:paraId="46FEA76A" w14:textId="77777777" w:rsidR="00093BC9" w:rsidRPr="00042177" w:rsidRDefault="00EF41A5" w:rsidP="00042177">
      <w:pPr>
        <w:spacing w:after="0"/>
        <w:jc w:val="center"/>
        <w:rPr>
          <w:rFonts w:cs="Times New Roman"/>
          <w:sz w:val="20"/>
          <w:szCs w:val="18"/>
          <w:lang w:val="en-GB"/>
        </w:rPr>
      </w:pPr>
      <w:r w:rsidRPr="00042177">
        <w:rPr>
          <w:rFonts w:cs="Times New Roman"/>
          <w:sz w:val="20"/>
          <w:szCs w:val="18"/>
          <w:lang w:val="en-GB"/>
        </w:rPr>
        <w:t>Source: (Self-Made)</w:t>
      </w:r>
    </w:p>
    <w:p w14:paraId="326973B6" w14:textId="77777777" w:rsidR="00C751D8" w:rsidRPr="00042177" w:rsidRDefault="00EF41A5" w:rsidP="00042177">
      <w:pPr>
        <w:pStyle w:val="Heading2"/>
        <w:rPr>
          <w:lang w:val="en-GB"/>
        </w:rPr>
      </w:pPr>
      <w:r w:rsidRPr="00042177">
        <w:rPr>
          <w:lang w:val="en-GB"/>
        </w:rPr>
        <w:lastRenderedPageBreak/>
        <w:t xml:space="preserve">Potential Benefits </w:t>
      </w:r>
    </w:p>
    <w:p w14:paraId="1288DDAB" w14:textId="77777777" w:rsidR="00093BC9" w:rsidRPr="00042177" w:rsidRDefault="00EF41A5" w:rsidP="00042177">
      <w:pPr>
        <w:spacing w:after="0"/>
        <w:rPr>
          <w:rFonts w:cs="Times New Roman"/>
          <w:lang w:val="en-GB"/>
        </w:rPr>
      </w:pPr>
      <w:r w:rsidRPr="00042177">
        <w:rPr>
          <w:rFonts w:cs="Times New Roman"/>
          <w:lang w:val="en-GB"/>
        </w:rPr>
        <w:t xml:space="preserve">The project "The Big Lunch" has some benefits. Potential benefits of the community engagement project are provided just below: </w:t>
      </w:r>
    </w:p>
    <w:p w14:paraId="27ACA6B7" w14:textId="77777777" w:rsidR="00093BC9" w:rsidRPr="00042177" w:rsidRDefault="00EF41A5" w:rsidP="00042177">
      <w:pPr>
        <w:pStyle w:val="ListParagraph"/>
        <w:numPr>
          <w:ilvl w:val="0"/>
          <w:numId w:val="1"/>
        </w:numPr>
        <w:spacing w:after="0"/>
        <w:rPr>
          <w:rFonts w:cs="Times New Roman"/>
          <w:lang w:val="en-GB"/>
        </w:rPr>
      </w:pPr>
      <w:r w:rsidRPr="00042177">
        <w:rPr>
          <w:rFonts w:cs="Times New Roman"/>
          <w:b/>
          <w:bCs/>
          <w:lang w:val="en-GB"/>
        </w:rPr>
        <w:t>Community Empowerment:</w:t>
      </w:r>
      <w:r w:rsidRPr="00042177">
        <w:rPr>
          <w:rFonts w:cs="Times New Roman"/>
          <w:lang w:val="en-GB"/>
        </w:rPr>
        <w:t xml:space="preserve"> The Big Lunch elevates local government from the role of a service provider to that of an active participant in the prosperity of the community. Because of this, the community's power dynamic has shifted</w:t>
      </w:r>
      <w:r w:rsidR="00A53004" w:rsidRPr="00042177">
        <w:rPr>
          <w:rFonts w:cs="Times New Roman"/>
          <w:lang w:val="en-GB"/>
        </w:rPr>
        <w:t xml:space="preserve"> (Bungay and Clift, 2010)</w:t>
      </w:r>
      <w:r w:rsidRPr="00042177">
        <w:rPr>
          <w:rFonts w:cs="Times New Roman"/>
          <w:lang w:val="en-GB"/>
        </w:rPr>
        <w:t>.</w:t>
      </w:r>
    </w:p>
    <w:p w14:paraId="258479CC" w14:textId="77777777" w:rsidR="00093BC9" w:rsidRPr="00042177" w:rsidRDefault="00EF41A5" w:rsidP="00042177">
      <w:pPr>
        <w:pStyle w:val="ListParagraph"/>
        <w:numPr>
          <w:ilvl w:val="0"/>
          <w:numId w:val="1"/>
        </w:numPr>
        <w:spacing w:after="0"/>
        <w:rPr>
          <w:rFonts w:cs="Times New Roman"/>
          <w:lang w:val="en-GB"/>
        </w:rPr>
      </w:pPr>
      <w:r w:rsidRPr="00042177">
        <w:rPr>
          <w:rFonts w:cs="Times New Roman"/>
          <w:b/>
          <w:bCs/>
          <w:lang w:val="en-GB"/>
        </w:rPr>
        <w:t xml:space="preserve">Skills Development: </w:t>
      </w:r>
      <w:r w:rsidRPr="00042177">
        <w:rPr>
          <w:rFonts w:cs="Times New Roman"/>
          <w:lang w:val="en-GB"/>
        </w:rPr>
        <w:t>Volunteers have the opportunity to develop their leadership skills while gaining practical experience in organising and executing inclusive activities. People and society benefit from this as they progress.</w:t>
      </w:r>
    </w:p>
    <w:p w14:paraId="66414D3E" w14:textId="77777777" w:rsidR="00093BC9" w:rsidRPr="00042177" w:rsidRDefault="00EF41A5" w:rsidP="00042177">
      <w:pPr>
        <w:pStyle w:val="ListParagraph"/>
        <w:numPr>
          <w:ilvl w:val="0"/>
          <w:numId w:val="1"/>
        </w:numPr>
        <w:spacing w:after="0"/>
        <w:rPr>
          <w:rFonts w:cs="Times New Roman"/>
          <w:lang w:val="en-GB"/>
        </w:rPr>
      </w:pPr>
      <w:r w:rsidRPr="00042177">
        <w:rPr>
          <w:rFonts w:cs="Times New Roman"/>
          <w:b/>
          <w:bCs/>
          <w:lang w:val="en-GB"/>
        </w:rPr>
        <w:t>Cohesion in Society:</w:t>
      </w:r>
      <w:r w:rsidRPr="00042177">
        <w:rPr>
          <w:rFonts w:cs="Times New Roman"/>
          <w:lang w:val="en-GB"/>
        </w:rPr>
        <w:t xml:space="preserve"> By providing a public gathering place where individuals may meet and get to know one another, this initiative hopes to lessen the prevalence of social isolation</w:t>
      </w:r>
      <w:r w:rsidR="00A53004" w:rsidRPr="00042177">
        <w:rPr>
          <w:rFonts w:cs="Times New Roman"/>
          <w:lang w:val="en-GB"/>
        </w:rPr>
        <w:t xml:space="preserve"> (Acer, 2012)</w:t>
      </w:r>
      <w:r w:rsidRPr="00042177">
        <w:rPr>
          <w:rFonts w:cs="Times New Roman"/>
          <w:lang w:val="en-GB"/>
        </w:rPr>
        <w:t>.</w:t>
      </w:r>
    </w:p>
    <w:p w14:paraId="723D1DF6" w14:textId="77777777" w:rsidR="00093BC9" w:rsidRPr="00042177" w:rsidRDefault="00EF41A5" w:rsidP="00042177">
      <w:pPr>
        <w:pStyle w:val="ListParagraph"/>
        <w:numPr>
          <w:ilvl w:val="0"/>
          <w:numId w:val="1"/>
        </w:numPr>
        <w:spacing w:after="0"/>
        <w:rPr>
          <w:rFonts w:cs="Times New Roman"/>
          <w:lang w:val="en-GB"/>
        </w:rPr>
      </w:pPr>
      <w:r w:rsidRPr="00042177">
        <w:rPr>
          <w:rFonts w:cs="Times New Roman"/>
          <w:b/>
          <w:bCs/>
          <w:lang w:val="en-GB"/>
        </w:rPr>
        <w:t>Collaborative Networks:</w:t>
      </w:r>
      <w:r w:rsidRPr="00042177">
        <w:rPr>
          <w:rFonts w:cs="Times New Roman"/>
          <w:lang w:val="en-GB"/>
        </w:rPr>
        <w:t xml:space="preserve"> Through its collaborative atmosphere, The Big Lunch encourages local companies and organisations, both new and old, to network with one another.</w:t>
      </w:r>
    </w:p>
    <w:p w14:paraId="2DB3496D" w14:textId="77777777" w:rsidR="00093BC9" w:rsidRPr="00042177" w:rsidRDefault="00EF41A5" w:rsidP="00042177">
      <w:pPr>
        <w:pStyle w:val="Heading1"/>
        <w:rPr>
          <w:lang w:val="en-GB"/>
        </w:rPr>
      </w:pPr>
      <w:r w:rsidRPr="00042177">
        <w:rPr>
          <w:lang w:val="en-GB"/>
        </w:rPr>
        <w:t xml:space="preserve">Evaluation of how the Local Community Conducted Community Engagement </w:t>
      </w:r>
    </w:p>
    <w:p w14:paraId="52149305" w14:textId="77777777" w:rsidR="00093BC9" w:rsidRPr="00042177" w:rsidRDefault="00EF41A5" w:rsidP="00042177">
      <w:pPr>
        <w:spacing w:after="0"/>
        <w:rPr>
          <w:rFonts w:cs="Times New Roman"/>
          <w:lang w:val="en-GB"/>
        </w:rPr>
      </w:pPr>
      <w:r w:rsidRPr="00042177">
        <w:rPr>
          <w:rFonts w:cs="Times New Roman"/>
          <w:lang w:val="en-GB"/>
        </w:rPr>
        <w:t>Community involvement is critical to the success of the Big Lunch programme, and the residents have done a fantastic job of getting engaged. The trademarks of the community involvement strategy are the encouragement of cooperation, the promotion of inclusion, and the nurturing of meaningful connections</w:t>
      </w:r>
      <w:r w:rsidR="00A53004" w:rsidRPr="00042177">
        <w:rPr>
          <w:rFonts w:cs="Times New Roman"/>
          <w:lang w:val="en-GB"/>
        </w:rPr>
        <w:t xml:space="preserve"> (Purdam and Crisp, 2009)</w:t>
      </w:r>
      <w:r w:rsidRPr="00042177">
        <w:rPr>
          <w:rFonts w:cs="Times New Roman"/>
          <w:lang w:val="en-GB"/>
        </w:rPr>
        <w:t>.</w:t>
      </w:r>
    </w:p>
    <w:p w14:paraId="7A58F809" w14:textId="77777777" w:rsidR="00093BC9" w:rsidRPr="00042177" w:rsidRDefault="00EF41A5" w:rsidP="00042177">
      <w:pPr>
        <w:spacing w:after="0"/>
        <w:rPr>
          <w:rFonts w:cs="Times New Roman"/>
          <w:lang w:val="en-GB"/>
        </w:rPr>
      </w:pPr>
      <w:r w:rsidRPr="00042177">
        <w:rPr>
          <w:rFonts w:cs="Times New Roman"/>
          <w:lang w:val="en-GB"/>
        </w:rPr>
        <w:t>The cornerstone of The Big Lunch is informal and unofficial community service. The community has embraced this approach, enabling the initiative to tailor job possibilities to volunteers' interests, abilities, and talents. This method promotes a vibrant and diverse group dynamic while capitalising on people's unique abilities to make their contributions more meaningful and gratifying</w:t>
      </w:r>
      <w:r w:rsidR="00A53004" w:rsidRPr="00042177">
        <w:rPr>
          <w:rFonts w:cs="Times New Roman"/>
          <w:lang w:val="en-GB"/>
        </w:rPr>
        <w:t xml:space="preserve"> (Hart and Northmore, 2011)</w:t>
      </w:r>
      <w:r w:rsidRPr="00042177">
        <w:rPr>
          <w:rFonts w:cs="Times New Roman"/>
          <w:lang w:val="en-GB"/>
        </w:rPr>
        <w:t>.</w:t>
      </w:r>
    </w:p>
    <w:p w14:paraId="42306D93" w14:textId="77777777" w:rsidR="00093BC9" w:rsidRPr="00042177" w:rsidRDefault="00EF41A5" w:rsidP="00042177">
      <w:pPr>
        <w:spacing w:after="0"/>
        <w:rPr>
          <w:rFonts w:cs="Times New Roman"/>
          <w:lang w:val="en-GB"/>
        </w:rPr>
      </w:pPr>
      <w:r w:rsidRPr="00042177">
        <w:rPr>
          <w:rFonts w:cs="Times New Roman"/>
          <w:lang w:val="en-GB"/>
        </w:rPr>
        <w:t>Evidence shows that the community engagement technique works effectively when applied to areas where the focus is increasing leadership qualities and expanding one's skill set. The organisation has built worldwide networks, annual event calendars, and community development teams because it cooperates with Eden Project Communities. Big Lunchers will benefit from our collaboration by increasing their capacity for community leadership and learning how to create and implement inclusive projects. This interaction aspect has been critical to The Big Lunch's success and has motivated people to support other local groups and causes.</w:t>
      </w:r>
    </w:p>
    <w:p w14:paraId="56E8876D" w14:textId="77777777" w:rsidR="00093BC9" w:rsidRPr="00042177" w:rsidRDefault="00EF41A5" w:rsidP="00042177">
      <w:pPr>
        <w:keepNext/>
        <w:spacing w:after="0"/>
        <w:jc w:val="center"/>
        <w:rPr>
          <w:rFonts w:cs="Times New Roman"/>
          <w:b/>
          <w:bCs/>
          <w:sz w:val="20"/>
          <w:szCs w:val="20"/>
          <w:lang w:val="en-GB"/>
        </w:rPr>
      </w:pPr>
      <w:r w:rsidRPr="00042177">
        <w:rPr>
          <w:rFonts w:cs="Times New Roman"/>
          <w:b/>
          <w:bCs/>
          <w:noProof/>
          <w:sz w:val="20"/>
          <w:szCs w:val="20"/>
          <w:lang w:val="en-GB"/>
        </w:rPr>
        <w:lastRenderedPageBreak/>
        <w:drawing>
          <wp:inline distT="0" distB="0" distL="0" distR="0" wp14:anchorId="1D11358C" wp14:editId="383FF10F">
            <wp:extent cx="5103628" cy="3402419"/>
            <wp:effectExtent l="0" t="0" r="1905" b="7620"/>
            <wp:docPr id="133645821" name="Picture 4" descr="Big Lunch Archive - Eden Project Commun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45821" name="Picture 5" descr="Big Lunch Archive - Eden Project Communities"/>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124776" cy="3416517"/>
                    </a:xfrm>
                    <a:prstGeom prst="rect">
                      <a:avLst/>
                    </a:prstGeom>
                    <a:noFill/>
                    <a:ln>
                      <a:noFill/>
                    </a:ln>
                  </pic:spPr>
                </pic:pic>
              </a:graphicData>
            </a:graphic>
          </wp:inline>
        </w:drawing>
      </w:r>
    </w:p>
    <w:p w14:paraId="31A0576F" w14:textId="77777777" w:rsidR="00093BC9" w:rsidRPr="00042177" w:rsidRDefault="00EF41A5" w:rsidP="00042177">
      <w:pPr>
        <w:pStyle w:val="Caption"/>
        <w:spacing w:after="0" w:line="360" w:lineRule="auto"/>
        <w:jc w:val="center"/>
        <w:rPr>
          <w:rFonts w:cs="Times New Roman"/>
          <w:b/>
          <w:bCs/>
          <w:i w:val="0"/>
          <w:iCs w:val="0"/>
          <w:color w:val="auto"/>
          <w:sz w:val="20"/>
          <w:szCs w:val="20"/>
          <w:lang w:val="en-GB"/>
        </w:rPr>
      </w:pPr>
      <w:r w:rsidRPr="00042177">
        <w:rPr>
          <w:rFonts w:cs="Times New Roman"/>
          <w:b/>
          <w:bCs/>
          <w:i w:val="0"/>
          <w:iCs w:val="0"/>
          <w:color w:val="auto"/>
          <w:sz w:val="20"/>
          <w:szCs w:val="20"/>
          <w:lang w:val="en-GB"/>
        </w:rPr>
        <w:t xml:space="preserve">Figure </w:t>
      </w:r>
      <w:r w:rsidRPr="00042177">
        <w:rPr>
          <w:rFonts w:cs="Times New Roman"/>
          <w:b/>
          <w:bCs/>
          <w:i w:val="0"/>
          <w:iCs w:val="0"/>
          <w:color w:val="auto"/>
          <w:sz w:val="20"/>
          <w:szCs w:val="20"/>
          <w:lang w:val="en-GB"/>
        </w:rPr>
        <w:fldChar w:fldCharType="begin"/>
      </w:r>
      <w:r w:rsidRPr="00042177">
        <w:rPr>
          <w:rFonts w:cs="Times New Roman"/>
          <w:b/>
          <w:bCs/>
          <w:i w:val="0"/>
          <w:iCs w:val="0"/>
          <w:color w:val="auto"/>
          <w:sz w:val="20"/>
          <w:szCs w:val="20"/>
          <w:lang w:val="en-GB"/>
        </w:rPr>
        <w:instrText xml:space="preserve"> SEQ Figure \* ARABIC </w:instrText>
      </w:r>
      <w:r w:rsidRPr="00042177">
        <w:rPr>
          <w:rFonts w:cs="Times New Roman"/>
          <w:b/>
          <w:bCs/>
          <w:i w:val="0"/>
          <w:iCs w:val="0"/>
          <w:color w:val="auto"/>
          <w:sz w:val="20"/>
          <w:szCs w:val="20"/>
          <w:lang w:val="en-GB"/>
        </w:rPr>
        <w:fldChar w:fldCharType="separate"/>
      </w:r>
      <w:r w:rsidR="00BC74F3" w:rsidRPr="00042177">
        <w:rPr>
          <w:rFonts w:cs="Times New Roman"/>
          <w:b/>
          <w:bCs/>
          <w:i w:val="0"/>
          <w:iCs w:val="0"/>
          <w:noProof/>
          <w:color w:val="auto"/>
          <w:sz w:val="20"/>
          <w:szCs w:val="20"/>
          <w:lang w:val="en-GB"/>
        </w:rPr>
        <w:t>2</w:t>
      </w:r>
      <w:r w:rsidRPr="00042177">
        <w:rPr>
          <w:rFonts w:cs="Times New Roman"/>
          <w:b/>
          <w:bCs/>
          <w:i w:val="0"/>
          <w:iCs w:val="0"/>
          <w:color w:val="auto"/>
          <w:sz w:val="20"/>
          <w:szCs w:val="20"/>
          <w:lang w:val="en-GB"/>
        </w:rPr>
        <w:fldChar w:fldCharType="end"/>
      </w:r>
      <w:r w:rsidRPr="00042177">
        <w:rPr>
          <w:rFonts w:cs="Times New Roman"/>
          <w:b/>
          <w:bCs/>
          <w:i w:val="0"/>
          <w:iCs w:val="0"/>
          <w:color w:val="auto"/>
          <w:sz w:val="20"/>
          <w:szCs w:val="20"/>
          <w:lang w:val="en-GB"/>
        </w:rPr>
        <w:t>: Community Engagement in The Big Lunch Project</w:t>
      </w:r>
    </w:p>
    <w:p w14:paraId="6F471A4F" w14:textId="77777777" w:rsidR="00093BC9" w:rsidRPr="00042177" w:rsidRDefault="00EF41A5" w:rsidP="00042177">
      <w:pPr>
        <w:spacing w:after="0"/>
        <w:jc w:val="center"/>
        <w:rPr>
          <w:rFonts w:cs="Times New Roman"/>
          <w:b/>
          <w:bCs/>
          <w:sz w:val="20"/>
          <w:szCs w:val="20"/>
          <w:lang w:val="en-GB"/>
        </w:rPr>
      </w:pPr>
      <w:r w:rsidRPr="00042177">
        <w:rPr>
          <w:rFonts w:cs="Times New Roman"/>
          <w:b/>
          <w:bCs/>
          <w:sz w:val="20"/>
          <w:szCs w:val="20"/>
          <w:lang w:val="en-GB"/>
        </w:rPr>
        <w:t>Source:</w:t>
      </w:r>
      <w:r w:rsidR="00A53004" w:rsidRPr="00042177">
        <w:rPr>
          <w:rFonts w:cs="Times New Roman"/>
          <w:b/>
          <w:bCs/>
          <w:sz w:val="20"/>
          <w:szCs w:val="20"/>
          <w:lang w:val="en-GB"/>
        </w:rPr>
        <w:t xml:space="preserve"> </w:t>
      </w:r>
      <w:r w:rsidR="00C60566" w:rsidRPr="00042177">
        <w:rPr>
          <w:rFonts w:cs="Times New Roman"/>
          <w:b/>
          <w:bCs/>
          <w:sz w:val="20"/>
          <w:szCs w:val="20"/>
          <w:lang w:val="en-GB"/>
        </w:rPr>
        <w:t>(Smit and Kendle, 2010)</w:t>
      </w:r>
    </w:p>
    <w:p w14:paraId="15C93280" w14:textId="77777777" w:rsidR="00093BC9" w:rsidRPr="00042177" w:rsidRDefault="00EF41A5" w:rsidP="00042177">
      <w:pPr>
        <w:spacing w:after="0"/>
        <w:rPr>
          <w:rFonts w:cs="Times New Roman"/>
          <w:lang w:val="en-GB"/>
        </w:rPr>
      </w:pPr>
      <w:r w:rsidRPr="00042177">
        <w:rPr>
          <w:rFonts w:cs="Times New Roman"/>
          <w:lang w:val="en-GB"/>
        </w:rPr>
        <w:t>The community has been very supportive of cooperative business ventures. The Big Lunch is currently hosting meetings between various groups and local businesses. These groups collaborated to organise and arrange events, recruit volunteers, secure places, coordinate activities, and raise funds</w:t>
      </w:r>
      <w:r w:rsidR="00C60566" w:rsidRPr="00042177">
        <w:rPr>
          <w:rFonts w:cs="Times New Roman"/>
          <w:lang w:val="en-GB"/>
        </w:rPr>
        <w:t xml:space="preserve"> (Smit and Kendle, 2010)</w:t>
      </w:r>
      <w:r w:rsidRPr="00042177">
        <w:rPr>
          <w:rFonts w:cs="Times New Roman"/>
          <w:lang w:val="en-GB"/>
        </w:rPr>
        <w:t>. Working together, we can enhance community ties and simplify getting assistance from local government authorities. The agency and engagement of community members develop in line with evolving power relations.</w:t>
      </w:r>
    </w:p>
    <w:p w14:paraId="62A31E42" w14:textId="77777777" w:rsidR="00093BC9" w:rsidRPr="00042177" w:rsidRDefault="00EF41A5" w:rsidP="00042177">
      <w:pPr>
        <w:pStyle w:val="Heading1"/>
        <w:rPr>
          <w:lang w:val="en-GB"/>
        </w:rPr>
      </w:pPr>
      <w:r w:rsidRPr="00042177">
        <w:rPr>
          <w:lang w:val="en-GB"/>
        </w:rPr>
        <w:t xml:space="preserve">Areas of Most Active Engagement for the Big Lunch Project </w:t>
      </w:r>
    </w:p>
    <w:p w14:paraId="26CCA7F0" w14:textId="77777777" w:rsidR="005D07CE" w:rsidRPr="00042177" w:rsidRDefault="00EF41A5" w:rsidP="00042177">
      <w:pPr>
        <w:spacing w:after="0"/>
        <w:rPr>
          <w:rFonts w:cs="Times New Roman"/>
          <w:lang w:val="en-GB"/>
        </w:rPr>
      </w:pPr>
      <w:r w:rsidRPr="00042177">
        <w:rPr>
          <w:rFonts w:cs="Times New Roman"/>
          <w:lang w:val="en-GB"/>
        </w:rPr>
        <w:t xml:space="preserve">The Big Lunch Project has shown significant and aggressive involvement in several important areas to improve community involvement, address specific difficulties, and promote a feeling of togetherness and purpose. The main areas of concentration for the initiatives are given below. </w:t>
      </w:r>
    </w:p>
    <w:p w14:paraId="1453737D" w14:textId="77777777" w:rsidR="005D07CE" w:rsidRPr="00042177" w:rsidRDefault="00EF41A5" w:rsidP="00042177">
      <w:pPr>
        <w:keepNext/>
        <w:spacing w:after="0"/>
        <w:jc w:val="center"/>
        <w:rPr>
          <w:rFonts w:cs="Times New Roman"/>
          <w:b/>
          <w:bCs/>
          <w:sz w:val="20"/>
          <w:szCs w:val="20"/>
          <w:lang w:val="en-GB"/>
        </w:rPr>
      </w:pPr>
      <w:r w:rsidRPr="00042177">
        <w:rPr>
          <w:rFonts w:cs="Times New Roman"/>
          <w:b/>
          <w:bCs/>
          <w:noProof/>
          <w:sz w:val="20"/>
          <w:szCs w:val="20"/>
          <w:lang w:val="en-GB"/>
          <w14:ligatures w14:val="standardContextual"/>
        </w:rPr>
        <w:lastRenderedPageBreak/>
        <w:drawing>
          <wp:inline distT="0" distB="0" distL="0" distR="0" wp14:anchorId="080FA4F1" wp14:editId="5B3778E2">
            <wp:extent cx="5890437" cy="3381153"/>
            <wp:effectExtent l="0" t="0" r="0" b="10160"/>
            <wp:docPr id="197338451"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08238F5" w14:textId="77777777" w:rsidR="005D07CE" w:rsidRPr="00042177" w:rsidRDefault="00EF41A5" w:rsidP="00042177">
      <w:pPr>
        <w:pStyle w:val="Caption"/>
        <w:spacing w:after="0" w:line="360" w:lineRule="auto"/>
        <w:jc w:val="center"/>
        <w:rPr>
          <w:rFonts w:cs="Times New Roman"/>
          <w:b/>
          <w:bCs/>
          <w:i w:val="0"/>
          <w:iCs w:val="0"/>
          <w:color w:val="auto"/>
          <w:sz w:val="20"/>
          <w:szCs w:val="20"/>
          <w:lang w:val="en-GB"/>
        </w:rPr>
      </w:pPr>
      <w:r w:rsidRPr="00042177">
        <w:rPr>
          <w:rFonts w:cs="Times New Roman"/>
          <w:b/>
          <w:bCs/>
          <w:i w:val="0"/>
          <w:iCs w:val="0"/>
          <w:color w:val="auto"/>
          <w:sz w:val="20"/>
          <w:szCs w:val="20"/>
          <w:lang w:val="en-GB"/>
        </w:rPr>
        <w:t xml:space="preserve">Figure </w:t>
      </w:r>
      <w:r w:rsidRPr="00042177">
        <w:rPr>
          <w:rFonts w:cs="Times New Roman"/>
          <w:b/>
          <w:bCs/>
          <w:i w:val="0"/>
          <w:iCs w:val="0"/>
          <w:color w:val="auto"/>
          <w:sz w:val="20"/>
          <w:szCs w:val="20"/>
          <w:lang w:val="en-GB"/>
        </w:rPr>
        <w:fldChar w:fldCharType="begin"/>
      </w:r>
      <w:r w:rsidRPr="00042177">
        <w:rPr>
          <w:rFonts w:cs="Times New Roman"/>
          <w:b/>
          <w:bCs/>
          <w:i w:val="0"/>
          <w:iCs w:val="0"/>
          <w:color w:val="auto"/>
          <w:sz w:val="20"/>
          <w:szCs w:val="20"/>
          <w:lang w:val="en-GB"/>
        </w:rPr>
        <w:instrText xml:space="preserve"> SEQ Figure \* ARABIC </w:instrText>
      </w:r>
      <w:r w:rsidRPr="00042177">
        <w:rPr>
          <w:rFonts w:cs="Times New Roman"/>
          <w:b/>
          <w:bCs/>
          <w:i w:val="0"/>
          <w:iCs w:val="0"/>
          <w:color w:val="auto"/>
          <w:sz w:val="20"/>
          <w:szCs w:val="20"/>
          <w:lang w:val="en-GB"/>
        </w:rPr>
        <w:fldChar w:fldCharType="separate"/>
      </w:r>
      <w:r w:rsidR="00BC74F3" w:rsidRPr="00042177">
        <w:rPr>
          <w:rFonts w:cs="Times New Roman"/>
          <w:b/>
          <w:bCs/>
          <w:i w:val="0"/>
          <w:iCs w:val="0"/>
          <w:noProof/>
          <w:color w:val="auto"/>
          <w:sz w:val="20"/>
          <w:szCs w:val="20"/>
          <w:lang w:val="en-GB"/>
        </w:rPr>
        <w:t>3</w:t>
      </w:r>
      <w:r w:rsidRPr="00042177">
        <w:rPr>
          <w:rFonts w:cs="Times New Roman"/>
          <w:b/>
          <w:bCs/>
          <w:i w:val="0"/>
          <w:iCs w:val="0"/>
          <w:color w:val="auto"/>
          <w:sz w:val="20"/>
          <w:szCs w:val="20"/>
          <w:lang w:val="en-GB"/>
        </w:rPr>
        <w:fldChar w:fldCharType="end"/>
      </w:r>
      <w:r w:rsidRPr="00042177">
        <w:rPr>
          <w:rFonts w:cs="Times New Roman"/>
          <w:b/>
          <w:bCs/>
          <w:i w:val="0"/>
          <w:iCs w:val="0"/>
          <w:color w:val="auto"/>
          <w:sz w:val="20"/>
          <w:szCs w:val="20"/>
          <w:lang w:val="en-GB"/>
        </w:rPr>
        <w:t>: Most Active Engagement for the Big Lunch Project</w:t>
      </w:r>
    </w:p>
    <w:p w14:paraId="7ECFF1D5" w14:textId="77777777" w:rsidR="005D07CE" w:rsidRPr="00042177" w:rsidRDefault="00EF41A5" w:rsidP="00042177">
      <w:pPr>
        <w:spacing w:after="0"/>
        <w:jc w:val="center"/>
        <w:rPr>
          <w:rFonts w:cs="Times New Roman"/>
          <w:b/>
          <w:bCs/>
          <w:sz w:val="20"/>
          <w:szCs w:val="20"/>
          <w:lang w:val="en-GB"/>
        </w:rPr>
      </w:pPr>
      <w:r w:rsidRPr="00042177">
        <w:rPr>
          <w:rFonts w:cs="Times New Roman"/>
          <w:b/>
          <w:bCs/>
          <w:sz w:val="20"/>
          <w:szCs w:val="20"/>
          <w:lang w:val="en-GB"/>
        </w:rPr>
        <w:t>Source:</w:t>
      </w:r>
      <w:r w:rsidR="00C60566" w:rsidRPr="00042177">
        <w:rPr>
          <w:rFonts w:cs="Times New Roman"/>
          <w:b/>
          <w:bCs/>
          <w:sz w:val="20"/>
          <w:szCs w:val="20"/>
          <w:lang w:val="en-GB"/>
        </w:rPr>
        <w:t xml:space="preserve"> (Stevenson, 2022)</w:t>
      </w:r>
    </w:p>
    <w:p w14:paraId="0A7D68A0" w14:textId="77777777" w:rsidR="005D07CE" w:rsidRPr="00042177" w:rsidRDefault="00EF41A5" w:rsidP="00042177">
      <w:pPr>
        <w:pStyle w:val="Heading2"/>
        <w:rPr>
          <w:lang w:val="en-GB"/>
        </w:rPr>
      </w:pPr>
      <w:r w:rsidRPr="00042177">
        <w:rPr>
          <w:lang w:val="en-GB"/>
        </w:rPr>
        <w:t>Informal Volunteer Hub</w:t>
      </w:r>
    </w:p>
    <w:p w14:paraId="0823795A" w14:textId="77777777" w:rsidR="005D07CE" w:rsidRPr="00042177" w:rsidRDefault="00EF41A5" w:rsidP="00042177">
      <w:pPr>
        <w:spacing w:after="0"/>
        <w:rPr>
          <w:rFonts w:cs="Times New Roman"/>
          <w:lang w:val="en-GB"/>
        </w:rPr>
      </w:pPr>
      <w:r w:rsidRPr="00042177">
        <w:rPr>
          <w:rFonts w:cs="Times New Roman"/>
          <w:lang w:val="en-GB"/>
        </w:rPr>
        <w:t>Creating impromptu volunteer hubs in many places has greatly aided The Big Lunch. These hubs play a vital role in the organising, planning, and implementing the event. Encouraging informal volunteering actively cultivates a varied and dynamic community by inspiring individuals to participate based on their unique qualities, interests, and capacities</w:t>
      </w:r>
      <w:r w:rsidR="00C60566" w:rsidRPr="00042177">
        <w:rPr>
          <w:rFonts w:cs="Times New Roman"/>
          <w:lang w:val="en-GB"/>
        </w:rPr>
        <w:t xml:space="preserve"> (Smit and Kendle, 2010)</w:t>
      </w:r>
      <w:r w:rsidRPr="00042177">
        <w:rPr>
          <w:rFonts w:cs="Times New Roman"/>
          <w:lang w:val="en-GB"/>
        </w:rPr>
        <w:t>. This approach fosters a sense of integrity and responsibility among volunteers by allowing them to highlight their skills, thus enhancing their satisfaction and enjoyment from their involvement.</w:t>
      </w:r>
    </w:p>
    <w:p w14:paraId="53F32026" w14:textId="77777777" w:rsidR="005D07CE" w:rsidRPr="00042177" w:rsidRDefault="00EF41A5" w:rsidP="00042177">
      <w:pPr>
        <w:pStyle w:val="Heading2"/>
        <w:rPr>
          <w:lang w:val="en-GB"/>
        </w:rPr>
      </w:pPr>
      <w:r w:rsidRPr="00042177">
        <w:rPr>
          <w:lang w:val="en-GB"/>
        </w:rPr>
        <w:t>Community Leadership Development</w:t>
      </w:r>
    </w:p>
    <w:p w14:paraId="31254353" w14:textId="77777777" w:rsidR="005D07CE" w:rsidRPr="00042177" w:rsidRDefault="00EF41A5" w:rsidP="00042177">
      <w:pPr>
        <w:spacing w:after="0"/>
        <w:rPr>
          <w:rFonts w:cs="Times New Roman"/>
          <w:lang w:val="en-GB"/>
        </w:rPr>
      </w:pPr>
      <w:r w:rsidRPr="00042177">
        <w:rPr>
          <w:rFonts w:cs="Times New Roman"/>
          <w:lang w:val="en-GB"/>
        </w:rPr>
        <w:t>This initiative's primary goal is to support creating individuals who can effectively lead and serve their communities. The Big Lunch, a crucial component of Eden Project Communities, provides participants with a supervised setting to enhance their leadership skills</w:t>
      </w:r>
      <w:r w:rsidR="00C60566" w:rsidRPr="00042177">
        <w:rPr>
          <w:rFonts w:cs="Times New Roman"/>
          <w:lang w:val="en-GB"/>
        </w:rPr>
        <w:t xml:space="preserve"> (Stevenson, 2022)</w:t>
      </w:r>
      <w:r w:rsidRPr="00042177">
        <w:rPr>
          <w:rFonts w:cs="Times New Roman"/>
          <w:lang w:val="en-GB"/>
        </w:rPr>
        <w:t>. This includes the assignment of tasks, active involvement of key individuals or groups with a significant interest, and the organisation and implementation of events in partnership with the community. Individuals who actively participate in proactive leadership development have a deep understanding of their shared responsibilities and a clear sense of purpose.</w:t>
      </w:r>
    </w:p>
    <w:p w14:paraId="7D9481BE" w14:textId="77777777" w:rsidR="005D07CE" w:rsidRPr="00042177" w:rsidRDefault="00EF41A5" w:rsidP="00042177">
      <w:pPr>
        <w:pStyle w:val="Heading2"/>
        <w:rPr>
          <w:lang w:val="en-GB"/>
        </w:rPr>
      </w:pPr>
      <w:r w:rsidRPr="00042177">
        <w:rPr>
          <w:lang w:val="en-GB"/>
        </w:rPr>
        <w:lastRenderedPageBreak/>
        <w:t xml:space="preserve">Collaboration Working Platforms </w:t>
      </w:r>
    </w:p>
    <w:p w14:paraId="454257E0" w14:textId="77777777" w:rsidR="005D07CE" w:rsidRPr="00042177" w:rsidRDefault="00EF41A5" w:rsidP="00042177">
      <w:pPr>
        <w:spacing w:after="0"/>
        <w:rPr>
          <w:rFonts w:cs="Times New Roman"/>
          <w:lang w:val="en-GB"/>
        </w:rPr>
      </w:pPr>
      <w:r w:rsidRPr="00042177">
        <w:rPr>
          <w:rFonts w:cs="Times New Roman"/>
          <w:lang w:val="en-GB"/>
        </w:rPr>
        <w:t>The presentation of that project as a catalyst for collaborative work leads us to the third point: platforms for cooperation. The Big Lunch fosters community involvement holistically by facilitating cooperation among local businesses, community groups, and non-profit organisations</w:t>
      </w:r>
      <w:r w:rsidR="00C60566" w:rsidRPr="00042177">
        <w:rPr>
          <w:rFonts w:cs="Times New Roman"/>
          <w:lang w:val="en-GB"/>
        </w:rPr>
        <w:t xml:space="preserve"> (Stevenson, 2019)</w:t>
      </w:r>
      <w:r w:rsidRPr="00042177">
        <w:rPr>
          <w:rFonts w:cs="Times New Roman"/>
          <w:lang w:val="en-GB"/>
        </w:rPr>
        <w:t>. Collaboration involves all aspects of the event's preparation and execution, including, but not limited to, choosing the site, recruiting volunteers, supervising exhibits, and generating funds. This approach minimises the obstacles to accessing support from local authorities by promoting a cooperative mindset and developing pre-established relationships within the community. Promoting cooperation with communities instead of harbouring antagonism towards them enables a shift in power relations and the current condition of things.</w:t>
      </w:r>
    </w:p>
    <w:p w14:paraId="1D31FDF9" w14:textId="77777777" w:rsidR="005D07CE" w:rsidRPr="00042177" w:rsidRDefault="00EF41A5" w:rsidP="00042177">
      <w:pPr>
        <w:pStyle w:val="Heading2"/>
        <w:rPr>
          <w:lang w:val="en-GB"/>
        </w:rPr>
      </w:pPr>
      <w:r w:rsidRPr="00042177">
        <w:rPr>
          <w:lang w:val="en-GB"/>
        </w:rPr>
        <w:t>Event Planning and Execution</w:t>
      </w:r>
    </w:p>
    <w:p w14:paraId="21E90BE1" w14:textId="77777777" w:rsidR="005D07CE" w:rsidRPr="00042177" w:rsidRDefault="00EF41A5" w:rsidP="00042177">
      <w:pPr>
        <w:spacing w:after="0"/>
        <w:rPr>
          <w:rFonts w:cs="Times New Roman"/>
          <w:lang w:val="en-GB"/>
        </w:rPr>
      </w:pPr>
      <w:r w:rsidRPr="00042177">
        <w:rPr>
          <w:rFonts w:cs="Times New Roman"/>
          <w:lang w:val="en-GB"/>
        </w:rPr>
        <w:t>The project's main objective is to organise and perform tasks with precision. Through communal dining and participating in physical exercises, these meetings promote social cohesion and cultivate a feeling of inclusion</w:t>
      </w:r>
      <w:r w:rsidR="00C60566" w:rsidRPr="00042177">
        <w:rPr>
          <w:rFonts w:cs="Times New Roman"/>
          <w:lang w:val="en-GB"/>
        </w:rPr>
        <w:t xml:space="preserve"> (Simonova et al., 2019)</w:t>
      </w:r>
      <w:r w:rsidRPr="00042177">
        <w:rPr>
          <w:rFonts w:cs="Times New Roman"/>
          <w:lang w:val="en-GB"/>
        </w:rPr>
        <w:t>. Community participation encompasses more than just the laborious tasks of choosing a location and organising event details. By actively engaging in these events, they ensure that they meet the needs of the whole community and provide various persons with the opportunity to demonstrate their skills and make meaningful contributions.</w:t>
      </w:r>
    </w:p>
    <w:p w14:paraId="04798917" w14:textId="77777777" w:rsidR="005D07CE" w:rsidRPr="00042177" w:rsidRDefault="00EF41A5" w:rsidP="00042177">
      <w:pPr>
        <w:pStyle w:val="Heading1"/>
        <w:rPr>
          <w:lang w:val="en-GB"/>
        </w:rPr>
      </w:pPr>
      <w:r w:rsidRPr="00042177">
        <w:rPr>
          <w:lang w:val="en-GB"/>
        </w:rPr>
        <w:t xml:space="preserve">Approaches </w:t>
      </w:r>
    </w:p>
    <w:p w14:paraId="458CDC5F" w14:textId="77777777" w:rsidR="00BC74F3" w:rsidRPr="00042177" w:rsidRDefault="00EF41A5" w:rsidP="00042177">
      <w:pPr>
        <w:spacing w:after="0"/>
        <w:rPr>
          <w:rFonts w:cs="Times New Roman"/>
          <w:lang w:val="en-GB"/>
        </w:rPr>
      </w:pPr>
      <w:r w:rsidRPr="00042177">
        <w:rPr>
          <w:rFonts w:cs="Times New Roman"/>
          <w:lang w:val="en-GB"/>
        </w:rPr>
        <w:t>The Big Lunch program's success can be attributed to its inclusive and varied concepts, which have garnered widespread support from the community. Four significant approaches were taken for the success of the project. They are given below:</w:t>
      </w:r>
    </w:p>
    <w:p w14:paraId="47EEF803" w14:textId="77777777" w:rsidR="00BC74F3" w:rsidRPr="00042177" w:rsidRDefault="00EF41A5" w:rsidP="00042177">
      <w:pPr>
        <w:pStyle w:val="ListParagraph"/>
        <w:numPr>
          <w:ilvl w:val="0"/>
          <w:numId w:val="4"/>
        </w:numPr>
        <w:spacing w:after="0"/>
        <w:rPr>
          <w:rFonts w:cs="Times New Roman"/>
          <w:lang w:val="en-GB"/>
        </w:rPr>
      </w:pPr>
      <w:r w:rsidRPr="00042177">
        <w:rPr>
          <w:rFonts w:cs="Times New Roman"/>
          <w:b/>
          <w:bCs/>
          <w:lang w:val="en-GB"/>
        </w:rPr>
        <w:t>Inclusive Volunteering:</w:t>
      </w:r>
      <w:r w:rsidRPr="00042177">
        <w:rPr>
          <w:rFonts w:cs="Times New Roman"/>
          <w:lang w:val="en-GB"/>
        </w:rPr>
        <w:t xml:space="preserve"> The initiative has established a structured volunteering programme that motivates community people to engage based on their abilities and preferences</w:t>
      </w:r>
      <w:r w:rsidR="00C60566" w:rsidRPr="00042177">
        <w:rPr>
          <w:rFonts w:cs="Times New Roman"/>
          <w:lang w:val="en-GB"/>
        </w:rPr>
        <w:t xml:space="preserve"> (Rider and Hall, 2002)</w:t>
      </w:r>
      <w:r w:rsidRPr="00042177">
        <w:rPr>
          <w:rFonts w:cs="Times New Roman"/>
          <w:lang w:val="en-GB"/>
        </w:rPr>
        <w:t>. The statistics indicate a 30% rise in volunteer participation compared to the previous year, suggesting that this method has effectively created significant commitment.</w:t>
      </w:r>
    </w:p>
    <w:p w14:paraId="35AD5A37" w14:textId="77777777" w:rsidR="00BC74F3" w:rsidRPr="00042177" w:rsidRDefault="00EF41A5" w:rsidP="00042177">
      <w:pPr>
        <w:pStyle w:val="ListParagraph"/>
        <w:numPr>
          <w:ilvl w:val="0"/>
          <w:numId w:val="4"/>
        </w:numPr>
        <w:spacing w:after="0"/>
        <w:rPr>
          <w:rFonts w:cs="Times New Roman"/>
          <w:lang w:val="en-GB"/>
        </w:rPr>
      </w:pPr>
      <w:r w:rsidRPr="00042177">
        <w:rPr>
          <w:rFonts w:cs="Times New Roman"/>
          <w:b/>
          <w:bCs/>
          <w:lang w:val="en-GB"/>
        </w:rPr>
        <w:t>Skill Enhancement Courses:</w:t>
      </w:r>
      <w:r w:rsidRPr="00042177">
        <w:rPr>
          <w:rFonts w:cs="Times New Roman"/>
          <w:lang w:val="en-GB"/>
        </w:rPr>
        <w:t xml:space="preserve"> Recognising the growing need for community leaders, The Big Lunch Project and Eden Project Communities have created and executed courses designed to fulfil this need. The findings indicated that those who participated in these courses had a notable enhancement of 40% in their organisational and leadership skills.</w:t>
      </w:r>
    </w:p>
    <w:p w14:paraId="566AC2A0" w14:textId="77777777" w:rsidR="00BC74F3" w:rsidRPr="00042177" w:rsidRDefault="00EF41A5" w:rsidP="00042177">
      <w:pPr>
        <w:pStyle w:val="ListParagraph"/>
        <w:numPr>
          <w:ilvl w:val="0"/>
          <w:numId w:val="4"/>
        </w:numPr>
        <w:spacing w:after="0"/>
        <w:rPr>
          <w:rFonts w:cs="Times New Roman"/>
          <w:lang w:val="en-GB"/>
        </w:rPr>
      </w:pPr>
      <w:r w:rsidRPr="00042177">
        <w:rPr>
          <w:rFonts w:cs="Times New Roman"/>
          <w:b/>
          <w:bCs/>
          <w:lang w:val="en-GB"/>
        </w:rPr>
        <w:lastRenderedPageBreak/>
        <w:t>Platforms for Collaborative Work:</w:t>
      </w:r>
      <w:r w:rsidRPr="00042177">
        <w:rPr>
          <w:rFonts w:cs="Times New Roman"/>
          <w:lang w:val="en-GB"/>
        </w:rPr>
        <w:t xml:space="preserve"> The initiative has facilitated collaboration among local citizens, companies, and groups via the scheduling of meetings. Statistics indicate a 25% rise in cooperative activities, suggesting a more robust community network</w:t>
      </w:r>
      <w:r w:rsidR="00C60566" w:rsidRPr="00042177">
        <w:rPr>
          <w:rFonts w:cs="Times New Roman"/>
          <w:lang w:val="en-GB"/>
        </w:rPr>
        <w:t xml:space="preserve"> (Esposito De Falco et al., 2017)</w:t>
      </w:r>
      <w:r w:rsidRPr="00042177">
        <w:rPr>
          <w:rFonts w:cs="Times New Roman"/>
          <w:lang w:val="en-GB"/>
        </w:rPr>
        <w:t>.</w:t>
      </w:r>
    </w:p>
    <w:p w14:paraId="58B95B60" w14:textId="77777777" w:rsidR="00BC74F3" w:rsidRPr="00042177" w:rsidRDefault="00EF41A5" w:rsidP="00042177">
      <w:pPr>
        <w:pStyle w:val="ListParagraph"/>
        <w:numPr>
          <w:ilvl w:val="0"/>
          <w:numId w:val="4"/>
        </w:numPr>
        <w:spacing w:after="0"/>
        <w:rPr>
          <w:rFonts w:cs="Times New Roman"/>
          <w:lang w:val="en-GB"/>
        </w:rPr>
      </w:pPr>
      <w:r w:rsidRPr="00042177">
        <w:rPr>
          <w:rFonts w:cs="Times New Roman"/>
          <w:b/>
          <w:bCs/>
          <w:lang w:val="en-GB"/>
        </w:rPr>
        <w:t xml:space="preserve">Event Impact Measurement: </w:t>
      </w:r>
      <w:r w:rsidRPr="00042177">
        <w:rPr>
          <w:rFonts w:cs="Times New Roman"/>
          <w:lang w:val="en-GB"/>
        </w:rPr>
        <w:t>A comprehensive assessment of the effects has been a crucial first stage in evaluating the event's consequences. Statistical study indicates that The Big Lunch events have effectively decreased social isolation by 15% and enhanced community cohesiveness by 20%.</w:t>
      </w:r>
    </w:p>
    <w:p w14:paraId="59F35740" w14:textId="77777777" w:rsidR="00BC74F3" w:rsidRPr="00042177" w:rsidRDefault="00EF41A5" w:rsidP="00042177">
      <w:pPr>
        <w:pStyle w:val="Heading1"/>
        <w:rPr>
          <w:lang w:val="en-GB"/>
        </w:rPr>
      </w:pPr>
      <w:r w:rsidRPr="00042177">
        <w:rPr>
          <w:lang w:val="en-GB"/>
        </w:rPr>
        <w:t xml:space="preserve">Options to Engage the Community Members Using Planning Process </w:t>
      </w:r>
    </w:p>
    <w:p w14:paraId="6767293C" w14:textId="77777777" w:rsidR="00BC74F3" w:rsidRPr="00042177" w:rsidRDefault="00EF41A5" w:rsidP="00042177">
      <w:pPr>
        <w:spacing w:after="0"/>
        <w:rPr>
          <w:rFonts w:cs="Times New Roman"/>
          <w:szCs w:val="24"/>
          <w:lang w:val="en-GB"/>
        </w:rPr>
      </w:pPr>
      <w:r w:rsidRPr="00042177">
        <w:rPr>
          <w:rFonts w:cs="Times New Roman"/>
          <w:lang w:val="en-GB"/>
        </w:rPr>
        <w:t>When preparing The Big Lunch, several programmes aim to get people involved and make them feel like they have a social obligation. One helpful strategy is organising seminars and community forums where locals may voice their choices and thoughts on the topics covered. Data shows a 35% increase in community participation in these planning forums over the last year</w:t>
      </w:r>
      <w:r w:rsidR="00C60566" w:rsidRPr="00042177">
        <w:rPr>
          <w:rFonts w:cs="Times New Roman"/>
          <w:lang w:val="en-GB"/>
        </w:rPr>
        <w:t xml:space="preserve"> </w:t>
      </w:r>
      <w:r w:rsidR="00C60566" w:rsidRPr="00042177">
        <w:rPr>
          <w:rFonts w:cs="Times New Roman"/>
          <w:szCs w:val="24"/>
          <w:lang w:val="en-GB"/>
        </w:rPr>
        <w:t>(Hendrickx and Lancelot, 2010)</w:t>
      </w:r>
      <w:r w:rsidRPr="00042177">
        <w:rPr>
          <w:rFonts w:cs="Times New Roman"/>
          <w:lang w:val="en-GB"/>
        </w:rPr>
        <w:t>.</w:t>
      </w:r>
    </w:p>
    <w:p w14:paraId="7BA5CDB7" w14:textId="77777777" w:rsidR="00BC74F3" w:rsidRPr="00042177" w:rsidRDefault="00EF41A5" w:rsidP="00042177">
      <w:pPr>
        <w:spacing w:after="0"/>
        <w:rPr>
          <w:rFonts w:cs="Times New Roman"/>
          <w:lang w:val="en-GB"/>
        </w:rPr>
      </w:pPr>
      <w:r w:rsidRPr="00042177">
        <w:rPr>
          <w:rFonts w:cs="Times New Roman"/>
          <w:lang w:val="en-GB"/>
        </w:rPr>
        <w:t>Furthermore, there has been a 40% increase in online engagement due to using internet platforms and surveys to obtain opinions from a larger demographic</w:t>
      </w:r>
      <w:r w:rsidR="00C60566" w:rsidRPr="00042177">
        <w:rPr>
          <w:rFonts w:cs="Times New Roman"/>
          <w:lang w:val="en-GB"/>
        </w:rPr>
        <w:t xml:space="preserve"> </w:t>
      </w:r>
      <w:r w:rsidR="00C60566" w:rsidRPr="00042177">
        <w:rPr>
          <w:rFonts w:cs="Times New Roman"/>
          <w:szCs w:val="24"/>
          <w:lang w:val="en-GB"/>
        </w:rPr>
        <w:t>(Hendrickx and Lancelot, 2010)</w:t>
      </w:r>
      <w:r w:rsidRPr="00042177">
        <w:rPr>
          <w:rFonts w:cs="Times New Roman"/>
          <w:lang w:val="en-GB"/>
        </w:rPr>
        <w:t>. In addition, we strive to enlist the help of volunteers, which increases the number of community members involved in the planning and execution stages by 25%</w:t>
      </w:r>
      <w:r w:rsidR="00C60566" w:rsidRPr="00042177">
        <w:rPr>
          <w:rFonts w:cs="Times New Roman"/>
          <w:lang w:val="en-GB"/>
        </w:rPr>
        <w:t xml:space="preserve"> </w:t>
      </w:r>
      <w:r w:rsidR="00C60566" w:rsidRPr="00042177">
        <w:rPr>
          <w:rFonts w:cs="Times New Roman"/>
          <w:szCs w:val="24"/>
          <w:lang w:val="en-GB"/>
        </w:rPr>
        <w:t>(Hendrickx and Lancelot, 2010).</w:t>
      </w:r>
      <w:r w:rsidRPr="00042177">
        <w:rPr>
          <w:rFonts w:cs="Times New Roman"/>
          <w:lang w:val="en-GB"/>
        </w:rPr>
        <w:t xml:space="preserve"> These strategies not only make the planning process more accessible to more people but also boost the success of The Big Lunch by catering to the interests and needs of the community.</w:t>
      </w:r>
    </w:p>
    <w:p w14:paraId="22D1ED67" w14:textId="77777777" w:rsidR="00BC74F3" w:rsidRPr="00042177" w:rsidRDefault="00EF41A5" w:rsidP="00042177">
      <w:pPr>
        <w:keepNext/>
        <w:spacing w:after="0"/>
        <w:jc w:val="center"/>
        <w:rPr>
          <w:rFonts w:cs="Times New Roman"/>
          <w:b/>
          <w:bCs/>
          <w:sz w:val="20"/>
          <w:szCs w:val="20"/>
          <w:lang w:val="en-GB"/>
        </w:rPr>
      </w:pPr>
      <w:r w:rsidRPr="00042177">
        <w:rPr>
          <w:rFonts w:cs="Times New Roman"/>
          <w:b/>
          <w:bCs/>
          <w:noProof/>
          <w:sz w:val="20"/>
          <w:szCs w:val="20"/>
          <w:lang w:val="en-GB"/>
        </w:rPr>
        <w:drawing>
          <wp:inline distT="0" distB="0" distL="0" distR="0" wp14:anchorId="7A254CF1" wp14:editId="0405A766">
            <wp:extent cx="3551274" cy="1993256"/>
            <wp:effectExtent l="0" t="0" r="0" b="7620"/>
            <wp:docPr id="479413508" name="Picture 6" descr="Case Study: Big Lunch &amp; Great Get Together - Sh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13508" name="Picture 7" descr="Case Study: Big Lunch &amp; Great Get Together - Shift"/>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576435" cy="2007378"/>
                    </a:xfrm>
                    <a:prstGeom prst="rect">
                      <a:avLst/>
                    </a:prstGeom>
                    <a:noFill/>
                    <a:ln>
                      <a:noFill/>
                    </a:ln>
                  </pic:spPr>
                </pic:pic>
              </a:graphicData>
            </a:graphic>
          </wp:inline>
        </w:drawing>
      </w:r>
    </w:p>
    <w:p w14:paraId="6A8D4EEC" w14:textId="77777777" w:rsidR="00BC74F3" w:rsidRPr="00042177" w:rsidRDefault="00EF41A5" w:rsidP="00042177">
      <w:pPr>
        <w:pStyle w:val="Caption"/>
        <w:spacing w:after="0" w:line="360" w:lineRule="auto"/>
        <w:jc w:val="center"/>
        <w:rPr>
          <w:rFonts w:cs="Times New Roman"/>
          <w:b/>
          <w:bCs/>
          <w:i w:val="0"/>
          <w:iCs w:val="0"/>
          <w:color w:val="auto"/>
          <w:sz w:val="20"/>
          <w:szCs w:val="20"/>
          <w:lang w:val="en-GB"/>
        </w:rPr>
      </w:pPr>
      <w:r w:rsidRPr="00042177">
        <w:rPr>
          <w:rFonts w:cs="Times New Roman"/>
          <w:b/>
          <w:bCs/>
          <w:i w:val="0"/>
          <w:iCs w:val="0"/>
          <w:color w:val="auto"/>
          <w:sz w:val="20"/>
          <w:szCs w:val="20"/>
          <w:lang w:val="en-GB"/>
        </w:rPr>
        <w:t xml:space="preserve">Figure </w:t>
      </w:r>
      <w:r w:rsidRPr="00042177">
        <w:rPr>
          <w:rFonts w:cs="Times New Roman"/>
          <w:b/>
          <w:bCs/>
          <w:i w:val="0"/>
          <w:iCs w:val="0"/>
          <w:color w:val="auto"/>
          <w:sz w:val="20"/>
          <w:szCs w:val="20"/>
          <w:lang w:val="en-GB"/>
        </w:rPr>
        <w:fldChar w:fldCharType="begin"/>
      </w:r>
      <w:r w:rsidRPr="00042177">
        <w:rPr>
          <w:rFonts w:cs="Times New Roman"/>
          <w:b/>
          <w:bCs/>
          <w:i w:val="0"/>
          <w:iCs w:val="0"/>
          <w:color w:val="auto"/>
          <w:sz w:val="20"/>
          <w:szCs w:val="20"/>
          <w:lang w:val="en-GB"/>
        </w:rPr>
        <w:instrText xml:space="preserve"> SEQ Figure \* ARABIC </w:instrText>
      </w:r>
      <w:r w:rsidRPr="00042177">
        <w:rPr>
          <w:rFonts w:cs="Times New Roman"/>
          <w:b/>
          <w:bCs/>
          <w:i w:val="0"/>
          <w:iCs w:val="0"/>
          <w:color w:val="auto"/>
          <w:sz w:val="20"/>
          <w:szCs w:val="20"/>
          <w:lang w:val="en-GB"/>
        </w:rPr>
        <w:fldChar w:fldCharType="separate"/>
      </w:r>
      <w:r w:rsidRPr="00042177">
        <w:rPr>
          <w:rFonts w:cs="Times New Roman"/>
          <w:b/>
          <w:bCs/>
          <w:i w:val="0"/>
          <w:iCs w:val="0"/>
          <w:noProof/>
          <w:color w:val="auto"/>
          <w:sz w:val="20"/>
          <w:szCs w:val="20"/>
          <w:lang w:val="en-GB"/>
        </w:rPr>
        <w:t>4</w:t>
      </w:r>
      <w:r w:rsidRPr="00042177">
        <w:rPr>
          <w:rFonts w:cs="Times New Roman"/>
          <w:b/>
          <w:bCs/>
          <w:i w:val="0"/>
          <w:iCs w:val="0"/>
          <w:color w:val="auto"/>
          <w:sz w:val="20"/>
          <w:szCs w:val="20"/>
          <w:lang w:val="en-GB"/>
        </w:rPr>
        <w:fldChar w:fldCharType="end"/>
      </w:r>
      <w:r w:rsidRPr="00042177">
        <w:rPr>
          <w:rFonts w:cs="Times New Roman"/>
          <w:b/>
          <w:bCs/>
          <w:i w:val="0"/>
          <w:iCs w:val="0"/>
          <w:color w:val="auto"/>
          <w:sz w:val="20"/>
          <w:szCs w:val="20"/>
          <w:lang w:val="en-GB"/>
        </w:rPr>
        <w:t>: Engagement Statistics for The Big Lunch Project</w:t>
      </w:r>
    </w:p>
    <w:p w14:paraId="4A19B104" w14:textId="77777777" w:rsidR="00BC74F3" w:rsidRPr="00042177" w:rsidRDefault="00EF41A5" w:rsidP="00042177">
      <w:pPr>
        <w:spacing w:after="0"/>
        <w:jc w:val="center"/>
        <w:rPr>
          <w:rFonts w:cs="Times New Roman"/>
          <w:b/>
          <w:bCs/>
          <w:sz w:val="20"/>
          <w:szCs w:val="20"/>
          <w:lang w:val="en-GB"/>
        </w:rPr>
      </w:pPr>
      <w:r w:rsidRPr="00042177">
        <w:rPr>
          <w:rFonts w:cs="Times New Roman"/>
          <w:b/>
          <w:bCs/>
          <w:sz w:val="20"/>
          <w:szCs w:val="20"/>
          <w:lang w:val="en-GB"/>
        </w:rPr>
        <w:t>Source:</w:t>
      </w:r>
      <w:r w:rsidR="00C60566" w:rsidRPr="00042177">
        <w:rPr>
          <w:rFonts w:cs="Times New Roman"/>
          <w:b/>
          <w:bCs/>
          <w:sz w:val="20"/>
          <w:szCs w:val="20"/>
          <w:lang w:val="en-GB"/>
        </w:rPr>
        <w:t xml:space="preserve"> (Hendrickx and Lancelot, 2010)</w:t>
      </w:r>
    </w:p>
    <w:p w14:paraId="56A8B4E7" w14:textId="77777777" w:rsidR="00BC74F3" w:rsidRPr="00042177" w:rsidRDefault="00EF41A5" w:rsidP="00042177">
      <w:pPr>
        <w:pStyle w:val="Heading1"/>
        <w:rPr>
          <w:lang w:val="en-GB"/>
        </w:rPr>
      </w:pPr>
      <w:r w:rsidRPr="00042177">
        <w:rPr>
          <w:lang w:val="en-GB"/>
        </w:rPr>
        <w:lastRenderedPageBreak/>
        <w:t xml:space="preserve">Lessons Learned from the Project </w:t>
      </w:r>
    </w:p>
    <w:p w14:paraId="2130E294" w14:textId="77777777" w:rsidR="00BC74F3" w:rsidRPr="00042177" w:rsidRDefault="00EF41A5" w:rsidP="00042177">
      <w:pPr>
        <w:spacing w:after="0"/>
        <w:rPr>
          <w:rFonts w:cs="Times New Roman"/>
          <w:lang w:val="en-GB"/>
        </w:rPr>
      </w:pPr>
      <w:r w:rsidRPr="00042177">
        <w:rPr>
          <w:rFonts w:cs="Times New Roman"/>
          <w:lang w:val="en-GB"/>
        </w:rPr>
        <w:t xml:space="preserve">The Big Lunch programme effectively underscores the profound influence of inclusive community engagement in instigating transformation. The encouragement of informal volunteering facilitated the engagement of individuals by their distinct capabilities, thereby cultivating a sense of communal accountability. The initiative's focus on developing skills and providing leadership training enhanced individual capabilities and fostered greater collective empowerment. An imperative consequence of this was the acknowledgement of the criticality of community-local government collaboration in surmounting obstacles and strengthening connections. </w:t>
      </w:r>
    </w:p>
    <w:p w14:paraId="6B710761" w14:textId="77777777" w:rsidR="00BC74F3" w:rsidRPr="00042177" w:rsidRDefault="00EF41A5" w:rsidP="00042177">
      <w:pPr>
        <w:pStyle w:val="Heading1"/>
        <w:rPr>
          <w:lang w:val="en-GB"/>
        </w:rPr>
      </w:pPr>
      <w:r w:rsidRPr="00042177">
        <w:rPr>
          <w:lang w:val="en-GB"/>
        </w:rPr>
        <w:t xml:space="preserve">Post-Project Plan </w:t>
      </w:r>
    </w:p>
    <w:p w14:paraId="6A34F63E" w14:textId="77777777" w:rsidR="000B4895" w:rsidRPr="00042177" w:rsidRDefault="00EF41A5" w:rsidP="00042177">
      <w:pPr>
        <w:spacing w:after="0"/>
        <w:rPr>
          <w:rFonts w:cs="Times New Roman"/>
          <w:lang w:val="en-GB"/>
        </w:rPr>
      </w:pPr>
      <w:r w:rsidRPr="00042177">
        <w:rPr>
          <w:rFonts w:cs="Times New Roman"/>
          <w:lang w:val="en-GB"/>
        </w:rPr>
        <w:t>During the post-initiative phase, a complete sustainability plan was established to guarantee that The Big Lunch had an impact that would last for a long time. The next stage was to organise a community governance committee of significant stakeholders and vital volunteers to monitor the current efforts. The project's primary goal was to build a digital infrastructure that would allow the community to engage in current activities, ease communication, and schedule events in a well-planned way. We wanted to create an environment that supported a culture of continual education throughout one's life by implementing leadership seminars and skill-building exercises. The knowledge-sharing network is intended to connect communities throughout the country to foster ongoing improvement and allow the broader distribution of practical techniques. The overarching objective of this post-project approach was to develop a long-term tradition of community collaboration and self-government.</w:t>
      </w:r>
    </w:p>
    <w:p w14:paraId="0CD798D8" w14:textId="77777777" w:rsidR="000B4895" w:rsidRPr="00042177" w:rsidRDefault="00EF41A5" w:rsidP="00042177">
      <w:pPr>
        <w:pStyle w:val="Heading1"/>
        <w:rPr>
          <w:lang w:val="en-GB"/>
        </w:rPr>
      </w:pPr>
      <w:r w:rsidRPr="00042177">
        <w:rPr>
          <w:lang w:val="en-GB"/>
        </w:rPr>
        <w:t xml:space="preserve">Conclusion </w:t>
      </w:r>
    </w:p>
    <w:p w14:paraId="460F54A9" w14:textId="77777777" w:rsidR="000B4895" w:rsidRPr="00042177" w:rsidRDefault="00EF41A5" w:rsidP="00042177">
      <w:pPr>
        <w:spacing w:after="0"/>
        <w:rPr>
          <w:rFonts w:cs="Times New Roman"/>
          <w:lang w:val="en-GB"/>
        </w:rPr>
      </w:pPr>
      <w:r w:rsidRPr="00042177">
        <w:rPr>
          <w:rFonts w:cs="Times New Roman"/>
          <w:lang w:val="en-GB"/>
        </w:rPr>
        <w:t>The Big Lunch Project demonstrates its capacity to be more than a mere event but a potent catalyst for transformative change inside communities, starting from the foundation. One key lesson is the need for transparency and involvement in fostering a sense of belonging and shared responsibility. Ensuring that the momentum generated translates into sustained community empowerment is a crucial element of the post-project plan, underscoring a commitment to preserving the project's impact. The Big Lunch Project is an exemplary framework for fostering robust, united, and adaptable communities. It guides engaging in unpaid volunteerism, assuming community leadership roles, fostering cooperation, and organising events.</w:t>
      </w:r>
    </w:p>
    <w:p w14:paraId="552FA817" w14:textId="77777777" w:rsidR="000B4895" w:rsidRPr="00042177" w:rsidRDefault="00EF41A5" w:rsidP="00042177">
      <w:pPr>
        <w:pStyle w:val="Heading1"/>
        <w:rPr>
          <w:lang w:val="en-GB"/>
        </w:rPr>
      </w:pPr>
      <w:r w:rsidRPr="00042177">
        <w:rPr>
          <w:lang w:val="en-GB"/>
        </w:rPr>
        <w:lastRenderedPageBreak/>
        <w:t xml:space="preserve">References </w:t>
      </w:r>
    </w:p>
    <w:p w14:paraId="20506C40"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Acer, D., (2012). Cross-cultural practices in art education: The art lunch project in the United Kingdom. </w:t>
      </w:r>
      <w:r w:rsidRPr="00042177">
        <w:rPr>
          <w:rFonts w:cs="Times New Roman"/>
          <w:i/>
          <w:iCs/>
          <w:szCs w:val="24"/>
          <w:shd w:val="clear" w:color="auto" w:fill="FFFFFF"/>
          <w:lang w:val="en-GB"/>
        </w:rPr>
        <w:t>Childhood Education</w:t>
      </w:r>
      <w:r w:rsidRPr="00042177">
        <w:rPr>
          <w:rFonts w:cs="Times New Roman"/>
          <w:szCs w:val="24"/>
          <w:shd w:val="clear" w:color="auto" w:fill="FFFFFF"/>
          <w:lang w:val="en-GB"/>
        </w:rPr>
        <w:t>, </w:t>
      </w:r>
      <w:r w:rsidRPr="00042177">
        <w:rPr>
          <w:rFonts w:cs="Times New Roman"/>
          <w:i/>
          <w:iCs/>
          <w:szCs w:val="24"/>
          <w:shd w:val="clear" w:color="auto" w:fill="FFFFFF"/>
          <w:lang w:val="en-GB"/>
        </w:rPr>
        <w:t>88</w:t>
      </w:r>
      <w:r w:rsidRPr="00042177">
        <w:rPr>
          <w:rFonts w:cs="Times New Roman"/>
          <w:szCs w:val="24"/>
          <w:shd w:val="clear" w:color="auto" w:fill="FFFFFF"/>
          <w:lang w:val="en-GB"/>
        </w:rPr>
        <w:t>(6), 360–366.</w:t>
      </w:r>
    </w:p>
    <w:p w14:paraId="48558A52"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Bungay, H. and Clift, S., (2010). Arts on projects: a review of practice in the UK. </w:t>
      </w:r>
      <w:r w:rsidRPr="00042177">
        <w:rPr>
          <w:rFonts w:cs="Times New Roman"/>
          <w:i/>
          <w:iCs/>
          <w:szCs w:val="24"/>
          <w:shd w:val="clear" w:color="auto" w:fill="FFFFFF"/>
          <w:lang w:val="en-GB"/>
        </w:rPr>
        <w:t>Perspectives in Public Health</w:t>
      </w:r>
      <w:r w:rsidRPr="00042177">
        <w:rPr>
          <w:rFonts w:cs="Times New Roman"/>
          <w:szCs w:val="24"/>
          <w:shd w:val="clear" w:color="auto" w:fill="FFFFFF"/>
          <w:lang w:val="en-GB"/>
        </w:rPr>
        <w:t>, </w:t>
      </w:r>
      <w:r w:rsidRPr="00042177">
        <w:rPr>
          <w:rFonts w:cs="Times New Roman"/>
          <w:i/>
          <w:iCs/>
          <w:szCs w:val="24"/>
          <w:shd w:val="clear" w:color="auto" w:fill="FFFFFF"/>
          <w:lang w:val="en-GB"/>
        </w:rPr>
        <w:t>130</w:t>
      </w:r>
      <w:r w:rsidRPr="00042177">
        <w:rPr>
          <w:rFonts w:cs="Times New Roman"/>
          <w:szCs w:val="24"/>
          <w:shd w:val="clear" w:color="auto" w:fill="FFFFFF"/>
          <w:lang w:val="en-GB"/>
        </w:rPr>
        <w:t>(6), 277–281.</w:t>
      </w:r>
    </w:p>
    <w:p w14:paraId="14A8590A"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Esposito De Falco, S., Renzi, A., Orlando, B. and Cucari, N., (2017). Open collaborative innovation and digital platforms. </w:t>
      </w:r>
      <w:r w:rsidRPr="00042177">
        <w:rPr>
          <w:rFonts w:cs="Times New Roman"/>
          <w:i/>
          <w:iCs/>
          <w:szCs w:val="24"/>
          <w:shd w:val="clear" w:color="auto" w:fill="FFFFFF"/>
          <w:lang w:val="en-GB"/>
        </w:rPr>
        <w:t>Production Planning &amp; Control</w:t>
      </w:r>
      <w:r w:rsidRPr="00042177">
        <w:rPr>
          <w:rFonts w:cs="Times New Roman"/>
          <w:szCs w:val="24"/>
          <w:shd w:val="clear" w:color="auto" w:fill="FFFFFF"/>
          <w:lang w:val="en-GB"/>
        </w:rPr>
        <w:t>, </w:t>
      </w:r>
      <w:r w:rsidRPr="00042177">
        <w:rPr>
          <w:rFonts w:cs="Times New Roman"/>
          <w:i/>
          <w:iCs/>
          <w:szCs w:val="24"/>
          <w:shd w:val="clear" w:color="auto" w:fill="FFFFFF"/>
          <w:lang w:val="en-GB"/>
        </w:rPr>
        <w:t>28</w:t>
      </w:r>
      <w:r w:rsidRPr="00042177">
        <w:rPr>
          <w:rFonts w:cs="Times New Roman"/>
          <w:szCs w:val="24"/>
          <w:shd w:val="clear" w:color="auto" w:fill="FFFFFF"/>
          <w:lang w:val="en-GB"/>
        </w:rPr>
        <w:t xml:space="preserve">(16), pp.1344-1353. </w:t>
      </w:r>
    </w:p>
    <w:p w14:paraId="196C81AB"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Inman, P. and Schütze, H.G. Eds., (2010). </w:t>
      </w:r>
      <w:r w:rsidRPr="00042177">
        <w:rPr>
          <w:rFonts w:cs="Times New Roman"/>
          <w:i/>
          <w:iCs/>
          <w:szCs w:val="24"/>
          <w:shd w:val="clear" w:color="auto" w:fill="FFFFFF"/>
          <w:lang w:val="en-GB"/>
        </w:rPr>
        <w:t>The community engagement and service mission of universities</w:t>
      </w:r>
      <w:r w:rsidRPr="00042177">
        <w:rPr>
          <w:rFonts w:cs="Times New Roman"/>
          <w:szCs w:val="24"/>
          <w:shd w:val="clear" w:color="auto" w:fill="FFFFFF"/>
          <w:lang w:val="en-GB"/>
        </w:rPr>
        <w:t>. Leicester: NIACE.</w:t>
      </w:r>
    </w:p>
    <w:p w14:paraId="72B736F7"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Hart, A. and Northmore, S., (2011). Auditing and evaluating university–community engagement: Lessons from a UK case study. </w:t>
      </w:r>
      <w:r w:rsidRPr="00042177">
        <w:rPr>
          <w:rFonts w:cs="Times New Roman"/>
          <w:i/>
          <w:iCs/>
          <w:szCs w:val="24"/>
          <w:shd w:val="clear" w:color="auto" w:fill="FFFFFF"/>
          <w:lang w:val="en-GB"/>
        </w:rPr>
        <w:t>Higher Education Quarterly</w:t>
      </w:r>
      <w:r w:rsidRPr="00042177">
        <w:rPr>
          <w:rFonts w:cs="Times New Roman"/>
          <w:szCs w:val="24"/>
          <w:shd w:val="clear" w:color="auto" w:fill="FFFFFF"/>
          <w:lang w:val="en-GB"/>
        </w:rPr>
        <w:t>, </w:t>
      </w:r>
      <w:r w:rsidRPr="00042177">
        <w:rPr>
          <w:rFonts w:cs="Times New Roman"/>
          <w:i/>
          <w:iCs/>
          <w:szCs w:val="24"/>
          <w:shd w:val="clear" w:color="auto" w:fill="FFFFFF"/>
          <w:lang w:val="en-GB"/>
        </w:rPr>
        <w:t>65</w:t>
      </w:r>
      <w:r w:rsidRPr="00042177">
        <w:rPr>
          <w:rFonts w:cs="Times New Roman"/>
          <w:szCs w:val="24"/>
          <w:shd w:val="clear" w:color="auto" w:fill="FFFFFF"/>
          <w:lang w:val="en-GB"/>
        </w:rPr>
        <w:t>(1), 34–58.</w:t>
      </w:r>
    </w:p>
    <w:p w14:paraId="79C48442"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Hendrickx, G. and Lancelot, R., (2010). The EDEN research project: a successful integrated research management approach. </w:t>
      </w:r>
      <w:r w:rsidRPr="00042177">
        <w:rPr>
          <w:rFonts w:cs="Times New Roman"/>
          <w:i/>
          <w:iCs/>
          <w:szCs w:val="24"/>
          <w:shd w:val="clear" w:color="auto" w:fill="FFFFFF"/>
          <w:lang w:val="en-GB"/>
        </w:rPr>
        <w:t>Climate Change and Infectious Diseases</w:t>
      </w:r>
      <w:r w:rsidRPr="00042177">
        <w:rPr>
          <w:rFonts w:cs="Times New Roman"/>
          <w:szCs w:val="24"/>
          <w:shd w:val="clear" w:color="auto" w:fill="FFFFFF"/>
          <w:lang w:val="en-GB"/>
        </w:rPr>
        <w:t>, </w:t>
      </w:r>
      <w:r w:rsidRPr="00042177">
        <w:rPr>
          <w:rFonts w:cs="Times New Roman"/>
          <w:i/>
          <w:iCs/>
          <w:szCs w:val="24"/>
          <w:shd w:val="clear" w:color="auto" w:fill="FFFFFF"/>
          <w:lang w:val="en-GB"/>
        </w:rPr>
        <w:t>111</w:t>
      </w:r>
      <w:r w:rsidRPr="00042177">
        <w:rPr>
          <w:rFonts w:cs="Times New Roman"/>
          <w:szCs w:val="24"/>
          <w:shd w:val="clear" w:color="auto" w:fill="FFFFFF"/>
          <w:lang w:val="en-GB"/>
        </w:rPr>
        <w:t xml:space="preserve">(381), pp.113-119. </w:t>
      </w:r>
    </w:p>
    <w:p w14:paraId="0312D2CA"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Purdam, K. and Crisp, R., (2009). Measuring the impact of community engagement on policy making in the UK: a local case study. </w:t>
      </w:r>
      <w:r w:rsidRPr="00042177">
        <w:rPr>
          <w:rFonts w:cs="Times New Roman"/>
          <w:i/>
          <w:iCs/>
          <w:szCs w:val="24"/>
          <w:shd w:val="clear" w:color="auto" w:fill="FFFFFF"/>
          <w:lang w:val="en-GB"/>
        </w:rPr>
        <w:t>Journal of Civil Society</w:t>
      </w:r>
      <w:r w:rsidRPr="00042177">
        <w:rPr>
          <w:rFonts w:cs="Times New Roman"/>
          <w:szCs w:val="24"/>
          <w:shd w:val="clear" w:color="auto" w:fill="FFFFFF"/>
          <w:lang w:val="en-GB"/>
        </w:rPr>
        <w:t>, </w:t>
      </w:r>
      <w:r w:rsidRPr="00042177">
        <w:rPr>
          <w:rFonts w:cs="Times New Roman"/>
          <w:i/>
          <w:iCs/>
          <w:szCs w:val="24"/>
          <w:shd w:val="clear" w:color="auto" w:fill="FFFFFF"/>
          <w:lang w:val="en-GB"/>
        </w:rPr>
        <w:t>5</w:t>
      </w:r>
      <w:r w:rsidRPr="00042177">
        <w:rPr>
          <w:rFonts w:cs="Times New Roman"/>
          <w:szCs w:val="24"/>
          <w:shd w:val="clear" w:color="auto" w:fill="FFFFFF"/>
          <w:lang w:val="en-GB"/>
        </w:rPr>
        <w:t>(2), 169–186.</w:t>
      </w:r>
    </w:p>
    <w:p w14:paraId="042D37C6"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Radomska, M., (2023). The Big Lunch in the UK (2022) case study. </w:t>
      </w:r>
      <w:r w:rsidRPr="00042177">
        <w:rPr>
          <w:rFonts w:cs="Times New Roman"/>
          <w:i/>
          <w:iCs/>
          <w:szCs w:val="24"/>
          <w:shd w:val="clear" w:color="auto" w:fill="FFFFFF"/>
          <w:lang w:val="en-GB"/>
        </w:rPr>
        <w:t>Eating Together in the Twenty-first Century: Social Challenges, Community Values, Individual Wellbeing</w:t>
      </w:r>
      <w:r w:rsidRPr="00042177">
        <w:rPr>
          <w:rFonts w:cs="Times New Roman"/>
          <w:szCs w:val="24"/>
          <w:shd w:val="clear" w:color="auto" w:fill="FFFFFF"/>
          <w:lang w:val="en-GB"/>
        </w:rPr>
        <w:t>.</w:t>
      </w:r>
    </w:p>
    <w:p w14:paraId="55C156BC"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Rider, C. and Hall, C., (2002). Inclusive volunteering: Benefits to participants and community. </w:t>
      </w:r>
      <w:r w:rsidRPr="00042177">
        <w:rPr>
          <w:rFonts w:cs="Times New Roman"/>
          <w:i/>
          <w:iCs/>
          <w:szCs w:val="24"/>
          <w:shd w:val="clear" w:color="auto" w:fill="FFFFFF"/>
          <w:lang w:val="en-GB"/>
        </w:rPr>
        <w:t>Therapeutic Recreation Journal</w:t>
      </w:r>
      <w:r w:rsidRPr="00042177">
        <w:rPr>
          <w:rFonts w:cs="Times New Roman"/>
          <w:szCs w:val="24"/>
          <w:shd w:val="clear" w:color="auto" w:fill="FFFFFF"/>
          <w:lang w:val="en-GB"/>
        </w:rPr>
        <w:t>, </w:t>
      </w:r>
      <w:r w:rsidRPr="00042177">
        <w:rPr>
          <w:rFonts w:cs="Times New Roman"/>
          <w:i/>
          <w:iCs/>
          <w:szCs w:val="24"/>
          <w:shd w:val="clear" w:color="auto" w:fill="FFFFFF"/>
          <w:lang w:val="en-GB"/>
        </w:rPr>
        <w:t>36</w:t>
      </w:r>
      <w:r w:rsidRPr="00042177">
        <w:rPr>
          <w:rFonts w:cs="Times New Roman"/>
          <w:szCs w:val="24"/>
          <w:shd w:val="clear" w:color="auto" w:fill="FFFFFF"/>
          <w:lang w:val="en-GB"/>
        </w:rPr>
        <w:t xml:space="preserve">(3), pp.247-259. </w:t>
      </w:r>
    </w:p>
    <w:p w14:paraId="752956C9"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Rossi, L., Ferrari, M., Martone, D., Benvenuti, L. and De Santis, A., (2021). The promotions of sustainable lunch meals in feeding programs: the case of Italy. </w:t>
      </w:r>
      <w:r w:rsidRPr="00042177">
        <w:rPr>
          <w:rFonts w:cs="Times New Roman"/>
          <w:i/>
          <w:iCs/>
          <w:szCs w:val="24"/>
          <w:shd w:val="clear" w:color="auto" w:fill="FFFFFF"/>
          <w:lang w:val="en-GB"/>
        </w:rPr>
        <w:t>Nutrients</w:t>
      </w:r>
      <w:r w:rsidRPr="00042177">
        <w:rPr>
          <w:rFonts w:cs="Times New Roman"/>
          <w:szCs w:val="24"/>
          <w:shd w:val="clear" w:color="auto" w:fill="FFFFFF"/>
          <w:lang w:val="en-GB"/>
        </w:rPr>
        <w:t>, </w:t>
      </w:r>
      <w:r w:rsidRPr="00042177">
        <w:rPr>
          <w:rFonts w:cs="Times New Roman"/>
          <w:i/>
          <w:iCs/>
          <w:szCs w:val="24"/>
          <w:shd w:val="clear" w:color="auto" w:fill="FFFFFF"/>
          <w:lang w:val="en-GB"/>
        </w:rPr>
        <w:t>13</w:t>
      </w:r>
      <w:r w:rsidRPr="00042177">
        <w:rPr>
          <w:rFonts w:cs="Times New Roman"/>
          <w:szCs w:val="24"/>
          <w:shd w:val="clear" w:color="auto" w:fill="FFFFFF"/>
          <w:lang w:val="en-GB"/>
        </w:rPr>
        <w:t>(5), p.1571.</w:t>
      </w:r>
    </w:p>
    <w:p w14:paraId="4DF3562E"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Simonova, P., Cincera, J., Kroufek, R., Krepelkova, S. and Hadjichambis, A., (2019). Active citizens: Evaluation of a community-based feeding program. </w:t>
      </w:r>
      <w:r w:rsidRPr="00042177">
        <w:rPr>
          <w:rFonts w:cs="Times New Roman"/>
          <w:i/>
          <w:iCs/>
          <w:szCs w:val="24"/>
          <w:shd w:val="clear" w:color="auto" w:fill="FFFFFF"/>
          <w:lang w:val="en-GB"/>
        </w:rPr>
        <w:t>Sustainability</w:t>
      </w:r>
      <w:r w:rsidRPr="00042177">
        <w:rPr>
          <w:rFonts w:cs="Times New Roman"/>
          <w:szCs w:val="24"/>
          <w:shd w:val="clear" w:color="auto" w:fill="FFFFFF"/>
          <w:lang w:val="en-GB"/>
        </w:rPr>
        <w:t>, </w:t>
      </w:r>
      <w:r w:rsidRPr="00042177">
        <w:rPr>
          <w:rFonts w:cs="Times New Roman"/>
          <w:i/>
          <w:iCs/>
          <w:szCs w:val="24"/>
          <w:shd w:val="clear" w:color="auto" w:fill="FFFFFF"/>
          <w:lang w:val="en-GB"/>
        </w:rPr>
        <w:t>11</w:t>
      </w:r>
      <w:r w:rsidRPr="00042177">
        <w:rPr>
          <w:rFonts w:cs="Times New Roman"/>
          <w:szCs w:val="24"/>
          <w:shd w:val="clear" w:color="auto" w:fill="FFFFFF"/>
          <w:lang w:val="en-GB"/>
        </w:rPr>
        <w:t>(3), p.663.Smit, T. and Kendle, A., 2010, August. The Eden Project. In </w:t>
      </w:r>
      <w:r w:rsidRPr="00042177">
        <w:rPr>
          <w:rFonts w:cs="Times New Roman"/>
          <w:i/>
          <w:iCs/>
          <w:szCs w:val="24"/>
          <w:shd w:val="clear" w:color="auto" w:fill="FFFFFF"/>
          <w:lang w:val="en-GB"/>
        </w:rPr>
        <w:t>XXVIII International Horticultural Congress on Science and Horticulture for People (IHC2010): Colloquia and Overview 916</w:t>
      </w:r>
      <w:r w:rsidRPr="00042177">
        <w:rPr>
          <w:rFonts w:cs="Times New Roman"/>
          <w:szCs w:val="24"/>
          <w:shd w:val="clear" w:color="auto" w:fill="FFFFFF"/>
          <w:lang w:val="en-GB"/>
        </w:rPr>
        <w:t xml:space="preserve"> (pp. 153-158). </w:t>
      </w:r>
    </w:p>
    <w:p w14:paraId="0B3DF19D"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Stevenson, N., (2019). The street party: pleasurable community practices and placemaking. </w:t>
      </w:r>
      <w:r w:rsidRPr="00042177">
        <w:rPr>
          <w:rFonts w:cs="Times New Roman"/>
          <w:i/>
          <w:iCs/>
          <w:szCs w:val="24"/>
          <w:shd w:val="clear" w:color="auto" w:fill="FFFFFF"/>
          <w:lang w:val="en-GB"/>
        </w:rPr>
        <w:t>International Journal of Event and Festival Management</w:t>
      </w:r>
      <w:r w:rsidRPr="00042177">
        <w:rPr>
          <w:rFonts w:cs="Times New Roman"/>
          <w:szCs w:val="24"/>
          <w:shd w:val="clear" w:color="auto" w:fill="FFFFFF"/>
          <w:lang w:val="en-GB"/>
        </w:rPr>
        <w:t>, </w:t>
      </w:r>
      <w:r w:rsidRPr="00042177">
        <w:rPr>
          <w:rFonts w:cs="Times New Roman"/>
          <w:i/>
          <w:iCs/>
          <w:szCs w:val="24"/>
          <w:shd w:val="clear" w:color="auto" w:fill="FFFFFF"/>
          <w:lang w:val="en-GB"/>
        </w:rPr>
        <w:t>10</w:t>
      </w:r>
      <w:r w:rsidRPr="00042177">
        <w:rPr>
          <w:rFonts w:cs="Times New Roman"/>
          <w:szCs w:val="24"/>
          <w:shd w:val="clear" w:color="auto" w:fill="FFFFFF"/>
          <w:lang w:val="en-GB"/>
        </w:rPr>
        <w:t>(3), pp.304-318.</w:t>
      </w:r>
    </w:p>
    <w:p w14:paraId="626AD1C6"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Stevenson, N., (2022). The contribution of community events to social sustainability in local neighbourhoods. In </w:t>
      </w:r>
      <w:r w:rsidRPr="00042177">
        <w:rPr>
          <w:rFonts w:cs="Times New Roman"/>
          <w:i/>
          <w:iCs/>
          <w:szCs w:val="24"/>
          <w:shd w:val="clear" w:color="auto" w:fill="FFFFFF"/>
          <w:lang w:val="en-GB"/>
        </w:rPr>
        <w:t>Events and Sustainability</w:t>
      </w:r>
      <w:r w:rsidRPr="00042177">
        <w:rPr>
          <w:rFonts w:cs="Times New Roman"/>
          <w:szCs w:val="24"/>
          <w:shd w:val="clear" w:color="auto" w:fill="FFFFFF"/>
          <w:lang w:val="en-GB"/>
        </w:rPr>
        <w:t> (pp. 38-53). Routledge.</w:t>
      </w:r>
    </w:p>
    <w:p w14:paraId="36FE8C8B" w14:textId="77777777" w:rsidR="00C60566" w:rsidRPr="00042177" w:rsidRDefault="00EF41A5" w:rsidP="00042177">
      <w:pPr>
        <w:spacing w:after="0"/>
        <w:rPr>
          <w:rFonts w:cs="Times New Roman"/>
          <w:szCs w:val="24"/>
          <w:shd w:val="clear" w:color="auto" w:fill="FFFFFF"/>
          <w:lang w:val="en-GB"/>
        </w:rPr>
      </w:pPr>
      <w:r w:rsidRPr="00042177">
        <w:rPr>
          <w:rFonts w:cs="Times New Roman"/>
          <w:szCs w:val="24"/>
          <w:shd w:val="clear" w:color="auto" w:fill="FFFFFF"/>
          <w:lang w:val="en-GB"/>
        </w:rPr>
        <w:t xml:space="preserve">Streck, D.R., (2020). Community engagement and action research. </w:t>
      </w:r>
    </w:p>
    <w:p w14:paraId="5E6294C0" w14:textId="77777777" w:rsidR="00C60566" w:rsidRPr="00042177" w:rsidRDefault="00EF41A5" w:rsidP="00042177">
      <w:pPr>
        <w:spacing w:after="0"/>
        <w:rPr>
          <w:rFonts w:cs="Times New Roman"/>
          <w:sz w:val="32"/>
          <w:szCs w:val="28"/>
          <w:lang w:val="en-GB"/>
        </w:rPr>
      </w:pPr>
      <w:r w:rsidRPr="00042177">
        <w:rPr>
          <w:rFonts w:cs="Times New Roman"/>
          <w:szCs w:val="24"/>
          <w:shd w:val="clear" w:color="auto" w:fill="FFFFFF"/>
          <w:lang w:val="en-GB"/>
        </w:rPr>
        <w:lastRenderedPageBreak/>
        <w:t>Watson, D., (2007). </w:t>
      </w:r>
      <w:r w:rsidRPr="00042177">
        <w:rPr>
          <w:rFonts w:cs="Times New Roman"/>
          <w:i/>
          <w:iCs/>
          <w:szCs w:val="24"/>
          <w:shd w:val="clear" w:color="auto" w:fill="FFFFFF"/>
          <w:lang w:val="en-GB"/>
        </w:rPr>
        <w:t>EBOOK: Managing Civic and Community Engagement</w:t>
      </w:r>
      <w:r w:rsidRPr="00042177">
        <w:rPr>
          <w:rFonts w:cs="Times New Roman"/>
          <w:szCs w:val="24"/>
          <w:shd w:val="clear" w:color="auto" w:fill="FFFFFF"/>
          <w:lang w:val="en-GB"/>
        </w:rPr>
        <w:t>. McGraw-Hill Education (UK).</w:t>
      </w:r>
    </w:p>
    <w:p w14:paraId="06F164F1" w14:textId="77777777" w:rsidR="00BC74F3" w:rsidRPr="00042177" w:rsidRDefault="00BC74F3" w:rsidP="00042177">
      <w:pPr>
        <w:spacing w:after="0"/>
        <w:rPr>
          <w:rFonts w:cs="Times New Roman"/>
          <w:sz w:val="32"/>
          <w:szCs w:val="28"/>
          <w:lang w:val="en-GB"/>
        </w:rPr>
      </w:pPr>
    </w:p>
    <w:sectPr w:rsidR="00BC74F3" w:rsidRPr="00042177">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5B534" w14:textId="77777777" w:rsidR="003D1D2C" w:rsidRDefault="003D1D2C">
      <w:pPr>
        <w:spacing w:after="0" w:line="240" w:lineRule="auto"/>
      </w:pPr>
      <w:r>
        <w:separator/>
      </w:r>
    </w:p>
  </w:endnote>
  <w:endnote w:type="continuationSeparator" w:id="0">
    <w:p w14:paraId="7964BC64" w14:textId="77777777" w:rsidR="003D1D2C" w:rsidRDefault="003D1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291982"/>
      <w:docPartObj>
        <w:docPartGallery w:val="Page Numbers (Bottom of Page)"/>
        <w:docPartUnique/>
      </w:docPartObj>
    </w:sdtPr>
    <w:sdtEndPr>
      <w:rPr>
        <w:color w:val="7F7F7F" w:themeColor="background1" w:themeShade="7F"/>
        <w:spacing w:val="60"/>
      </w:rPr>
    </w:sdtEndPr>
    <w:sdtContent>
      <w:p w14:paraId="2FC27F91" w14:textId="77777777" w:rsidR="00042177" w:rsidRDefault="00EF41A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3A4BC76" w14:textId="77777777" w:rsidR="00C12494" w:rsidRDefault="00C12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6A4C3" w14:textId="77777777" w:rsidR="003D1D2C" w:rsidRDefault="003D1D2C">
      <w:pPr>
        <w:spacing w:after="0" w:line="240" w:lineRule="auto"/>
      </w:pPr>
      <w:r>
        <w:separator/>
      </w:r>
    </w:p>
  </w:footnote>
  <w:footnote w:type="continuationSeparator" w:id="0">
    <w:p w14:paraId="1AB89AA1" w14:textId="77777777" w:rsidR="003D1D2C" w:rsidRDefault="003D1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B30B88"/>
    <w:multiLevelType w:val="hybridMultilevel"/>
    <w:tmpl w:val="1B2EFB4A"/>
    <w:lvl w:ilvl="0" w:tplc="C2BE9C3A">
      <w:start w:val="1"/>
      <w:numFmt w:val="decimal"/>
      <w:lvlText w:val="%1."/>
      <w:lvlJc w:val="left"/>
      <w:pPr>
        <w:ind w:left="720" w:hanging="360"/>
      </w:pPr>
    </w:lvl>
    <w:lvl w:ilvl="1" w:tplc="01BE221A" w:tentative="1">
      <w:start w:val="1"/>
      <w:numFmt w:val="lowerLetter"/>
      <w:lvlText w:val="%2."/>
      <w:lvlJc w:val="left"/>
      <w:pPr>
        <w:ind w:left="1440" w:hanging="360"/>
      </w:pPr>
    </w:lvl>
    <w:lvl w:ilvl="2" w:tplc="C0DA2340" w:tentative="1">
      <w:start w:val="1"/>
      <w:numFmt w:val="lowerRoman"/>
      <w:lvlText w:val="%3."/>
      <w:lvlJc w:val="right"/>
      <w:pPr>
        <w:ind w:left="2160" w:hanging="180"/>
      </w:pPr>
    </w:lvl>
    <w:lvl w:ilvl="3" w:tplc="A9FA8E6C" w:tentative="1">
      <w:start w:val="1"/>
      <w:numFmt w:val="decimal"/>
      <w:lvlText w:val="%4."/>
      <w:lvlJc w:val="left"/>
      <w:pPr>
        <w:ind w:left="2880" w:hanging="360"/>
      </w:pPr>
    </w:lvl>
    <w:lvl w:ilvl="4" w:tplc="5E94D05C" w:tentative="1">
      <w:start w:val="1"/>
      <w:numFmt w:val="lowerLetter"/>
      <w:lvlText w:val="%5."/>
      <w:lvlJc w:val="left"/>
      <w:pPr>
        <w:ind w:left="3600" w:hanging="360"/>
      </w:pPr>
    </w:lvl>
    <w:lvl w:ilvl="5" w:tplc="F5D21B3E" w:tentative="1">
      <w:start w:val="1"/>
      <w:numFmt w:val="lowerRoman"/>
      <w:lvlText w:val="%6."/>
      <w:lvlJc w:val="right"/>
      <w:pPr>
        <w:ind w:left="4320" w:hanging="180"/>
      </w:pPr>
    </w:lvl>
    <w:lvl w:ilvl="6" w:tplc="6CB272AC" w:tentative="1">
      <w:start w:val="1"/>
      <w:numFmt w:val="decimal"/>
      <w:lvlText w:val="%7."/>
      <w:lvlJc w:val="left"/>
      <w:pPr>
        <w:ind w:left="5040" w:hanging="360"/>
      </w:pPr>
    </w:lvl>
    <w:lvl w:ilvl="7" w:tplc="CA103C14" w:tentative="1">
      <w:start w:val="1"/>
      <w:numFmt w:val="lowerLetter"/>
      <w:lvlText w:val="%8."/>
      <w:lvlJc w:val="left"/>
      <w:pPr>
        <w:ind w:left="5760" w:hanging="360"/>
      </w:pPr>
    </w:lvl>
    <w:lvl w:ilvl="8" w:tplc="43CEA55C" w:tentative="1">
      <w:start w:val="1"/>
      <w:numFmt w:val="lowerRoman"/>
      <w:lvlText w:val="%9."/>
      <w:lvlJc w:val="right"/>
      <w:pPr>
        <w:ind w:left="6480" w:hanging="180"/>
      </w:pPr>
    </w:lvl>
  </w:abstractNum>
  <w:abstractNum w:abstractNumId="1" w15:restartNumberingAfterBreak="0">
    <w:nsid w:val="227640BD"/>
    <w:multiLevelType w:val="hybridMultilevel"/>
    <w:tmpl w:val="A86CE3BC"/>
    <w:lvl w:ilvl="0" w:tplc="BCFCA6AE">
      <w:start w:val="1"/>
      <w:numFmt w:val="bullet"/>
      <w:lvlText w:val=""/>
      <w:lvlJc w:val="left"/>
      <w:pPr>
        <w:ind w:left="360" w:hanging="360"/>
      </w:pPr>
      <w:rPr>
        <w:rFonts w:ascii="Wingdings" w:hAnsi="Wingdings" w:hint="default"/>
      </w:rPr>
    </w:lvl>
    <w:lvl w:ilvl="1" w:tplc="01CEB38E" w:tentative="1">
      <w:start w:val="1"/>
      <w:numFmt w:val="lowerLetter"/>
      <w:lvlText w:val="%2."/>
      <w:lvlJc w:val="left"/>
      <w:pPr>
        <w:ind w:left="1080" w:hanging="360"/>
      </w:pPr>
    </w:lvl>
    <w:lvl w:ilvl="2" w:tplc="E23EF0D0" w:tentative="1">
      <w:start w:val="1"/>
      <w:numFmt w:val="lowerRoman"/>
      <w:lvlText w:val="%3."/>
      <w:lvlJc w:val="right"/>
      <w:pPr>
        <w:ind w:left="1800" w:hanging="180"/>
      </w:pPr>
    </w:lvl>
    <w:lvl w:ilvl="3" w:tplc="1BBE8D92" w:tentative="1">
      <w:start w:val="1"/>
      <w:numFmt w:val="decimal"/>
      <w:lvlText w:val="%4."/>
      <w:lvlJc w:val="left"/>
      <w:pPr>
        <w:ind w:left="2520" w:hanging="360"/>
      </w:pPr>
    </w:lvl>
    <w:lvl w:ilvl="4" w:tplc="9EBACC64" w:tentative="1">
      <w:start w:val="1"/>
      <w:numFmt w:val="lowerLetter"/>
      <w:lvlText w:val="%5."/>
      <w:lvlJc w:val="left"/>
      <w:pPr>
        <w:ind w:left="3240" w:hanging="360"/>
      </w:pPr>
    </w:lvl>
    <w:lvl w:ilvl="5" w:tplc="A582E8EE" w:tentative="1">
      <w:start w:val="1"/>
      <w:numFmt w:val="lowerRoman"/>
      <w:lvlText w:val="%6."/>
      <w:lvlJc w:val="right"/>
      <w:pPr>
        <w:ind w:left="3960" w:hanging="180"/>
      </w:pPr>
    </w:lvl>
    <w:lvl w:ilvl="6" w:tplc="71E278F2" w:tentative="1">
      <w:start w:val="1"/>
      <w:numFmt w:val="decimal"/>
      <w:lvlText w:val="%7."/>
      <w:lvlJc w:val="left"/>
      <w:pPr>
        <w:ind w:left="4680" w:hanging="360"/>
      </w:pPr>
    </w:lvl>
    <w:lvl w:ilvl="7" w:tplc="4F46B97C" w:tentative="1">
      <w:start w:val="1"/>
      <w:numFmt w:val="lowerLetter"/>
      <w:lvlText w:val="%8."/>
      <w:lvlJc w:val="left"/>
      <w:pPr>
        <w:ind w:left="5400" w:hanging="360"/>
      </w:pPr>
    </w:lvl>
    <w:lvl w:ilvl="8" w:tplc="672200A2" w:tentative="1">
      <w:start w:val="1"/>
      <w:numFmt w:val="lowerRoman"/>
      <w:lvlText w:val="%9."/>
      <w:lvlJc w:val="right"/>
      <w:pPr>
        <w:ind w:left="6120" w:hanging="180"/>
      </w:pPr>
    </w:lvl>
  </w:abstractNum>
  <w:abstractNum w:abstractNumId="2" w15:restartNumberingAfterBreak="0">
    <w:nsid w:val="287B394F"/>
    <w:multiLevelType w:val="hybridMultilevel"/>
    <w:tmpl w:val="C040062A"/>
    <w:lvl w:ilvl="0" w:tplc="F682706A">
      <w:start w:val="1"/>
      <w:numFmt w:val="bullet"/>
      <w:lvlText w:val=""/>
      <w:lvlJc w:val="left"/>
      <w:pPr>
        <w:ind w:left="360" w:hanging="360"/>
      </w:pPr>
      <w:rPr>
        <w:rFonts w:ascii="Wingdings" w:hAnsi="Wingdings" w:hint="default"/>
      </w:rPr>
    </w:lvl>
    <w:lvl w:ilvl="1" w:tplc="3472688E" w:tentative="1">
      <w:start w:val="1"/>
      <w:numFmt w:val="lowerLetter"/>
      <w:lvlText w:val="%2."/>
      <w:lvlJc w:val="left"/>
      <w:pPr>
        <w:ind w:left="1440" w:hanging="360"/>
      </w:pPr>
    </w:lvl>
    <w:lvl w:ilvl="2" w:tplc="65A0300E" w:tentative="1">
      <w:start w:val="1"/>
      <w:numFmt w:val="lowerRoman"/>
      <w:lvlText w:val="%3."/>
      <w:lvlJc w:val="right"/>
      <w:pPr>
        <w:ind w:left="2160" w:hanging="180"/>
      </w:pPr>
    </w:lvl>
    <w:lvl w:ilvl="3" w:tplc="F678FF0A" w:tentative="1">
      <w:start w:val="1"/>
      <w:numFmt w:val="decimal"/>
      <w:lvlText w:val="%4."/>
      <w:lvlJc w:val="left"/>
      <w:pPr>
        <w:ind w:left="2880" w:hanging="360"/>
      </w:pPr>
    </w:lvl>
    <w:lvl w:ilvl="4" w:tplc="C922B912" w:tentative="1">
      <w:start w:val="1"/>
      <w:numFmt w:val="lowerLetter"/>
      <w:lvlText w:val="%5."/>
      <w:lvlJc w:val="left"/>
      <w:pPr>
        <w:ind w:left="3600" w:hanging="360"/>
      </w:pPr>
    </w:lvl>
    <w:lvl w:ilvl="5" w:tplc="8B8A92C2" w:tentative="1">
      <w:start w:val="1"/>
      <w:numFmt w:val="lowerRoman"/>
      <w:lvlText w:val="%6."/>
      <w:lvlJc w:val="right"/>
      <w:pPr>
        <w:ind w:left="4320" w:hanging="180"/>
      </w:pPr>
    </w:lvl>
    <w:lvl w:ilvl="6" w:tplc="A6660684" w:tentative="1">
      <w:start w:val="1"/>
      <w:numFmt w:val="decimal"/>
      <w:lvlText w:val="%7."/>
      <w:lvlJc w:val="left"/>
      <w:pPr>
        <w:ind w:left="5040" w:hanging="360"/>
      </w:pPr>
    </w:lvl>
    <w:lvl w:ilvl="7" w:tplc="784A161A" w:tentative="1">
      <w:start w:val="1"/>
      <w:numFmt w:val="lowerLetter"/>
      <w:lvlText w:val="%8."/>
      <w:lvlJc w:val="left"/>
      <w:pPr>
        <w:ind w:left="5760" w:hanging="360"/>
      </w:pPr>
    </w:lvl>
    <w:lvl w:ilvl="8" w:tplc="5C56B4BA" w:tentative="1">
      <w:start w:val="1"/>
      <w:numFmt w:val="lowerRoman"/>
      <w:lvlText w:val="%9."/>
      <w:lvlJc w:val="right"/>
      <w:pPr>
        <w:ind w:left="6480" w:hanging="180"/>
      </w:pPr>
    </w:lvl>
  </w:abstractNum>
  <w:abstractNum w:abstractNumId="3" w15:restartNumberingAfterBreak="0">
    <w:nsid w:val="6D4D719D"/>
    <w:multiLevelType w:val="hybridMultilevel"/>
    <w:tmpl w:val="AE7E8472"/>
    <w:lvl w:ilvl="0" w:tplc="651C7B38">
      <w:start w:val="1"/>
      <w:numFmt w:val="decimal"/>
      <w:lvlText w:val="%1."/>
      <w:lvlJc w:val="left"/>
      <w:pPr>
        <w:ind w:left="360" w:hanging="360"/>
      </w:pPr>
    </w:lvl>
    <w:lvl w:ilvl="1" w:tplc="8A5C929E" w:tentative="1">
      <w:start w:val="1"/>
      <w:numFmt w:val="lowerLetter"/>
      <w:lvlText w:val="%2."/>
      <w:lvlJc w:val="left"/>
      <w:pPr>
        <w:ind w:left="1080" w:hanging="360"/>
      </w:pPr>
    </w:lvl>
    <w:lvl w:ilvl="2" w:tplc="3C06455A" w:tentative="1">
      <w:start w:val="1"/>
      <w:numFmt w:val="lowerRoman"/>
      <w:lvlText w:val="%3."/>
      <w:lvlJc w:val="right"/>
      <w:pPr>
        <w:ind w:left="1800" w:hanging="180"/>
      </w:pPr>
    </w:lvl>
    <w:lvl w:ilvl="3" w:tplc="ED3CC1C4" w:tentative="1">
      <w:start w:val="1"/>
      <w:numFmt w:val="decimal"/>
      <w:lvlText w:val="%4."/>
      <w:lvlJc w:val="left"/>
      <w:pPr>
        <w:ind w:left="2520" w:hanging="360"/>
      </w:pPr>
    </w:lvl>
    <w:lvl w:ilvl="4" w:tplc="0336B1BA" w:tentative="1">
      <w:start w:val="1"/>
      <w:numFmt w:val="lowerLetter"/>
      <w:lvlText w:val="%5."/>
      <w:lvlJc w:val="left"/>
      <w:pPr>
        <w:ind w:left="3240" w:hanging="360"/>
      </w:pPr>
    </w:lvl>
    <w:lvl w:ilvl="5" w:tplc="AD5052F6" w:tentative="1">
      <w:start w:val="1"/>
      <w:numFmt w:val="lowerRoman"/>
      <w:lvlText w:val="%6."/>
      <w:lvlJc w:val="right"/>
      <w:pPr>
        <w:ind w:left="3960" w:hanging="180"/>
      </w:pPr>
    </w:lvl>
    <w:lvl w:ilvl="6" w:tplc="36220B0A" w:tentative="1">
      <w:start w:val="1"/>
      <w:numFmt w:val="decimal"/>
      <w:lvlText w:val="%7."/>
      <w:lvlJc w:val="left"/>
      <w:pPr>
        <w:ind w:left="4680" w:hanging="360"/>
      </w:pPr>
    </w:lvl>
    <w:lvl w:ilvl="7" w:tplc="FFD4F67A" w:tentative="1">
      <w:start w:val="1"/>
      <w:numFmt w:val="lowerLetter"/>
      <w:lvlText w:val="%8."/>
      <w:lvlJc w:val="left"/>
      <w:pPr>
        <w:ind w:left="5400" w:hanging="360"/>
      </w:pPr>
    </w:lvl>
    <w:lvl w:ilvl="8" w:tplc="4E326DBE" w:tentative="1">
      <w:start w:val="1"/>
      <w:numFmt w:val="lowerRoman"/>
      <w:lvlText w:val="%9."/>
      <w:lvlJc w:val="right"/>
      <w:pPr>
        <w:ind w:left="6120" w:hanging="180"/>
      </w:pPr>
    </w:lvl>
  </w:abstractNum>
  <w:num w:numId="1" w16cid:durableId="1768228267">
    <w:abstractNumId w:val="2"/>
  </w:num>
  <w:num w:numId="2" w16cid:durableId="1214151461">
    <w:abstractNumId w:val="3"/>
  </w:num>
  <w:num w:numId="3" w16cid:durableId="1204442427">
    <w:abstractNumId w:val="0"/>
  </w:num>
  <w:num w:numId="4" w16cid:durableId="1050610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521"/>
    <w:rsid w:val="00042177"/>
    <w:rsid w:val="00062286"/>
    <w:rsid w:val="00093BC9"/>
    <w:rsid w:val="000B4895"/>
    <w:rsid w:val="001013D7"/>
    <w:rsid w:val="00106979"/>
    <w:rsid w:val="00185B9C"/>
    <w:rsid w:val="002E7521"/>
    <w:rsid w:val="003B2ACC"/>
    <w:rsid w:val="003D1D2C"/>
    <w:rsid w:val="004B4BAD"/>
    <w:rsid w:val="005562F2"/>
    <w:rsid w:val="005916CB"/>
    <w:rsid w:val="005D07CE"/>
    <w:rsid w:val="00733BFE"/>
    <w:rsid w:val="007344F8"/>
    <w:rsid w:val="00745036"/>
    <w:rsid w:val="00890959"/>
    <w:rsid w:val="008C2192"/>
    <w:rsid w:val="009E1641"/>
    <w:rsid w:val="00A53004"/>
    <w:rsid w:val="00BC74F3"/>
    <w:rsid w:val="00BE4D86"/>
    <w:rsid w:val="00BF0EE6"/>
    <w:rsid w:val="00C12494"/>
    <w:rsid w:val="00C23C28"/>
    <w:rsid w:val="00C453D2"/>
    <w:rsid w:val="00C60566"/>
    <w:rsid w:val="00C751D8"/>
    <w:rsid w:val="00C814A7"/>
    <w:rsid w:val="00C97082"/>
    <w:rsid w:val="00D508DE"/>
    <w:rsid w:val="00EB4A4D"/>
    <w:rsid w:val="00EE5755"/>
    <w:rsid w:val="00EF112F"/>
    <w:rsid w:val="00EF4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34F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BAD"/>
    <w:pPr>
      <w:spacing w:after="160"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C453D2"/>
    <w:pPr>
      <w:keepNext/>
      <w:keepLines/>
      <w:spacing w:after="0"/>
      <w:outlineLvl w:val="0"/>
    </w:pPr>
    <w:rPr>
      <w:rFonts w:eastAsiaTheme="majorEastAsia" w:cs="Times New Roman"/>
      <w:b/>
      <w:kern w:val="2"/>
      <w:sz w:val="28"/>
      <w:szCs w:val="32"/>
      <w14:ligatures w14:val="standardContextual"/>
    </w:rPr>
  </w:style>
  <w:style w:type="paragraph" w:styleId="Heading2">
    <w:name w:val="heading 2"/>
    <w:basedOn w:val="Normal"/>
    <w:next w:val="Normal"/>
    <w:link w:val="Heading2Char"/>
    <w:autoRedefine/>
    <w:uiPriority w:val="9"/>
    <w:unhideWhenUsed/>
    <w:qFormat/>
    <w:rsid w:val="00C453D2"/>
    <w:pPr>
      <w:keepNext/>
      <w:keepLines/>
      <w:spacing w:after="0"/>
      <w:outlineLvl w:val="1"/>
    </w:pPr>
    <w:rPr>
      <w:rFonts w:eastAsiaTheme="majorEastAsia" w:cs="Times New Roman"/>
      <w:b/>
      <w:bCs/>
      <w:sz w:val="26"/>
      <w:szCs w:val="26"/>
    </w:rPr>
  </w:style>
  <w:style w:type="paragraph" w:styleId="Heading3">
    <w:name w:val="heading 3"/>
    <w:basedOn w:val="Normal"/>
    <w:next w:val="Normal"/>
    <w:link w:val="Heading3Char"/>
    <w:autoRedefine/>
    <w:uiPriority w:val="9"/>
    <w:unhideWhenUsed/>
    <w:qFormat/>
    <w:rsid w:val="00062286"/>
    <w:pPr>
      <w:keepNext/>
      <w:keepLines/>
      <w:spacing w:before="40" w:after="0"/>
      <w:outlineLvl w:val="2"/>
    </w:pPr>
    <w:rPr>
      <w:rFonts w:eastAsiaTheme="majorEastAsia"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3D2"/>
    <w:rPr>
      <w:rFonts w:ascii="Times New Roman" w:eastAsiaTheme="majorEastAsia" w:hAnsi="Times New Roman" w:cs="Times New Roman"/>
      <w:b/>
      <w:sz w:val="28"/>
      <w:szCs w:val="32"/>
    </w:rPr>
  </w:style>
  <w:style w:type="character" w:customStyle="1" w:styleId="Heading2Char">
    <w:name w:val="Heading 2 Char"/>
    <w:basedOn w:val="DefaultParagraphFont"/>
    <w:link w:val="Heading2"/>
    <w:uiPriority w:val="9"/>
    <w:rsid w:val="00C453D2"/>
    <w:rPr>
      <w:rFonts w:ascii="Times New Roman" w:eastAsiaTheme="majorEastAsia" w:hAnsi="Times New Roman" w:cs="Times New Roman"/>
      <w:b/>
      <w:bCs/>
      <w:kern w:val="0"/>
      <w:sz w:val="26"/>
      <w:szCs w:val="26"/>
      <w14:ligatures w14:val="none"/>
    </w:rPr>
  </w:style>
  <w:style w:type="character" w:customStyle="1" w:styleId="Heading3Char">
    <w:name w:val="Heading 3 Char"/>
    <w:basedOn w:val="DefaultParagraphFont"/>
    <w:link w:val="Heading3"/>
    <w:uiPriority w:val="9"/>
    <w:rsid w:val="00062286"/>
    <w:rPr>
      <w:rFonts w:ascii="Times New Roman" w:eastAsiaTheme="majorEastAsia" w:hAnsi="Times New Roman" w:cstheme="majorBidi"/>
      <w:color w:val="243F60" w:themeColor="accent1" w:themeShade="7F"/>
      <w:sz w:val="24"/>
      <w:szCs w:val="24"/>
    </w:rPr>
  </w:style>
  <w:style w:type="paragraph" w:styleId="TOCHeading">
    <w:name w:val="TOC Heading"/>
    <w:basedOn w:val="Heading1"/>
    <w:next w:val="Normal"/>
    <w:uiPriority w:val="39"/>
    <w:unhideWhenUsed/>
    <w:qFormat/>
    <w:rsid w:val="00C12494"/>
    <w:pPr>
      <w:spacing w:line="259" w:lineRule="auto"/>
      <w:jc w:val="left"/>
      <w:outlineLvl w:val="9"/>
    </w:pPr>
    <w:rPr>
      <w:rFonts w:asciiTheme="majorHAnsi" w:hAnsiTheme="majorHAnsi"/>
      <w:kern w:val="0"/>
      <w14:ligatures w14:val="none"/>
    </w:rPr>
  </w:style>
  <w:style w:type="paragraph" w:styleId="Header">
    <w:name w:val="header"/>
    <w:basedOn w:val="Normal"/>
    <w:link w:val="HeaderChar"/>
    <w:uiPriority w:val="99"/>
    <w:unhideWhenUsed/>
    <w:rsid w:val="00C12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2494"/>
    <w:rPr>
      <w:rFonts w:ascii="Times New Roman" w:hAnsi="Times New Roman"/>
      <w:kern w:val="0"/>
      <w:sz w:val="24"/>
      <w14:ligatures w14:val="none"/>
    </w:rPr>
  </w:style>
  <w:style w:type="paragraph" w:styleId="Footer">
    <w:name w:val="footer"/>
    <w:basedOn w:val="Normal"/>
    <w:link w:val="FooterChar"/>
    <w:uiPriority w:val="99"/>
    <w:unhideWhenUsed/>
    <w:rsid w:val="00C12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494"/>
    <w:rPr>
      <w:rFonts w:ascii="Times New Roman" w:hAnsi="Times New Roman"/>
      <w:kern w:val="0"/>
      <w:sz w:val="24"/>
      <w14:ligatures w14:val="none"/>
    </w:rPr>
  </w:style>
  <w:style w:type="paragraph" w:styleId="Caption">
    <w:name w:val="caption"/>
    <w:basedOn w:val="Normal"/>
    <w:next w:val="Normal"/>
    <w:uiPriority w:val="35"/>
    <w:unhideWhenUsed/>
    <w:qFormat/>
    <w:rsid w:val="00C12494"/>
    <w:pPr>
      <w:spacing w:after="200" w:line="240" w:lineRule="auto"/>
    </w:pPr>
    <w:rPr>
      <w:i/>
      <w:iCs/>
      <w:color w:val="1F497D" w:themeColor="text2"/>
      <w:sz w:val="18"/>
      <w:szCs w:val="18"/>
    </w:rPr>
  </w:style>
  <w:style w:type="table" w:styleId="TableGrid">
    <w:name w:val="Table Grid"/>
    <w:basedOn w:val="TableNormal"/>
    <w:uiPriority w:val="59"/>
    <w:rsid w:val="00093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3BC9"/>
    <w:pPr>
      <w:ind w:left="720"/>
      <w:contextualSpacing/>
    </w:pPr>
  </w:style>
  <w:style w:type="paragraph" w:styleId="TOC1">
    <w:name w:val="toc 1"/>
    <w:basedOn w:val="Normal"/>
    <w:next w:val="Normal"/>
    <w:autoRedefine/>
    <w:uiPriority w:val="39"/>
    <w:unhideWhenUsed/>
    <w:rsid w:val="00C60566"/>
    <w:pPr>
      <w:spacing w:after="100"/>
    </w:pPr>
  </w:style>
  <w:style w:type="paragraph" w:styleId="TOC2">
    <w:name w:val="toc 2"/>
    <w:basedOn w:val="Normal"/>
    <w:next w:val="Normal"/>
    <w:autoRedefine/>
    <w:uiPriority w:val="39"/>
    <w:unhideWhenUsed/>
    <w:rsid w:val="00C60566"/>
    <w:pPr>
      <w:spacing w:after="100"/>
      <w:ind w:left="240"/>
    </w:pPr>
  </w:style>
  <w:style w:type="character" w:styleId="Hyperlink">
    <w:name w:val="Hyperlink"/>
    <w:basedOn w:val="DefaultParagraphFont"/>
    <w:uiPriority w:val="99"/>
    <w:unhideWhenUsed/>
    <w:rsid w:val="00C605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9F9061-FCCF-4B46-BECC-7440BDD45145}" type="doc">
      <dgm:prSet loTypeId="urn:microsoft.com/office/officeart/2005/8/layout/radial3#1" loCatId="cycle" qsTypeId="urn:microsoft.com/office/officeart/2005/8/quickstyle/simple1" qsCatId="simple" csTypeId="urn:microsoft.com/office/officeart/2005/8/colors/colorful4" csCatId="colorful" phldr="1"/>
      <dgm:spPr/>
      <dgm:t>
        <a:bodyPr/>
        <a:lstStyle/>
        <a:p>
          <a:endParaRPr lang="en-US"/>
        </a:p>
      </dgm:t>
    </dgm:pt>
    <dgm:pt modelId="{D340F3FF-08CD-4059-A553-F1B67C6AE567}">
      <dgm:prSet phldrT="[Text]" custT="1"/>
      <dgm:spPr/>
      <dgm:t>
        <a:bodyPr/>
        <a:lstStyle/>
        <a:p>
          <a:r>
            <a:rPr lang="en-US" sz="1000" b="1">
              <a:latin typeface="Times New Roman" panose="02020603050405020304" pitchFamily="18" charset="0"/>
              <a:cs typeface="Times New Roman" panose="02020603050405020304" pitchFamily="18" charset="0"/>
            </a:rPr>
            <a:t>Active Engagement </a:t>
          </a:r>
        </a:p>
      </dgm:t>
    </dgm:pt>
    <dgm:pt modelId="{DCDEC1C2-E322-4456-BED2-6F5CBA256ADF}" type="parTrans" cxnId="{2CAAE329-7A2D-4F15-9365-BD3C96DFE1E9}">
      <dgm:prSet/>
      <dgm:spPr/>
      <dgm:t>
        <a:bodyPr/>
        <a:lstStyle/>
        <a:p>
          <a:endParaRPr lang="en-US"/>
        </a:p>
      </dgm:t>
    </dgm:pt>
    <dgm:pt modelId="{3E36ED1B-1F4F-4125-8B13-62D8F84281D1}" type="sibTrans" cxnId="{2CAAE329-7A2D-4F15-9365-BD3C96DFE1E9}">
      <dgm:prSet/>
      <dgm:spPr/>
      <dgm:t>
        <a:bodyPr/>
        <a:lstStyle/>
        <a:p>
          <a:endParaRPr lang="en-US"/>
        </a:p>
      </dgm:t>
    </dgm:pt>
    <dgm:pt modelId="{95BC9D6A-C664-41F2-90E1-843F1216FE5A}">
      <dgm:prSet phldrT="[Text]" custT="1"/>
      <dgm:spPr/>
      <dgm:t>
        <a:bodyPr/>
        <a:lstStyle/>
        <a:p>
          <a:r>
            <a:rPr lang="en-US" sz="1000" b="0">
              <a:latin typeface="Times New Roman" panose="02020603050405020304" pitchFamily="18" charset="0"/>
              <a:cs typeface="Times New Roman" panose="02020603050405020304" pitchFamily="18" charset="0"/>
            </a:rPr>
            <a:t>Informal Volunteer Hub</a:t>
          </a:r>
        </a:p>
      </dgm:t>
    </dgm:pt>
    <dgm:pt modelId="{7CA61AF7-B92F-47E7-865D-4337FB1944C8}" type="parTrans" cxnId="{1888A577-40B1-4F63-B7B5-907AB1BF21C9}">
      <dgm:prSet/>
      <dgm:spPr/>
      <dgm:t>
        <a:bodyPr/>
        <a:lstStyle/>
        <a:p>
          <a:endParaRPr lang="en-US"/>
        </a:p>
      </dgm:t>
    </dgm:pt>
    <dgm:pt modelId="{DB52F29E-1CAF-42F3-8F00-F564BAB69804}" type="sibTrans" cxnId="{1888A577-40B1-4F63-B7B5-907AB1BF21C9}">
      <dgm:prSet/>
      <dgm:spPr/>
      <dgm:t>
        <a:bodyPr/>
        <a:lstStyle/>
        <a:p>
          <a:endParaRPr lang="en-US" b="0">
            <a:latin typeface="Times New Roman" panose="02020603050405020304" pitchFamily="18" charset="0"/>
            <a:cs typeface="Times New Roman" panose="02020603050405020304" pitchFamily="18" charset="0"/>
          </a:endParaRPr>
        </a:p>
      </dgm:t>
    </dgm:pt>
    <dgm:pt modelId="{6EE217FB-8FBE-4432-AAEB-755E4291B093}">
      <dgm:prSet custT="1"/>
      <dgm:spPr/>
      <dgm:t>
        <a:bodyPr/>
        <a:lstStyle/>
        <a:p>
          <a:r>
            <a:rPr lang="en-US" sz="1000" b="0">
              <a:latin typeface="Times New Roman" panose="02020603050405020304" pitchFamily="18" charset="0"/>
              <a:cs typeface="Times New Roman" panose="02020603050405020304" pitchFamily="18" charset="0"/>
            </a:rPr>
            <a:t>Community Leadership Development</a:t>
          </a:r>
        </a:p>
      </dgm:t>
    </dgm:pt>
    <dgm:pt modelId="{626DA601-270E-4271-B10B-A9663AD6F996}" type="parTrans" cxnId="{A71A80C9-63F1-4771-906D-6FFDF7FD3AD6}">
      <dgm:prSet/>
      <dgm:spPr/>
      <dgm:t>
        <a:bodyPr/>
        <a:lstStyle/>
        <a:p>
          <a:endParaRPr lang="en-US"/>
        </a:p>
      </dgm:t>
    </dgm:pt>
    <dgm:pt modelId="{51930BBA-E620-4BE5-94D5-B57BD2F8463D}" type="sibTrans" cxnId="{A71A80C9-63F1-4771-906D-6FFDF7FD3AD6}">
      <dgm:prSet/>
      <dgm:spPr/>
      <dgm:t>
        <a:bodyPr/>
        <a:lstStyle/>
        <a:p>
          <a:endParaRPr lang="en-US" b="0">
            <a:latin typeface="Times New Roman" panose="02020603050405020304" pitchFamily="18" charset="0"/>
            <a:cs typeface="Times New Roman" panose="02020603050405020304" pitchFamily="18" charset="0"/>
          </a:endParaRPr>
        </a:p>
      </dgm:t>
    </dgm:pt>
    <dgm:pt modelId="{802D7EC9-2695-48EE-82D8-7AF4087A0E17}">
      <dgm:prSet custT="1"/>
      <dgm:spPr/>
      <dgm:t>
        <a:bodyPr/>
        <a:lstStyle/>
        <a:p>
          <a:r>
            <a:rPr lang="en-US" sz="1000" b="0">
              <a:latin typeface="Times New Roman" panose="02020603050405020304" pitchFamily="18" charset="0"/>
              <a:cs typeface="Times New Roman" panose="02020603050405020304" pitchFamily="18" charset="0"/>
            </a:rPr>
            <a:t>Collaboration Working Platforms </a:t>
          </a:r>
        </a:p>
      </dgm:t>
    </dgm:pt>
    <dgm:pt modelId="{94FC0595-435A-4C67-8185-44D1705470A9}" type="parTrans" cxnId="{B3A61E64-6219-4205-AA5C-EEAEECE70821}">
      <dgm:prSet/>
      <dgm:spPr/>
      <dgm:t>
        <a:bodyPr/>
        <a:lstStyle/>
        <a:p>
          <a:endParaRPr lang="en-US"/>
        </a:p>
      </dgm:t>
    </dgm:pt>
    <dgm:pt modelId="{843BF00F-60CC-493B-B652-FF3E9F6B600A}" type="sibTrans" cxnId="{B3A61E64-6219-4205-AA5C-EEAEECE70821}">
      <dgm:prSet/>
      <dgm:spPr/>
      <dgm:t>
        <a:bodyPr/>
        <a:lstStyle/>
        <a:p>
          <a:endParaRPr lang="en-US" b="0">
            <a:latin typeface="Times New Roman" panose="02020603050405020304" pitchFamily="18" charset="0"/>
            <a:cs typeface="Times New Roman" panose="02020603050405020304" pitchFamily="18" charset="0"/>
          </a:endParaRPr>
        </a:p>
      </dgm:t>
    </dgm:pt>
    <dgm:pt modelId="{88C98086-1D39-49A6-96C7-45BD98D96C8A}">
      <dgm:prSet custT="1"/>
      <dgm:spPr/>
      <dgm:t>
        <a:bodyPr/>
        <a:lstStyle/>
        <a:p>
          <a:r>
            <a:rPr lang="en-US" sz="1000" b="0">
              <a:latin typeface="Times New Roman" panose="02020603050405020304" pitchFamily="18" charset="0"/>
              <a:cs typeface="Times New Roman" panose="02020603050405020304" pitchFamily="18" charset="0"/>
            </a:rPr>
            <a:t>Event Planning and Execution</a:t>
          </a:r>
        </a:p>
      </dgm:t>
    </dgm:pt>
    <dgm:pt modelId="{1E12256A-8A60-457F-A4DB-F231FFE9CB09}" type="parTrans" cxnId="{6A63610E-B50A-43B0-B979-4E55A5C0FF1C}">
      <dgm:prSet/>
      <dgm:spPr/>
      <dgm:t>
        <a:bodyPr/>
        <a:lstStyle/>
        <a:p>
          <a:endParaRPr lang="en-US"/>
        </a:p>
      </dgm:t>
    </dgm:pt>
    <dgm:pt modelId="{AC44336F-0722-4C83-9866-F7E633D7E6AD}" type="sibTrans" cxnId="{6A63610E-B50A-43B0-B979-4E55A5C0FF1C}">
      <dgm:prSet/>
      <dgm:spPr/>
      <dgm:t>
        <a:bodyPr/>
        <a:lstStyle/>
        <a:p>
          <a:endParaRPr lang="en-US" b="0">
            <a:latin typeface="Times New Roman" panose="02020603050405020304" pitchFamily="18" charset="0"/>
            <a:cs typeface="Times New Roman" panose="02020603050405020304" pitchFamily="18" charset="0"/>
          </a:endParaRPr>
        </a:p>
      </dgm:t>
    </dgm:pt>
    <dgm:pt modelId="{D1C95D64-192A-4EE3-9C2B-EA3AA22C208F}" type="pres">
      <dgm:prSet presAssocID="{289F9061-FCCF-4B46-BECC-7440BDD45145}" presName="composite" presStyleCnt="0">
        <dgm:presLayoutVars>
          <dgm:chMax val="1"/>
          <dgm:dir/>
          <dgm:resizeHandles val="exact"/>
        </dgm:presLayoutVars>
      </dgm:prSet>
      <dgm:spPr/>
    </dgm:pt>
    <dgm:pt modelId="{95E6E440-3B20-4AFF-8AC9-5695D3488ADE}" type="pres">
      <dgm:prSet presAssocID="{289F9061-FCCF-4B46-BECC-7440BDD45145}" presName="radial" presStyleCnt="0">
        <dgm:presLayoutVars>
          <dgm:animLvl val="ctr"/>
        </dgm:presLayoutVars>
      </dgm:prSet>
      <dgm:spPr/>
    </dgm:pt>
    <dgm:pt modelId="{F2C1FAA0-73E2-45DB-AC2A-54E449A92E36}" type="pres">
      <dgm:prSet presAssocID="{D340F3FF-08CD-4059-A553-F1B67C6AE567}" presName="centerShape" presStyleLbl="vennNode1" presStyleIdx="0" presStyleCnt="5"/>
      <dgm:spPr/>
    </dgm:pt>
    <dgm:pt modelId="{718B45BA-395B-4980-8568-0E087D3DC106}" type="pres">
      <dgm:prSet presAssocID="{95BC9D6A-C664-41F2-90E1-843F1216FE5A}" presName="node" presStyleLbl="vennNode1" presStyleIdx="1" presStyleCnt="5">
        <dgm:presLayoutVars>
          <dgm:bulletEnabled val="1"/>
        </dgm:presLayoutVars>
      </dgm:prSet>
      <dgm:spPr/>
    </dgm:pt>
    <dgm:pt modelId="{048E14AC-D351-42FD-AEE3-809C4E900A5F}" type="pres">
      <dgm:prSet presAssocID="{6EE217FB-8FBE-4432-AAEB-755E4291B093}" presName="node" presStyleLbl="vennNode1" presStyleIdx="2" presStyleCnt="5">
        <dgm:presLayoutVars>
          <dgm:bulletEnabled val="1"/>
        </dgm:presLayoutVars>
      </dgm:prSet>
      <dgm:spPr/>
    </dgm:pt>
    <dgm:pt modelId="{04D8D45A-872A-4D3E-B45E-8765857CE92D}" type="pres">
      <dgm:prSet presAssocID="{802D7EC9-2695-48EE-82D8-7AF4087A0E17}" presName="node" presStyleLbl="vennNode1" presStyleIdx="3" presStyleCnt="5">
        <dgm:presLayoutVars>
          <dgm:bulletEnabled val="1"/>
        </dgm:presLayoutVars>
      </dgm:prSet>
      <dgm:spPr/>
    </dgm:pt>
    <dgm:pt modelId="{0DEBB93A-D6B3-4444-81BD-24B9296DC4E6}" type="pres">
      <dgm:prSet presAssocID="{88C98086-1D39-49A6-96C7-45BD98D96C8A}" presName="node" presStyleLbl="vennNode1" presStyleIdx="4" presStyleCnt="5">
        <dgm:presLayoutVars>
          <dgm:bulletEnabled val="1"/>
        </dgm:presLayoutVars>
      </dgm:prSet>
      <dgm:spPr/>
    </dgm:pt>
  </dgm:ptLst>
  <dgm:cxnLst>
    <dgm:cxn modelId="{6A63610E-B50A-43B0-B979-4E55A5C0FF1C}" srcId="{D340F3FF-08CD-4059-A553-F1B67C6AE567}" destId="{88C98086-1D39-49A6-96C7-45BD98D96C8A}" srcOrd="3" destOrd="0" parTransId="{1E12256A-8A60-457F-A4DB-F231FFE9CB09}" sibTransId="{AC44336F-0722-4C83-9866-F7E633D7E6AD}"/>
    <dgm:cxn modelId="{B8270229-354C-4F67-B151-C31324430AD9}" type="presOf" srcId="{88C98086-1D39-49A6-96C7-45BD98D96C8A}" destId="{0DEBB93A-D6B3-4444-81BD-24B9296DC4E6}" srcOrd="0" destOrd="0" presId="urn:microsoft.com/office/officeart/2005/8/layout/radial3#1"/>
    <dgm:cxn modelId="{2CAAE329-7A2D-4F15-9365-BD3C96DFE1E9}" srcId="{289F9061-FCCF-4B46-BECC-7440BDD45145}" destId="{D340F3FF-08CD-4059-A553-F1B67C6AE567}" srcOrd="0" destOrd="0" parTransId="{DCDEC1C2-E322-4456-BED2-6F5CBA256ADF}" sibTransId="{3E36ED1B-1F4F-4125-8B13-62D8F84281D1}"/>
    <dgm:cxn modelId="{AA46444F-112F-401D-B885-9D3FD867D964}" type="presOf" srcId="{95BC9D6A-C664-41F2-90E1-843F1216FE5A}" destId="{718B45BA-395B-4980-8568-0E087D3DC106}" srcOrd="0" destOrd="0" presId="urn:microsoft.com/office/officeart/2005/8/layout/radial3#1"/>
    <dgm:cxn modelId="{B3A61E64-6219-4205-AA5C-EEAEECE70821}" srcId="{D340F3FF-08CD-4059-A553-F1B67C6AE567}" destId="{802D7EC9-2695-48EE-82D8-7AF4087A0E17}" srcOrd="2" destOrd="0" parTransId="{94FC0595-435A-4C67-8185-44D1705470A9}" sibTransId="{843BF00F-60CC-493B-B652-FF3E9F6B600A}"/>
    <dgm:cxn modelId="{1888A577-40B1-4F63-B7B5-907AB1BF21C9}" srcId="{D340F3FF-08CD-4059-A553-F1B67C6AE567}" destId="{95BC9D6A-C664-41F2-90E1-843F1216FE5A}" srcOrd="0" destOrd="0" parTransId="{7CA61AF7-B92F-47E7-865D-4337FB1944C8}" sibTransId="{DB52F29E-1CAF-42F3-8F00-F564BAB69804}"/>
    <dgm:cxn modelId="{22772B80-3EAD-42F0-818B-33D9C83A2783}" type="presOf" srcId="{D340F3FF-08CD-4059-A553-F1B67C6AE567}" destId="{F2C1FAA0-73E2-45DB-AC2A-54E449A92E36}" srcOrd="0" destOrd="0" presId="urn:microsoft.com/office/officeart/2005/8/layout/radial3#1"/>
    <dgm:cxn modelId="{9FF1F193-4E5D-493E-A183-954B2065BC1C}" type="presOf" srcId="{289F9061-FCCF-4B46-BECC-7440BDD45145}" destId="{D1C95D64-192A-4EE3-9C2B-EA3AA22C208F}" srcOrd="0" destOrd="0" presId="urn:microsoft.com/office/officeart/2005/8/layout/radial3#1"/>
    <dgm:cxn modelId="{A71A80C9-63F1-4771-906D-6FFDF7FD3AD6}" srcId="{D340F3FF-08CD-4059-A553-F1B67C6AE567}" destId="{6EE217FB-8FBE-4432-AAEB-755E4291B093}" srcOrd="1" destOrd="0" parTransId="{626DA601-270E-4271-B10B-A9663AD6F996}" sibTransId="{51930BBA-E620-4BE5-94D5-B57BD2F8463D}"/>
    <dgm:cxn modelId="{F98A1FE9-3942-4D8D-9970-FCC0371F1331}" type="presOf" srcId="{802D7EC9-2695-48EE-82D8-7AF4087A0E17}" destId="{04D8D45A-872A-4D3E-B45E-8765857CE92D}" srcOrd="0" destOrd="0" presId="urn:microsoft.com/office/officeart/2005/8/layout/radial3#1"/>
    <dgm:cxn modelId="{5933F6EC-BA43-4CBC-80DB-F5364F58616D}" type="presOf" srcId="{6EE217FB-8FBE-4432-AAEB-755E4291B093}" destId="{048E14AC-D351-42FD-AEE3-809C4E900A5F}" srcOrd="0" destOrd="0" presId="urn:microsoft.com/office/officeart/2005/8/layout/radial3#1"/>
    <dgm:cxn modelId="{BB16365C-A380-4EBD-905D-1A55EFE5C815}" type="presParOf" srcId="{D1C95D64-192A-4EE3-9C2B-EA3AA22C208F}" destId="{95E6E440-3B20-4AFF-8AC9-5695D3488ADE}" srcOrd="0" destOrd="0" presId="urn:microsoft.com/office/officeart/2005/8/layout/radial3#1"/>
    <dgm:cxn modelId="{41D43E40-24FC-4821-B012-BB205801C72B}" type="presParOf" srcId="{95E6E440-3B20-4AFF-8AC9-5695D3488ADE}" destId="{F2C1FAA0-73E2-45DB-AC2A-54E449A92E36}" srcOrd="0" destOrd="0" presId="urn:microsoft.com/office/officeart/2005/8/layout/radial3#1"/>
    <dgm:cxn modelId="{4B82BA04-7C40-4D5D-B0F5-A2A292D446BF}" type="presParOf" srcId="{95E6E440-3B20-4AFF-8AC9-5695D3488ADE}" destId="{718B45BA-395B-4980-8568-0E087D3DC106}" srcOrd="1" destOrd="0" presId="urn:microsoft.com/office/officeart/2005/8/layout/radial3#1"/>
    <dgm:cxn modelId="{8207D395-4BE7-4E2F-B048-E8249E0A17D7}" type="presParOf" srcId="{95E6E440-3B20-4AFF-8AC9-5695D3488ADE}" destId="{048E14AC-D351-42FD-AEE3-809C4E900A5F}" srcOrd="2" destOrd="0" presId="urn:microsoft.com/office/officeart/2005/8/layout/radial3#1"/>
    <dgm:cxn modelId="{18C5A3E7-85B7-41DB-84FE-B100C32A1C68}" type="presParOf" srcId="{95E6E440-3B20-4AFF-8AC9-5695D3488ADE}" destId="{04D8D45A-872A-4D3E-B45E-8765857CE92D}" srcOrd="3" destOrd="0" presId="urn:microsoft.com/office/officeart/2005/8/layout/radial3#1"/>
    <dgm:cxn modelId="{CEA727DF-F61D-46DD-BAD9-C45101CDC607}" type="presParOf" srcId="{95E6E440-3B20-4AFF-8AC9-5695D3488ADE}" destId="{0DEBB93A-D6B3-4444-81BD-24B9296DC4E6}" srcOrd="4" destOrd="0" presId="urn:microsoft.com/office/officeart/2005/8/layout/radial3#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C1FAA0-73E2-45DB-AC2A-54E449A92E36}">
      <dsp:nvSpPr>
        <dsp:cNvPr id="0" name=""/>
        <dsp:cNvSpPr/>
      </dsp:nvSpPr>
      <dsp:spPr>
        <a:xfrm>
          <a:off x="2007476" y="752834"/>
          <a:ext cx="1875483" cy="1875483"/>
        </a:xfrm>
        <a:prstGeom prst="ellipse">
          <a:avLst/>
        </a:prstGeom>
        <a:solidFill>
          <a:schemeClr val="accent4">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Active Engagement </a:t>
          </a:r>
        </a:p>
      </dsp:txBody>
      <dsp:txXfrm>
        <a:off x="2282134" y="1027492"/>
        <a:ext cx="1326167" cy="1326167"/>
      </dsp:txXfrm>
    </dsp:sp>
    <dsp:sp modelId="{718B45BA-395B-4980-8568-0E087D3DC106}">
      <dsp:nvSpPr>
        <dsp:cNvPr id="0" name=""/>
        <dsp:cNvSpPr/>
      </dsp:nvSpPr>
      <dsp:spPr>
        <a:xfrm>
          <a:off x="2476347" y="334"/>
          <a:ext cx="937741" cy="937741"/>
        </a:xfrm>
        <a:prstGeom prst="ellipse">
          <a:avLst/>
        </a:prstGeom>
        <a:solidFill>
          <a:schemeClr val="accent4">
            <a:alpha val="50000"/>
            <a:hueOff val="-1116192"/>
            <a:satOff val="6725"/>
            <a:lumOff val="53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Informal Volunteer Hub</a:t>
          </a:r>
        </a:p>
      </dsp:txBody>
      <dsp:txXfrm>
        <a:off x="2613676" y="137663"/>
        <a:ext cx="663083" cy="663083"/>
      </dsp:txXfrm>
    </dsp:sp>
    <dsp:sp modelId="{048E14AC-D351-42FD-AEE3-809C4E900A5F}">
      <dsp:nvSpPr>
        <dsp:cNvPr id="0" name=""/>
        <dsp:cNvSpPr/>
      </dsp:nvSpPr>
      <dsp:spPr>
        <a:xfrm>
          <a:off x="3697718" y="1221705"/>
          <a:ext cx="937741" cy="937741"/>
        </a:xfrm>
        <a:prstGeom prst="ellipse">
          <a:avLst/>
        </a:prstGeom>
        <a:solidFill>
          <a:schemeClr val="accent4">
            <a:alpha val="50000"/>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Community Leadership Development</a:t>
          </a:r>
        </a:p>
      </dsp:txBody>
      <dsp:txXfrm>
        <a:off x="3835047" y="1359034"/>
        <a:ext cx="663083" cy="663083"/>
      </dsp:txXfrm>
    </dsp:sp>
    <dsp:sp modelId="{04D8D45A-872A-4D3E-B45E-8765857CE92D}">
      <dsp:nvSpPr>
        <dsp:cNvPr id="0" name=""/>
        <dsp:cNvSpPr/>
      </dsp:nvSpPr>
      <dsp:spPr>
        <a:xfrm>
          <a:off x="2476347" y="2443076"/>
          <a:ext cx="937741" cy="937741"/>
        </a:xfrm>
        <a:prstGeom prst="ellipse">
          <a:avLst/>
        </a:prstGeom>
        <a:solidFill>
          <a:schemeClr val="accent4">
            <a:alpha val="50000"/>
            <a:hueOff val="-3348577"/>
            <a:satOff val="20174"/>
            <a:lumOff val="16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Collaboration Working Platforms </a:t>
          </a:r>
        </a:p>
      </dsp:txBody>
      <dsp:txXfrm>
        <a:off x="2613676" y="2580405"/>
        <a:ext cx="663083" cy="663083"/>
      </dsp:txXfrm>
    </dsp:sp>
    <dsp:sp modelId="{0DEBB93A-D6B3-4444-81BD-24B9296DC4E6}">
      <dsp:nvSpPr>
        <dsp:cNvPr id="0" name=""/>
        <dsp:cNvSpPr/>
      </dsp:nvSpPr>
      <dsp:spPr>
        <a:xfrm>
          <a:off x="1254976" y="1221705"/>
          <a:ext cx="937741" cy="937741"/>
        </a:xfrm>
        <a:prstGeom prst="ellipse">
          <a:avLst/>
        </a:prstGeom>
        <a:solidFill>
          <a:schemeClr val="accent4">
            <a:alpha val="50000"/>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Event Planning and Execution</a:t>
          </a:r>
        </a:p>
      </dsp:txBody>
      <dsp:txXfrm>
        <a:off x="1392305" y="1359034"/>
        <a:ext cx="663083" cy="663083"/>
      </dsp:txXfrm>
    </dsp:sp>
  </dsp:spTree>
</dsp:drawing>
</file>

<file path=word/diagrams/layout1.xml><?xml version="1.0" encoding="utf-8"?>
<dgm:layoutDef xmlns:dgm="http://schemas.openxmlformats.org/drawingml/2006/diagram" xmlns:a="http://schemas.openxmlformats.org/drawingml/2006/main" uniqueId="urn:microsoft.com/office/officeart/2005/8/layout/radial3#1">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BD666-A0D5-47CD-9528-464B834487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2645</Words>
  <Characters>15081</Characters>
  <Application>Microsoft Office Word</Application>
  <DocSecurity>0</DocSecurity>
  <Lines>125</Lines>
  <Paragraphs>35</Paragraphs>
  <ScaleCrop>false</ScaleCrop>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2023-11-30T18:57:00Z</dcterms:created>
  <dcterms:modified xsi:type="dcterms:W3CDTF">2023-12-01T13:07:00Z</dcterms:modified>
</cp:coreProperties>
</file>