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5E1C99" w14:textId="77777777" w:rsidR="008A1E65" w:rsidRDefault="008A1E65" w:rsidP="008A1E65">
      <w:pPr>
        <w:jc w:val="center"/>
      </w:pPr>
      <w:r>
        <w:rPr>
          <w:noProof/>
        </w:rPr>
        <w:drawing>
          <wp:inline distT="0" distB="0" distL="0" distR="0" wp14:anchorId="2AB7D246" wp14:editId="690A8CE3">
            <wp:extent cx="2272145" cy="781414"/>
            <wp:effectExtent l="0" t="0" r="0" b="0"/>
            <wp:docPr id="38210032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9706" t="16326" r="10352" b="17850"/>
                    <a:stretch>
                      <a:fillRect/>
                    </a:stretch>
                  </pic:blipFill>
                  <pic:spPr bwMode="auto">
                    <a:xfrm>
                      <a:off x="0" y="0"/>
                      <a:ext cx="2296704" cy="789860"/>
                    </a:xfrm>
                    <a:prstGeom prst="rect">
                      <a:avLst/>
                    </a:prstGeom>
                    <a:noFill/>
                    <a:ln>
                      <a:noFill/>
                    </a:ln>
                    <a:extLst>
                      <a:ext uri="{53640926-AAD7-44D8-BBD7-CCE9431645EC}">
                        <a14:shadowObscured xmlns:a14="http://schemas.microsoft.com/office/drawing/2010/main"/>
                      </a:ext>
                    </a:extLst>
                  </pic:spPr>
                </pic:pic>
              </a:graphicData>
            </a:graphic>
          </wp:inline>
        </w:drawing>
      </w:r>
    </w:p>
    <w:p w14:paraId="687BFC09" w14:textId="77777777" w:rsidR="008A1E65" w:rsidRDefault="008A1E65" w:rsidP="008A1E65">
      <w:pPr>
        <w:jc w:val="center"/>
      </w:pPr>
    </w:p>
    <w:p w14:paraId="7780D908" w14:textId="77777777" w:rsidR="008A1E65" w:rsidRDefault="008A1E65" w:rsidP="008A1E65">
      <w:pPr>
        <w:jc w:val="center"/>
        <w:rPr>
          <w:b/>
          <w:bCs/>
          <w:sz w:val="28"/>
          <w:szCs w:val="28"/>
        </w:rPr>
      </w:pPr>
      <w:r w:rsidRPr="003364EF">
        <w:rPr>
          <w:b/>
          <w:bCs/>
          <w:sz w:val="28"/>
          <w:szCs w:val="28"/>
        </w:rPr>
        <w:t>Programme: Master of Business Administration</w:t>
      </w:r>
    </w:p>
    <w:p w14:paraId="2512FA19" w14:textId="77777777" w:rsidR="008A1E65" w:rsidRPr="003364EF" w:rsidRDefault="008A1E65" w:rsidP="008A1E65">
      <w:pPr>
        <w:jc w:val="center"/>
        <w:rPr>
          <w:b/>
          <w:bCs/>
          <w:sz w:val="28"/>
          <w:szCs w:val="28"/>
        </w:rPr>
      </w:pPr>
    </w:p>
    <w:p w14:paraId="64116407" w14:textId="77777777" w:rsidR="008A1E65" w:rsidRPr="003364EF" w:rsidRDefault="008A1E65" w:rsidP="008A1E65">
      <w:pPr>
        <w:jc w:val="center"/>
        <w:rPr>
          <w:b/>
          <w:bCs/>
          <w:sz w:val="28"/>
          <w:szCs w:val="28"/>
        </w:rPr>
      </w:pPr>
      <w:r w:rsidRPr="003364EF">
        <w:rPr>
          <w:b/>
          <w:bCs/>
          <w:sz w:val="28"/>
          <w:szCs w:val="28"/>
        </w:rPr>
        <w:t>Module: Marketing Management</w:t>
      </w:r>
    </w:p>
    <w:p w14:paraId="0A373D4F" w14:textId="77777777" w:rsidR="008A1E65" w:rsidRPr="003364EF" w:rsidRDefault="008A1E65" w:rsidP="008A1E65">
      <w:pPr>
        <w:jc w:val="center"/>
        <w:rPr>
          <w:b/>
          <w:bCs/>
          <w:sz w:val="28"/>
          <w:szCs w:val="28"/>
        </w:rPr>
      </w:pPr>
      <w:r w:rsidRPr="003364EF">
        <w:rPr>
          <w:b/>
          <w:bCs/>
          <w:sz w:val="28"/>
          <w:szCs w:val="28"/>
        </w:rPr>
        <w:t>Module code: LCMB7024</w:t>
      </w:r>
    </w:p>
    <w:p w14:paraId="6723DF8E" w14:textId="74FFAB77" w:rsidR="008A1E65" w:rsidRPr="003364EF" w:rsidRDefault="008A1E65" w:rsidP="008A1E65">
      <w:pPr>
        <w:jc w:val="center"/>
        <w:rPr>
          <w:b/>
          <w:bCs/>
          <w:sz w:val="28"/>
          <w:szCs w:val="28"/>
        </w:rPr>
      </w:pPr>
      <w:r w:rsidRPr="003364EF">
        <w:rPr>
          <w:b/>
          <w:bCs/>
          <w:sz w:val="28"/>
          <w:szCs w:val="28"/>
        </w:rPr>
        <w:t xml:space="preserve">Lecturer: Laila </w:t>
      </w:r>
      <w:proofErr w:type="spellStart"/>
      <w:r w:rsidRPr="003364EF">
        <w:rPr>
          <w:b/>
          <w:bCs/>
          <w:sz w:val="28"/>
          <w:szCs w:val="28"/>
        </w:rPr>
        <w:t>Maazouz</w:t>
      </w:r>
      <w:proofErr w:type="spellEnd"/>
      <w:r>
        <w:rPr>
          <w:b/>
          <w:bCs/>
          <w:sz w:val="28"/>
          <w:szCs w:val="28"/>
        </w:rPr>
        <w:t xml:space="preserve"> </w:t>
      </w:r>
      <w:r w:rsidRPr="003364EF">
        <w:rPr>
          <w:b/>
          <w:bCs/>
          <w:sz w:val="28"/>
          <w:szCs w:val="28"/>
        </w:rPr>
        <w:t xml:space="preserve">Taonga Kaonga </w:t>
      </w:r>
      <w:proofErr w:type="spellStart"/>
      <w:r w:rsidRPr="003364EF">
        <w:rPr>
          <w:b/>
          <w:bCs/>
          <w:sz w:val="28"/>
          <w:szCs w:val="28"/>
        </w:rPr>
        <w:t>Sobere-Snithers</w:t>
      </w:r>
      <w:proofErr w:type="spellEnd"/>
    </w:p>
    <w:p w14:paraId="6644276C" w14:textId="77777777" w:rsidR="008A1E65" w:rsidRDefault="008A1E65" w:rsidP="008A1E65">
      <w:pPr>
        <w:jc w:val="center"/>
        <w:rPr>
          <w:b/>
          <w:bCs/>
          <w:sz w:val="28"/>
          <w:szCs w:val="28"/>
        </w:rPr>
      </w:pPr>
      <w:r w:rsidRPr="003364EF">
        <w:rPr>
          <w:b/>
          <w:bCs/>
          <w:sz w:val="28"/>
          <w:szCs w:val="28"/>
        </w:rPr>
        <w:t>Assignment Title: Marketing Environment Analysis</w:t>
      </w:r>
    </w:p>
    <w:p w14:paraId="5FA93618" w14:textId="77777777" w:rsidR="008A1E65" w:rsidRDefault="008A1E65" w:rsidP="008A1E65">
      <w:pPr>
        <w:jc w:val="center"/>
        <w:rPr>
          <w:b/>
          <w:bCs/>
          <w:sz w:val="28"/>
          <w:szCs w:val="28"/>
        </w:rPr>
      </w:pPr>
    </w:p>
    <w:p w14:paraId="37BAA1D7" w14:textId="77777777" w:rsidR="008A1E65" w:rsidRPr="003364EF" w:rsidRDefault="008A1E65" w:rsidP="008A1E65">
      <w:pPr>
        <w:rPr>
          <w:b/>
          <w:bCs/>
          <w:sz w:val="28"/>
          <w:szCs w:val="28"/>
        </w:rPr>
      </w:pPr>
    </w:p>
    <w:p w14:paraId="0DDF8D73" w14:textId="6DB0880A" w:rsidR="008A1E65" w:rsidRPr="003364EF" w:rsidRDefault="008A1E65" w:rsidP="008A1E65">
      <w:pPr>
        <w:jc w:val="center"/>
        <w:rPr>
          <w:b/>
          <w:bCs/>
          <w:sz w:val="28"/>
          <w:szCs w:val="28"/>
        </w:rPr>
      </w:pPr>
      <w:r w:rsidRPr="003364EF">
        <w:rPr>
          <w:b/>
          <w:bCs/>
          <w:sz w:val="28"/>
          <w:szCs w:val="28"/>
        </w:rPr>
        <w:t xml:space="preserve">Student </w:t>
      </w:r>
      <w:r>
        <w:rPr>
          <w:b/>
          <w:bCs/>
          <w:sz w:val="28"/>
          <w:szCs w:val="28"/>
        </w:rPr>
        <w:t>N</w:t>
      </w:r>
      <w:r w:rsidRPr="003364EF">
        <w:rPr>
          <w:b/>
          <w:bCs/>
          <w:sz w:val="28"/>
          <w:szCs w:val="28"/>
        </w:rPr>
        <w:t>ame:</w:t>
      </w:r>
      <w:r>
        <w:rPr>
          <w:b/>
          <w:bCs/>
          <w:sz w:val="28"/>
          <w:szCs w:val="28"/>
        </w:rPr>
        <w:t xml:space="preserve"> </w:t>
      </w:r>
      <w:r w:rsidRPr="008A1E65">
        <w:rPr>
          <w:b/>
          <w:bCs/>
          <w:sz w:val="28"/>
          <w:szCs w:val="28"/>
        </w:rPr>
        <w:t xml:space="preserve">Janvi </w:t>
      </w:r>
      <w:proofErr w:type="spellStart"/>
      <w:r w:rsidRPr="008A1E65">
        <w:rPr>
          <w:b/>
          <w:bCs/>
          <w:sz w:val="28"/>
          <w:szCs w:val="28"/>
        </w:rPr>
        <w:t>Radadiya</w:t>
      </w:r>
      <w:proofErr w:type="spellEnd"/>
    </w:p>
    <w:p w14:paraId="54422E2C" w14:textId="6F9DDCC6" w:rsidR="008A1E65" w:rsidRPr="003364EF" w:rsidRDefault="008A1E65" w:rsidP="008A1E65">
      <w:pPr>
        <w:jc w:val="center"/>
        <w:rPr>
          <w:b/>
          <w:bCs/>
          <w:sz w:val="28"/>
          <w:szCs w:val="28"/>
        </w:rPr>
      </w:pPr>
      <w:r w:rsidRPr="003364EF">
        <w:rPr>
          <w:b/>
          <w:bCs/>
          <w:sz w:val="28"/>
          <w:szCs w:val="28"/>
        </w:rPr>
        <w:t xml:space="preserve">Student ID </w:t>
      </w:r>
      <w:r>
        <w:rPr>
          <w:b/>
          <w:bCs/>
          <w:sz w:val="28"/>
          <w:szCs w:val="28"/>
        </w:rPr>
        <w:t>N</w:t>
      </w:r>
      <w:r w:rsidRPr="003364EF">
        <w:rPr>
          <w:b/>
          <w:bCs/>
          <w:sz w:val="28"/>
          <w:szCs w:val="28"/>
        </w:rPr>
        <w:t>umber:</w:t>
      </w:r>
      <w:r>
        <w:rPr>
          <w:b/>
          <w:bCs/>
          <w:sz w:val="28"/>
          <w:szCs w:val="28"/>
        </w:rPr>
        <w:t xml:space="preserve"> </w:t>
      </w:r>
      <w:r w:rsidRPr="008A1E65">
        <w:rPr>
          <w:b/>
          <w:bCs/>
          <w:sz w:val="28"/>
          <w:szCs w:val="28"/>
        </w:rPr>
        <w:t>2538338</w:t>
      </w:r>
    </w:p>
    <w:p w14:paraId="09F22D12" w14:textId="1EA90E8C" w:rsidR="008A1E65" w:rsidRPr="003364EF" w:rsidRDefault="008A1E65" w:rsidP="008A1E65">
      <w:pPr>
        <w:jc w:val="center"/>
        <w:rPr>
          <w:b/>
          <w:bCs/>
          <w:sz w:val="28"/>
          <w:szCs w:val="28"/>
        </w:rPr>
      </w:pPr>
      <w:r w:rsidRPr="003364EF">
        <w:rPr>
          <w:b/>
          <w:bCs/>
          <w:sz w:val="28"/>
          <w:szCs w:val="28"/>
        </w:rPr>
        <w:t>Word Count:</w:t>
      </w:r>
      <w:r>
        <w:rPr>
          <w:b/>
          <w:bCs/>
          <w:sz w:val="28"/>
          <w:szCs w:val="28"/>
        </w:rPr>
        <w:t xml:space="preserve"> 2522</w:t>
      </w:r>
    </w:p>
    <w:p w14:paraId="5D2023FB" w14:textId="3751C5B1" w:rsidR="00DF57E0" w:rsidRPr="00DC23CE" w:rsidRDefault="00DF57E0">
      <w:pPr>
        <w:rPr>
          <w:color w:val="auto"/>
        </w:rPr>
      </w:pPr>
      <w:r w:rsidRPr="00DC23CE">
        <w:rPr>
          <w:color w:val="auto"/>
        </w:rPr>
        <w:br w:type="page"/>
      </w:r>
    </w:p>
    <w:sdt>
      <w:sdtPr>
        <w:rPr>
          <w:rFonts w:ascii="Arial" w:eastAsiaTheme="minorHAnsi" w:hAnsi="Arial" w:cs="Arial"/>
          <w:color w:val="auto"/>
          <w:sz w:val="24"/>
          <w:szCs w:val="24"/>
          <w:lang w:val="en-GB"/>
        </w:rPr>
        <w:id w:val="-1806226054"/>
        <w:docPartObj>
          <w:docPartGallery w:val="Table of Contents"/>
          <w:docPartUnique/>
        </w:docPartObj>
      </w:sdtPr>
      <w:sdtEndPr>
        <w:rPr>
          <w:b/>
          <w:bCs/>
          <w:noProof/>
        </w:rPr>
      </w:sdtEndPr>
      <w:sdtContent>
        <w:p w14:paraId="55299E4A" w14:textId="35DF14C1" w:rsidR="00DF57E0" w:rsidRPr="00DC23CE" w:rsidRDefault="00DF57E0" w:rsidP="001565AA">
          <w:pPr>
            <w:pStyle w:val="TOCHeading"/>
            <w:spacing w:line="360" w:lineRule="auto"/>
            <w:jc w:val="center"/>
            <w:rPr>
              <w:rFonts w:ascii="Arial" w:hAnsi="Arial" w:cs="Arial"/>
              <w:b/>
              <w:bCs/>
              <w:color w:val="auto"/>
              <w:sz w:val="24"/>
              <w:szCs w:val="24"/>
            </w:rPr>
          </w:pPr>
          <w:r w:rsidRPr="00DC23CE">
            <w:rPr>
              <w:rFonts w:ascii="Arial" w:hAnsi="Arial" w:cs="Arial"/>
              <w:b/>
              <w:bCs/>
              <w:color w:val="auto"/>
              <w:sz w:val="24"/>
              <w:szCs w:val="24"/>
            </w:rPr>
            <w:t>Table of Contents</w:t>
          </w:r>
        </w:p>
        <w:p w14:paraId="748E1FB8" w14:textId="38D192D8" w:rsidR="001565AA" w:rsidRPr="00DC23CE" w:rsidRDefault="00DF57E0" w:rsidP="001565AA">
          <w:pPr>
            <w:pStyle w:val="TOC1"/>
            <w:tabs>
              <w:tab w:val="right" w:leader="dot" w:pos="9016"/>
            </w:tabs>
            <w:spacing w:line="360" w:lineRule="auto"/>
            <w:rPr>
              <w:rFonts w:asciiTheme="minorHAnsi" w:eastAsiaTheme="minorEastAsia" w:hAnsiTheme="minorHAnsi"/>
              <w:noProof/>
              <w:color w:val="auto"/>
              <w:kern w:val="2"/>
              <w:szCs w:val="24"/>
              <w:lang w:val="en-US"/>
              <w14:ligatures w14:val="standardContextual"/>
            </w:rPr>
          </w:pPr>
          <w:r w:rsidRPr="00DC23CE">
            <w:rPr>
              <w:rFonts w:cs="Arial"/>
              <w:color w:val="auto"/>
              <w:szCs w:val="24"/>
            </w:rPr>
            <w:fldChar w:fldCharType="begin"/>
          </w:r>
          <w:r w:rsidRPr="00DC23CE">
            <w:rPr>
              <w:rFonts w:cs="Arial"/>
              <w:color w:val="auto"/>
              <w:szCs w:val="24"/>
            </w:rPr>
            <w:instrText xml:space="preserve"> TOC \o "1-3" \h \z \u </w:instrText>
          </w:r>
          <w:r w:rsidRPr="00DC23CE">
            <w:rPr>
              <w:rFonts w:cs="Arial"/>
              <w:color w:val="auto"/>
              <w:szCs w:val="24"/>
            </w:rPr>
            <w:fldChar w:fldCharType="separate"/>
          </w:r>
          <w:hyperlink w:anchor="_Toc234110871" w:history="1">
            <w:r w:rsidR="001565AA" w:rsidRPr="00DC23CE">
              <w:rPr>
                <w:rStyle w:val="Hyperlink"/>
                <w:noProof/>
                <w:color w:val="auto"/>
              </w:rPr>
              <w:t>1.0 Task 1: Marketing Environment Analysis</w:t>
            </w:r>
            <w:r w:rsidR="001565AA" w:rsidRPr="00DC23CE">
              <w:rPr>
                <w:noProof/>
                <w:webHidden/>
                <w:color w:val="auto"/>
              </w:rPr>
              <w:tab/>
            </w:r>
            <w:r w:rsidR="001565AA" w:rsidRPr="00DC23CE">
              <w:rPr>
                <w:noProof/>
                <w:webHidden/>
                <w:color w:val="auto"/>
              </w:rPr>
              <w:fldChar w:fldCharType="begin"/>
            </w:r>
            <w:r w:rsidR="001565AA" w:rsidRPr="00DC23CE">
              <w:rPr>
                <w:noProof/>
                <w:webHidden/>
                <w:color w:val="auto"/>
              </w:rPr>
              <w:instrText xml:space="preserve"> PAGEREF _Toc234110871 \h </w:instrText>
            </w:r>
            <w:r w:rsidR="001565AA" w:rsidRPr="00DC23CE">
              <w:rPr>
                <w:noProof/>
                <w:webHidden/>
                <w:color w:val="auto"/>
              </w:rPr>
            </w:r>
            <w:r w:rsidR="001565AA" w:rsidRPr="00DC23CE">
              <w:rPr>
                <w:noProof/>
                <w:webHidden/>
                <w:color w:val="auto"/>
              </w:rPr>
              <w:fldChar w:fldCharType="separate"/>
            </w:r>
            <w:r w:rsidR="008A1E65">
              <w:rPr>
                <w:noProof/>
                <w:webHidden/>
                <w:color w:val="auto"/>
              </w:rPr>
              <w:t>3</w:t>
            </w:r>
            <w:r w:rsidR="001565AA" w:rsidRPr="00DC23CE">
              <w:rPr>
                <w:noProof/>
                <w:webHidden/>
                <w:color w:val="auto"/>
              </w:rPr>
              <w:fldChar w:fldCharType="end"/>
            </w:r>
          </w:hyperlink>
        </w:p>
        <w:p w14:paraId="0B63DB25" w14:textId="15086BE3" w:rsidR="001565AA" w:rsidRPr="00DC23CE" w:rsidRDefault="001565AA" w:rsidP="001565AA">
          <w:pPr>
            <w:pStyle w:val="TOC2"/>
            <w:tabs>
              <w:tab w:val="right" w:leader="dot" w:pos="9016"/>
            </w:tabs>
            <w:spacing w:line="360" w:lineRule="auto"/>
            <w:rPr>
              <w:rFonts w:asciiTheme="minorHAnsi" w:eastAsiaTheme="minorEastAsia" w:hAnsiTheme="minorHAnsi"/>
              <w:noProof/>
              <w:color w:val="auto"/>
              <w:kern w:val="2"/>
              <w:szCs w:val="24"/>
              <w:lang w:val="en-US"/>
              <w14:ligatures w14:val="standardContextual"/>
            </w:rPr>
          </w:pPr>
          <w:hyperlink w:anchor="_Toc234110872" w:history="1">
            <w:r w:rsidRPr="00DC23CE">
              <w:rPr>
                <w:rStyle w:val="Hyperlink"/>
                <w:noProof/>
                <w:color w:val="auto"/>
              </w:rPr>
              <w:t>1.1 Selected Metals or Mining Company</w:t>
            </w:r>
            <w:r w:rsidRPr="00DC23CE">
              <w:rPr>
                <w:noProof/>
                <w:webHidden/>
                <w:color w:val="auto"/>
              </w:rPr>
              <w:tab/>
            </w:r>
            <w:r w:rsidRPr="00DC23CE">
              <w:rPr>
                <w:noProof/>
                <w:webHidden/>
                <w:color w:val="auto"/>
              </w:rPr>
              <w:fldChar w:fldCharType="begin"/>
            </w:r>
            <w:r w:rsidRPr="00DC23CE">
              <w:rPr>
                <w:noProof/>
                <w:webHidden/>
                <w:color w:val="auto"/>
              </w:rPr>
              <w:instrText xml:space="preserve"> PAGEREF _Toc234110872 \h </w:instrText>
            </w:r>
            <w:r w:rsidRPr="00DC23CE">
              <w:rPr>
                <w:noProof/>
                <w:webHidden/>
                <w:color w:val="auto"/>
              </w:rPr>
            </w:r>
            <w:r w:rsidRPr="00DC23CE">
              <w:rPr>
                <w:noProof/>
                <w:webHidden/>
                <w:color w:val="auto"/>
              </w:rPr>
              <w:fldChar w:fldCharType="separate"/>
            </w:r>
            <w:r w:rsidR="008A1E65">
              <w:rPr>
                <w:noProof/>
                <w:webHidden/>
                <w:color w:val="auto"/>
              </w:rPr>
              <w:t>3</w:t>
            </w:r>
            <w:r w:rsidRPr="00DC23CE">
              <w:rPr>
                <w:noProof/>
                <w:webHidden/>
                <w:color w:val="auto"/>
              </w:rPr>
              <w:fldChar w:fldCharType="end"/>
            </w:r>
          </w:hyperlink>
        </w:p>
        <w:p w14:paraId="10DAD351" w14:textId="0D69CBBB" w:rsidR="001565AA" w:rsidRPr="00DC23CE" w:rsidRDefault="001565AA" w:rsidP="001565AA">
          <w:pPr>
            <w:pStyle w:val="TOC2"/>
            <w:tabs>
              <w:tab w:val="right" w:leader="dot" w:pos="9016"/>
            </w:tabs>
            <w:spacing w:line="360" w:lineRule="auto"/>
            <w:rPr>
              <w:rFonts w:asciiTheme="minorHAnsi" w:eastAsiaTheme="minorEastAsia" w:hAnsiTheme="minorHAnsi"/>
              <w:noProof/>
              <w:color w:val="auto"/>
              <w:kern w:val="2"/>
              <w:szCs w:val="24"/>
              <w:lang w:val="en-US"/>
              <w14:ligatures w14:val="standardContextual"/>
            </w:rPr>
          </w:pPr>
          <w:hyperlink w:anchor="_Toc234110873" w:history="1">
            <w:r w:rsidRPr="00DC23CE">
              <w:rPr>
                <w:rStyle w:val="Hyperlink"/>
                <w:noProof/>
                <w:color w:val="auto"/>
              </w:rPr>
              <w:t>1.2 Critical analysis of 2 actors</w:t>
            </w:r>
            <w:r w:rsidRPr="00DC23CE">
              <w:rPr>
                <w:noProof/>
                <w:webHidden/>
                <w:color w:val="auto"/>
              </w:rPr>
              <w:tab/>
            </w:r>
            <w:r w:rsidRPr="00DC23CE">
              <w:rPr>
                <w:noProof/>
                <w:webHidden/>
                <w:color w:val="auto"/>
              </w:rPr>
              <w:fldChar w:fldCharType="begin"/>
            </w:r>
            <w:r w:rsidRPr="00DC23CE">
              <w:rPr>
                <w:noProof/>
                <w:webHidden/>
                <w:color w:val="auto"/>
              </w:rPr>
              <w:instrText xml:space="preserve"> PAGEREF _Toc234110873 \h </w:instrText>
            </w:r>
            <w:r w:rsidRPr="00DC23CE">
              <w:rPr>
                <w:noProof/>
                <w:webHidden/>
                <w:color w:val="auto"/>
              </w:rPr>
            </w:r>
            <w:r w:rsidRPr="00DC23CE">
              <w:rPr>
                <w:noProof/>
                <w:webHidden/>
                <w:color w:val="auto"/>
              </w:rPr>
              <w:fldChar w:fldCharType="separate"/>
            </w:r>
            <w:r w:rsidR="008A1E65">
              <w:rPr>
                <w:noProof/>
                <w:webHidden/>
                <w:color w:val="auto"/>
              </w:rPr>
              <w:t>3</w:t>
            </w:r>
            <w:r w:rsidRPr="00DC23CE">
              <w:rPr>
                <w:noProof/>
                <w:webHidden/>
                <w:color w:val="auto"/>
              </w:rPr>
              <w:fldChar w:fldCharType="end"/>
            </w:r>
          </w:hyperlink>
        </w:p>
        <w:p w14:paraId="35E978BB" w14:textId="55969594" w:rsidR="001565AA" w:rsidRPr="00DC23CE" w:rsidRDefault="001565AA" w:rsidP="001565AA">
          <w:pPr>
            <w:pStyle w:val="TOC3"/>
            <w:tabs>
              <w:tab w:val="right" w:leader="dot" w:pos="9016"/>
            </w:tabs>
            <w:spacing w:line="360" w:lineRule="auto"/>
            <w:rPr>
              <w:rFonts w:asciiTheme="minorHAnsi" w:eastAsiaTheme="minorEastAsia" w:hAnsiTheme="minorHAnsi"/>
              <w:noProof/>
              <w:color w:val="auto"/>
              <w:kern w:val="2"/>
              <w:szCs w:val="24"/>
              <w:lang w:val="en-US"/>
              <w14:ligatures w14:val="standardContextual"/>
            </w:rPr>
          </w:pPr>
          <w:hyperlink w:anchor="_Toc234110874" w:history="1">
            <w:r w:rsidRPr="00DC23CE">
              <w:rPr>
                <w:rStyle w:val="Hyperlink"/>
                <w:noProof/>
                <w:color w:val="auto"/>
              </w:rPr>
              <w:t>1.2.1 Natural Environment Actor</w:t>
            </w:r>
            <w:r w:rsidRPr="00DC23CE">
              <w:rPr>
                <w:noProof/>
                <w:webHidden/>
                <w:color w:val="auto"/>
              </w:rPr>
              <w:tab/>
            </w:r>
            <w:r w:rsidRPr="00DC23CE">
              <w:rPr>
                <w:noProof/>
                <w:webHidden/>
                <w:color w:val="auto"/>
              </w:rPr>
              <w:fldChar w:fldCharType="begin"/>
            </w:r>
            <w:r w:rsidRPr="00DC23CE">
              <w:rPr>
                <w:noProof/>
                <w:webHidden/>
                <w:color w:val="auto"/>
              </w:rPr>
              <w:instrText xml:space="preserve"> PAGEREF _Toc234110874 \h </w:instrText>
            </w:r>
            <w:r w:rsidRPr="00DC23CE">
              <w:rPr>
                <w:noProof/>
                <w:webHidden/>
                <w:color w:val="auto"/>
              </w:rPr>
            </w:r>
            <w:r w:rsidRPr="00DC23CE">
              <w:rPr>
                <w:noProof/>
                <w:webHidden/>
                <w:color w:val="auto"/>
              </w:rPr>
              <w:fldChar w:fldCharType="separate"/>
            </w:r>
            <w:r w:rsidR="008A1E65">
              <w:rPr>
                <w:noProof/>
                <w:webHidden/>
                <w:color w:val="auto"/>
              </w:rPr>
              <w:t>3</w:t>
            </w:r>
            <w:r w:rsidRPr="00DC23CE">
              <w:rPr>
                <w:noProof/>
                <w:webHidden/>
                <w:color w:val="auto"/>
              </w:rPr>
              <w:fldChar w:fldCharType="end"/>
            </w:r>
          </w:hyperlink>
        </w:p>
        <w:p w14:paraId="58C98183" w14:textId="0A0929F3" w:rsidR="001565AA" w:rsidRPr="00DC23CE" w:rsidRDefault="001565AA" w:rsidP="001565AA">
          <w:pPr>
            <w:pStyle w:val="TOC3"/>
            <w:tabs>
              <w:tab w:val="right" w:leader="dot" w:pos="9016"/>
            </w:tabs>
            <w:spacing w:line="360" w:lineRule="auto"/>
            <w:rPr>
              <w:rFonts w:asciiTheme="minorHAnsi" w:eastAsiaTheme="minorEastAsia" w:hAnsiTheme="minorHAnsi"/>
              <w:noProof/>
              <w:color w:val="auto"/>
              <w:kern w:val="2"/>
              <w:szCs w:val="24"/>
              <w:lang w:val="en-US"/>
              <w14:ligatures w14:val="standardContextual"/>
            </w:rPr>
          </w:pPr>
          <w:hyperlink w:anchor="_Toc234110875" w:history="1">
            <w:r w:rsidRPr="00DC23CE">
              <w:rPr>
                <w:rStyle w:val="Hyperlink"/>
                <w:noProof/>
                <w:color w:val="auto"/>
              </w:rPr>
              <w:t>1.2.2 Political-Legal / Regulatory Environment Actor</w:t>
            </w:r>
            <w:r w:rsidRPr="00DC23CE">
              <w:rPr>
                <w:noProof/>
                <w:webHidden/>
                <w:color w:val="auto"/>
              </w:rPr>
              <w:tab/>
            </w:r>
            <w:r w:rsidRPr="00DC23CE">
              <w:rPr>
                <w:noProof/>
                <w:webHidden/>
                <w:color w:val="auto"/>
              </w:rPr>
              <w:fldChar w:fldCharType="begin"/>
            </w:r>
            <w:r w:rsidRPr="00DC23CE">
              <w:rPr>
                <w:noProof/>
                <w:webHidden/>
                <w:color w:val="auto"/>
              </w:rPr>
              <w:instrText xml:space="preserve"> PAGEREF _Toc234110875 \h </w:instrText>
            </w:r>
            <w:r w:rsidRPr="00DC23CE">
              <w:rPr>
                <w:noProof/>
                <w:webHidden/>
                <w:color w:val="auto"/>
              </w:rPr>
            </w:r>
            <w:r w:rsidRPr="00DC23CE">
              <w:rPr>
                <w:noProof/>
                <w:webHidden/>
                <w:color w:val="auto"/>
              </w:rPr>
              <w:fldChar w:fldCharType="separate"/>
            </w:r>
            <w:r w:rsidR="008A1E65">
              <w:rPr>
                <w:noProof/>
                <w:webHidden/>
                <w:color w:val="auto"/>
              </w:rPr>
              <w:t>5</w:t>
            </w:r>
            <w:r w:rsidRPr="00DC23CE">
              <w:rPr>
                <w:noProof/>
                <w:webHidden/>
                <w:color w:val="auto"/>
              </w:rPr>
              <w:fldChar w:fldCharType="end"/>
            </w:r>
          </w:hyperlink>
        </w:p>
        <w:p w14:paraId="457A67CA" w14:textId="49D570F7" w:rsidR="001565AA" w:rsidRPr="00DC23CE" w:rsidRDefault="001565AA" w:rsidP="001565AA">
          <w:pPr>
            <w:pStyle w:val="TOC1"/>
            <w:tabs>
              <w:tab w:val="right" w:leader="dot" w:pos="9016"/>
            </w:tabs>
            <w:spacing w:line="360" w:lineRule="auto"/>
            <w:rPr>
              <w:rFonts w:asciiTheme="minorHAnsi" w:eastAsiaTheme="minorEastAsia" w:hAnsiTheme="minorHAnsi"/>
              <w:noProof/>
              <w:color w:val="auto"/>
              <w:kern w:val="2"/>
              <w:szCs w:val="24"/>
              <w:lang w:val="en-US"/>
              <w14:ligatures w14:val="standardContextual"/>
            </w:rPr>
          </w:pPr>
          <w:hyperlink w:anchor="_Toc234110876" w:history="1">
            <w:r w:rsidRPr="00DC23CE">
              <w:rPr>
                <w:rStyle w:val="Hyperlink"/>
                <w:noProof/>
                <w:color w:val="auto"/>
              </w:rPr>
              <w:t>2.0 Task 2: Strategic Growth and Competitive Positioning</w:t>
            </w:r>
            <w:r w:rsidRPr="00DC23CE">
              <w:rPr>
                <w:noProof/>
                <w:webHidden/>
                <w:color w:val="auto"/>
              </w:rPr>
              <w:tab/>
            </w:r>
            <w:r w:rsidRPr="00DC23CE">
              <w:rPr>
                <w:noProof/>
                <w:webHidden/>
                <w:color w:val="auto"/>
              </w:rPr>
              <w:fldChar w:fldCharType="begin"/>
            </w:r>
            <w:r w:rsidRPr="00DC23CE">
              <w:rPr>
                <w:noProof/>
                <w:webHidden/>
                <w:color w:val="auto"/>
              </w:rPr>
              <w:instrText xml:space="preserve"> PAGEREF _Toc234110876 \h </w:instrText>
            </w:r>
            <w:r w:rsidRPr="00DC23CE">
              <w:rPr>
                <w:noProof/>
                <w:webHidden/>
                <w:color w:val="auto"/>
              </w:rPr>
            </w:r>
            <w:r w:rsidRPr="00DC23CE">
              <w:rPr>
                <w:noProof/>
                <w:webHidden/>
                <w:color w:val="auto"/>
              </w:rPr>
              <w:fldChar w:fldCharType="separate"/>
            </w:r>
            <w:r w:rsidR="008A1E65">
              <w:rPr>
                <w:noProof/>
                <w:webHidden/>
                <w:color w:val="auto"/>
              </w:rPr>
              <w:t>8</w:t>
            </w:r>
            <w:r w:rsidRPr="00DC23CE">
              <w:rPr>
                <w:noProof/>
                <w:webHidden/>
                <w:color w:val="auto"/>
              </w:rPr>
              <w:fldChar w:fldCharType="end"/>
            </w:r>
          </w:hyperlink>
        </w:p>
        <w:p w14:paraId="03EC8B20" w14:textId="3065CAA5" w:rsidR="001565AA" w:rsidRPr="00DC23CE" w:rsidRDefault="001565AA" w:rsidP="001565AA">
          <w:pPr>
            <w:pStyle w:val="TOC2"/>
            <w:tabs>
              <w:tab w:val="right" w:leader="dot" w:pos="9016"/>
            </w:tabs>
            <w:spacing w:line="360" w:lineRule="auto"/>
            <w:rPr>
              <w:rFonts w:asciiTheme="minorHAnsi" w:eastAsiaTheme="minorEastAsia" w:hAnsiTheme="minorHAnsi"/>
              <w:noProof/>
              <w:color w:val="auto"/>
              <w:kern w:val="2"/>
              <w:szCs w:val="24"/>
              <w:lang w:val="en-US"/>
              <w14:ligatures w14:val="standardContextual"/>
            </w:rPr>
          </w:pPr>
          <w:hyperlink w:anchor="_Toc234110877" w:history="1">
            <w:r w:rsidRPr="00DC23CE">
              <w:rPr>
                <w:rStyle w:val="Hyperlink"/>
                <w:noProof/>
                <w:color w:val="auto"/>
                <w:lang w:val="en-US"/>
              </w:rPr>
              <w:t>2.1 Ansoff Matrix Application to BHP’s Lower-Carbon Transition</w:t>
            </w:r>
            <w:r w:rsidRPr="00DC23CE">
              <w:rPr>
                <w:noProof/>
                <w:webHidden/>
                <w:color w:val="auto"/>
              </w:rPr>
              <w:tab/>
            </w:r>
            <w:r w:rsidRPr="00DC23CE">
              <w:rPr>
                <w:noProof/>
                <w:webHidden/>
                <w:color w:val="auto"/>
              </w:rPr>
              <w:fldChar w:fldCharType="begin"/>
            </w:r>
            <w:r w:rsidRPr="00DC23CE">
              <w:rPr>
                <w:noProof/>
                <w:webHidden/>
                <w:color w:val="auto"/>
              </w:rPr>
              <w:instrText xml:space="preserve"> PAGEREF _Toc234110877 \h </w:instrText>
            </w:r>
            <w:r w:rsidRPr="00DC23CE">
              <w:rPr>
                <w:noProof/>
                <w:webHidden/>
                <w:color w:val="auto"/>
              </w:rPr>
            </w:r>
            <w:r w:rsidRPr="00DC23CE">
              <w:rPr>
                <w:noProof/>
                <w:webHidden/>
                <w:color w:val="auto"/>
              </w:rPr>
              <w:fldChar w:fldCharType="separate"/>
            </w:r>
            <w:r w:rsidR="008A1E65">
              <w:rPr>
                <w:noProof/>
                <w:webHidden/>
                <w:color w:val="auto"/>
              </w:rPr>
              <w:t>8</w:t>
            </w:r>
            <w:r w:rsidRPr="00DC23CE">
              <w:rPr>
                <w:noProof/>
                <w:webHidden/>
                <w:color w:val="auto"/>
              </w:rPr>
              <w:fldChar w:fldCharType="end"/>
            </w:r>
          </w:hyperlink>
        </w:p>
        <w:p w14:paraId="24A1FCD4" w14:textId="01B1E742" w:rsidR="001565AA" w:rsidRPr="00DC23CE" w:rsidRDefault="001565AA" w:rsidP="001565AA">
          <w:pPr>
            <w:pStyle w:val="TOC2"/>
            <w:tabs>
              <w:tab w:val="right" w:leader="dot" w:pos="9016"/>
            </w:tabs>
            <w:spacing w:line="360" w:lineRule="auto"/>
            <w:rPr>
              <w:rFonts w:asciiTheme="minorHAnsi" w:eastAsiaTheme="minorEastAsia" w:hAnsiTheme="minorHAnsi"/>
              <w:noProof/>
              <w:color w:val="auto"/>
              <w:kern w:val="2"/>
              <w:szCs w:val="24"/>
              <w:lang w:val="en-US"/>
              <w14:ligatures w14:val="standardContextual"/>
            </w:rPr>
          </w:pPr>
          <w:hyperlink w:anchor="_Toc234110878" w:history="1">
            <w:r w:rsidRPr="00DC23CE">
              <w:rPr>
                <w:rStyle w:val="Hyperlink"/>
                <w:noProof/>
                <w:color w:val="auto"/>
                <w:lang w:val="en-US"/>
              </w:rPr>
              <w:t>2.2 Recommended Strategic Growth Approach</w:t>
            </w:r>
            <w:r w:rsidRPr="00DC23CE">
              <w:rPr>
                <w:noProof/>
                <w:webHidden/>
                <w:color w:val="auto"/>
              </w:rPr>
              <w:tab/>
            </w:r>
            <w:r w:rsidRPr="00DC23CE">
              <w:rPr>
                <w:noProof/>
                <w:webHidden/>
                <w:color w:val="auto"/>
              </w:rPr>
              <w:fldChar w:fldCharType="begin"/>
            </w:r>
            <w:r w:rsidRPr="00DC23CE">
              <w:rPr>
                <w:noProof/>
                <w:webHidden/>
                <w:color w:val="auto"/>
              </w:rPr>
              <w:instrText xml:space="preserve"> PAGEREF _Toc234110878 \h </w:instrText>
            </w:r>
            <w:r w:rsidRPr="00DC23CE">
              <w:rPr>
                <w:noProof/>
                <w:webHidden/>
                <w:color w:val="auto"/>
              </w:rPr>
            </w:r>
            <w:r w:rsidRPr="00DC23CE">
              <w:rPr>
                <w:noProof/>
                <w:webHidden/>
                <w:color w:val="auto"/>
              </w:rPr>
              <w:fldChar w:fldCharType="separate"/>
            </w:r>
            <w:r w:rsidR="008A1E65">
              <w:rPr>
                <w:noProof/>
                <w:webHidden/>
                <w:color w:val="auto"/>
              </w:rPr>
              <w:t>11</w:t>
            </w:r>
            <w:r w:rsidRPr="00DC23CE">
              <w:rPr>
                <w:noProof/>
                <w:webHidden/>
                <w:color w:val="auto"/>
              </w:rPr>
              <w:fldChar w:fldCharType="end"/>
            </w:r>
          </w:hyperlink>
        </w:p>
        <w:p w14:paraId="756D1F50" w14:textId="127BBFB9" w:rsidR="001565AA" w:rsidRPr="00DC23CE" w:rsidRDefault="001565AA" w:rsidP="001565AA">
          <w:pPr>
            <w:pStyle w:val="TOC2"/>
            <w:tabs>
              <w:tab w:val="right" w:leader="dot" w:pos="9016"/>
            </w:tabs>
            <w:spacing w:line="360" w:lineRule="auto"/>
            <w:rPr>
              <w:rFonts w:asciiTheme="minorHAnsi" w:eastAsiaTheme="minorEastAsia" w:hAnsiTheme="minorHAnsi"/>
              <w:noProof/>
              <w:color w:val="auto"/>
              <w:kern w:val="2"/>
              <w:szCs w:val="24"/>
              <w:lang w:val="en-US"/>
              <w14:ligatures w14:val="standardContextual"/>
            </w:rPr>
          </w:pPr>
          <w:hyperlink w:anchor="_Toc234110879" w:history="1">
            <w:r w:rsidRPr="00DC23CE">
              <w:rPr>
                <w:rStyle w:val="Hyperlink"/>
                <w:noProof/>
                <w:color w:val="auto"/>
                <w:lang w:val="en-US"/>
              </w:rPr>
              <w:t>2.3 Achieving Competitive Advantage Through a Lower-Carbon Business Model</w:t>
            </w:r>
            <w:r w:rsidRPr="00DC23CE">
              <w:rPr>
                <w:noProof/>
                <w:webHidden/>
                <w:color w:val="auto"/>
              </w:rPr>
              <w:tab/>
            </w:r>
            <w:r w:rsidRPr="00DC23CE">
              <w:rPr>
                <w:noProof/>
                <w:webHidden/>
                <w:color w:val="auto"/>
              </w:rPr>
              <w:fldChar w:fldCharType="begin"/>
            </w:r>
            <w:r w:rsidRPr="00DC23CE">
              <w:rPr>
                <w:noProof/>
                <w:webHidden/>
                <w:color w:val="auto"/>
              </w:rPr>
              <w:instrText xml:space="preserve"> PAGEREF _Toc234110879 \h </w:instrText>
            </w:r>
            <w:r w:rsidRPr="00DC23CE">
              <w:rPr>
                <w:noProof/>
                <w:webHidden/>
                <w:color w:val="auto"/>
              </w:rPr>
            </w:r>
            <w:r w:rsidRPr="00DC23CE">
              <w:rPr>
                <w:noProof/>
                <w:webHidden/>
                <w:color w:val="auto"/>
              </w:rPr>
              <w:fldChar w:fldCharType="separate"/>
            </w:r>
            <w:r w:rsidR="008A1E65">
              <w:rPr>
                <w:noProof/>
                <w:webHidden/>
                <w:color w:val="auto"/>
              </w:rPr>
              <w:t>11</w:t>
            </w:r>
            <w:r w:rsidRPr="00DC23CE">
              <w:rPr>
                <w:noProof/>
                <w:webHidden/>
                <w:color w:val="auto"/>
              </w:rPr>
              <w:fldChar w:fldCharType="end"/>
            </w:r>
          </w:hyperlink>
        </w:p>
        <w:p w14:paraId="76573925" w14:textId="3D27D581" w:rsidR="001565AA" w:rsidRPr="00DC23CE" w:rsidRDefault="001565AA" w:rsidP="001565AA">
          <w:pPr>
            <w:pStyle w:val="TOC1"/>
            <w:tabs>
              <w:tab w:val="right" w:leader="dot" w:pos="9016"/>
            </w:tabs>
            <w:spacing w:line="360" w:lineRule="auto"/>
            <w:rPr>
              <w:rFonts w:asciiTheme="minorHAnsi" w:eastAsiaTheme="minorEastAsia" w:hAnsiTheme="minorHAnsi"/>
              <w:noProof/>
              <w:color w:val="auto"/>
              <w:kern w:val="2"/>
              <w:szCs w:val="24"/>
              <w:lang w:val="en-US"/>
              <w14:ligatures w14:val="standardContextual"/>
            </w:rPr>
          </w:pPr>
          <w:hyperlink w:anchor="_Toc234110880" w:history="1">
            <w:r w:rsidRPr="00DC23CE">
              <w:rPr>
                <w:rStyle w:val="Hyperlink"/>
                <w:noProof/>
                <w:color w:val="auto"/>
              </w:rPr>
              <w:t>3.0 Task 3: Critical Reflection on AI Usage</w:t>
            </w:r>
            <w:r w:rsidRPr="00DC23CE">
              <w:rPr>
                <w:noProof/>
                <w:webHidden/>
                <w:color w:val="auto"/>
              </w:rPr>
              <w:tab/>
            </w:r>
            <w:r w:rsidRPr="00DC23CE">
              <w:rPr>
                <w:noProof/>
                <w:webHidden/>
                <w:color w:val="auto"/>
              </w:rPr>
              <w:fldChar w:fldCharType="begin"/>
            </w:r>
            <w:r w:rsidRPr="00DC23CE">
              <w:rPr>
                <w:noProof/>
                <w:webHidden/>
                <w:color w:val="auto"/>
              </w:rPr>
              <w:instrText xml:space="preserve"> PAGEREF _Toc234110880 \h </w:instrText>
            </w:r>
            <w:r w:rsidRPr="00DC23CE">
              <w:rPr>
                <w:noProof/>
                <w:webHidden/>
                <w:color w:val="auto"/>
              </w:rPr>
            </w:r>
            <w:r w:rsidRPr="00DC23CE">
              <w:rPr>
                <w:noProof/>
                <w:webHidden/>
                <w:color w:val="auto"/>
              </w:rPr>
              <w:fldChar w:fldCharType="separate"/>
            </w:r>
            <w:r w:rsidR="008A1E65">
              <w:rPr>
                <w:noProof/>
                <w:webHidden/>
                <w:color w:val="auto"/>
              </w:rPr>
              <w:t>13</w:t>
            </w:r>
            <w:r w:rsidRPr="00DC23CE">
              <w:rPr>
                <w:noProof/>
                <w:webHidden/>
                <w:color w:val="auto"/>
              </w:rPr>
              <w:fldChar w:fldCharType="end"/>
            </w:r>
          </w:hyperlink>
        </w:p>
        <w:p w14:paraId="0B382EAA" w14:textId="2BFD6D4E" w:rsidR="001565AA" w:rsidRPr="00DC23CE" w:rsidRDefault="001565AA" w:rsidP="001565AA">
          <w:pPr>
            <w:pStyle w:val="TOC2"/>
            <w:tabs>
              <w:tab w:val="right" w:leader="dot" w:pos="9016"/>
            </w:tabs>
            <w:spacing w:line="360" w:lineRule="auto"/>
            <w:rPr>
              <w:rFonts w:asciiTheme="minorHAnsi" w:eastAsiaTheme="minorEastAsia" w:hAnsiTheme="minorHAnsi"/>
              <w:noProof/>
              <w:color w:val="auto"/>
              <w:kern w:val="2"/>
              <w:szCs w:val="24"/>
              <w:lang w:val="en-US"/>
              <w14:ligatures w14:val="standardContextual"/>
            </w:rPr>
          </w:pPr>
          <w:hyperlink w:anchor="_Toc234110881" w:history="1">
            <w:r w:rsidRPr="00DC23CE">
              <w:rPr>
                <w:rStyle w:val="Hyperlink"/>
                <w:noProof/>
                <w:color w:val="auto"/>
              </w:rPr>
              <w:t>3.1 Tool Disclosure</w:t>
            </w:r>
            <w:r w:rsidRPr="00DC23CE">
              <w:rPr>
                <w:noProof/>
                <w:webHidden/>
                <w:color w:val="auto"/>
              </w:rPr>
              <w:tab/>
            </w:r>
            <w:r w:rsidRPr="00DC23CE">
              <w:rPr>
                <w:noProof/>
                <w:webHidden/>
                <w:color w:val="auto"/>
              </w:rPr>
              <w:fldChar w:fldCharType="begin"/>
            </w:r>
            <w:r w:rsidRPr="00DC23CE">
              <w:rPr>
                <w:noProof/>
                <w:webHidden/>
                <w:color w:val="auto"/>
              </w:rPr>
              <w:instrText xml:space="preserve"> PAGEREF _Toc234110881 \h </w:instrText>
            </w:r>
            <w:r w:rsidRPr="00DC23CE">
              <w:rPr>
                <w:noProof/>
                <w:webHidden/>
                <w:color w:val="auto"/>
              </w:rPr>
            </w:r>
            <w:r w:rsidRPr="00DC23CE">
              <w:rPr>
                <w:noProof/>
                <w:webHidden/>
                <w:color w:val="auto"/>
              </w:rPr>
              <w:fldChar w:fldCharType="separate"/>
            </w:r>
            <w:r w:rsidR="008A1E65">
              <w:rPr>
                <w:noProof/>
                <w:webHidden/>
                <w:color w:val="auto"/>
              </w:rPr>
              <w:t>13</w:t>
            </w:r>
            <w:r w:rsidRPr="00DC23CE">
              <w:rPr>
                <w:noProof/>
                <w:webHidden/>
                <w:color w:val="auto"/>
              </w:rPr>
              <w:fldChar w:fldCharType="end"/>
            </w:r>
          </w:hyperlink>
        </w:p>
        <w:p w14:paraId="0562EABB" w14:textId="05868B5F" w:rsidR="001565AA" w:rsidRPr="00DC23CE" w:rsidRDefault="001565AA" w:rsidP="001565AA">
          <w:pPr>
            <w:pStyle w:val="TOC2"/>
            <w:tabs>
              <w:tab w:val="right" w:leader="dot" w:pos="9016"/>
            </w:tabs>
            <w:spacing w:line="360" w:lineRule="auto"/>
            <w:rPr>
              <w:rFonts w:asciiTheme="minorHAnsi" w:eastAsiaTheme="minorEastAsia" w:hAnsiTheme="minorHAnsi"/>
              <w:noProof/>
              <w:color w:val="auto"/>
              <w:kern w:val="2"/>
              <w:szCs w:val="24"/>
              <w:lang w:val="en-US"/>
              <w14:ligatures w14:val="standardContextual"/>
            </w:rPr>
          </w:pPr>
          <w:hyperlink w:anchor="_Toc234110882" w:history="1">
            <w:r w:rsidRPr="00DC23CE">
              <w:rPr>
                <w:rStyle w:val="Hyperlink"/>
                <w:noProof/>
                <w:color w:val="auto"/>
              </w:rPr>
              <w:t>3.2 Critical Evaluation of AI Output</w:t>
            </w:r>
            <w:r w:rsidRPr="00DC23CE">
              <w:rPr>
                <w:noProof/>
                <w:webHidden/>
                <w:color w:val="auto"/>
              </w:rPr>
              <w:tab/>
            </w:r>
            <w:r w:rsidRPr="00DC23CE">
              <w:rPr>
                <w:noProof/>
                <w:webHidden/>
                <w:color w:val="auto"/>
              </w:rPr>
              <w:fldChar w:fldCharType="begin"/>
            </w:r>
            <w:r w:rsidRPr="00DC23CE">
              <w:rPr>
                <w:noProof/>
                <w:webHidden/>
                <w:color w:val="auto"/>
              </w:rPr>
              <w:instrText xml:space="preserve"> PAGEREF _Toc234110882 \h </w:instrText>
            </w:r>
            <w:r w:rsidRPr="00DC23CE">
              <w:rPr>
                <w:noProof/>
                <w:webHidden/>
                <w:color w:val="auto"/>
              </w:rPr>
            </w:r>
            <w:r w:rsidRPr="00DC23CE">
              <w:rPr>
                <w:noProof/>
                <w:webHidden/>
                <w:color w:val="auto"/>
              </w:rPr>
              <w:fldChar w:fldCharType="separate"/>
            </w:r>
            <w:r w:rsidR="008A1E65">
              <w:rPr>
                <w:noProof/>
                <w:webHidden/>
                <w:color w:val="auto"/>
              </w:rPr>
              <w:t>13</w:t>
            </w:r>
            <w:r w:rsidRPr="00DC23CE">
              <w:rPr>
                <w:noProof/>
                <w:webHidden/>
                <w:color w:val="auto"/>
              </w:rPr>
              <w:fldChar w:fldCharType="end"/>
            </w:r>
          </w:hyperlink>
        </w:p>
        <w:p w14:paraId="3ED3B989" w14:textId="19FDEE2D" w:rsidR="001565AA" w:rsidRPr="00DC23CE" w:rsidRDefault="001565AA" w:rsidP="001565AA">
          <w:pPr>
            <w:pStyle w:val="TOC2"/>
            <w:tabs>
              <w:tab w:val="right" w:leader="dot" w:pos="9016"/>
            </w:tabs>
            <w:spacing w:line="360" w:lineRule="auto"/>
            <w:rPr>
              <w:rFonts w:asciiTheme="minorHAnsi" w:eastAsiaTheme="minorEastAsia" w:hAnsiTheme="minorHAnsi"/>
              <w:noProof/>
              <w:color w:val="auto"/>
              <w:kern w:val="2"/>
              <w:szCs w:val="24"/>
              <w:lang w:val="en-US"/>
              <w14:ligatures w14:val="standardContextual"/>
            </w:rPr>
          </w:pPr>
          <w:hyperlink w:anchor="_Toc234110883" w:history="1">
            <w:r w:rsidRPr="00DC23CE">
              <w:rPr>
                <w:rStyle w:val="Hyperlink"/>
                <w:noProof/>
                <w:color w:val="auto"/>
              </w:rPr>
              <w:t>3.3 Contribution Analysis</w:t>
            </w:r>
            <w:r w:rsidRPr="00DC23CE">
              <w:rPr>
                <w:noProof/>
                <w:webHidden/>
                <w:color w:val="auto"/>
              </w:rPr>
              <w:tab/>
            </w:r>
            <w:r w:rsidRPr="00DC23CE">
              <w:rPr>
                <w:noProof/>
                <w:webHidden/>
                <w:color w:val="auto"/>
              </w:rPr>
              <w:fldChar w:fldCharType="begin"/>
            </w:r>
            <w:r w:rsidRPr="00DC23CE">
              <w:rPr>
                <w:noProof/>
                <w:webHidden/>
                <w:color w:val="auto"/>
              </w:rPr>
              <w:instrText xml:space="preserve"> PAGEREF _Toc234110883 \h </w:instrText>
            </w:r>
            <w:r w:rsidRPr="00DC23CE">
              <w:rPr>
                <w:noProof/>
                <w:webHidden/>
                <w:color w:val="auto"/>
              </w:rPr>
            </w:r>
            <w:r w:rsidRPr="00DC23CE">
              <w:rPr>
                <w:noProof/>
                <w:webHidden/>
                <w:color w:val="auto"/>
              </w:rPr>
              <w:fldChar w:fldCharType="separate"/>
            </w:r>
            <w:r w:rsidR="008A1E65">
              <w:rPr>
                <w:noProof/>
                <w:webHidden/>
                <w:color w:val="auto"/>
              </w:rPr>
              <w:t>13</w:t>
            </w:r>
            <w:r w:rsidRPr="00DC23CE">
              <w:rPr>
                <w:noProof/>
                <w:webHidden/>
                <w:color w:val="auto"/>
              </w:rPr>
              <w:fldChar w:fldCharType="end"/>
            </w:r>
          </w:hyperlink>
        </w:p>
        <w:p w14:paraId="5B81A00C" w14:textId="7627BB29" w:rsidR="001565AA" w:rsidRPr="00DC23CE" w:rsidRDefault="001565AA" w:rsidP="001565AA">
          <w:pPr>
            <w:pStyle w:val="TOC2"/>
            <w:tabs>
              <w:tab w:val="right" w:leader="dot" w:pos="9016"/>
            </w:tabs>
            <w:spacing w:line="360" w:lineRule="auto"/>
            <w:rPr>
              <w:rFonts w:asciiTheme="minorHAnsi" w:eastAsiaTheme="minorEastAsia" w:hAnsiTheme="minorHAnsi"/>
              <w:noProof/>
              <w:color w:val="auto"/>
              <w:kern w:val="2"/>
              <w:szCs w:val="24"/>
              <w:lang w:val="en-US"/>
              <w14:ligatures w14:val="standardContextual"/>
            </w:rPr>
          </w:pPr>
          <w:hyperlink w:anchor="_Toc234110884" w:history="1">
            <w:r w:rsidRPr="00DC23CE">
              <w:rPr>
                <w:rStyle w:val="Hyperlink"/>
                <w:noProof/>
                <w:color w:val="auto"/>
              </w:rPr>
              <w:t>3.4 Ethical and Professional Reflection</w:t>
            </w:r>
            <w:r w:rsidRPr="00DC23CE">
              <w:rPr>
                <w:noProof/>
                <w:webHidden/>
                <w:color w:val="auto"/>
              </w:rPr>
              <w:tab/>
            </w:r>
            <w:r w:rsidRPr="00DC23CE">
              <w:rPr>
                <w:noProof/>
                <w:webHidden/>
                <w:color w:val="auto"/>
              </w:rPr>
              <w:fldChar w:fldCharType="begin"/>
            </w:r>
            <w:r w:rsidRPr="00DC23CE">
              <w:rPr>
                <w:noProof/>
                <w:webHidden/>
                <w:color w:val="auto"/>
              </w:rPr>
              <w:instrText xml:space="preserve"> PAGEREF _Toc234110884 \h </w:instrText>
            </w:r>
            <w:r w:rsidRPr="00DC23CE">
              <w:rPr>
                <w:noProof/>
                <w:webHidden/>
                <w:color w:val="auto"/>
              </w:rPr>
            </w:r>
            <w:r w:rsidRPr="00DC23CE">
              <w:rPr>
                <w:noProof/>
                <w:webHidden/>
                <w:color w:val="auto"/>
              </w:rPr>
              <w:fldChar w:fldCharType="separate"/>
            </w:r>
            <w:r w:rsidR="008A1E65">
              <w:rPr>
                <w:noProof/>
                <w:webHidden/>
                <w:color w:val="auto"/>
              </w:rPr>
              <w:t>14</w:t>
            </w:r>
            <w:r w:rsidRPr="00DC23CE">
              <w:rPr>
                <w:noProof/>
                <w:webHidden/>
                <w:color w:val="auto"/>
              </w:rPr>
              <w:fldChar w:fldCharType="end"/>
            </w:r>
          </w:hyperlink>
        </w:p>
        <w:p w14:paraId="16E5E00D" w14:textId="76C0AC2B" w:rsidR="001565AA" w:rsidRPr="00DC23CE" w:rsidRDefault="001565AA" w:rsidP="001565AA">
          <w:pPr>
            <w:pStyle w:val="TOC1"/>
            <w:tabs>
              <w:tab w:val="right" w:leader="dot" w:pos="9016"/>
            </w:tabs>
            <w:spacing w:line="360" w:lineRule="auto"/>
            <w:rPr>
              <w:rFonts w:asciiTheme="minorHAnsi" w:eastAsiaTheme="minorEastAsia" w:hAnsiTheme="minorHAnsi"/>
              <w:noProof/>
              <w:color w:val="auto"/>
              <w:kern w:val="2"/>
              <w:szCs w:val="24"/>
              <w:lang w:val="en-US"/>
              <w14:ligatures w14:val="standardContextual"/>
            </w:rPr>
          </w:pPr>
          <w:hyperlink w:anchor="_Toc234110885" w:history="1">
            <w:r w:rsidRPr="00DC23CE">
              <w:rPr>
                <w:rStyle w:val="Hyperlink"/>
                <w:noProof/>
                <w:color w:val="auto"/>
              </w:rPr>
              <w:t>Reference List</w:t>
            </w:r>
            <w:r w:rsidRPr="00DC23CE">
              <w:rPr>
                <w:noProof/>
                <w:webHidden/>
                <w:color w:val="auto"/>
              </w:rPr>
              <w:tab/>
            </w:r>
            <w:r w:rsidRPr="00DC23CE">
              <w:rPr>
                <w:noProof/>
                <w:webHidden/>
                <w:color w:val="auto"/>
              </w:rPr>
              <w:fldChar w:fldCharType="begin"/>
            </w:r>
            <w:r w:rsidRPr="00DC23CE">
              <w:rPr>
                <w:noProof/>
                <w:webHidden/>
                <w:color w:val="auto"/>
              </w:rPr>
              <w:instrText xml:space="preserve"> PAGEREF _Toc234110885 \h </w:instrText>
            </w:r>
            <w:r w:rsidRPr="00DC23CE">
              <w:rPr>
                <w:noProof/>
                <w:webHidden/>
                <w:color w:val="auto"/>
              </w:rPr>
            </w:r>
            <w:r w:rsidRPr="00DC23CE">
              <w:rPr>
                <w:noProof/>
                <w:webHidden/>
                <w:color w:val="auto"/>
              </w:rPr>
              <w:fldChar w:fldCharType="separate"/>
            </w:r>
            <w:r w:rsidR="008A1E65">
              <w:rPr>
                <w:noProof/>
                <w:webHidden/>
                <w:color w:val="auto"/>
              </w:rPr>
              <w:t>15</w:t>
            </w:r>
            <w:r w:rsidRPr="00DC23CE">
              <w:rPr>
                <w:noProof/>
                <w:webHidden/>
                <w:color w:val="auto"/>
              </w:rPr>
              <w:fldChar w:fldCharType="end"/>
            </w:r>
          </w:hyperlink>
        </w:p>
        <w:p w14:paraId="38AA7119" w14:textId="0BD11796" w:rsidR="00DF57E0" w:rsidRPr="00DC23CE" w:rsidRDefault="00DF57E0" w:rsidP="001565AA">
          <w:pPr>
            <w:spacing w:line="360" w:lineRule="auto"/>
            <w:rPr>
              <w:color w:val="auto"/>
            </w:rPr>
          </w:pPr>
          <w:r w:rsidRPr="00DC23CE">
            <w:rPr>
              <w:rFonts w:cs="Arial"/>
              <w:b/>
              <w:bCs/>
              <w:noProof/>
              <w:color w:val="auto"/>
              <w:szCs w:val="24"/>
            </w:rPr>
            <w:fldChar w:fldCharType="end"/>
          </w:r>
        </w:p>
      </w:sdtContent>
    </w:sdt>
    <w:p w14:paraId="498955B1" w14:textId="2823A155" w:rsidR="00942F67" w:rsidRPr="00DC23CE" w:rsidRDefault="00DF57E0" w:rsidP="00EC635B">
      <w:pPr>
        <w:rPr>
          <w:color w:val="auto"/>
        </w:rPr>
      </w:pPr>
      <w:r w:rsidRPr="00DC23CE">
        <w:rPr>
          <w:color w:val="auto"/>
        </w:rPr>
        <w:br w:type="page"/>
      </w:r>
      <w:bookmarkStart w:id="0" w:name="_Toc234110871"/>
      <w:r w:rsidR="00942F67" w:rsidRPr="00DC23CE">
        <w:rPr>
          <w:color w:val="auto"/>
        </w:rPr>
        <w:lastRenderedPageBreak/>
        <w:t>1.</w:t>
      </w:r>
      <w:r w:rsidR="00180B49" w:rsidRPr="00DC23CE">
        <w:rPr>
          <w:color w:val="auto"/>
        </w:rPr>
        <w:t>0</w:t>
      </w:r>
      <w:r w:rsidR="00942F67" w:rsidRPr="00DC23CE">
        <w:rPr>
          <w:color w:val="auto"/>
        </w:rPr>
        <w:t xml:space="preserve"> Task 1: Marketing Environment Analysis</w:t>
      </w:r>
      <w:bookmarkEnd w:id="0"/>
    </w:p>
    <w:p w14:paraId="369A7BB6" w14:textId="1C7E80E7" w:rsidR="00AF0E47" w:rsidRPr="00DC23CE" w:rsidRDefault="00942F67" w:rsidP="00000F38">
      <w:pPr>
        <w:pStyle w:val="Heading2"/>
        <w:rPr>
          <w:color w:val="auto"/>
        </w:rPr>
      </w:pPr>
      <w:bookmarkStart w:id="1" w:name="_Toc234110872"/>
      <w:r w:rsidRPr="00DC23CE">
        <w:rPr>
          <w:color w:val="auto"/>
        </w:rPr>
        <w:t>1.1 Selected Metals or Mining Company</w:t>
      </w:r>
      <w:bookmarkEnd w:id="1"/>
    </w:p>
    <w:p w14:paraId="7B06600E" w14:textId="77777777" w:rsidR="00615036" w:rsidRPr="00DC23CE" w:rsidRDefault="00615036" w:rsidP="00C13C53">
      <w:pPr>
        <w:spacing w:line="360" w:lineRule="auto"/>
        <w:jc w:val="both"/>
        <w:rPr>
          <w:rFonts w:cs="Arial"/>
          <w:color w:val="auto"/>
          <w:szCs w:val="24"/>
        </w:rPr>
      </w:pPr>
      <w:r w:rsidRPr="00DC23CE">
        <w:rPr>
          <w:rFonts w:cs="Arial"/>
          <w:color w:val="auto"/>
          <w:szCs w:val="24"/>
        </w:rPr>
        <w:t xml:space="preserve">BHP Group is one of the largest international resources companies and the largest mining company in the world based on market capitalisation. It is a producer of iron ore, copper, metallurgical coal and is venturing into potash (BHP, 2025a). BHP can be used in this report as its recent annual reports and ESG reports contain powerful data concerning the climate strategy, emissions, and lower-carbon transition. </w:t>
      </w:r>
    </w:p>
    <w:p w14:paraId="40B551C2" w14:textId="1FFE54C2" w:rsidR="003F6BD8" w:rsidRPr="00DC23CE" w:rsidRDefault="003F6BD8" w:rsidP="00000F38">
      <w:pPr>
        <w:pStyle w:val="Heading2"/>
        <w:rPr>
          <w:color w:val="auto"/>
        </w:rPr>
      </w:pPr>
      <w:bookmarkStart w:id="2" w:name="_Toc234110873"/>
      <w:r w:rsidRPr="00DC23CE">
        <w:rPr>
          <w:color w:val="auto"/>
        </w:rPr>
        <w:t>1.2 Critical analysis of 2 actors</w:t>
      </w:r>
      <w:bookmarkEnd w:id="2"/>
      <w:r w:rsidRPr="00DC23CE">
        <w:rPr>
          <w:color w:val="auto"/>
        </w:rPr>
        <w:t xml:space="preserve"> </w:t>
      </w:r>
    </w:p>
    <w:p w14:paraId="3D3FCC42" w14:textId="77777777" w:rsidR="00D216BB" w:rsidRPr="00DC23CE" w:rsidRDefault="00D216BB" w:rsidP="00000F38">
      <w:pPr>
        <w:pStyle w:val="Heading3"/>
        <w:rPr>
          <w:color w:val="auto"/>
        </w:rPr>
      </w:pPr>
      <w:bookmarkStart w:id="3" w:name="_Toc234110874"/>
      <w:r w:rsidRPr="00DC23CE">
        <w:rPr>
          <w:color w:val="auto"/>
        </w:rPr>
        <w:t>1.2.1 Natural Environment Actor</w:t>
      </w:r>
      <w:bookmarkEnd w:id="3"/>
    </w:p>
    <w:p w14:paraId="0861BD70" w14:textId="1BAEB79C" w:rsidR="00615036" w:rsidRPr="00DC23CE" w:rsidRDefault="00615036" w:rsidP="00F878A9">
      <w:pPr>
        <w:spacing w:line="360" w:lineRule="auto"/>
        <w:jc w:val="both"/>
        <w:rPr>
          <w:rFonts w:cs="Arial"/>
          <w:color w:val="auto"/>
          <w:szCs w:val="24"/>
        </w:rPr>
      </w:pPr>
      <w:r w:rsidRPr="00DC23CE">
        <w:rPr>
          <w:rFonts w:cs="Arial"/>
          <w:color w:val="auto"/>
          <w:szCs w:val="24"/>
        </w:rPr>
        <w:t>BHP relies on the natural environment as a strong external marketing force since mining relies on the natural environment as well as disrupts natural resources, such as land, water, the biodiversity and climate systems. The lower-carbon transition of BHP is thus not just an operational problem, but a market-positioning problem. Copper is sold by the company to electrify, iron ore and metallurgical coal to make steel, and potash to make food, so it needs to demonstrate that these types of resources are being produced in a more responsible manner as the transition minerals demand increases (BHP, 2025</w:t>
      </w:r>
      <w:r w:rsidR="00E414CD" w:rsidRPr="00DC23CE">
        <w:rPr>
          <w:rFonts w:cs="Arial"/>
          <w:color w:val="auto"/>
          <w:szCs w:val="24"/>
        </w:rPr>
        <w:t>f</w:t>
      </w:r>
      <w:r w:rsidRPr="00DC23CE">
        <w:rPr>
          <w:rFonts w:cs="Arial"/>
          <w:color w:val="auto"/>
          <w:szCs w:val="24"/>
        </w:rPr>
        <w:t xml:space="preserve">). </w:t>
      </w:r>
    </w:p>
    <w:p w14:paraId="2492D383" w14:textId="4CCA1039" w:rsidR="00F878A9" w:rsidRPr="00DC23CE" w:rsidRDefault="00615036" w:rsidP="00F878A9">
      <w:pPr>
        <w:spacing w:line="360" w:lineRule="auto"/>
        <w:jc w:val="both"/>
        <w:rPr>
          <w:rFonts w:cs="Arial"/>
          <w:color w:val="auto"/>
          <w:szCs w:val="24"/>
        </w:rPr>
      </w:pPr>
      <w:r w:rsidRPr="00DC23CE">
        <w:rPr>
          <w:rFonts w:cs="Arial"/>
          <w:color w:val="auto"/>
          <w:szCs w:val="24"/>
        </w:rPr>
        <w:t>The FY2025 data provided by BHP depicts an achievable improvement, yet reveals constraints. Its adjusted operational Scope 1 and 2 emissions were 8.7 MtCO</w:t>
      </w:r>
      <w:r w:rsidRPr="00DC23CE">
        <w:rPr>
          <w:rFonts w:ascii="Cambria Math" w:hAnsi="Cambria Math" w:cs="Cambria Math"/>
          <w:color w:val="auto"/>
          <w:szCs w:val="24"/>
        </w:rPr>
        <w:t>₂</w:t>
      </w:r>
      <w:r w:rsidRPr="00DC23CE">
        <w:rPr>
          <w:rFonts w:cs="Arial"/>
          <w:color w:val="auto"/>
          <w:szCs w:val="24"/>
        </w:rPr>
        <w:t>-e in FY2025, compared to its FY2020 base of 13.6 MtCO</w:t>
      </w:r>
      <w:r w:rsidRPr="00DC23CE">
        <w:rPr>
          <w:rFonts w:ascii="Cambria Math" w:hAnsi="Cambria Math" w:cs="Cambria Math"/>
          <w:color w:val="auto"/>
          <w:szCs w:val="24"/>
        </w:rPr>
        <w:t>₂</w:t>
      </w:r>
      <w:r w:rsidRPr="00DC23CE">
        <w:rPr>
          <w:rFonts w:cs="Arial"/>
          <w:color w:val="auto"/>
          <w:szCs w:val="24"/>
        </w:rPr>
        <w:t xml:space="preserve">-e, helping to achieve its goal of 30 </w:t>
      </w:r>
      <w:r w:rsidR="00C61F77" w:rsidRPr="00DC23CE">
        <w:rPr>
          <w:rFonts w:cs="Arial"/>
          <w:color w:val="auto"/>
          <w:szCs w:val="24"/>
        </w:rPr>
        <w:t>%</w:t>
      </w:r>
      <w:r w:rsidRPr="00DC23CE">
        <w:rPr>
          <w:rFonts w:cs="Arial"/>
          <w:color w:val="auto"/>
          <w:szCs w:val="24"/>
        </w:rPr>
        <w:t>reduction in operational emissions by FY2030 (BHP, 2025</w:t>
      </w:r>
      <w:r w:rsidR="00E414CD" w:rsidRPr="00DC23CE">
        <w:rPr>
          <w:rFonts w:cs="Arial"/>
          <w:color w:val="auto"/>
          <w:szCs w:val="24"/>
        </w:rPr>
        <w:t>e</w:t>
      </w:r>
      <w:r w:rsidRPr="00DC23CE">
        <w:rPr>
          <w:rFonts w:cs="Arial"/>
          <w:color w:val="auto"/>
          <w:szCs w:val="24"/>
        </w:rPr>
        <w:t>). Nonetheless, the volume of Scope 3 value-chain emissions by BHP was significantly greater at 378.2 MtCO2-e, primarily due to the downstream processing and use of sold products, which implies that the credibility of BHP with respect to lower carbon emission depends not just on its mines, but rather on its customers (BHP Group Limited, 2025). According to BHP, its 2030 healthy-environment objective is to establish nature-positive results, such as putting at least 30% of the land and water it manages under conservation, restoration or regenerative management (BHP, 2024</w:t>
      </w:r>
      <w:r w:rsidR="00BC64DB" w:rsidRPr="00DC23CE">
        <w:rPr>
          <w:rFonts w:cs="Arial"/>
          <w:color w:val="auto"/>
          <w:szCs w:val="24"/>
        </w:rPr>
        <w:t>a</w:t>
      </w:r>
      <w:r w:rsidRPr="00DC23CE">
        <w:rPr>
          <w:rFonts w:cs="Arial"/>
          <w:color w:val="auto"/>
          <w:szCs w:val="24"/>
        </w:rPr>
        <w:t>).</w:t>
      </w:r>
    </w:p>
    <w:p w14:paraId="0D8EE975" w14:textId="192F78D9" w:rsidR="003E3203" w:rsidRPr="00DC23CE" w:rsidRDefault="003E3203" w:rsidP="003E3203">
      <w:pPr>
        <w:spacing w:line="360" w:lineRule="auto"/>
        <w:jc w:val="center"/>
        <w:rPr>
          <w:rFonts w:cs="Arial"/>
          <w:color w:val="auto"/>
          <w:szCs w:val="24"/>
        </w:rPr>
      </w:pPr>
      <w:r w:rsidRPr="00DC23CE">
        <w:rPr>
          <w:rFonts w:cs="Arial"/>
          <w:noProof/>
          <w:color w:val="auto"/>
          <w:szCs w:val="24"/>
        </w:rPr>
        <w:lastRenderedPageBreak/>
        <w:drawing>
          <wp:inline distT="0" distB="0" distL="0" distR="0" wp14:anchorId="4D3BDC4C" wp14:editId="7638BFF1">
            <wp:extent cx="4579569" cy="2514600"/>
            <wp:effectExtent l="0" t="0" r="0" b="0"/>
            <wp:docPr id="18761447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6144760" name=""/>
                    <pic:cNvPicPr/>
                  </pic:nvPicPr>
                  <pic:blipFill>
                    <a:blip r:embed="rId9"/>
                    <a:stretch>
                      <a:fillRect/>
                    </a:stretch>
                  </pic:blipFill>
                  <pic:spPr>
                    <a:xfrm>
                      <a:off x="0" y="0"/>
                      <a:ext cx="4607749" cy="2530073"/>
                    </a:xfrm>
                    <a:prstGeom prst="rect">
                      <a:avLst/>
                    </a:prstGeom>
                  </pic:spPr>
                </pic:pic>
              </a:graphicData>
            </a:graphic>
          </wp:inline>
        </w:drawing>
      </w:r>
    </w:p>
    <w:p w14:paraId="589DF857" w14:textId="4EAA2E23" w:rsidR="00B26521" w:rsidRPr="00DC23CE" w:rsidRDefault="00B26521" w:rsidP="003E3203">
      <w:pPr>
        <w:spacing w:line="360" w:lineRule="auto"/>
        <w:jc w:val="center"/>
        <w:rPr>
          <w:rFonts w:cs="Arial"/>
          <w:b/>
          <w:bCs/>
          <w:color w:val="auto"/>
          <w:szCs w:val="24"/>
        </w:rPr>
      </w:pPr>
      <w:r w:rsidRPr="00DC23CE">
        <w:rPr>
          <w:rFonts w:cs="Arial"/>
          <w:b/>
          <w:bCs/>
          <w:color w:val="auto"/>
          <w:szCs w:val="24"/>
        </w:rPr>
        <w:t>Fig</w:t>
      </w:r>
      <w:r w:rsidR="00C71000" w:rsidRPr="00DC23CE">
        <w:rPr>
          <w:rFonts w:cs="Arial"/>
          <w:b/>
          <w:bCs/>
          <w:color w:val="auto"/>
          <w:szCs w:val="24"/>
        </w:rPr>
        <w:t xml:space="preserve"> 01</w:t>
      </w:r>
      <w:r w:rsidRPr="00DC23CE">
        <w:rPr>
          <w:rFonts w:cs="Arial"/>
          <w:b/>
          <w:bCs/>
          <w:color w:val="auto"/>
          <w:szCs w:val="24"/>
        </w:rPr>
        <w:t>:</w:t>
      </w:r>
      <w:r w:rsidR="00BF2D8B" w:rsidRPr="00DC23CE">
        <w:rPr>
          <w:rFonts w:cs="Arial"/>
          <w:b/>
          <w:bCs/>
          <w:color w:val="auto"/>
          <w:szCs w:val="24"/>
        </w:rPr>
        <w:t xml:space="preserve"> </w:t>
      </w:r>
      <w:r w:rsidR="00BF2D8B" w:rsidRPr="00DC23CE">
        <w:rPr>
          <w:rFonts w:cs="Arial"/>
          <w:color w:val="auto"/>
          <w:szCs w:val="24"/>
        </w:rPr>
        <w:t>BHP adjusted value-chain emissions performance, FY2020–FY2025</w:t>
      </w:r>
    </w:p>
    <w:p w14:paraId="3F03B8AF" w14:textId="624EE81F" w:rsidR="00B26521" w:rsidRPr="00DC23CE" w:rsidRDefault="00B26521" w:rsidP="007A6623">
      <w:pPr>
        <w:spacing w:line="360" w:lineRule="auto"/>
        <w:jc w:val="center"/>
        <w:rPr>
          <w:rFonts w:cs="Arial"/>
          <w:color w:val="auto"/>
          <w:szCs w:val="24"/>
        </w:rPr>
      </w:pPr>
      <w:r w:rsidRPr="00DC23CE">
        <w:rPr>
          <w:rFonts w:cs="Arial"/>
          <w:b/>
          <w:bCs/>
          <w:color w:val="auto"/>
          <w:szCs w:val="24"/>
        </w:rPr>
        <w:t>Source:</w:t>
      </w:r>
      <w:r w:rsidR="007A6623" w:rsidRPr="00DC23CE">
        <w:rPr>
          <w:rFonts w:cs="Arial"/>
          <w:b/>
          <w:bCs/>
          <w:color w:val="auto"/>
          <w:szCs w:val="24"/>
        </w:rPr>
        <w:t xml:space="preserve"> </w:t>
      </w:r>
      <w:r w:rsidR="007A6623" w:rsidRPr="00DC23CE">
        <w:rPr>
          <w:rFonts w:cs="Arial"/>
          <w:color w:val="auto"/>
          <w:szCs w:val="24"/>
        </w:rPr>
        <w:t>(BHP Group Limited, 2025)</w:t>
      </w:r>
    </w:p>
    <w:p w14:paraId="2FC8FD0A" w14:textId="354EE617" w:rsidR="00F878A9" w:rsidRPr="00DC23CE" w:rsidRDefault="00E03D61" w:rsidP="00F878A9">
      <w:pPr>
        <w:spacing w:line="360" w:lineRule="auto"/>
        <w:jc w:val="both"/>
        <w:rPr>
          <w:rFonts w:cs="Arial"/>
          <w:color w:val="auto"/>
          <w:szCs w:val="24"/>
          <w:lang w:val="en-US"/>
        </w:rPr>
      </w:pPr>
      <w:r w:rsidRPr="00DC23CE">
        <w:rPr>
          <w:rFonts w:cs="Arial"/>
          <w:color w:val="auto"/>
          <w:szCs w:val="24"/>
        </w:rPr>
        <w:t xml:space="preserve">Most importantly, the natural environment brings about opportunity as well as risk. Under the opportunity side, BHP has an opportunity to position copper and potash as future facing products that are associated with electrification, renewable energy and food security. In 2025, Reuters mentioned that the Jansen potash project which was planned by BHP was postponed to mid-2027 and increased its costs to up to US$1.7 billion, indicating that projects related to transition can be quite expensive and operationally challenging (Nair and Manekar, 2025). Research by others also cautions that though the introduction of renewable energy may decrease the carbon footprint of mining, mining is still an energy-intensive process that </w:t>
      </w:r>
      <w:r w:rsidR="005E73D3" w:rsidRPr="00DC23CE">
        <w:rPr>
          <w:rFonts w:cs="Arial"/>
          <w:color w:val="auto"/>
          <w:szCs w:val="24"/>
        </w:rPr>
        <w:t>remains difficult to decarbonise at scale</w:t>
      </w:r>
      <w:r w:rsidRPr="00DC23CE">
        <w:rPr>
          <w:rFonts w:cs="Arial"/>
          <w:color w:val="auto"/>
          <w:szCs w:val="24"/>
        </w:rPr>
        <w:t xml:space="preserve"> (</w:t>
      </w:r>
      <w:proofErr w:type="spellStart"/>
      <w:r w:rsidRPr="00DC23CE">
        <w:rPr>
          <w:rFonts w:cs="Arial"/>
          <w:color w:val="auto"/>
          <w:szCs w:val="24"/>
        </w:rPr>
        <w:t>Enemuo</w:t>
      </w:r>
      <w:proofErr w:type="spellEnd"/>
      <w:r w:rsidRPr="00DC23CE">
        <w:rPr>
          <w:rFonts w:cs="Arial"/>
          <w:color w:val="auto"/>
          <w:szCs w:val="24"/>
        </w:rPr>
        <w:t xml:space="preserve"> and </w:t>
      </w:r>
      <w:proofErr w:type="spellStart"/>
      <w:r w:rsidRPr="00DC23CE">
        <w:rPr>
          <w:rFonts w:cs="Arial"/>
          <w:color w:val="auto"/>
          <w:szCs w:val="24"/>
        </w:rPr>
        <w:t>Ogunmodimu</w:t>
      </w:r>
      <w:proofErr w:type="spellEnd"/>
      <w:r w:rsidRPr="00DC23CE">
        <w:rPr>
          <w:rFonts w:cs="Arial"/>
          <w:color w:val="auto"/>
          <w:szCs w:val="24"/>
        </w:rPr>
        <w:t>, 2025).</w:t>
      </w:r>
    </w:p>
    <w:p w14:paraId="0746CCCC" w14:textId="7B0B7E22" w:rsidR="00AD3D42" w:rsidRPr="00DC23CE" w:rsidRDefault="00AD3D42" w:rsidP="00AD3D42">
      <w:pPr>
        <w:spacing w:line="360" w:lineRule="auto"/>
        <w:jc w:val="center"/>
        <w:rPr>
          <w:rFonts w:cs="Arial"/>
          <w:color w:val="auto"/>
          <w:szCs w:val="24"/>
        </w:rPr>
      </w:pPr>
      <w:r w:rsidRPr="00DC23CE">
        <w:rPr>
          <w:rFonts w:cs="Arial"/>
          <w:noProof/>
          <w:color w:val="auto"/>
          <w:szCs w:val="24"/>
        </w:rPr>
        <w:lastRenderedPageBreak/>
        <w:drawing>
          <wp:inline distT="0" distB="0" distL="0" distR="0" wp14:anchorId="02F2DFAF" wp14:editId="1359703C">
            <wp:extent cx="3517900" cy="2955336"/>
            <wp:effectExtent l="0" t="0" r="6350" b="0"/>
            <wp:docPr id="5540448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4044812" name=""/>
                    <pic:cNvPicPr/>
                  </pic:nvPicPr>
                  <pic:blipFill>
                    <a:blip r:embed="rId10"/>
                    <a:stretch>
                      <a:fillRect/>
                    </a:stretch>
                  </pic:blipFill>
                  <pic:spPr>
                    <a:xfrm>
                      <a:off x="0" y="0"/>
                      <a:ext cx="3530023" cy="2965520"/>
                    </a:xfrm>
                    <a:prstGeom prst="rect">
                      <a:avLst/>
                    </a:prstGeom>
                  </pic:spPr>
                </pic:pic>
              </a:graphicData>
            </a:graphic>
          </wp:inline>
        </w:drawing>
      </w:r>
    </w:p>
    <w:p w14:paraId="7D50E6CE" w14:textId="32D68DF9" w:rsidR="00AD3D42" w:rsidRPr="00DC23CE" w:rsidRDefault="00AD3D42" w:rsidP="00AD3D42">
      <w:pPr>
        <w:spacing w:line="360" w:lineRule="auto"/>
        <w:jc w:val="center"/>
        <w:rPr>
          <w:rFonts w:cs="Arial"/>
          <w:b/>
          <w:bCs/>
          <w:color w:val="auto"/>
          <w:szCs w:val="24"/>
        </w:rPr>
      </w:pPr>
      <w:r w:rsidRPr="00DC23CE">
        <w:rPr>
          <w:rFonts w:cs="Arial"/>
          <w:b/>
          <w:bCs/>
          <w:color w:val="auto"/>
          <w:szCs w:val="24"/>
        </w:rPr>
        <w:t>Fig</w:t>
      </w:r>
      <w:r w:rsidR="00C71000" w:rsidRPr="00DC23CE">
        <w:rPr>
          <w:rFonts w:cs="Arial"/>
          <w:b/>
          <w:bCs/>
          <w:color w:val="auto"/>
          <w:szCs w:val="24"/>
        </w:rPr>
        <w:t xml:space="preserve"> 02</w:t>
      </w:r>
      <w:r w:rsidRPr="00DC23CE">
        <w:rPr>
          <w:rFonts w:cs="Arial"/>
          <w:b/>
          <w:bCs/>
          <w:color w:val="auto"/>
          <w:szCs w:val="24"/>
        </w:rPr>
        <w:t>:</w:t>
      </w:r>
      <w:r w:rsidR="001B6CAB" w:rsidRPr="00DC23CE">
        <w:rPr>
          <w:rFonts w:cs="Arial"/>
          <w:color w:val="auto"/>
          <w:szCs w:val="24"/>
        </w:rPr>
        <w:t xml:space="preserve"> Reuters report on BHP’s Jansen potash project delay and cost increase</w:t>
      </w:r>
    </w:p>
    <w:p w14:paraId="50349BAE" w14:textId="0FC27163" w:rsidR="00AD3D42" w:rsidRPr="00DC23CE" w:rsidRDefault="00AD3D42" w:rsidP="000035EB">
      <w:pPr>
        <w:spacing w:line="360" w:lineRule="auto"/>
        <w:jc w:val="center"/>
        <w:rPr>
          <w:rFonts w:cs="Arial"/>
          <w:b/>
          <w:bCs/>
          <w:color w:val="auto"/>
          <w:szCs w:val="24"/>
          <w:lang w:val="en-US"/>
        </w:rPr>
      </w:pPr>
      <w:r w:rsidRPr="00DC23CE">
        <w:rPr>
          <w:rFonts w:cs="Arial"/>
          <w:b/>
          <w:bCs/>
          <w:color w:val="auto"/>
          <w:szCs w:val="24"/>
        </w:rPr>
        <w:t>Source:</w:t>
      </w:r>
      <w:r w:rsidR="000035EB" w:rsidRPr="00DC23CE">
        <w:rPr>
          <w:rFonts w:cs="Arial"/>
          <w:b/>
          <w:bCs/>
          <w:color w:val="auto"/>
          <w:szCs w:val="24"/>
        </w:rPr>
        <w:t xml:space="preserve"> </w:t>
      </w:r>
      <w:r w:rsidR="000035EB" w:rsidRPr="00DC23CE">
        <w:rPr>
          <w:rFonts w:cs="Arial"/>
          <w:color w:val="auto"/>
          <w:szCs w:val="24"/>
          <w:lang w:val="en-US"/>
        </w:rPr>
        <w:t>(Reuters, 2025</w:t>
      </w:r>
      <w:r w:rsidR="00650D08" w:rsidRPr="00DC23CE">
        <w:rPr>
          <w:rFonts w:cs="Arial"/>
          <w:color w:val="auto"/>
          <w:szCs w:val="24"/>
          <w:lang w:val="en-US"/>
        </w:rPr>
        <w:t>a</w:t>
      </w:r>
      <w:r w:rsidR="000035EB" w:rsidRPr="00DC23CE">
        <w:rPr>
          <w:rFonts w:cs="Arial"/>
          <w:color w:val="auto"/>
          <w:szCs w:val="24"/>
          <w:lang w:val="en-US"/>
        </w:rPr>
        <w:t>)</w:t>
      </w:r>
    </w:p>
    <w:p w14:paraId="41119840" w14:textId="77777777" w:rsidR="00E03D61" w:rsidRPr="00DC23CE" w:rsidRDefault="00F878A9" w:rsidP="00E03D61">
      <w:pPr>
        <w:spacing w:line="360" w:lineRule="auto"/>
        <w:jc w:val="both"/>
        <w:rPr>
          <w:rFonts w:cs="Arial"/>
          <w:color w:val="auto"/>
          <w:szCs w:val="24"/>
        </w:rPr>
      </w:pPr>
      <w:r w:rsidRPr="00DC23CE">
        <w:rPr>
          <w:rFonts w:cs="Arial"/>
          <w:color w:val="auto"/>
          <w:szCs w:val="24"/>
        </w:rPr>
        <w:t xml:space="preserve">Overall, </w:t>
      </w:r>
      <w:r w:rsidR="00E03D61" w:rsidRPr="00DC23CE">
        <w:rPr>
          <w:rFonts w:cs="Arial"/>
          <w:color w:val="auto"/>
          <w:szCs w:val="24"/>
        </w:rPr>
        <w:t>the natural environment is a highly powerful force behind the lower-carbon transition of BHP as it simultaneously influences the performance of emissions, the cost of the project, the availability of resources, the reputation and trust of its stakeholders. Verified reductions and transparent reporting can reinforce BHP marketing position but sluggish progress, schedule slippage of projects or effects on biodiversity may lead to accusations of greenwashing and diminished investor, customer, and community confidence.</w:t>
      </w:r>
    </w:p>
    <w:p w14:paraId="36979F74" w14:textId="77CAFB24" w:rsidR="00D216BB" w:rsidRPr="00DC23CE" w:rsidRDefault="00D216BB" w:rsidP="00000F38">
      <w:pPr>
        <w:pStyle w:val="Heading3"/>
        <w:rPr>
          <w:color w:val="auto"/>
        </w:rPr>
      </w:pPr>
      <w:bookmarkStart w:id="4" w:name="_Toc234110875"/>
      <w:r w:rsidRPr="00DC23CE">
        <w:rPr>
          <w:color w:val="auto"/>
        </w:rPr>
        <w:t>1.2.2 Political-Legal / Regulatory Environment Actor</w:t>
      </w:r>
      <w:bookmarkEnd w:id="4"/>
    </w:p>
    <w:p w14:paraId="39BC2A72" w14:textId="77777777" w:rsidR="001B1292" w:rsidRPr="00DC23CE" w:rsidRDefault="001B1292" w:rsidP="00674C75">
      <w:pPr>
        <w:spacing w:line="360" w:lineRule="auto"/>
        <w:jc w:val="both"/>
        <w:rPr>
          <w:rFonts w:cs="Arial"/>
          <w:color w:val="auto"/>
          <w:szCs w:val="24"/>
        </w:rPr>
      </w:pPr>
      <w:r w:rsidRPr="00DC23CE">
        <w:rPr>
          <w:rFonts w:cs="Arial"/>
          <w:color w:val="auto"/>
          <w:szCs w:val="24"/>
        </w:rPr>
        <w:t xml:space="preserve">The political-legal environment, also referred to as regulatory environment is of concern to BHP since further transition to lower carbon is no longer dictated by voluntary sustainability statements. It is becoming controlled by compulsory disclosure, emissions limit, environmental clearances and national net-zero policy. In the case of a mining firm, regulation influences the operating licences, timing of projects, capital outlay and investor trust. Since January 2025, several of the largest Australian businesses and financial institutions will be required to prepare an annual sustainability report, which includes compulsory climate-related financial disclosures, which puts additional strain on BHP to demonstrate climate risks, assumptions and transition plans in a more transparent manner (ASIC, 2024). Liu et al. (2023) confirm this argument by demonstrating that carbon disclosure is a legitimacy mechanism, </w:t>
      </w:r>
      <w:r w:rsidRPr="00DC23CE">
        <w:rPr>
          <w:rFonts w:cs="Arial"/>
          <w:color w:val="auto"/>
          <w:szCs w:val="24"/>
        </w:rPr>
        <w:lastRenderedPageBreak/>
        <w:t>particularly in situations where external checks are heightened by regulatory requirements of mandatory reporting.</w:t>
      </w:r>
    </w:p>
    <w:p w14:paraId="4D3E645F" w14:textId="7B46577A" w:rsidR="00674C75" w:rsidRPr="00DC23CE" w:rsidRDefault="001B1292" w:rsidP="00674C75">
      <w:pPr>
        <w:spacing w:line="360" w:lineRule="auto"/>
        <w:jc w:val="both"/>
        <w:rPr>
          <w:rFonts w:cs="Arial"/>
          <w:color w:val="auto"/>
          <w:szCs w:val="24"/>
        </w:rPr>
      </w:pPr>
      <w:r w:rsidRPr="00DC23CE">
        <w:rPr>
          <w:rFonts w:cs="Arial"/>
          <w:color w:val="auto"/>
          <w:szCs w:val="24"/>
        </w:rPr>
        <w:t>There is also regulatory pressure that is exerted through emissions control. The Safeguard Mechanism is applicable to the facilities that produce over 100,000 tCO 2 -e annually and includes such sectors as mining. Its baselines tend to reduce by 4.9 per cent/year up to 2030 (</w:t>
      </w:r>
      <w:r w:rsidR="00643321" w:rsidRPr="00DC23CE">
        <w:rPr>
          <w:rFonts w:cs="Arial"/>
          <w:color w:val="auto"/>
          <w:szCs w:val="24"/>
        </w:rPr>
        <w:t>Clean Energy Regulator</w:t>
      </w:r>
      <w:r w:rsidRPr="00DC23CE">
        <w:rPr>
          <w:rFonts w:cs="Arial"/>
          <w:color w:val="auto"/>
          <w:szCs w:val="24"/>
        </w:rPr>
        <w:t>, 2025). According to BHP, its operations in Australia are subjected to this mechanism, and are required to maintain Scope 1 emissions at or below progressively declining legislated baselines, even by surrendering eligible carbon credits where necessary (BHP, 2025</w:t>
      </w:r>
      <w:r w:rsidR="00E414CD" w:rsidRPr="00DC23CE">
        <w:rPr>
          <w:rFonts w:cs="Arial"/>
          <w:color w:val="auto"/>
          <w:szCs w:val="24"/>
        </w:rPr>
        <w:t>d</w:t>
      </w:r>
      <w:r w:rsidRPr="00DC23CE">
        <w:rPr>
          <w:rFonts w:cs="Arial"/>
          <w:color w:val="auto"/>
          <w:szCs w:val="24"/>
        </w:rPr>
        <w:t>). Another limitation is environmental approvals: Reuters reported that the planned changes to environmental protection in Australia aim to save nature and accelerate approval, as it can take more than two years to assess a project, which can impact mining and clean-energy projects (Hobson and Clark, 2025). This has a direct impact on the lower-carbon products of BHP since commodities like copper, potash and lower-emission iron-related products cannot be marketed as responsible transition materials unless they are approved by regulations, have their emissions credibly controlled, and reported.</w:t>
      </w:r>
    </w:p>
    <w:p w14:paraId="7E134E54" w14:textId="1E8F2CE1" w:rsidR="009B1EE2" w:rsidRPr="00DC23CE" w:rsidRDefault="009B1EE2" w:rsidP="009B1EE2">
      <w:pPr>
        <w:spacing w:line="360" w:lineRule="auto"/>
        <w:jc w:val="center"/>
        <w:rPr>
          <w:rFonts w:cs="Arial"/>
          <w:color w:val="auto"/>
          <w:szCs w:val="24"/>
          <w:lang w:val="en-US"/>
        </w:rPr>
      </w:pPr>
      <w:r w:rsidRPr="00DC23CE">
        <w:rPr>
          <w:rFonts w:cs="Arial"/>
          <w:noProof/>
          <w:color w:val="auto"/>
          <w:szCs w:val="24"/>
          <w:lang w:val="en-US"/>
        </w:rPr>
        <w:drawing>
          <wp:inline distT="0" distB="0" distL="0" distR="0" wp14:anchorId="75B9846F" wp14:editId="41B1B50D">
            <wp:extent cx="3452090" cy="3286125"/>
            <wp:effectExtent l="0" t="0" r="0" b="0"/>
            <wp:docPr id="14644855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4485552" name=""/>
                    <pic:cNvPicPr/>
                  </pic:nvPicPr>
                  <pic:blipFill>
                    <a:blip r:embed="rId11"/>
                    <a:stretch>
                      <a:fillRect/>
                    </a:stretch>
                  </pic:blipFill>
                  <pic:spPr>
                    <a:xfrm>
                      <a:off x="0" y="0"/>
                      <a:ext cx="3457876" cy="3291633"/>
                    </a:xfrm>
                    <a:prstGeom prst="rect">
                      <a:avLst/>
                    </a:prstGeom>
                  </pic:spPr>
                </pic:pic>
              </a:graphicData>
            </a:graphic>
          </wp:inline>
        </w:drawing>
      </w:r>
    </w:p>
    <w:p w14:paraId="6E3B9EA6" w14:textId="753A121F" w:rsidR="009B1EE2" w:rsidRPr="00DC23CE" w:rsidRDefault="009B1EE2" w:rsidP="009B1EE2">
      <w:pPr>
        <w:spacing w:line="360" w:lineRule="auto"/>
        <w:jc w:val="center"/>
        <w:rPr>
          <w:rFonts w:cs="Arial"/>
          <w:b/>
          <w:bCs/>
          <w:color w:val="auto"/>
          <w:szCs w:val="24"/>
          <w:lang w:val="en-US"/>
        </w:rPr>
      </w:pPr>
      <w:r w:rsidRPr="00DC23CE">
        <w:rPr>
          <w:rFonts w:cs="Arial"/>
          <w:b/>
          <w:bCs/>
          <w:color w:val="auto"/>
          <w:szCs w:val="24"/>
          <w:lang w:val="en-US"/>
        </w:rPr>
        <w:t>Fig</w:t>
      </w:r>
      <w:r w:rsidR="00C71000" w:rsidRPr="00DC23CE">
        <w:rPr>
          <w:rFonts w:cs="Arial"/>
          <w:b/>
          <w:bCs/>
          <w:color w:val="auto"/>
          <w:szCs w:val="24"/>
          <w:lang w:val="en-US"/>
        </w:rPr>
        <w:t xml:space="preserve"> 03</w:t>
      </w:r>
      <w:r w:rsidRPr="00DC23CE">
        <w:rPr>
          <w:rFonts w:cs="Arial"/>
          <w:b/>
          <w:bCs/>
          <w:color w:val="auto"/>
          <w:szCs w:val="24"/>
          <w:lang w:val="en-US"/>
        </w:rPr>
        <w:t>:</w:t>
      </w:r>
      <w:r w:rsidR="005C3563" w:rsidRPr="00DC23CE">
        <w:rPr>
          <w:rFonts w:cs="Arial"/>
          <w:b/>
          <w:bCs/>
          <w:color w:val="auto"/>
          <w:szCs w:val="24"/>
          <w:lang w:val="en-US"/>
        </w:rPr>
        <w:t xml:space="preserve"> </w:t>
      </w:r>
      <w:r w:rsidR="005C3563" w:rsidRPr="00DC23CE">
        <w:rPr>
          <w:rFonts w:cs="Arial"/>
          <w:color w:val="auto"/>
          <w:szCs w:val="24"/>
        </w:rPr>
        <w:t>Reuters report on Australia’s proposed environmental law reforms</w:t>
      </w:r>
    </w:p>
    <w:p w14:paraId="3C8FD9E0" w14:textId="560740CD" w:rsidR="009B1EE2" w:rsidRPr="00DC23CE" w:rsidRDefault="009B1EE2" w:rsidP="00650D08">
      <w:pPr>
        <w:spacing w:line="360" w:lineRule="auto"/>
        <w:jc w:val="center"/>
        <w:rPr>
          <w:rFonts w:cs="Arial"/>
          <w:b/>
          <w:bCs/>
          <w:color w:val="auto"/>
          <w:szCs w:val="24"/>
          <w:lang w:val="en-US"/>
        </w:rPr>
      </w:pPr>
      <w:r w:rsidRPr="00DC23CE">
        <w:rPr>
          <w:rFonts w:cs="Arial"/>
          <w:b/>
          <w:bCs/>
          <w:color w:val="auto"/>
          <w:szCs w:val="24"/>
          <w:lang w:val="en-US"/>
        </w:rPr>
        <w:t>Source:</w:t>
      </w:r>
      <w:r w:rsidR="00650D08" w:rsidRPr="00DC23CE">
        <w:rPr>
          <w:rFonts w:cs="Arial"/>
          <w:b/>
          <w:bCs/>
          <w:color w:val="auto"/>
          <w:szCs w:val="24"/>
          <w:lang w:val="en-US"/>
        </w:rPr>
        <w:t xml:space="preserve"> </w:t>
      </w:r>
      <w:r w:rsidR="00650D08" w:rsidRPr="00DC23CE">
        <w:rPr>
          <w:rFonts w:cs="Arial"/>
          <w:color w:val="auto"/>
          <w:szCs w:val="24"/>
          <w:lang w:val="en-US"/>
        </w:rPr>
        <w:t>(Reuters, 2025</w:t>
      </w:r>
      <w:r w:rsidR="00A1634A" w:rsidRPr="00DC23CE">
        <w:rPr>
          <w:rFonts w:cs="Arial"/>
          <w:color w:val="auto"/>
          <w:szCs w:val="24"/>
          <w:lang w:val="en-US"/>
        </w:rPr>
        <w:t>d</w:t>
      </w:r>
      <w:r w:rsidR="00650D08" w:rsidRPr="00DC23CE">
        <w:rPr>
          <w:rFonts w:cs="Arial"/>
          <w:color w:val="auto"/>
          <w:szCs w:val="24"/>
          <w:lang w:val="en-US"/>
        </w:rPr>
        <w:t>)</w:t>
      </w:r>
    </w:p>
    <w:p w14:paraId="1EC4E8B3" w14:textId="01D485D1" w:rsidR="00CD5EE9" w:rsidRPr="00DC23CE" w:rsidRDefault="00C648FB" w:rsidP="000022C5">
      <w:pPr>
        <w:spacing w:line="360" w:lineRule="auto"/>
        <w:jc w:val="both"/>
        <w:rPr>
          <w:rFonts w:cs="Arial"/>
          <w:color w:val="auto"/>
          <w:szCs w:val="24"/>
          <w:lang w:val="en-US"/>
        </w:rPr>
      </w:pPr>
      <w:r w:rsidRPr="00DC23CE">
        <w:rPr>
          <w:rFonts w:cs="Arial"/>
          <w:color w:val="auto"/>
          <w:szCs w:val="24"/>
        </w:rPr>
        <w:lastRenderedPageBreak/>
        <w:t>More importantly, regulation puts pressure and provides an opportunity to BHP to transition to lower-carbon products. The expense of compliance, the carbon-credit risk, the delay in permitting and increased disclosure can highlight poor delivery or over-stated statements of the future-facing or responsible minerals. This is important since copper, potash and lower emission iron-related products of BHP only have a chance to be marketed as credible by regulators, customers and investors. Competitive differentiation can also be facilitated by regulation, however. Clear reporting, plausible compliance and less emitting operations can enhance trust among those stakeholders who want materials to decarbonise. According to Reuters, BHP did not consider the Australian green iron to be commercially viable at the moment and there was such an ambition of the policy, which did not necessarily result in a commercial viability (Burton and Zhang, 2025). Thus, regulation is a driver of change, yet it challenges market credibility.</w:t>
      </w:r>
      <w:r w:rsidR="00CD5EE9" w:rsidRPr="00DC23CE">
        <w:rPr>
          <w:rFonts w:cs="Arial"/>
          <w:b/>
          <w:bCs/>
          <w:color w:val="auto"/>
          <w:szCs w:val="24"/>
        </w:rPr>
        <w:br w:type="page"/>
      </w:r>
    </w:p>
    <w:p w14:paraId="551D55A9" w14:textId="020B9D87" w:rsidR="00942F67" w:rsidRPr="00DC23CE" w:rsidRDefault="00942F67" w:rsidP="00000F38">
      <w:pPr>
        <w:pStyle w:val="Heading1"/>
        <w:rPr>
          <w:color w:val="auto"/>
        </w:rPr>
      </w:pPr>
      <w:bookmarkStart w:id="5" w:name="_Toc234110876"/>
      <w:r w:rsidRPr="00DC23CE">
        <w:rPr>
          <w:color w:val="auto"/>
        </w:rPr>
        <w:lastRenderedPageBreak/>
        <w:t>2.</w:t>
      </w:r>
      <w:r w:rsidR="0093730D" w:rsidRPr="00DC23CE">
        <w:rPr>
          <w:color w:val="auto"/>
        </w:rPr>
        <w:t>0</w:t>
      </w:r>
      <w:r w:rsidRPr="00DC23CE">
        <w:rPr>
          <w:color w:val="auto"/>
        </w:rPr>
        <w:t xml:space="preserve"> Task 2: Strategic Growth and Competitive Positioning</w:t>
      </w:r>
      <w:bookmarkEnd w:id="5"/>
    </w:p>
    <w:p w14:paraId="248DCA40" w14:textId="0BEE32B8" w:rsidR="005A5405" w:rsidRPr="00DC23CE" w:rsidRDefault="001F2D76" w:rsidP="00000F38">
      <w:pPr>
        <w:pStyle w:val="Heading2"/>
        <w:rPr>
          <w:color w:val="auto"/>
          <w:lang w:val="en-US"/>
        </w:rPr>
      </w:pPr>
      <w:bookmarkStart w:id="6" w:name="_Toc234110877"/>
      <w:r w:rsidRPr="00DC23CE">
        <w:rPr>
          <w:color w:val="auto"/>
          <w:lang w:val="en-US"/>
        </w:rPr>
        <w:t>2.1 Ansoff Matrix Application to BHP’s Lower-Carbon Transition</w:t>
      </w:r>
      <w:bookmarkEnd w:id="6"/>
    </w:p>
    <w:p w14:paraId="3B7CE483" w14:textId="0F7F5FE0" w:rsidR="005A5405" w:rsidRPr="00DC23CE" w:rsidRDefault="005A5405" w:rsidP="005A5405">
      <w:pPr>
        <w:jc w:val="center"/>
        <w:rPr>
          <w:rFonts w:cs="Arial"/>
          <w:b/>
          <w:bCs/>
          <w:color w:val="auto"/>
          <w:szCs w:val="24"/>
          <w:lang w:val="en-US"/>
        </w:rPr>
      </w:pPr>
      <w:r w:rsidRPr="00DC23CE">
        <w:rPr>
          <w:noProof/>
          <w:color w:val="auto"/>
        </w:rPr>
        <w:drawing>
          <wp:inline distT="0" distB="0" distL="0" distR="0" wp14:anchorId="54C3BEF0" wp14:editId="670A9959">
            <wp:extent cx="3406673" cy="2943446"/>
            <wp:effectExtent l="76200" t="76200" r="137160" b="123825"/>
            <wp:docPr id="61979711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12">
                      <a:extLst>
                        <a:ext uri="{28A0092B-C50C-407E-A947-70E740481C1C}">
                          <a14:useLocalDpi xmlns:a14="http://schemas.microsoft.com/office/drawing/2010/main" val="0"/>
                        </a:ext>
                      </a:extLst>
                    </a:blip>
                    <a:srcRect b="13105"/>
                    <a:stretch>
                      <a:fillRect/>
                    </a:stretch>
                  </pic:blipFill>
                  <pic:spPr bwMode="auto">
                    <a:xfrm>
                      <a:off x="0" y="0"/>
                      <a:ext cx="3418774" cy="295390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3BF1CD22" w14:textId="4B3DB288" w:rsidR="005A5405" w:rsidRPr="00DC23CE" w:rsidRDefault="005A5405" w:rsidP="005A5405">
      <w:pPr>
        <w:jc w:val="center"/>
        <w:rPr>
          <w:rFonts w:cs="Arial"/>
          <w:b/>
          <w:bCs/>
          <w:color w:val="auto"/>
          <w:szCs w:val="24"/>
          <w:lang w:val="en-US"/>
        </w:rPr>
      </w:pPr>
      <w:r w:rsidRPr="00DC23CE">
        <w:rPr>
          <w:rFonts w:cs="Arial"/>
          <w:b/>
          <w:bCs/>
          <w:color w:val="auto"/>
          <w:szCs w:val="24"/>
          <w:lang w:val="en-US"/>
        </w:rPr>
        <w:t>Fig</w:t>
      </w:r>
      <w:r w:rsidR="009968C2" w:rsidRPr="00DC23CE">
        <w:rPr>
          <w:rFonts w:cs="Arial"/>
          <w:b/>
          <w:bCs/>
          <w:color w:val="auto"/>
          <w:szCs w:val="24"/>
          <w:lang w:val="en-US"/>
        </w:rPr>
        <w:t xml:space="preserve"> 04</w:t>
      </w:r>
      <w:r w:rsidRPr="00DC23CE">
        <w:rPr>
          <w:rFonts w:cs="Arial"/>
          <w:b/>
          <w:bCs/>
          <w:color w:val="auto"/>
          <w:szCs w:val="24"/>
          <w:lang w:val="en-US"/>
        </w:rPr>
        <w:t>:</w:t>
      </w:r>
      <w:r w:rsidR="009968C2" w:rsidRPr="00DC23CE">
        <w:rPr>
          <w:rFonts w:cs="Arial"/>
          <w:b/>
          <w:bCs/>
          <w:color w:val="auto"/>
          <w:szCs w:val="24"/>
          <w:lang w:val="en-US"/>
        </w:rPr>
        <w:t xml:space="preserve"> </w:t>
      </w:r>
      <w:r w:rsidR="009968C2" w:rsidRPr="00DC23CE">
        <w:rPr>
          <w:rFonts w:cs="Arial"/>
          <w:color w:val="auto"/>
          <w:szCs w:val="24"/>
          <w:lang w:val="en-US"/>
        </w:rPr>
        <w:t>Ansoff Matrix</w:t>
      </w:r>
      <w:r w:rsidR="009968C2" w:rsidRPr="00DC23CE">
        <w:rPr>
          <w:rFonts w:cs="Arial"/>
          <w:b/>
          <w:bCs/>
          <w:color w:val="auto"/>
          <w:szCs w:val="24"/>
          <w:lang w:val="en-US"/>
        </w:rPr>
        <w:t xml:space="preserve"> </w:t>
      </w:r>
    </w:p>
    <w:p w14:paraId="6F43B2F2" w14:textId="13E07BB6" w:rsidR="005A5405" w:rsidRPr="00DC23CE" w:rsidRDefault="005A5405" w:rsidP="009968C2">
      <w:pPr>
        <w:jc w:val="center"/>
        <w:rPr>
          <w:rFonts w:cs="Arial"/>
          <w:b/>
          <w:bCs/>
          <w:color w:val="auto"/>
          <w:szCs w:val="24"/>
          <w:lang w:val="en-US"/>
        </w:rPr>
      </w:pPr>
      <w:r w:rsidRPr="00DC23CE">
        <w:rPr>
          <w:rFonts w:cs="Arial"/>
          <w:b/>
          <w:bCs/>
          <w:color w:val="auto"/>
          <w:szCs w:val="24"/>
          <w:lang w:val="en-US"/>
        </w:rPr>
        <w:t>Source:</w:t>
      </w:r>
      <w:r w:rsidR="009968C2" w:rsidRPr="00DC23CE">
        <w:rPr>
          <w:rFonts w:cs="Arial"/>
          <w:b/>
          <w:bCs/>
          <w:color w:val="auto"/>
          <w:szCs w:val="24"/>
          <w:lang w:val="en-US"/>
        </w:rPr>
        <w:t xml:space="preserve"> </w:t>
      </w:r>
      <w:r w:rsidR="009968C2" w:rsidRPr="00DC23CE">
        <w:rPr>
          <w:rFonts w:cs="Arial"/>
          <w:color w:val="auto"/>
          <w:szCs w:val="24"/>
          <w:lang w:val="en-US"/>
        </w:rPr>
        <w:t>(Hanlon, 2021)</w:t>
      </w:r>
    </w:p>
    <w:p w14:paraId="7CC8A83B" w14:textId="29A598E5" w:rsidR="00756C54" w:rsidRPr="00DC23CE" w:rsidRDefault="00756C54" w:rsidP="00756C54">
      <w:pPr>
        <w:rPr>
          <w:rFonts w:cs="Arial"/>
          <w:b/>
          <w:bCs/>
          <w:color w:val="auto"/>
          <w:szCs w:val="24"/>
          <w:lang w:val="en-US"/>
        </w:rPr>
      </w:pPr>
      <w:r w:rsidRPr="00DC23CE">
        <w:rPr>
          <w:rFonts w:cs="Arial"/>
          <w:b/>
          <w:bCs/>
          <w:color w:val="auto"/>
          <w:szCs w:val="24"/>
          <w:lang w:val="en-US"/>
        </w:rPr>
        <w:t>Market Penetration</w:t>
      </w:r>
    </w:p>
    <w:p w14:paraId="3EA3D18E" w14:textId="18C6AE2C" w:rsidR="005878FC" w:rsidRPr="00DC23CE" w:rsidRDefault="005878FC" w:rsidP="005878FC">
      <w:pPr>
        <w:spacing w:line="360" w:lineRule="auto"/>
        <w:jc w:val="both"/>
        <w:rPr>
          <w:rFonts w:cs="Arial"/>
          <w:color w:val="auto"/>
          <w:szCs w:val="24"/>
        </w:rPr>
      </w:pPr>
      <w:r w:rsidRPr="00DC23CE">
        <w:rPr>
          <w:rFonts w:cs="Arial"/>
          <w:color w:val="auto"/>
          <w:szCs w:val="24"/>
        </w:rPr>
        <w:t>Market penetration refers to the boosting of the sales of the existing products in the already existing markets (Ansoff, 1957). In the case of BHP, this would involve selling more iron ore, copper and metallurgical coal to its current steel, infrastructure and industrial clients using its size. This alternative is supported. BHP has reported its highest copper production of over 2 Mt in FY2025, a 28% increase over three years and record WAIO iron ore production of 290 Mt (BHP, 2025</w:t>
      </w:r>
      <w:r w:rsidR="00E414CD" w:rsidRPr="00DC23CE">
        <w:rPr>
          <w:rFonts w:cs="Arial"/>
          <w:color w:val="auto"/>
          <w:szCs w:val="24"/>
        </w:rPr>
        <w:t>b</w:t>
      </w:r>
      <w:r w:rsidRPr="00DC23CE">
        <w:rPr>
          <w:rFonts w:cs="Arial"/>
          <w:color w:val="auto"/>
          <w:szCs w:val="24"/>
        </w:rPr>
        <w:t>). Nevertheless, market penetration has a low penetration as a low-carbon growth strategy. An increase in volumes could increase cash flow and customer reliability, however, the increase in the existing commodities being sold does not necessarily lead to a decrease in carbon intensity or the production of lower-carbon commodities. Thus, market penetration can be used to facilitate BHP in terms of money, but it must not be the primary approach.</w:t>
      </w:r>
    </w:p>
    <w:p w14:paraId="23FCF446" w14:textId="50FABFFB" w:rsidR="00756C54" w:rsidRPr="00DC23CE" w:rsidRDefault="00756C54" w:rsidP="00756C54">
      <w:pPr>
        <w:rPr>
          <w:rFonts w:cs="Arial"/>
          <w:b/>
          <w:bCs/>
          <w:color w:val="auto"/>
          <w:szCs w:val="24"/>
          <w:lang w:val="en-US"/>
        </w:rPr>
      </w:pPr>
      <w:r w:rsidRPr="00DC23CE">
        <w:rPr>
          <w:rFonts w:cs="Arial"/>
          <w:b/>
          <w:bCs/>
          <w:color w:val="auto"/>
          <w:szCs w:val="24"/>
          <w:lang w:val="en-US"/>
        </w:rPr>
        <w:t>Market Development</w:t>
      </w:r>
    </w:p>
    <w:p w14:paraId="79A6760C" w14:textId="06F39382" w:rsidR="0093730D" w:rsidRPr="00DC23CE" w:rsidRDefault="00225F72" w:rsidP="00481859">
      <w:pPr>
        <w:spacing w:line="360" w:lineRule="auto"/>
        <w:jc w:val="both"/>
        <w:rPr>
          <w:rFonts w:cs="Arial"/>
          <w:color w:val="auto"/>
          <w:szCs w:val="24"/>
        </w:rPr>
      </w:pPr>
      <w:r w:rsidRPr="00DC23CE">
        <w:rPr>
          <w:rFonts w:cs="Arial"/>
          <w:color w:val="auto"/>
          <w:szCs w:val="24"/>
        </w:rPr>
        <w:t xml:space="preserve">Market development would imply that BHP would sell the existing or enhanced transition minerals into new lower-carbon customer groups and markets. This applies since the need of clean energy is transforming minerals markets. The IEA documents </w:t>
      </w:r>
      <w:r w:rsidRPr="00DC23CE">
        <w:rPr>
          <w:rFonts w:cs="Arial"/>
          <w:color w:val="auto"/>
          <w:szCs w:val="24"/>
        </w:rPr>
        <w:lastRenderedPageBreak/>
        <w:t xml:space="preserve">that increased energy uses like EVs, battery storage, renewables and grid networks contributed to robust growth in energy-critical minerals in 2024, and that copper demand is now more closely associated with grids, EVs and new centres of demand like India (IEA, 2025). Potash markets can also be developed by BHP since the company anticipates that the global potash demand will be at a higher rate of about 70 </w:t>
      </w:r>
      <w:r w:rsidR="00C61F77" w:rsidRPr="00DC23CE">
        <w:rPr>
          <w:rFonts w:cs="Arial"/>
          <w:color w:val="auto"/>
          <w:szCs w:val="24"/>
        </w:rPr>
        <w:t>%</w:t>
      </w:r>
      <w:r w:rsidRPr="00DC23CE">
        <w:rPr>
          <w:rFonts w:cs="Arial"/>
          <w:color w:val="auto"/>
          <w:szCs w:val="24"/>
        </w:rPr>
        <w:t>by 2050 as the world population expands food-production pressures. There is however no risk-free development of the market. Credible sourcing, reliable supply and customer relationships will be needed in new lower-carbon markets, exemplified by BHP near-zero emissions iron deal with POSCO in South Korea (Reuters, 2025c). Thus, the development of the market is appealing yet requires credibility and implementation.</w:t>
      </w:r>
    </w:p>
    <w:p w14:paraId="217C557D" w14:textId="038C279E" w:rsidR="0094634D" w:rsidRPr="00DC23CE" w:rsidRDefault="0094634D" w:rsidP="0094634D">
      <w:pPr>
        <w:spacing w:line="360" w:lineRule="auto"/>
        <w:jc w:val="center"/>
        <w:rPr>
          <w:rFonts w:cs="Arial"/>
          <w:color w:val="auto"/>
          <w:szCs w:val="24"/>
          <w:lang w:val="en-US"/>
        </w:rPr>
      </w:pPr>
      <w:r w:rsidRPr="00DC23CE">
        <w:rPr>
          <w:rFonts w:cs="Arial"/>
          <w:noProof/>
          <w:color w:val="auto"/>
          <w:szCs w:val="24"/>
          <w:lang w:val="en-US"/>
        </w:rPr>
        <w:drawing>
          <wp:inline distT="0" distB="0" distL="0" distR="0" wp14:anchorId="32D88DD3" wp14:editId="6DE2CFCB">
            <wp:extent cx="3808423" cy="3244809"/>
            <wp:effectExtent l="0" t="0" r="1905" b="0"/>
            <wp:docPr id="17007745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0774583" name=""/>
                    <pic:cNvPicPr/>
                  </pic:nvPicPr>
                  <pic:blipFill>
                    <a:blip r:embed="rId13"/>
                    <a:stretch>
                      <a:fillRect/>
                    </a:stretch>
                  </pic:blipFill>
                  <pic:spPr>
                    <a:xfrm>
                      <a:off x="0" y="0"/>
                      <a:ext cx="3810864" cy="3246888"/>
                    </a:xfrm>
                    <a:prstGeom prst="rect">
                      <a:avLst/>
                    </a:prstGeom>
                  </pic:spPr>
                </pic:pic>
              </a:graphicData>
            </a:graphic>
          </wp:inline>
        </w:drawing>
      </w:r>
    </w:p>
    <w:p w14:paraId="144DFE38" w14:textId="552F77C1" w:rsidR="0094634D" w:rsidRPr="00DC23CE" w:rsidRDefault="0094634D" w:rsidP="0094634D">
      <w:pPr>
        <w:spacing w:line="360" w:lineRule="auto"/>
        <w:jc w:val="center"/>
        <w:rPr>
          <w:rFonts w:cs="Arial"/>
          <w:b/>
          <w:bCs/>
          <w:color w:val="auto"/>
          <w:szCs w:val="24"/>
          <w:lang w:val="en-US"/>
        </w:rPr>
      </w:pPr>
      <w:r w:rsidRPr="00DC23CE">
        <w:rPr>
          <w:rFonts w:cs="Arial"/>
          <w:b/>
          <w:bCs/>
          <w:color w:val="auto"/>
          <w:szCs w:val="24"/>
          <w:lang w:val="en-US"/>
        </w:rPr>
        <w:t>Fig</w:t>
      </w:r>
      <w:r w:rsidR="004C090B" w:rsidRPr="00DC23CE">
        <w:rPr>
          <w:rFonts w:cs="Arial"/>
          <w:b/>
          <w:bCs/>
          <w:color w:val="auto"/>
          <w:szCs w:val="24"/>
          <w:lang w:val="en-US"/>
        </w:rPr>
        <w:t xml:space="preserve"> 0</w:t>
      </w:r>
      <w:r w:rsidR="009968C2" w:rsidRPr="00DC23CE">
        <w:rPr>
          <w:rFonts w:cs="Arial"/>
          <w:b/>
          <w:bCs/>
          <w:color w:val="auto"/>
          <w:szCs w:val="24"/>
          <w:lang w:val="en-US"/>
        </w:rPr>
        <w:t>5</w:t>
      </w:r>
      <w:r w:rsidRPr="00DC23CE">
        <w:rPr>
          <w:rFonts w:cs="Arial"/>
          <w:b/>
          <w:bCs/>
          <w:color w:val="auto"/>
          <w:szCs w:val="24"/>
          <w:lang w:val="en-US"/>
        </w:rPr>
        <w:t>:</w:t>
      </w:r>
      <w:r w:rsidR="00D779CE" w:rsidRPr="00DC23CE">
        <w:rPr>
          <w:rFonts w:cs="Arial"/>
          <w:b/>
          <w:bCs/>
          <w:color w:val="auto"/>
          <w:szCs w:val="24"/>
          <w:lang w:val="en-US"/>
        </w:rPr>
        <w:t xml:space="preserve"> </w:t>
      </w:r>
      <w:r w:rsidR="00D779CE" w:rsidRPr="00DC23CE">
        <w:rPr>
          <w:rFonts w:cs="Arial"/>
          <w:color w:val="auto"/>
          <w:szCs w:val="24"/>
        </w:rPr>
        <w:t>Reuters report on BHP and POSCO’s hydrogen-based low-emissions iron agreement</w:t>
      </w:r>
      <w:r w:rsidRPr="00DC23CE">
        <w:rPr>
          <w:rFonts w:cs="Arial"/>
          <w:b/>
          <w:bCs/>
          <w:color w:val="auto"/>
          <w:szCs w:val="24"/>
          <w:lang w:val="en-US"/>
        </w:rPr>
        <w:t xml:space="preserve"> </w:t>
      </w:r>
      <w:r w:rsidR="00D779CE" w:rsidRPr="00DC23CE">
        <w:rPr>
          <w:rFonts w:cs="Arial"/>
          <w:b/>
          <w:bCs/>
          <w:color w:val="auto"/>
          <w:szCs w:val="24"/>
          <w:lang w:val="en-US"/>
        </w:rPr>
        <w:t xml:space="preserve"> </w:t>
      </w:r>
    </w:p>
    <w:p w14:paraId="6057B341" w14:textId="1011546C" w:rsidR="0094634D" w:rsidRPr="00DC23CE" w:rsidRDefault="0094634D" w:rsidP="00284108">
      <w:pPr>
        <w:spacing w:line="360" w:lineRule="auto"/>
        <w:jc w:val="center"/>
        <w:rPr>
          <w:rFonts w:cs="Arial"/>
          <w:b/>
          <w:bCs/>
          <w:color w:val="auto"/>
          <w:szCs w:val="24"/>
          <w:lang w:val="en-US"/>
        </w:rPr>
      </w:pPr>
      <w:r w:rsidRPr="00DC23CE">
        <w:rPr>
          <w:rFonts w:cs="Arial"/>
          <w:b/>
          <w:bCs/>
          <w:color w:val="auto"/>
          <w:szCs w:val="24"/>
          <w:lang w:val="en-US"/>
        </w:rPr>
        <w:t>Source:</w:t>
      </w:r>
      <w:r w:rsidR="00284108" w:rsidRPr="00DC23CE">
        <w:rPr>
          <w:rFonts w:cs="Arial"/>
          <w:b/>
          <w:bCs/>
          <w:color w:val="auto"/>
          <w:szCs w:val="24"/>
          <w:lang w:val="en-US"/>
        </w:rPr>
        <w:t xml:space="preserve"> </w:t>
      </w:r>
      <w:r w:rsidR="00284108" w:rsidRPr="00DC23CE">
        <w:rPr>
          <w:rFonts w:cs="Arial"/>
          <w:color w:val="auto"/>
          <w:szCs w:val="24"/>
          <w:lang w:val="en-US"/>
        </w:rPr>
        <w:t>(Reuters, 2025</w:t>
      </w:r>
      <w:r w:rsidR="00A1634A" w:rsidRPr="00DC23CE">
        <w:rPr>
          <w:rFonts w:cs="Arial"/>
          <w:color w:val="auto"/>
          <w:szCs w:val="24"/>
          <w:lang w:val="en-US"/>
        </w:rPr>
        <w:t>c</w:t>
      </w:r>
      <w:r w:rsidR="00284108" w:rsidRPr="00DC23CE">
        <w:rPr>
          <w:rFonts w:cs="Arial"/>
          <w:color w:val="auto"/>
          <w:szCs w:val="24"/>
          <w:lang w:val="en-US"/>
        </w:rPr>
        <w:t>)</w:t>
      </w:r>
    </w:p>
    <w:p w14:paraId="745898F9" w14:textId="0F73F9D6" w:rsidR="00756C54" w:rsidRPr="00DC23CE" w:rsidRDefault="00756C54" w:rsidP="00756C54">
      <w:pPr>
        <w:rPr>
          <w:rFonts w:cs="Arial"/>
          <w:b/>
          <w:bCs/>
          <w:color w:val="auto"/>
          <w:szCs w:val="24"/>
          <w:lang w:val="en-US"/>
        </w:rPr>
      </w:pPr>
      <w:r w:rsidRPr="00DC23CE">
        <w:rPr>
          <w:rFonts w:cs="Arial"/>
          <w:b/>
          <w:bCs/>
          <w:color w:val="auto"/>
          <w:szCs w:val="24"/>
          <w:lang w:val="en-US"/>
        </w:rPr>
        <w:t>Product Development</w:t>
      </w:r>
    </w:p>
    <w:p w14:paraId="265011A1" w14:textId="574AD29F" w:rsidR="00E44274" w:rsidRPr="00DC23CE" w:rsidRDefault="003A08DC" w:rsidP="00E44274">
      <w:pPr>
        <w:spacing w:line="360" w:lineRule="auto"/>
        <w:jc w:val="both"/>
        <w:rPr>
          <w:rFonts w:cs="Arial"/>
          <w:color w:val="auto"/>
          <w:szCs w:val="24"/>
          <w:lang w:val="en-US"/>
        </w:rPr>
      </w:pPr>
      <w:r w:rsidRPr="00DC23CE">
        <w:rPr>
          <w:rFonts w:cs="Arial"/>
          <w:color w:val="auto"/>
          <w:szCs w:val="24"/>
        </w:rPr>
        <w:t xml:space="preserve">The best Ansoff activity that would be suitable to BHP is product development since it aims at enhancing the lower-carbon products and process solutions to the already existing customers, and not merely boosting commodity volumes. In the case of BHP, it entails shifting away the traditional iron ore sales by coming up with less-emitting </w:t>
      </w:r>
      <w:r w:rsidRPr="00DC23CE">
        <w:rPr>
          <w:rFonts w:cs="Arial"/>
          <w:color w:val="auto"/>
          <w:szCs w:val="24"/>
        </w:rPr>
        <w:lastRenderedPageBreak/>
        <w:t>iron-related solutions to the steelmakers that already use Pilbara iron ore. The NeoSmelt project involving BlueScope and Rio Tinto is pertinent as it is an experiment of electric smelting furnace technology, using Pilbara ore, with Reuters reporting an annual planned 30,00040,000 tonnes of molten iron, and could potentially start operating in 2028 (BHP, 2024b; Reuters, 2024). More importantly, this helps BHP move towards a lower-carbon future with a better product credibility among the steel customers, although it is still on a pilot-scale (Rumsa et al., 2025). Thus, product development is appealing, but implementation-risky.</w:t>
      </w:r>
    </w:p>
    <w:p w14:paraId="1BC187D7" w14:textId="298D21A2" w:rsidR="00756C54" w:rsidRPr="00DC23CE" w:rsidRDefault="00756C54" w:rsidP="00756C54">
      <w:pPr>
        <w:rPr>
          <w:rFonts w:cs="Arial"/>
          <w:b/>
          <w:bCs/>
          <w:color w:val="auto"/>
          <w:szCs w:val="24"/>
          <w:lang w:val="en-US"/>
        </w:rPr>
      </w:pPr>
      <w:r w:rsidRPr="00DC23CE">
        <w:rPr>
          <w:rFonts w:cs="Arial"/>
          <w:b/>
          <w:bCs/>
          <w:color w:val="auto"/>
          <w:szCs w:val="24"/>
          <w:lang w:val="en-US"/>
        </w:rPr>
        <w:t>Diversification</w:t>
      </w:r>
    </w:p>
    <w:p w14:paraId="776451F0" w14:textId="0800B7F9" w:rsidR="003A08DC" w:rsidRPr="00DC23CE" w:rsidRDefault="003A08DC" w:rsidP="003A08DC">
      <w:pPr>
        <w:spacing w:line="360" w:lineRule="auto"/>
        <w:jc w:val="both"/>
        <w:rPr>
          <w:rFonts w:cs="Arial"/>
          <w:color w:val="auto"/>
          <w:szCs w:val="24"/>
          <w:lang w:val="en-US"/>
        </w:rPr>
      </w:pPr>
      <w:r w:rsidRPr="00DC23CE">
        <w:rPr>
          <w:rFonts w:cs="Arial"/>
          <w:color w:val="auto"/>
          <w:szCs w:val="24"/>
        </w:rPr>
        <w:t xml:space="preserve">Diversification would include BHP shifting to newer lower-carbon areas of development besides its reliance on iron ore and coal. The most obvious one is potash. BHP estimates that Jansen would yield approximately 8.5 Mtpa at full capacity and could provide the world market with in the region of 10 </w:t>
      </w:r>
      <w:r w:rsidR="00C61F77" w:rsidRPr="00DC23CE">
        <w:rPr>
          <w:rFonts w:cs="Arial"/>
          <w:color w:val="auto"/>
          <w:szCs w:val="24"/>
        </w:rPr>
        <w:t>%</w:t>
      </w:r>
      <w:r w:rsidRPr="00DC23CE">
        <w:rPr>
          <w:rFonts w:cs="Arial"/>
          <w:color w:val="auto"/>
          <w:szCs w:val="24"/>
        </w:rPr>
        <w:t>of all potash, providing BHP with a target market to sustainable farming and food-security markets (BHP, 2025</w:t>
      </w:r>
      <w:r w:rsidR="00E414CD" w:rsidRPr="00DC23CE">
        <w:rPr>
          <w:rFonts w:cs="Arial"/>
          <w:color w:val="auto"/>
          <w:szCs w:val="24"/>
        </w:rPr>
        <w:t>c</w:t>
      </w:r>
      <w:r w:rsidRPr="00DC23CE">
        <w:rPr>
          <w:rFonts w:cs="Arial"/>
          <w:color w:val="auto"/>
          <w:szCs w:val="24"/>
        </w:rPr>
        <w:t xml:space="preserve">). It is also anticipated that the potash market in the world would reach USD 66.11 billion in the year 2025 and USD 106.09 billion in the year 2035 with a CAGR of 5.33, which justifies BHP to diversify its products into potash (Precedence Research, 2025). Another diversification explored by BHP is battery-related where it has entered into agreements with CATL and BYD regarding battery technology, mine vehicles, locomotives, fast-charging infrastructure and battery recycling (Reuters, 2025b). More importantly, diversification helps to support a lower-carbon business model, however, it is risky since Reuters reported iron ore is still approximately 60 </w:t>
      </w:r>
      <w:r w:rsidR="00C61F77" w:rsidRPr="00DC23CE">
        <w:rPr>
          <w:rFonts w:cs="Arial"/>
          <w:color w:val="auto"/>
          <w:szCs w:val="24"/>
        </w:rPr>
        <w:t>%</w:t>
      </w:r>
      <w:r w:rsidRPr="00DC23CE">
        <w:rPr>
          <w:rFonts w:cs="Arial"/>
          <w:color w:val="auto"/>
          <w:szCs w:val="24"/>
        </w:rPr>
        <w:t>of BHP profits, which means that BHP will not be able to quickly abandon legacy cash flows (Burton, 2025).</w:t>
      </w:r>
    </w:p>
    <w:p w14:paraId="5196193F" w14:textId="79E0D026" w:rsidR="00F14584" w:rsidRPr="00DC23CE" w:rsidRDefault="006C2419" w:rsidP="00F14584">
      <w:pPr>
        <w:spacing w:line="360" w:lineRule="auto"/>
        <w:jc w:val="center"/>
        <w:rPr>
          <w:rFonts w:cs="Arial"/>
          <w:color w:val="auto"/>
          <w:szCs w:val="24"/>
          <w:lang w:val="en-US"/>
        </w:rPr>
      </w:pPr>
      <w:r w:rsidRPr="00DC23CE">
        <w:rPr>
          <w:rFonts w:cs="Arial"/>
          <w:noProof/>
          <w:color w:val="auto"/>
          <w:szCs w:val="24"/>
          <w:lang w:val="en-US"/>
        </w:rPr>
        <w:lastRenderedPageBreak/>
        <w:drawing>
          <wp:inline distT="0" distB="0" distL="0" distR="0" wp14:anchorId="6356B798" wp14:editId="1C1F29AE">
            <wp:extent cx="5104263" cy="2871149"/>
            <wp:effectExtent l="0" t="0" r="1270" b="5715"/>
            <wp:docPr id="184633424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116232" cy="2877882"/>
                    </a:xfrm>
                    <a:prstGeom prst="rect">
                      <a:avLst/>
                    </a:prstGeom>
                    <a:noFill/>
                  </pic:spPr>
                </pic:pic>
              </a:graphicData>
            </a:graphic>
          </wp:inline>
        </w:drawing>
      </w:r>
    </w:p>
    <w:p w14:paraId="04518083" w14:textId="621D496C" w:rsidR="008D699B" w:rsidRPr="00DC23CE" w:rsidRDefault="008D699B" w:rsidP="00F14584">
      <w:pPr>
        <w:spacing w:line="360" w:lineRule="auto"/>
        <w:jc w:val="center"/>
        <w:rPr>
          <w:rFonts w:cs="Arial"/>
          <w:b/>
          <w:bCs/>
          <w:color w:val="auto"/>
          <w:szCs w:val="24"/>
          <w:lang w:val="en-US"/>
        </w:rPr>
      </w:pPr>
      <w:r w:rsidRPr="00DC23CE">
        <w:rPr>
          <w:rFonts w:cs="Arial"/>
          <w:b/>
          <w:bCs/>
          <w:color w:val="auto"/>
          <w:szCs w:val="24"/>
          <w:lang w:val="en-US"/>
        </w:rPr>
        <w:t>Fig</w:t>
      </w:r>
      <w:r w:rsidR="004C090B" w:rsidRPr="00DC23CE">
        <w:rPr>
          <w:rFonts w:cs="Arial"/>
          <w:b/>
          <w:bCs/>
          <w:color w:val="auto"/>
          <w:szCs w:val="24"/>
          <w:lang w:val="en-US"/>
        </w:rPr>
        <w:t xml:space="preserve"> 0</w:t>
      </w:r>
      <w:r w:rsidR="009968C2" w:rsidRPr="00DC23CE">
        <w:rPr>
          <w:rFonts w:cs="Arial"/>
          <w:b/>
          <w:bCs/>
          <w:color w:val="auto"/>
          <w:szCs w:val="24"/>
          <w:lang w:val="en-US"/>
        </w:rPr>
        <w:t>6</w:t>
      </w:r>
      <w:r w:rsidRPr="00DC23CE">
        <w:rPr>
          <w:rFonts w:cs="Arial"/>
          <w:b/>
          <w:bCs/>
          <w:color w:val="auto"/>
          <w:szCs w:val="24"/>
          <w:lang w:val="en-US"/>
        </w:rPr>
        <w:t>:</w:t>
      </w:r>
      <w:r w:rsidR="005E41CD" w:rsidRPr="00DC23CE">
        <w:rPr>
          <w:rFonts w:cs="Arial"/>
          <w:b/>
          <w:bCs/>
          <w:color w:val="auto"/>
          <w:szCs w:val="24"/>
          <w:lang w:val="en-US"/>
        </w:rPr>
        <w:t xml:space="preserve"> </w:t>
      </w:r>
      <w:r w:rsidR="005E41CD" w:rsidRPr="00DC23CE">
        <w:rPr>
          <w:rFonts w:cs="Arial"/>
          <w:color w:val="auto"/>
          <w:szCs w:val="24"/>
          <w:lang w:val="en-US"/>
        </w:rPr>
        <w:t>Potash Market Size 2025-35</w:t>
      </w:r>
    </w:p>
    <w:p w14:paraId="7FD7868A" w14:textId="159FCF41" w:rsidR="008D699B" w:rsidRPr="00DC23CE" w:rsidRDefault="008D699B" w:rsidP="00482885">
      <w:pPr>
        <w:spacing w:line="360" w:lineRule="auto"/>
        <w:jc w:val="center"/>
        <w:rPr>
          <w:rFonts w:cs="Arial"/>
          <w:b/>
          <w:bCs/>
          <w:color w:val="auto"/>
          <w:szCs w:val="24"/>
          <w:lang w:val="en-US"/>
        </w:rPr>
      </w:pPr>
      <w:r w:rsidRPr="00DC23CE">
        <w:rPr>
          <w:rFonts w:cs="Arial"/>
          <w:b/>
          <w:bCs/>
          <w:color w:val="auto"/>
          <w:szCs w:val="24"/>
          <w:lang w:val="en-US"/>
        </w:rPr>
        <w:t>Source:</w:t>
      </w:r>
      <w:r w:rsidR="00482885" w:rsidRPr="00DC23CE">
        <w:rPr>
          <w:rFonts w:cs="Arial"/>
          <w:b/>
          <w:bCs/>
          <w:color w:val="auto"/>
          <w:szCs w:val="24"/>
          <w:lang w:val="en-US"/>
        </w:rPr>
        <w:t xml:space="preserve"> </w:t>
      </w:r>
      <w:r w:rsidR="00482885" w:rsidRPr="00DC23CE">
        <w:rPr>
          <w:rFonts w:cs="Arial"/>
          <w:color w:val="auto"/>
          <w:szCs w:val="24"/>
          <w:lang w:val="en-US"/>
        </w:rPr>
        <w:t>(Precedence Research, 2025)</w:t>
      </w:r>
    </w:p>
    <w:p w14:paraId="1631AF75" w14:textId="27A83A66" w:rsidR="00F50097" w:rsidRPr="00DC23CE" w:rsidRDefault="001F2D76" w:rsidP="00000F38">
      <w:pPr>
        <w:pStyle w:val="Heading2"/>
        <w:rPr>
          <w:color w:val="auto"/>
          <w:lang w:val="en-US"/>
        </w:rPr>
      </w:pPr>
      <w:bookmarkStart w:id="7" w:name="_Toc234110878"/>
      <w:r w:rsidRPr="00DC23CE">
        <w:rPr>
          <w:color w:val="auto"/>
          <w:lang w:val="en-US"/>
        </w:rPr>
        <w:t>2.2 Recommended Strategic Growth Approach</w:t>
      </w:r>
      <w:bookmarkEnd w:id="7"/>
    </w:p>
    <w:p w14:paraId="1F5BB6E4" w14:textId="77777777" w:rsidR="00F50097" w:rsidRPr="00DC23CE" w:rsidRDefault="00F50097" w:rsidP="00390B0C">
      <w:pPr>
        <w:spacing w:line="360" w:lineRule="auto"/>
        <w:jc w:val="both"/>
        <w:rPr>
          <w:rFonts w:cs="Arial"/>
          <w:color w:val="auto"/>
          <w:szCs w:val="24"/>
        </w:rPr>
      </w:pPr>
      <w:r w:rsidRPr="00DC23CE">
        <w:rPr>
          <w:rFonts w:cs="Arial"/>
          <w:color w:val="auto"/>
          <w:szCs w:val="24"/>
        </w:rPr>
        <w:t xml:space="preserve">The best alternative is product development since it connects the growth to the credibility of lower-carbon products among the existing steel and industrial consumers, and not solely on the increased volumes of commodities. This is the case with Shamsuzzoha et al. (2023), who suggest that green value propositions need to be supported by value-creation activities, not broad sustainability propositions. In the case of BHP, it will entail lower-emission iron-related solutions, responsible copper and potash, and transparent product-level emissions data. This should be followed by selective market development of customers in renewable energy, EVs, grids and low-carbon steel. </w:t>
      </w:r>
      <w:proofErr w:type="spellStart"/>
      <w:r w:rsidRPr="00DC23CE">
        <w:rPr>
          <w:rFonts w:cs="Arial"/>
          <w:color w:val="auto"/>
          <w:szCs w:val="24"/>
        </w:rPr>
        <w:t>Novitasari</w:t>
      </w:r>
      <w:proofErr w:type="spellEnd"/>
      <w:r w:rsidRPr="00DC23CE">
        <w:rPr>
          <w:rFonts w:cs="Arial"/>
          <w:color w:val="auto"/>
          <w:szCs w:val="24"/>
        </w:rPr>
        <w:t xml:space="preserve"> and Agustia (2023) demonstrate that green innovation has the potential to reinforce the competitive advantage and firm performance. Thus, this is a more powerful strategy than market penetration or broad diversification.</w:t>
      </w:r>
    </w:p>
    <w:p w14:paraId="250A5BF2" w14:textId="0B24D713" w:rsidR="001F2D76" w:rsidRPr="00DC23CE" w:rsidRDefault="001F2D76" w:rsidP="00000F38">
      <w:pPr>
        <w:pStyle w:val="Heading2"/>
        <w:jc w:val="both"/>
        <w:rPr>
          <w:color w:val="auto"/>
          <w:lang w:val="en-US"/>
        </w:rPr>
      </w:pPr>
      <w:bookmarkStart w:id="8" w:name="_Toc234110879"/>
      <w:r w:rsidRPr="00DC23CE">
        <w:rPr>
          <w:color w:val="auto"/>
          <w:lang w:val="en-US"/>
        </w:rPr>
        <w:t>2.3 Achieving Competitive Advantage Through a Lower-Carbon Business Model</w:t>
      </w:r>
      <w:bookmarkEnd w:id="8"/>
    </w:p>
    <w:p w14:paraId="48E09F53" w14:textId="7BBACC1B" w:rsidR="00390B0C" w:rsidRPr="00DC23CE" w:rsidRDefault="008A0449" w:rsidP="00390B0C">
      <w:pPr>
        <w:spacing w:line="360" w:lineRule="auto"/>
        <w:jc w:val="both"/>
        <w:rPr>
          <w:rFonts w:cs="Arial"/>
          <w:b/>
          <w:bCs/>
          <w:color w:val="auto"/>
          <w:szCs w:val="24"/>
          <w:lang w:val="en-US"/>
        </w:rPr>
      </w:pPr>
      <w:r w:rsidRPr="00DC23CE">
        <w:rPr>
          <w:rFonts w:cs="Arial"/>
          <w:color w:val="auto"/>
          <w:szCs w:val="24"/>
        </w:rPr>
        <w:t>The differentiation of the lower-carbon products by the BHP company can be attained using customer collaboration, green process innovation and transparent data on product-level emissions</w:t>
      </w:r>
      <w:r w:rsidR="001777B1" w:rsidRPr="00DC23CE">
        <w:rPr>
          <w:rFonts w:cs="Arial"/>
          <w:color w:val="auto"/>
          <w:szCs w:val="24"/>
        </w:rPr>
        <w:t>. This aligns with Kotler et al. (2024), who argue that competitive advantage is achieved by delivering superior customer value compared with competitors.</w:t>
      </w:r>
      <w:r w:rsidRPr="00DC23CE">
        <w:rPr>
          <w:rFonts w:cs="Arial"/>
          <w:color w:val="auto"/>
          <w:szCs w:val="24"/>
        </w:rPr>
        <w:t xml:space="preserve"> In the case of BHP, it involves the co-design of less-emitting iron solutions with steelmakers, demonstrate responsible copper and potash credentials, </w:t>
      </w:r>
      <w:r w:rsidRPr="00DC23CE">
        <w:rPr>
          <w:rFonts w:cs="Arial"/>
          <w:color w:val="auto"/>
          <w:szCs w:val="24"/>
        </w:rPr>
        <w:lastRenderedPageBreak/>
        <w:t>and assist customers to deal with their own climate and Scope 3 pressures. Awwad et al. (2022) demonstrate that the green customer and supplier integration enhances sustainable product innovation and competitive advantage. Rehman et al. (2024) also attribute green process innovation to knowledge management and green product competitive advantage. Thus, the scale of mining should not be the only benefit of BHP but rather its plausible solutions of lower carbon, the trust of its regulators, and the long-term relationships with its customers.</w:t>
      </w:r>
    </w:p>
    <w:p w14:paraId="24DEC7C0" w14:textId="77777777" w:rsidR="002954D2" w:rsidRPr="00DC23CE" w:rsidRDefault="002954D2">
      <w:pPr>
        <w:rPr>
          <w:rFonts w:cs="Arial"/>
          <w:b/>
          <w:bCs/>
          <w:color w:val="auto"/>
          <w:szCs w:val="24"/>
        </w:rPr>
      </w:pPr>
      <w:r w:rsidRPr="00DC23CE">
        <w:rPr>
          <w:rFonts w:cs="Arial"/>
          <w:b/>
          <w:bCs/>
          <w:color w:val="auto"/>
          <w:szCs w:val="24"/>
        </w:rPr>
        <w:br w:type="page"/>
      </w:r>
    </w:p>
    <w:p w14:paraId="3D211B79" w14:textId="16A79778" w:rsidR="00942F67" w:rsidRPr="00DC23CE" w:rsidRDefault="00942F67" w:rsidP="00000F38">
      <w:pPr>
        <w:pStyle w:val="Heading1"/>
        <w:rPr>
          <w:color w:val="auto"/>
        </w:rPr>
      </w:pPr>
      <w:bookmarkStart w:id="9" w:name="_Toc234110880"/>
      <w:r w:rsidRPr="00DC23CE">
        <w:rPr>
          <w:color w:val="auto"/>
        </w:rPr>
        <w:lastRenderedPageBreak/>
        <w:t>3.</w:t>
      </w:r>
      <w:r w:rsidR="00470289" w:rsidRPr="00DC23CE">
        <w:rPr>
          <w:color w:val="auto"/>
        </w:rPr>
        <w:t xml:space="preserve">0 </w:t>
      </w:r>
      <w:r w:rsidRPr="00DC23CE">
        <w:rPr>
          <w:color w:val="auto"/>
        </w:rPr>
        <w:t>Task 3: Critical Reflection on AI Usage</w:t>
      </w:r>
      <w:bookmarkEnd w:id="9"/>
    </w:p>
    <w:p w14:paraId="3A27C866" w14:textId="77777777" w:rsidR="00942F67" w:rsidRPr="00DC23CE" w:rsidRDefault="00942F67" w:rsidP="00000F38">
      <w:pPr>
        <w:pStyle w:val="Heading2"/>
        <w:rPr>
          <w:color w:val="auto"/>
        </w:rPr>
      </w:pPr>
      <w:bookmarkStart w:id="10" w:name="_Toc234110881"/>
      <w:r w:rsidRPr="00DC23CE">
        <w:rPr>
          <w:color w:val="auto"/>
        </w:rPr>
        <w:t>3.1 Tool Disclosure</w:t>
      </w:r>
      <w:bookmarkEnd w:id="10"/>
    </w:p>
    <w:p w14:paraId="44EE6930" w14:textId="77777777" w:rsidR="00F4741D" w:rsidRPr="00DC23CE" w:rsidRDefault="00F4741D" w:rsidP="00C13C53">
      <w:pPr>
        <w:spacing w:line="360" w:lineRule="auto"/>
        <w:jc w:val="both"/>
        <w:rPr>
          <w:rFonts w:cs="Arial"/>
          <w:color w:val="auto"/>
          <w:szCs w:val="24"/>
        </w:rPr>
      </w:pPr>
      <w:r w:rsidRPr="00DC23CE">
        <w:rPr>
          <w:rFonts w:cs="Arial"/>
          <w:color w:val="auto"/>
          <w:szCs w:val="24"/>
        </w:rPr>
        <w:t>I have utilized ChatGPT as a research assistant, primarily to assist with the search of information and finding potential sources on BHP, lower-carbon transition, environmental pressures and regulation. This was a good thing as it allowed me to find where to research quicker, yet it also made me wonder why my judgment that AI output is always reliable is true. Chan and Hu (2023) demonstrate that students appreciate the use of generative AI in learning assistance whilst being aware of threats on accuracy and ethics. I thus used ChatGPT as a point of departure and not as a piece of evidence. Next time, I will make a clear record of the use of AI, I will verify all sources alone and use my own sense before inserting them into a scholarly text.</w:t>
      </w:r>
    </w:p>
    <w:p w14:paraId="233FC9EC" w14:textId="527DF35F" w:rsidR="00942F67" w:rsidRPr="00DC23CE" w:rsidRDefault="00942F67" w:rsidP="00000F38">
      <w:pPr>
        <w:pStyle w:val="Heading2"/>
        <w:rPr>
          <w:color w:val="auto"/>
        </w:rPr>
      </w:pPr>
      <w:bookmarkStart w:id="11" w:name="_Toc234110882"/>
      <w:r w:rsidRPr="00DC23CE">
        <w:rPr>
          <w:color w:val="auto"/>
        </w:rPr>
        <w:t>3.2 Critical Evaluation of AI Output</w:t>
      </w:r>
      <w:bookmarkEnd w:id="11"/>
    </w:p>
    <w:p w14:paraId="64D77C2B" w14:textId="77777777" w:rsidR="00F4741D" w:rsidRPr="00DC23CE" w:rsidRDefault="00F4741D" w:rsidP="00C13C53">
      <w:pPr>
        <w:spacing w:line="360" w:lineRule="auto"/>
        <w:jc w:val="both"/>
        <w:rPr>
          <w:rFonts w:cs="Arial"/>
          <w:color w:val="auto"/>
          <w:szCs w:val="24"/>
        </w:rPr>
      </w:pPr>
      <w:r w:rsidRPr="00DC23CE">
        <w:rPr>
          <w:rFonts w:cs="Arial"/>
          <w:color w:val="auto"/>
          <w:szCs w:val="24"/>
        </w:rPr>
        <w:t>I checked the claims generated by AI with the original source and ensured that I used it only after doing that. This is an illustration of how I verified BHP emissions information with BHP reports, regulatory aspects with ASIC and the Clean Energy Regulator, and news assertions with Reuters articles instead of rely on AI summaries. This procedure taught me that AI can give valuable leads but can also make citation mistakes or vague source labels. The errors I made were using CER instead of a wrong name of the source, associating Reuters numbers with ranked authors, and deleting statements in which the connection was not entirely consistent with the statement. I will consider AI output as tentative and will confirm evidence prior to writing in the future.</w:t>
      </w:r>
    </w:p>
    <w:p w14:paraId="6132268B" w14:textId="4BD927C5" w:rsidR="00942F67" w:rsidRPr="00DC23CE" w:rsidRDefault="00942F67" w:rsidP="00000F38">
      <w:pPr>
        <w:pStyle w:val="Heading2"/>
        <w:rPr>
          <w:color w:val="auto"/>
        </w:rPr>
      </w:pPr>
      <w:bookmarkStart w:id="12" w:name="_Toc234110883"/>
      <w:r w:rsidRPr="00DC23CE">
        <w:rPr>
          <w:color w:val="auto"/>
        </w:rPr>
        <w:t>3.3 Contribution Analysis</w:t>
      </w:r>
      <w:bookmarkEnd w:id="12"/>
    </w:p>
    <w:p w14:paraId="619BAD9B" w14:textId="2E61B117" w:rsidR="002C3CAA" w:rsidRPr="00DC23CE" w:rsidRDefault="002C3CAA" w:rsidP="00C13C53">
      <w:pPr>
        <w:spacing w:line="360" w:lineRule="auto"/>
        <w:jc w:val="both"/>
        <w:rPr>
          <w:rFonts w:cs="Arial"/>
          <w:color w:val="auto"/>
          <w:szCs w:val="24"/>
        </w:rPr>
      </w:pPr>
      <w:r w:rsidRPr="00DC23CE">
        <w:rPr>
          <w:rFonts w:cs="Arial"/>
          <w:color w:val="auto"/>
          <w:szCs w:val="24"/>
        </w:rPr>
        <w:t>I used ChatGPT to create research leads and potential wording, but did not consider this as my ultimate analysis. My personal input was my choice of BHP where I concluded that two most suitable acts, or relevant, were the Natural Environment and Regulatory Environment, the strengths and weaknesses of each of the Ansoff options, and the product development with selective market development as the optimal solution. This difference is important as AI can systematize data, but cannot substitute my role to determine evidence or draw strategic conclusions. I thus reworded AI-aided content with approved references, my module concepts and my line of thinking. I will maintain more distinct notes in the future between AI support and my personal judgments.</w:t>
      </w:r>
    </w:p>
    <w:p w14:paraId="2735D79E" w14:textId="77777777" w:rsidR="005303A6" w:rsidRPr="00DC23CE" w:rsidRDefault="00942F67" w:rsidP="005303A6">
      <w:pPr>
        <w:pStyle w:val="Heading2"/>
        <w:rPr>
          <w:color w:val="auto"/>
        </w:rPr>
      </w:pPr>
      <w:bookmarkStart w:id="13" w:name="_Toc234110884"/>
      <w:r w:rsidRPr="00DC23CE">
        <w:rPr>
          <w:color w:val="auto"/>
        </w:rPr>
        <w:lastRenderedPageBreak/>
        <w:t>3.4 Ethical and Professional Reflection</w:t>
      </w:r>
      <w:bookmarkEnd w:id="13"/>
    </w:p>
    <w:p w14:paraId="723BB089" w14:textId="77777777" w:rsidR="001565AA" w:rsidRPr="00DC23CE" w:rsidRDefault="00C9019B" w:rsidP="001565AA">
      <w:pPr>
        <w:spacing w:line="360" w:lineRule="auto"/>
        <w:jc w:val="both"/>
        <w:rPr>
          <w:b/>
          <w:bCs/>
          <w:color w:val="auto"/>
        </w:rPr>
      </w:pPr>
      <w:r w:rsidRPr="00DC23CE">
        <w:rPr>
          <w:color w:val="auto"/>
        </w:rPr>
        <w:t>I realised that applying AI in marketing research poses ethical dangers since it may yield prejudiced, partial or excessively assured assertions. I thus viewed AI as an aiding tool and not as a decision maker in this report. This was important since marketing analysis may affect the way companies make sustainability and lower-carbon assertions. According to Saura, Saura et al., (2024) AI-based marketing is seen as an ethical issue concerning privacy, transparency and responsible use of data. This enhanced my scepticism towards AI recommendations. I will apply AI to human judgement only in the future, by verifying the sources and disclosing them.</w:t>
      </w:r>
    </w:p>
    <w:p w14:paraId="00E72358" w14:textId="77777777" w:rsidR="001565AA" w:rsidRPr="00DC23CE" w:rsidRDefault="001565AA">
      <w:pPr>
        <w:rPr>
          <w:b/>
          <w:bCs/>
          <w:color w:val="auto"/>
        </w:rPr>
      </w:pPr>
      <w:r w:rsidRPr="00DC23CE">
        <w:rPr>
          <w:b/>
          <w:bCs/>
          <w:color w:val="auto"/>
        </w:rPr>
        <w:br w:type="page"/>
      </w:r>
    </w:p>
    <w:p w14:paraId="5ECAEE0C" w14:textId="76F06F34" w:rsidR="00DF57E0" w:rsidRPr="00DC23CE" w:rsidRDefault="00942F67" w:rsidP="001565AA">
      <w:pPr>
        <w:pStyle w:val="Heading1"/>
        <w:rPr>
          <w:color w:val="auto"/>
        </w:rPr>
      </w:pPr>
      <w:bookmarkStart w:id="14" w:name="_Toc234110885"/>
      <w:r w:rsidRPr="00DC23CE">
        <w:rPr>
          <w:color w:val="auto"/>
        </w:rPr>
        <w:lastRenderedPageBreak/>
        <w:t>Reference List</w:t>
      </w:r>
      <w:bookmarkEnd w:id="14"/>
    </w:p>
    <w:p w14:paraId="07555908" w14:textId="77777777" w:rsidR="00560FF5" w:rsidRPr="00DC23CE" w:rsidRDefault="00560FF5" w:rsidP="00C61F77">
      <w:pPr>
        <w:spacing w:line="360" w:lineRule="auto"/>
        <w:jc w:val="both"/>
        <w:rPr>
          <w:rFonts w:cs="Arial"/>
          <w:color w:val="auto"/>
          <w:szCs w:val="24"/>
          <w:lang w:val="en-US"/>
        </w:rPr>
      </w:pPr>
      <w:r w:rsidRPr="00DC23CE">
        <w:rPr>
          <w:rFonts w:cs="Arial"/>
          <w:color w:val="auto"/>
          <w:szCs w:val="24"/>
          <w:lang w:val="en-US"/>
        </w:rPr>
        <w:t xml:space="preserve">Ahm Shamsuzzoha, Suihkonen, A.-M., Wahlberg, C., Jovanovski, B. and Sujan Piya (2023). Development of value proposition to promote green innovation for sustainable organizational development. </w:t>
      </w:r>
      <w:r w:rsidRPr="00DC23CE">
        <w:rPr>
          <w:rFonts w:cs="Arial"/>
          <w:i/>
          <w:iCs/>
          <w:color w:val="auto"/>
          <w:szCs w:val="24"/>
          <w:lang w:val="en-US"/>
        </w:rPr>
        <w:t>Cleaner engineering and technology</w:t>
      </w:r>
      <w:r w:rsidRPr="00DC23CE">
        <w:rPr>
          <w:rFonts w:cs="Arial"/>
          <w:color w:val="auto"/>
          <w:szCs w:val="24"/>
          <w:lang w:val="en-US"/>
        </w:rPr>
        <w:t xml:space="preserve">, 15, pp.100668–100668. </w:t>
      </w:r>
      <w:proofErr w:type="spellStart"/>
      <w:proofErr w:type="gramStart"/>
      <w:r w:rsidRPr="00DC23CE">
        <w:rPr>
          <w:rFonts w:cs="Arial"/>
          <w:color w:val="auto"/>
          <w:szCs w:val="24"/>
          <w:lang w:val="en-US"/>
        </w:rPr>
        <w:t>doi:https</w:t>
      </w:r>
      <w:proofErr w:type="spellEnd"/>
      <w:r w:rsidRPr="00DC23CE">
        <w:rPr>
          <w:rFonts w:cs="Arial"/>
          <w:color w:val="auto"/>
          <w:szCs w:val="24"/>
          <w:lang w:val="en-US"/>
        </w:rPr>
        <w:t>://doi.org/10.1016/j.clet.2023.100668</w:t>
      </w:r>
      <w:proofErr w:type="gramEnd"/>
      <w:r w:rsidRPr="00DC23CE">
        <w:rPr>
          <w:rFonts w:cs="Arial"/>
          <w:color w:val="auto"/>
          <w:szCs w:val="24"/>
          <w:lang w:val="en-US"/>
        </w:rPr>
        <w:t>.</w:t>
      </w:r>
    </w:p>
    <w:p w14:paraId="70454A37" w14:textId="77777777" w:rsidR="00560FF5" w:rsidRPr="00DC23CE" w:rsidRDefault="00560FF5" w:rsidP="00C61F77">
      <w:pPr>
        <w:spacing w:line="360" w:lineRule="auto"/>
        <w:jc w:val="both"/>
        <w:rPr>
          <w:rFonts w:cs="Arial"/>
          <w:color w:val="auto"/>
          <w:szCs w:val="24"/>
          <w:lang w:val="en-US"/>
        </w:rPr>
      </w:pPr>
      <w:r w:rsidRPr="00DC23CE">
        <w:rPr>
          <w:rFonts w:cs="Arial"/>
          <w:color w:val="auto"/>
          <w:szCs w:val="24"/>
          <w:lang w:val="en-US"/>
        </w:rPr>
        <w:t xml:space="preserve">ASIC (2024). </w:t>
      </w:r>
      <w:r w:rsidRPr="00DC23CE">
        <w:rPr>
          <w:rFonts w:cs="Arial"/>
          <w:i/>
          <w:iCs/>
          <w:color w:val="auto"/>
          <w:szCs w:val="24"/>
          <w:lang w:val="en-US"/>
        </w:rPr>
        <w:t>24-205MR ASIC urges businesses to prepare for mandatory climate reporting | ASIC</w:t>
      </w:r>
      <w:r w:rsidRPr="00DC23CE">
        <w:rPr>
          <w:rFonts w:cs="Arial"/>
          <w:color w:val="auto"/>
          <w:szCs w:val="24"/>
          <w:lang w:val="en-US"/>
        </w:rPr>
        <w:t>. [online] Asic.gov.au. Available at: https://www.asic.gov.au/about-asic/news-centre/find-a-media-release/2024-releases/24-205mr-asic-urges-businesses-to-prepare-for-mandatory-climate-reporting.</w:t>
      </w:r>
    </w:p>
    <w:p w14:paraId="2D3D16AB" w14:textId="77777777" w:rsidR="00560FF5" w:rsidRPr="00DC23CE" w:rsidRDefault="00560FF5" w:rsidP="00C61F77">
      <w:pPr>
        <w:spacing w:line="360" w:lineRule="auto"/>
        <w:jc w:val="both"/>
        <w:rPr>
          <w:rFonts w:cs="Arial"/>
          <w:color w:val="auto"/>
          <w:szCs w:val="24"/>
          <w:lang w:val="en-US"/>
        </w:rPr>
      </w:pPr>
      <w:r w:rsidRPr="00DC23CE">
        <w:rPr>
          <w:rFonts w:cs="Arial"/>
          <w:color w:val="auto"/>
          <w:szCs w:val="24"/>
          <w:lang w:val="en-US"/>
        </w:rPr>
        <w:t xml:space="preserve">Awwad, A., </w:t>
      </w:r>
      <w:proofErr w:type="spellStart"/>
      <w:r w:rsidRPr="00DC23CE">
        <w:rPr>
          <w:rFonts w:cs="Arial"/>
          <w:color w:val="auto"/>
          <w:szCs w:val="24"/>
          <w:lang w:val="en-US"/>
        </w:rPr>
        <w:t>Anouze</w:t>
      </w:r>
      <w:proofErr w:type="spellEnd"/>
      <w:r w:rsidRPr="00DC23CE">
        <w:rPr>
          <w:rFonts w:cs="Arial"/>
          <w:color w:val="auto"/>
          <w:szCs w:val="24"/>
          <w:lang w:val="en-US"/>
        </w:rPr>
        <w:t xml:space="preserve">, A.L.M. and Ndubisi, N.O. (2022). Green Customer and Supplier Integration for Competitive Advantage: The Mediation Effect of Sustainable Product Innovation. </w:t>
      </w:r>
      <w:r w:rsidRPr="00DC23CE">
        <w:rPr>
          <w:rFonts w:cs="Arial"/>
          <w:i/>
          <w:iCs/>
          <w:color w:val="auto"/>
          <w:szCs w:val="24"/>
          <w:lang w:val="en-US"/>
        </w:rPr>
        <w:t>Sustainability</w:t>
      </w:r>
      <w:r w:rsidRPr="00DC23CE">
        <w:rPr>
          <w:rFonts w:cs="Arial"/>
          <w:color w:val="auto"/>
          <w:szCs w:val="24"/>
          <w:lang w:val="en-US"/>
        </w:rPr>
        <w:t xml:space="preserve">, 14(16), p.10153. </w:t>
      </w:r>
      <w:proofErr w:type="spellStart"/>
      <w:proofErr w:type="gramStart"/>
      <w:r w:rsidRPr="00DC23CE">
        <w:rPr>
          <w:rFonts w:cs="Arial"/>
          <w:color w:val="auto"/>
          <w:szCs w:val="24"/>
          <w:lang w:val="en-US"/>
        </w:rPr>
        <w:t>doi:https</w:t>
      </w:r>
      <w:proofErr w:type="spellEnd"/>
      <w:r w:rsidRPr="00DC23CE">
        <w:rPr>
          <w:rFonts w:cs="Arial"/>
          <w:color w:val="auto"/>
          <w:szCs w:val="24"/>
          <w:lang w:val="en-US"/>
        </w:rPr>
        <w:t>://doi.org/10.3390/su141610153</w:t>
      </w:r>
      <w:proofErr w:type="gramEnd"/>
      <w:r w:rsidRPr="00DC23CE">
        <w:rPr>
          <w:rFonts w:cs="Arial"/>
          <w:color w:val="auto"/>
          <w:szCs w:val="24"/>
          <w:lang w:val="en-US"/>
        </w:rPr>
        <w:t>.</w:t>
      </w:r>
    </w:p>
    <w:p w14:paraId="1B9B6D2C" w14:textId="77777777" w:rsidR="00560FF5" w:rsidRPr="00DC23CE" w:rsidRDefault="00560FF5" w:rsidP="00C61F77">
      <w:pPr>
        <w:spacing w:line="360" w:lineRule="auto"/>
        <w:jc w:val="both"/>
        <w:rPr>
          <w:rFonts w:cs="Arial"/>
          <w:color w:val="auto"/>
          <w:szCs w:val="24"/>
          <w:lang w:val="en-US"/>
        </w:rPr>
      </w:pPr>
      <w:r w:rsidRPr="00DC23CE">
        <w:rPr>
          <w:rFonts w:cs="Arial"/>
          <w:color w:val="auto"/>
          <w:szCs w:val="24"/>
          <w:lang w:val="en-US"/>
        </w:rPr>
        <w:t xml:space="preserve">BHP (2024a). </w:t>
      </w:r>
      <w:r w:rsidRPr="00DC23CE">
        <w:rPr>
          <w:rFonts w:cs="Arial"/>
          <w:i/>
          <w:iCs/>
          <w:color w:val="auto"/>
          <w:szCs w:val="24"/>
          <w:lang w:val="en-US"/>
        </w:rPr>
        <w:t>Biodiversity land</w:t>
      </w:r>
      <w:r w:rsidRPr="00DC23CE">
        <w:rPr>
          <w:rFonts w:cs="Arial"/>
          <w:color w:val="auto"/>
          <w:szCs w:val="24"/>
          <w:lang w:val="en-US"/>
        </w:rPr>
        <w:t>. [online] Bhp.com. Available at: https://www.bhp.com/sustainability/environment/biodiversity-land.</w:t>
      </w:r>
    </w:p>
    <w:p w14:paraId="34B7FCAA" w14:textId="77777777" w:rsidR="00560FF5" w:rsidRPr="00DC23CE" w:rsidRDefault="00560FF5" w:rsidP="00C61F77">
      <w:pPr>
        <w:spacing w:line="360" w:lineRule="auto"/>
        <w:jc w:val="both"/>
        <w:rPr>
          <w:rFonts w:cs="Arial"/>
          <w:color w:val="auto"/>
          <w:szCs w:val="24"/>
          <w:lang w:val="en-US"/>
        </w:rPr>
      </w:pPr>
      <w:r w:rsidRPr="00DC23CE">
        <w:rPr>
          <w:rFonts w:cs="Arial"/>
          <w:color w:val="auto"/>
          <w:szCs w:val="24"/>
          <w:lang w:val="en-US"/>
        </w:rPr>
        <w:t xml:space="preserve">BHP (2024b). </w:t>
      </w:r>
      <w:r w:rsidRPr="00DC23CE">
        <w:rPr>
          <w:rFonts w:cs="Arial"/>
          <w:i/>
          <w:iCs/>
          <w:color w:val="auto"/>
          <w:szCs w:val="24"/>
          <w:lang w:val="en-US"/>
        </w:rPr>
        <w:t>BlueScope, BHP and Rio Tinto select WA for Australia’s largest ironmaking electric smelting furnace</w:t>
      </w:r>
      <w:r w:rsidRPr="00DC23CE">
        <w:rPr>
          <w:rFonts w:cs="Arial"/>
          <w:color w:val="auto"/>
          <w:szCs w:val="24"/>
          <w:lang w:val="en-US"/>
        </w:rPr>
        <w:t>. [online] Bhp.com. Available at: https://www.bhp.com/news/media-centre/releases/2024/12/bluescope-bhp-and-rio-tinto-select-wa-for-australias-largest-ironmaking-electric-smelting-furnace.</w:t>
      </w:r>
    </w:p>
    <w:p w14:paraId="1164CAC5" w14:textId="513B91E4" w:rsidR="00560FF5" w:rsidRPr="00DC23CE" w:rsidRDefault="00560FF5" w:rsidP="00C61F77">
      <w:pPr>
        <w:spacing w:line="360" w:lineRule="auto"/>
        <w:jc w:val="both"/>
        <w:rPr>
          <w:rFonts w:cs="Arial"/>
          <w:color w:val="auto"/>
          <w:szCs w:val="24"/>
          <w:lang w:val="en-US"/>
        </w:rPr>
      </w:pPr>
      <w:r w:rsidRPr="00DC23CE">
        <w:rPr>
          <w:rFonts w:cs="Arial"/>
          <w:color w:val="auto"/>
          <w:szCs w:val="24"/>
          <w:lang w:val="en-US"/>
        </w:rPr>
        <w:t xml:space="preserve">BHP (2025a). </w:t>
      </w:r>
      <w:r w:rsidRPr="00DC23CE">
        <w:rPr>
          <w:rFonts w:cs="Arial"/>
          <w:i/>
          <w:iCs/>
          <w:color w:val="auto"/>
          <w:szCs w:val="24"/>
          <w:lang w:val="en-US"/>
        </w:rPr>
        <w:t>About Us</w:t>
      </w:r>
      <w:r w:rsidRPr="00DC23CE">
        <w:rPr>
          <w:rFonts w:cs="Arial"/>
          <w:color w:val="auto"/>
          <w:szCs w:val="24"/>
          <w:lang w:val="en-US"/>
        </w:rPr>
        <w:t xml:space="preserve">. [online] BHP. Available at: </w:t>
      </w:r>
      <w:hyperlink r:id="rId15" w:history="1">
        <w:r w:rsidR="00D86C5F" w:rsidRPr="00DC23CE">
          <w:rPr>
            <w:rStyle w:val="Hyperlink"/>
            <w:rFonts w:cs="Arial"/>
            <w:color w:val="auto"/>
            <w:szCs w:val="24"/>
            <w:lang w:val="en-US"/>
          </w:rPr>
          <w:t>https://www.bhp.com/about</w:t>
        </w:r>
      </w:hyperlink>
      <w:r w:rsidRPr="00DC23CE">
        <w:rPr>
          <w:rFonts w:cs="Arial"/>
          <w:color w:val="auto"/>
          <w:szCs w:val="24"/>
          <w:lang w:val="en-US"/>
        </w:rPr>
        <w:t>.</w:t>
      </w:r>
    </w:p>
    <w:p w14:paraId="6A84722C" w14:textId="306A1707" w:rsidR="00D86C5F" w:rsidRPr="00DC23CE" w:rsidRDefault="00D86C5F" w:rsidP="00C61F77">
      <w:pPr>
        <w:spacing w:line="360" w:lineRule="auto"/>
        <w:jc w:val="both"/>
        <w:rPr>
          <w:rFonts w:cs="Arial"/>
          <w:color w:val="auto"/>
          <w:szCs w:val="24"/>
        </w:rPr>
      </w:pPr>
      <w:r w:rsidRPr="00DC23CE">
        <w:rPr>
          <w:rFonts w:cs="Arial"/>
          <w:color w:val="auto"/>
          <w:szCs w:val="24"/>
        </w:rPr>
        <w:t>BHP (2025</w:t>
      </w:r>
      <w:r w:rsidR="00E414CD" w:rsidRPr="00DC23CE">
        <w:rPr>
          <w:rFonts w:cs="Arial"/>
          <w:color w:val="auto"/>
          <w:szCs w:val="24"/>
        </w:rPr>
        <w:t>b</w:t>
      </w:r>
      <w:r w:rsidRPr="00DC23CE">
        <w:rPr>
          <w:rFonts w:cs="Arial"/>
          <w:color w:val="auto"/>
          <w:szCs w:val="24"/>
        </w:rPr>
        <w:t xml:space="preserve">) </w:t>
      </w:r>
      <w:r w:rsidRPr="00DC23CE">
        <w:rPr>
          <w:rFonts w:cs="Arial"/>
          <w:i/>
          <w:iCs/>
          <w:color w:val="auto"/>
          <w:szCs w:val="24"/>
        </w:rPr>
        <w:t>BHP results for the year ended 30 June 2025</w:t>
      </w:r>
      <w:r w:rsidRPr="00DC23CE">
        <w:rPr>
          <w:rFonts w:cs="Arial"/>
          <w:color w:val="auto"/>
          <w:szCs w:val="24"/>
        </w:rPr>
        <w:t xml:space="preserve">. Available at: </w:t>
      </w:r>
      <w:hyperlink r:id="rId16" w:tgtFrame="_new" w:history="1">
        <w:r w:rsidRPr="00DC23CE">
          <w:rPr>
            <w:rStyle w:val="Hyperlink"/>
            <w:rFonts w:cs="Arial"/>
            <w:color w:val="auto"/>
            <w:szCs w:val="24"/>
          </w:rPr>
          <w:t>https://www.bhp.com/-/media/documents/media/reports-and-presentations/2025/250819_bhpresultsfortheyearended30june2025.pdf</w:t>
        </w:r>
      </w:hyperlink>
      <w:r w:rsidRPr="00DC23CE">
        <w:rPr>
          <w:rFonts w:cs="Arial"/>
          <w:color w:val="auto"/>
          <w:szCs w:val="24"/>
        </w:rPr>
        <w:t xml:space="preserve"> (Accessed: 5 July 2026).</w:t>
      </w:r>
    </w:p>
    <w:p w14:paraId="48F93A17" w14:textId="71022A60" w:rsidR="00D86C5F" w:rsidRPr="00DC23CE" w:rsidRDefault="00D86C5F" w:rsidP="00C61F77">
      <w:pPr>
        <w:spacing w:line="360" w:lineRule="auto"/>
        <w:jc w:val="both"/>
        <w:rPr>
          <w:rFonts w:cs="Arial"/>
          <w:color w:val="auto"/>
          <w:szCs w:val="24"/>
          <w:lang w:val="en-US"/>
        </w:rPr>
      </w:pPr>
      <w:r w:rsidRPr="00DC23CE">
        <w:rPr>
          <w:rFonts w:cs="Arial"/>
          <w:color w:val="auto"/>
          <w:szCs w:val="24"/>
          <w:lang w:val="en-US"/>
        </w:rPr>
        <w:t>BHP (2025</w:t>
      </w:r>
      <w:r w:rsidR="00E414CD" w:rsidRPr="00DC23CE">
        <w:rPr>
          <w:rFonts w:cs="Arial"/>
          <w:color w:val="auto"/>
          <w:szCs w:val="24"/>
          <w:lang w:val="en-US"/>
        </w:rPr>
        <w:t>c</w:t>
      </w:r>
      <w:r w:rsidRPr="00DC23CE">
        <w:rPr>
          <w:rFonts w:cs="Arial"/>
          <w:color w:val="auto"/>
          <w:szCs w:val="24"/>
          <w:lang w:val="en-US"/>
        </w:rPr>
        <w:t xml:space="preserve">). </w:t>
      </w:r>
      <w:r w:rsidRPr="00DC23CE">
        <w:rPr>
          <w:rFonts w:cs="Arial"/>
          <w:i/>
          <w:iCs/>
          <w:color w:val="auto"/>
          <w:szCs w:val="24"/>
          <w:lang w:val="en-US"/>
        </w:rPr>
        <w:t>Canada | BHP</w:t>
      </w:r>
      <w:r w:rsidRPr="00DC23CE">
        <w:rPr>
          <w:rFonts w:cs="Arial"/>
          <w:color w:val="auto"/>
          <w:szCs w:val="24"/>
          <w:lang w:val="en-US"/>
        </w:rPr>
        <w:t xml:space="preserve">. [online] Bhp.com. Available at: </w:t>
      </w:r>
      <w:hyperlink r:id="rId17" w:history="1">
        <w:r w:rsidRPr="00DC23CE">
          <w:rPr>
            <w:rStyle w:val="Hyperlink"/>
            <w:rFonts w:cs="Arial"/>
            <w:color w:val="auto"/>
            <w:szCs w:val="24"/>
            <w:lang w:val="en-US"/>
          </w:rPr>
          <w:t>https://www.bhp.com/what-we-do/global-locations/canada</w:t>
        </w:r>
      </w:hyperlink>
      <w:r w:rsidRPr="00DC23CE">
        <w:rPr>
          <w:rFonts w:cs="Arial"/>
          <w:color w:val="auto"/>
          <w:szCs w:val="24"/>
          <w:lang w:val="en-US"/>
        </w:rPr>
        <w:t>.</w:t>
      </w:r>
    </w:p>
    <w:p w14:paraId="62C3A634" w14:textId="5421212F" w:rsidR="00560FF5" w:rsidRPr="00DC23CE" w:rsidRDefault="00560FF5" w:rsidP="00C61F77">
      <w:pPr>
        <w:spacing w:line="360" w:lineRule="auto"/>
        <w:jc w:val="both"/>
        <w:rPr>
          <w:rFonts w:cs="Arial"/>
          <w:color w:val="auto"/>
          <w:szCs w:val="24"/>
          <w:lang w:val="en-US"/>
        </w:rPr>
      </w:pPr>
      <w:r w:rsidRPr="00DC23CE">
        <w:rPr>
          <w:rFonts w:cs="Arial"/>
          <w:color w:val="auto"/>
          <w:szCs w:val="24"/>
          <w:lang w:val="en-US"/>
        </w:rPr>
        <w:t>BHP (2025</w:t>
      </w:r>
      <w:r w:rsidR="00E414CD" w:rsidRPr="00DC23CE">
        <w:rPr>
          <w:rFonts w:cs="Arial"/>
          <w:color w:val="auto"/>
          <w:szCs w:val="24"/>
          <w:lang w:val="en-US"/>
        </w:rPr>
        <w:t>d</w:t>
      </w:r>
      <w:r w:rsidRPr="00DC23CE">
        <w:rPr>
          <w:rFonts w:cs="Arial"/>
          <w:color w:val="auto"/>
          <w:szCs w:val="24"/>
          <w:lang w:val="en-US"/>
        </w:rPr>
        <w:t xml:space="preserve">). </w:t>
      </w:r>
      <w:r w:rsidRPr="00DC23CE">
        <w:rPr>
          <w:rFonts w:cs="Arial"/>
          <w:i/>
          <w:iCs/>
          <w:color w:val="auto"/>
          <w:szCs w:val="24"/>
          <w:lang w:val="en-US"/>
        </w:rPr>
        <w:t>Carbon offsetting | BHP</w:t>
      </w:r>
      <w:r w:rsidRPr="00DC23CE">
        <w:rPr>
          <w:rFonts w:cs="Arial"/>
          <w:color w:val="auto"/>
          <w:szCs w:val="24"/>
          <w:lang w:val="en-US"/>
        </w:rPr>
        <w:t>. [online] Bhp.com. Available at: https://www.bhp.com/sustainability/climate-change/carbon-offsetting.</w:t>
      </w:r>
    </w:p>
    <w:p w14:paraId="06CC1367" w14:textId="0CC60230" w:rsidR="00560FF5" w:rsidRPr="00DC23CE" w:rsidRDefault="00560FF5" w:rsidP="00C61F77">
      <w:pPr>
        <w:spacing w:line="360" w:lineRule="auto"/>
        <w:jc w:val="both"/>
        <w:rPr>
          <w:rFonts w:cs="Arial"/>
          <w:color w:val="auto"/>
          <w:szCs w:val="24"/>
          <w:lang w:val="en-US"/>
        </w:rPr>
      </w:pPr>
      <w:r w:rsidRPr="00DC23CE">
        <w:rPr>
          <w:rFonts w:cs="Arial"/>
          <w:color w:val="auto"/>
          <w:szCs w:val="24"/>
          <w:lang w:val="en-US"/>
        </w:rPr>
        <w:t>BHP (2025</w:t>
      </w:r>
      <w:r w:rsidR="00E414CD" w:rsidRPr="00DC23CE">
        <w:rPr>
          <w:rFonts w:cs="Arial"/>
          <w:color w:val="auto"/>
          <w:szCs w:val="24"/>
          <w:lang w:val="en-US"/>
        </w:rPr>
        <w:t>e</w:t>
      </w:r>
      <w:r w:rsidRPr="00DC23CE">
        <w:rPr>
          <w:rFonts w:cs="Arial"/>
          <w:color w:val="auto"/>
          <w:szCs w:val="24"/>
          <w:lang w:val="en-US"/>
        </w:rPr>
        <w:t xml:space="preserve">). </w:t>
      </w:r>
      <w:r w:rsidRPr="00DC23CE">
        <w:rPr>
          <w:rFonts w:cs="Arial"/>
          <w:i/>
          <w:iCs/>
          <w:color w:val="auto"/>
          <w:szCs w:val="24"/>
          <w:lang w:val="en-US"/>
        </w:rPr>
        <w:t>Exchange release</w:t>
      </w:r>
      <w:r w:rsidRPr="00DC23CE">
        <w:rPr>
          <w:rFonts w:cs="Arial"/>
          <w:color w:val="auto"/>
          <w:szCs w:val="24"/>
          <w:lang w:val="en-US"/>
        </w:rPr>
        <w:t>. [online] Available at: https://company-announcements.afr.com/asx/bhp/a2dd3ee2-7c81-11f0-ac52-da82edd5c6c0.pdf.</w:t>
      </w:r>
    </w:p>
    <w:p w14:paraId="5E110938" w14:textId="543932F1" w:rsidR="00560FF5" w:rsidRPr="00DC23CE" w:rsidRDefault="00560FF5" w:rsidP="00C61F77">
      <w:pPr>
        <w:spacing w:line="360" w:lineRule="auto"/>
        <w:jc w:val="both"/>
        <w:rPr>
          <w:rFonts w:cs="Arial"/>
          <w:color w:val="auto"/>
          <w:szCs w:val="24"/>
          <w:lang w:val="en-US"/>
        </w:rPr>
      </w:pPr>
      <w:r w:rsidRPr="00DC23CE">
        <w:rPr>
          <w:rFonts w:cs="Arial"/>
          <w:color w:val="auto"/>
          <w:szCs w:val="24"/>
          <w:lang w:val="en-US"/>
        </w:rPr>
        <w:lastRenderedPageBreak/>
        <w:t>BHP (2025</w:t>
      </w:r>
      <w:r w:rsidR="00E414CD" w:rsidRPr="00DC23CE">
        <w:rPr>
          <w:rFonts w:cs="Arial"/>
          <w:color w:val="auto"/>
          <w:szCs w:val="24"/>
          <w:lang w:val="en-US"/>
        </w:rPr>
        <w:t>f</w:t>
      </w:r>
      <w:r w:rsidRPr="00DC23CE">
        <w:rPr>
          <w:rFonts w:cs="Arial"/>
          <w:color w:val="auto"/>
          <w:szCs w:val="24"/>
          <w:lang w:val="en-US"/>
        </w:rPr>
        <w:t xml:space="preserve">). </w:t>
      </w:r>
      <w:r w:rsidRPr="00DC23CE">
        <w:rPr>
          <w:rFonts w:cs="Arial"/>
          <w:i/>
          <w:iCs/>
          <w:color w:val="auto"/>
          <w:szCs w:val="24"/>
          <w:lang w:val="en-US"/>
        </w:rPr>
        <w:t>Why our work matters</w:t>
      </w:r>
      <w:r w:rsidRPr="00DC23CE">
        <w:rPr>
          <w:rFonts w:cs="Arial"/>
          <w:color w:val="auto"/>
          <w:szCs w:val="24"/>
          <w:lang w:val="en-US"/>
        </w:rPr>
        <w:t xml:space="preserve">. [online] Bhp.com. Available at: </w:t>
      </w:r>
      <w:hyperlink r:id="rId18" w:history="1">
        <w:r w:rsidR="008E2390" w:rsidRPr="00DC23CE">
          <w:rPr>
            <w:rStyle w:val="Hyperlink"/>
            <w:rFonts w:cs="Arial"/>
            <w:color w:val="auto"/>
            <w:szCs w:val="24"/>
            <w:lang w:val="en-US"/>
          </w:rPr>
          <w:t>https://www.bhp.com/about/why-our-work-matters</w:t>
        </w:r>
      </w:hyperlink>
      <w:r w:rsidRPr="00DC23CE">
        <w:rPr>
          <w:rFonts w:cs="Arial"/>
          <w:color w:val="auto"/>
          <w:szCs w:val="24"/>
          <w:lang w:val="en-US"/>
        </w:rPr>
        <w:t>.</w:t>
      </w:r>
    </w:p>
    <w:p w14:paraId="58F214F1" w14:textId="1E303D44" w:rsidR="008E2390" w:rsidRPr="00DC23CE" w:rsidRDefault="008E2390" w:rsidP="00C61F77">
      <w:pPr>
        <w:spacing w:line="360" w:lineRule="auto"/>
        <w:jc w:val="both"/>
        <w:rPr>
          <w:b/>
          <w:color w:val="auto"/>
        </w:rPr>
      </w:pPr>
      <w:r w:rsidRPr="00DC23CE">
        <w:rPr>
          <w:rFonts w:cs="Arial"/>
          <w:color w:val="auto"/>
          <w:szCs w:val="24"/>
        </w:rPr>
        <w:t xml:space="preserve">BHP Group Limited (2025) </w:t>
      </w:r>
      <w:r w:rsidRPr="00DC23CE">
        <w:rPr>
          <w:rFonts w:cs="Arial"/>
          <w:i/>
          <w:iCs/>
          <w:color w:val="auto"/>
          <w:szCs w:val="24"/>
        </w:rPr>
        <w:t>Form 6-K: Report of foreign private issuer – BHP Annual Report 2025</w:t>
      </w:r>
      <w:r w:rsidRPr="00DC23CE">
        <w:rPr>
          <w:rFonts w:cs="Arial"/>
          <w:color w:val="auto"/>
          <w:szCs w:val="24"/>
        </w:rPr>
        <w:t xml:space="preserve">. Washington, DC: U.S. Securities and Exchange Commission. Available at: </w:t>
      </w:r>
      <w:hyperlink r:id="rId19" w:tgtFrame="_new" w:history="1">
        <w:r w:rsidRPr="00DC23CE">
          <w:rPr>
            <w:rStyle w:val="Hyperlink"/>
            <w:rFonts w:cs="Arial"/>
            <w:color w:val="auto"/>
            <w:szCs w:val="24"/>
          </w:rPr>
          <w:t>https://www.sec.gov/Archives/edgar/data/811809/000119312525183071/d35528d6k.htm</w:t>
        </w:r>
      </w:hyperlink>
      <w:r w:rsidRPr="00DC23CE">
        <w:rPr>
          <w:rFonts w:cs="Arial"/>
          <w:color w:val="auto"/>
          <w:szCs w:val="24"/>
        </w:rPr>
        <w:t xml:space="preserve"> (Accessed: 4 July 2026).</w:t>
      </w:r>
    </w:p>
    <w:p w14:paraId="4E9B8907" w14:textId="77777777" w:rsidR="00560FF5" w:rsidRPr="00DC23CE" w:rsidRDefault="00560FF5" w:rsidP="00C61F77">
      <w:pPr>
        <w:spacing w:line="360" w:lineRule="auto"/>
        <w:jc w:val="both"/>
        <w:rPr>
          <w:rFonts w:cs="Arial"/>
          <w:color w:val="auto"/>
          <w:szCs w:val="24"/>
          <w:lang w:val="en-US"/>
        </w:rPr>
      </w:pPr>
      <w:r w:rsidRPr="00DC23CE">
        <w:rPr>
          <w:rFonts w:cs="Arial"/>
          <w:color w:val="auto"/>
          <w:szCs w:val="24"/>
          <w:lang w:val="en-US"/>
        </w:rPr>
        <w:t xml:space="preserve">Burton, M. (2025). Exclusive: BHP considered spinning off iron ore, coal divisions. </w:t>
      </w:r>
      <w:r w:rsidRPr="00DC23CE">
        <w:rPr>
          <w:rFonts w:cs="Arial"/>
          <w:i/>
          <w:iCs/>
          <w:color w:val="auto"/>
          <w:szCs w:val="24"/>
          <w:lang w:val="en-US"/>
        </w:rPr>
        <w:t>Reuters</w:t>
      </w:r>
      <w:r w:rsidRPr="00DC23CE">
        <w:rPr>
          <w:rFonts w:cs="Arial"/>
          <w:color w:val="auto"/>
          <w:szCs w:val="24"/>
          <w:lang w:val="en-US"/>
        </w:rPr>
        <w:t>. [online] 3 Apr. Available at: https://www.reuters.com/markets/commodities/bhp-considered-spinning-off-iron-ore-coal-divisions-2025-04-02/.</w:t>
      </w:r>
    </w:p>
    <w:p w14:paraId="3FE4A9A9" w14:textId="77777777" w:rsidR="00560FF5" w:rsidRPr="00DC23CE" w:rsidRDefault="00560FF5" w:rsidP="00C61F77">
      <w:pPr>
        <w:spacing w:line="360" w:lineRule="auto"/>
        <w:jc w:val="both"/>
        <w:rPr>
          <w:rFonts w:cs="Arial"/>
          <w:color w:val="auto"/>
          <w:szCs w:val="24"/>
          <w:lang w:val="en-US"/>
        </w:rPr>
      </w:pPr>
      <w:r w:rsidRPr="00DC23CE">
        <w:rPr>
          <w:rFonts w:cs="Arial"/>
          <w:color w:val="auto"/>
          <w:szCs w:val="24"/>
          <w:lang w:val="en-US"/>
        </w:rPr>
        <w:t xml:space="preserve">Burton, M. and Zhang, E. (2025). BHP says Australian green iron too costly despite joint China deal. </w:t>
      </w:r>
      <w:r w:rsidRPr="00DC23CE">
        <w:rPr>
          <w:rFonts w:cs="Arial"/>
          <w:i/>
          <w:iCs/>
          <w:color w:val="auto"/>
          <w:szCs w:val="24"/>
          <w:lang w:val="en-US"/>
        </w:rPr>
        <w:t>Reuters</w:t>
      </w:r>
      <w:r w:rsidRPr="00DC23CE">
        <w:rPr>
          <w:rFonts w:cs="Arial"/>
          <w:color w:val="auto"/>
          <w:szCs w:val="24"/>
          <w:lang w:val="en-US"/>
        </w:rPr>
        <w:t>. [online] 16 Jul. Available at: https://www.reuters.com/sustainability/climate-energy/bhp-says-too-costly-build-australian-green-iron-industry-pm-seeks-china-2025-07-16/.</w:t>
      </w:r>
    </w:p>
    <w:p w14:paraId="424D8340" w14:textId="33ABDCAC" w:rsidR="00560FF5" w:rsidRPr="00DC23CE" w:rsidRDefault="00643321" w:rsidP="00C61F77">
      <w:pPr>
        <w:spacing w:line="360" w:lineRule="auto"/>
        <w:jc w:val="both"/>
        <w:rPr>
          <w:rFonts w:cs="Arial"/>
          <w:color w:val="auto"/>
          <w:szCs w:val="24"/>
          <w:lang w:val="en-US"/>
        </w:rPr>
      </w:pPr>
      <w:r w:rsidRPr="00DC23CE">
        <w:rPr>
          <w:rFonts w:cs="Arial"/>
          <w:color w:val="auto"/>
          <w:szCs w:val="24"/>
        </w:rPr>
        <w:t>Clean Energy Regulator</w:t>
      </w:r>
      <w:r w:rsidRPr="00DC23CE">
        <w:rPr>
          <w:rFonts w:cs="Arial"/>
          <w:color w:val="auto"/>
          <w:szCs w:val="24"/>
          <w:lang w:val="en-US"/>
        </w:rPr>
        <w:t xml:space="preserve"> </w:t>
      </w:r>
      <w:r w:rsidR="00560FF5" w:rsidRPr="00DC23CE">
        <w:rPr>
          <w:rFonts w:cs="Arial"/>
          <w:color w:val="auto"/>
          <w:szCs w:val="24"/>
          <w:lang w:val="en-US"/>
        </w:rPr>
        <w:t xml:space="preserve">(2025). </w:t>
      </w:r>
      <w:r w:rsidR="00560FF5" w:rsidRPr="00DC23CE">
        <w:rPr>
          <w:rFonts w:cs="Arial"/>
          <w:i/>
          <w:iCs/>
          <w:color w:val="auto"/>
          <w:szCs w:val="24"/>
          <w:lang w:val="en-US"/>
        </w:rPr>
        <w:t>Safeguard Mechanism | Clean Energy Regulator</w:t>
      </w:r>
      <w:r w:rsidR="00560FF5" w:rsidRPr="00DC23CE">
        <w:rPr>
          <w:rFonts w:cs="Arial"/>
          <w:color w:val="auto"/>
          <w:szCs w:val="24"/>
          <w:lang w:val="en-US"/>
        </w:rPr>
        <w:t>. [online] cer.gov.au. Available at: https://cer.gov.au/schemes/safeguard-mechanism.</w:t>
      </w:r>
    </w:p>
    <w:p w14:paraId="32B0F356" w14:textId="77777777" w:rsidR="00560FF5" w:rsidRPr="00DC23CE" w:rsidRDefault="00560FF5" w:rsidP="00C61F77">
      <w:pPr>
        <w:spacing w:line="360" w:lineRule="auto"/>
        <w:jc w:val="both"/>
        <w:rPr>
          <w:rFonts w:cs="Arial"/>
          <w:color w:val="auto"/>
          <w:szCs w:val="24"/>
          <w:lang w:val="en-US"/>
        </w:rPr>
      </w:pPr>
      <w:r w:rsidRPr="00DC23CE">
        <w:rPr>
          <w:rFonts w:cs="Arial"/>
          <w:color w:val="auto"/>
          <w:szCs w:val="24"/>
          <w:lang w:val="en-US"/>
        </w:rPr>
        <w:t xml:space="preserve">Chan, C.K.Y. and Hu, W. (2023). Students’ voices on generative AI: Perceptions, benefits, and challenges in higher education. </w:t>
      </w:r>
      <w:r w:rsidRPr="00DC23CE">
        <w:rPr>
          <w:rFonts w:cs="Arial"/>
          <w:i/>
          <w:iCs/>
          <w:color w:val="auto"/>
          <w:szCs w:val="24"/>
          <w:lang w:val="en-US"/>
        </w:rPr>
        <w:t>International Journal of Educational Technology in Higher Education</w:t>
      </w:r>
      <w:r w:rsidRPr="00DC23CE">
        <w:rPr>
          <w:rFonts w:cs="Arial"/>
          <w:color w:val="auto"/>
          <w:szCs w:val="24"/>
          <w:lang w:val="en-US"/>
        </w:rPr>
        <w:t xml:space="preserve">, 20(1). </w:t>
      </w:r>
      <w:proofErr w:type="spellStart"/>
      <w:proofErr w:type="gramStart"/>
      <w:r w:rsidRPr="00DC23CE">
        <w:rPr>
          <w:rFonts w:cs="Arial"/>
          <w:color w:val="auto"/>
          <w:szCs w:val="24"/>
          <w:lang w:val="en-US"/>
        </w:rPr>
        <w:t>doi:https</w:t>
      </w:r>
      <w:proofErr w:type="spellEnd"/>
      <w:r w:rsidRPr="00DC23CE">
        <w:rPr>
          <w:rFonts w:cs="Arial"/>
          <w:color w:val="auto"/>
          <w:szCs w:val="24"/>
          <w:lang w:val="en-US"/>
        </w:rPr>
        <w:t>://doi.org/10.1186/s41239-023-00411-8</w:t>
      </w:r>
      <w:proofErr w:type="gramEnd"/>
      <w:r w:rsidRPr="00DC23CE">
        <w:rPr>
          <w:rFonts w:cs="Arial"/>
          <w:color w:val="auto"/>
          <w:szCs w:val="24"/>
          <w:lang w:val="en-US"/>
        </w:rPr>
        <w:t>.</w:t>
      </w:r>
    </w:p>
    <w:p w14:paraId="4973EFDA" w14:textId="77777777" w:rsidR="00560FF5" w:rsidRPr="00DC23CE" w:rsidRDefault="00560FF5" w:rsidP="00C61F77">
      <w:pPr>
        <w:spacing w:line="360" w:lineRule="auto"/>
        <w:jc w:val="both"/>
        <w:rPr>
          <w:rFonts w:cs="Arial"/>
          <w:color w:val="auto"/>
          <w:szCs w:val="24"/>
          <w:lang w:val="en-US"/>
        </w:rPr>
      </w:pPr>
      <w:proofErr w:type="spellStart"/>
      <w:r w:rsidRPr="00DC23CE">
        <w:rPr>
          <w:rFonts w:cs="Arial"/>
          <w:color w:val="auto"/>
          <w:szCs w:val="24"/>
          <w:lang w:val="en-US"/>
        </w:rPr>
        <w:t>Enemuo</w:t>
      </w:r>
      <w:proofErr w:type="spellEnd"/>
      <w:r w:rsidRPr="00DC23CE">
        <w:rPr>
          <w:rFonts w:cs="Arial"/>
          <w:color w:val="auto"/>
          <w:szCs w:val="24"/>
          <w:lang w:val="en-US"/>
        </w:rPr>
        <w:t xml:space="preserve">, M. and Ogunmodimu, O. (2025). Transitioning the mining sector: A review of renewable energy integration and carbon footprint reduction strategies. </w:t>
      </w:r>
      <w:r w:rsidRPr="00DC23CE">
        <w:rPr>
          <w:rFonts w:cs="Arial"/>
          <w:i/>
          <w:iCs/>
          <w:color w:val="auto"/>
          <w:szCs w:val="24"/>
          <w:lang w:val="en-US"/>
        </w:rPr>
        <w:t>Applied Energy</w:t>
      </w:r>
      <w:r w:rsidRPr="00DC23CE">
        <w:rPr>
          <w:rFonts w:cs="Arial"/>
          <w:color w:val="auto"/>
          <w:szCs w:val="24"/>
          <w:lang w:val="en-US"/>
        </w:rPr>
        <w:t xml:space="preserve">, [online] 384, p.125484. </w:t>
      </w:r>
      <w:proofErr w:type="spellStart"/>
      <w:proofErr w:type="gramStart"/>
      <w:r w:rsidRPr="00DC23CE">
        <w:rPr>
          <w:rFonts w:cs="Arial"/>
          <w:color w:val="auto"/>
          <w:szCs w:val="24"/>
          <w:lang w:val="en-US"/>
        </w:rPr>
        <w:t>doi:https</w:t>
      </w:r>
      <w:proofErr w:type="spellEnd"/>
      <w:r w:rsidRPr="00DC23CE">
        <w:rPr>
          <w:rFonts w:cs="Arial"/>
          <w:color w:val="auto"/>
          <w:szCs w:val="24"/>
          <w:lang w:val="en-US"/>
        </w:rPr>
        <w:t>://doi.org/10.1016/j.apenergy.2025.125484</w:t>
      </w:r>
      <w:proofErr w:type="gramEnd"/>
      <w:r w:rsidRPr="00DC23CE">
        <w:rPr>
          <w:rFonts w:cs="Arial"/>
          <w:color w:val="auto"/>
          <w:szCs w:val="24"/>
          <w:lang w:val="en-US"/>
        </w:rPr>
        <w:t>.</w:t>
      </w:r>
    </w:p>
    <w:p w14:paraId="7FC54E37" w14:textId="77777777" w:rsidR="00560FF5" w:rsidRPr="00DC23CE" w:rsidRDefault="00560FF5" w:rsidP="00C61F77">
      <w:pPr>
        <w:spacing w:line="360" w:lineRule="auto"/>
        <w:jc w:val="both"/>
        <w:rPr>
          <w:rFonts w:cs="Arial"/>
          <w:color w:val="auto"/>
          <w:szCs w:val="24"/>
          <w:lang w:val="en-US"/>
        </w:rPr>
      </w:pPr>
      <w:r w:rsidRPr="00DC23CE">
        <w:rPr>
          <w:rFonts w:cs="Arial"/>
          <w:color w:val="auto"/>
          <w:szCs w:val="24"/>
          <w:lang w:val="en-US"/>
        </w:rPr>
        <w:t xml:space="preserve">Hanlon, A. (2021). </w:t>
      </w:r>
      <w:r w:rsidRPr="00DC23CE">
        <w:rPr>
          <w:rFonts w:cs="Arial"/>
          <w:i/>
          <w:iCs/>
          <w:color w:val="auto"/>
          <w:szCs w:val="24"/>
          <w:lang w:val="en-US"/>
        </w:rPr>
        <w:t>The Ansoff Model</w:t>
      </w:r>
      <w:r w:rsidRPr="00DC23CE">
        <w:rPr>
          <w:rFonts w:cs="Arial"/>
          <w:color w:val="auto"/>
          <w:szCs w:val="24"/>
          <w:lang w:val="en-US"/>
        </w:rPr>
        <w:t>. [online] Smart Insights. Available at: https://www.smartinsights.com/marketing-planning/create-a-marketing-plan/ansoff-model/.</w:t>
      </w:r>
    </w:p>
    <w:p w14:paraId="4F5693E2" w14:textId="77777777" w:rsidR="00560FF5" w:rsidRPr="00DC23CE" w:rsidRDefault="00560FF5" w:rsidP="00C61F77">
      <w:pPr>
        <w:spacing w:line="360" w:lineRule="auto"/>
        <w:jc w:val="both"/>
        <w:rPr>
          <w:rFonts w:cs="Arial"/>
          <w:color w:val="auto"/>
          <w:szCs w:val="24"/>
          <w:lang w:val="en-US"/>
        </w:rPr>
      </w:pPr>
      <w:r w:rsidRPr="00DC23CE">
        <w:rPr>
          <w:rFonts w:cs="Arial"/>
          <w:color w:val="auto"/>
          <w:szCs w:val="24"/>
          <w:lang w:val="en-US"/>
        </w:rPr>
        <w:t xml:space="preserve">Hobson, P. and Clark, H. (2025). Revamped Australian environment law will help business and nature, government says. </w:t>
      </w:r>
      <w:r w:rsidRPr="00DC23CE">
        <w:rPr>
          <w:rFonts w:cs="Arial"/>
          <w:i/>
          <w:iCs/>
          <w:color w:val="auto"/>
          <w:szCs w:val="24"/>
          <w:lang w:val="en-US"/>
        </w:rPr>
        <w:t>Reuters</w:t>
      </w:r>
      <w:r w:rsidRPr="00DC23CE">
        <w:rPr>
          <w:rFonts w:cs="Arial"/>
          <w:color w:val="auto"/>
          <w:szCs w:val="24"/>
          <w:lang w:val="en-US"/>
        </w:rPr>
        <w:t xml:space="preserve">. [online] 30 Oct. Available at: </w:t>
      </w:r>
      <w:r w:rsidRPr="00DC23CE">
        <w:rPr>
          <w:rFonts w:cs="Arial"/>
          <w:color w:val="auto"/>
          <w:szCs w:val="24"/>
          <w:lang w:val="en-US"/>
        </w:rPr>
        <w:lastRenderedPageBreak/>
        <w:t>https://www.reuters.com/sustainability/climate-energy/australian-government-says-its-environmental-protection-bill-will-help-business-2025-10-29/.</w:t>
      </w:r>
    </w:p>
    <w:p w14:paraId="47742157" w14:textId="05A3BA60" w:rsidR="00560FF5" w:rsidRPr="00DC23CE" w:rsidRDefault="00560FF5" w:rsidP="00C61F77">
      <w:pPr>
        <w:spacing w:line="360" w:lineRule="auto"/>
        <w:jc w:val="both"/>
        <w:rPr>
          <w:rFonts w:cs="Arial"/>
          <w:color w:val="auto"/>
          <w:szCs w:val="24"/>
          <w:lang w:val="en-US"/>
        </w:rPr>
      </w:pPr>
      <w:r w:rsidRPr="00DC23CE">
        <w:rPr>
          <w:rFonts w:cs="Arial"/>
          <w:color w:val="auto"/>
          <w:szCs w:val="24"/>
          <w:lang w:val="en-US"/>
        </w:rPr>
        <w:t xml:space="preserve">IEA (2025). </w:t>
      </w:r>
      <w:r w:rsidRPr="00DC23CE">
        <w:rPr>
          <w:rFonts w:cs="Arial"/>
          <w:i/>
          <w:iCs/>
          <w:color w:val="auto"/>
          <w:szCs w:val="24"/>
          <w:lang w:val="en-US"/>
        </w:rPr>
        <w:t>Executive Summary – Global Critical Minerals Outlook 2025 – Analysis - IEA</w:t>
      </w:r>
      <w:r w:rsidRPr="00DC23CE">
        <w:rPr>
          <w:rFonts w:cs="Arial"/>
          <w:color w:val="auto"/>
          <w:szCs w:val="24"/>
          <w:lang w:val="en-US"/>
        </w:rPr>
        <w:t xml:space="preserve">. [online] IEA. Available at: </w:t>
      </w:r>
      <w:hyperlink r:id="rId20" w:history="1">
        <w:r w:rsidR="00DF57E0" w:rsidRPr="00DC23CE">
          <w:rPr>
            <w:rStyle w:val="Hyperlink"/>
            <w:rFonts w:cs="Arial"/>
            <w:color w:val="auto"/>
            <w:szCs w:val="24"/>
            <w:lang w:val="en-US"/>
          </w:rPr>
          <w:t>https://www.iea.org/reports/global-critical-minerals-outlook-2025/executive-summary</w:t>
        </w:r>
      </w:hyperlink>
      <w:r w:rsidRPr="00DC23CE">
        <w:rPr>
          <w:rFonts w:cs="Arial"/>
          <w:color w:val="auto"/>
          <w:szCs w:val="24"/>
          <w:lang w:val="en-US"/>
        </w:rPr>
        <w:t>.</w:t>
      </w:r>
    </w:p>
    <w:p w14:paraId="6E8EF907" w14:textId="62ABC800" w:rsidR="00DF57E0" w:rsidRPr="00DC23CE" w:rsidRDefault="00DF57E0" w:rsidP="00C61F77">
      <w:pPr>
        <w:spacing w:line="360" w:lineRule="auto"/>
        <w:jc w:val="both"/>
        <w:rPr>
          <w:rFonts w:cs="Arial"/>
          <w:color w:val="auto"/>
          <w:szCs w:val="24"/>
          <w:lang w:val="en-US"/>
        </w:rPr>
      </w:pPr>
      <w:r w:rsidRPr="00DC23CE">
        <w:rPr>
          <w:rFonts w:cs="Arial"/>
          <w:color w:val="auto"/>
          <w:szCs w:val="24"/>
          <w:lang w:val="en-US"/>
        </w:rPr>
        <w:t xml:space="preserve">Kotler, P., Armstrong, G., Harris, L.C. and He, H. (2024) Principles of marketing. 19th </w:t>
      </w:r>
      <w:proofErr w:type="spellStart"/>
      <w:proofErr w:type="gramStart"/>
      <w:r w:rsidRPr="00DC23CE">
        <w:rPr>
          <w:rFonts w:cs="Arial"/>
          <w:color w:val="auto"/>
          <w:szCs w:val="24"/>
          <w:lang w:val="en-US"/>
        </w:rPr>
        <w:t>edn.Harlow</w:t>
      </w:r>
      <w:proofErr w:type="spellEnd"/>
      <w:proofErr w:type="gramEnd"/>
      <w:r w:rsidRPr="00DC23CE">
        <w:rPr>
          <w:rFonts w:cs="Arial"/>
          <w:color w:val="auto"/>
          <w:szCs w:val="24"/>
          <w:lang w:val="en-US"/>
        </w:rPr>
        <w:t>: Pearson.</w:t>
      </w:r>
    </w:p>
    <w:p w14:paraId="4D2FD115" w14:textId="77777777" w:rsidR="00560FF5" w:rsidRPr="00DC23CE" w:rsidRDefault="00560FF5" w:rsidP="00C61F77">
      <w:pPr>
        <w:spacing w:line="360" w:lineRule="auto"/>
        <w:jc w:val="both"/>
        <w:rPr>
          <w:rFonts w:cs="Arial"/>
          <w:color w:val="auto"/>
          <w:szCs w:val="24"/>
          <w:lang w:val="en-US"/>
        </w:rPr>
      </w:pPr>
      <w:r w:rsidRPr="00DC23CE">
        <w:rPr>
          <w:rFonts w:cs="Arial"/>
          <w:color w:val="auto"/>
          <w:szCs w:val="24"/>
          <w:lang w:val="en-US"/>
        </w:rPr>
        <w:t xml:space="preserve">Liu, Y.S., Zhou, X., Yang, J.H., Hoepner, A.G.F. and </w:t>
      </w:r>
      <w:proofErr w:type="spellStart"/>
      <w:r w:rsidRPr="00DC23CE">
        <w:rPr>
          <w:rFonts w:cs="Arial"/>
          <w:color w:val="auto"/>
          <w:szCs w:val="24"/>
          <w:lang w:val="en-US"/>
        </w:rPr>
        <w:t>Kakabadse</w:t>
      </w:r>
      <w:proofErr w:type="spellEnd"/>
      <w:r w:rsidRPr="00DC23CE">
        <w:rPr>
          <w:rFonts w:cs="Arial"/>
          <w:color w:val="auto"/>
          <w:szCs w:val="24"/>
          <w:lang w:val="en-US"/>
        </w:rPr>
        <w:t xml:space="preserve">, N. (2023). Carbon emissions, carbon disclosure and organizational performance. </w:t>
      </w:r>
      <w:r w:rsidRPr="00DC23CE">
        <w:rPr>
          <w:rFonts w:cs="Arial"/>
          <w:i/>
          <w:iCs/>
          <w:color w:val="auto"/>
          <w:szCs w:val="24"/>
          <w:lang w:val="en-US"/>
        </w:rPr>
        <w:t>International Review of Financial Analysis</w:t>
      </w:r>
      <w:r w:rsidRPr="00DC23CE">
        <w:rPr>
          <w:rFonts w:cs="Arial"/>
          <w:color w:val="auto"/>
          <w:szCs w:val="24"/>
          <w:lang w:val="en-US"/>
        </w:rPr>
        <w:t xml:space="preserve">, [online] 90, p.102846. </w:t>
      </w:r>
      <w:proofErr w:type="spellStart"/>
      <w:proofErr w:type="gramStart"/>
      <w:r w:rsidRPr="00DC23CE">
        <w:rPr>
          <w:rFonts w:cs="Arial"/>
          <w:color w:val="auto"/>
          <w:szCs w:val="24"/>
          <w:lang w:val="en-US"/>
        </w:rPr>
        <w:t>doi:https</w:t>
      </w:r>
      <w:proofErr w:type="spellEnd"/>
      <w:r w:rsidRPr="00DC23CE">
        <w:rPr>
          <w:rFonts w:cs="Arial"/>
          <w:color w:val="auto"/>
          <w:szCs w:val="24"/>
          <w:lang w:val="en-US"/>
        </w:rPr>
        <w:t>://doi.org/10.1016/j.irfa.2023.102846</w:t>
      </w:r>
      <w:proofErr w:type="gramEnd"/>
      <w:r w:rsidRPr="00DC23CE">
        <w:rPr>
          <w:rFonts w:cs="Arial"/>
          <w:color w:val="auto"/>
          <w:szCs w:val="24"/>
          <w:lang w:val="en-US"/>
        </w:rPr>
        <w:t>.</w:t>
      </w:r>
    </w:p>
    <w:p w14:paraId="3E750199" w14:textId="3BAB162C" w:rsidR="00560FF5" w:rsidRPr="00DC23CE" w:rsidRDefault="00560FF5" w:rsidP="00C61F77">
      <w:pPr>
        <w:spacing w:line="360" w:lineRule="auto"/>
        <w:jc w:val="both"/>
        <w:rPr>
          <w:rFonts w:cs="Arial"/>
          <w:color w:val="auto"/>
          <w:szCs w:val="24"/>
          <w:lang w:val="en-US"/>
        </w:rPr>
      </w:pPr>
      <w:r w:rsidRPr="00DC23CE">
        <w:rPr>
          <w:rFonts w:cs="Arial"/>
          <w:color w:val="auto"/>
          <w:szCs w:val="24"/>
          <w:lang w:val="en-US"/>
        </w:rPr>
        <w:t xml:space="preserve">Nair, R. and </w:t>
      </w:r>
      <w:proofErr w:type="spellStart"/>
      <w:r w:rsidRPr="00DC23CE">
        <w:rPr>
          <w:rFonts w:cs="Arial"/>
          <w:color w:val="auto"/>
          <w:szCs w:val="24"/>
          <w:lang w:val="en-US"/>
        </w:rPr>
        <w:t>Manekar</w:t>
      </w:r>
      <w:proofErr w:type="spellEnd"/>
      <w:r w:rsidRPr="00DC23CE">
        <w:rPr>
          <w:rFonts w:cs="Arial"/>
          <w:color w:val="auto"/>
          <w:szCs w:val="24"/>
          <w:lang w:val="en-US"/>
        </w:rPr>
        <w:t xml:space="preserve"> (2025). BHP delays Jansen potash project as costs surge; logs record copper output. </w:t>
      </w:r>
      <w:r w:rsidRPr="00DC23CE">
        <w:rPr>
          <w:rFonts w:cs="Arial"/>
          <w:i/>
          <w:iCs/>
          <w:color w:val="auto"/>
          <w:szCs w:val="24"/>
          <w:lang w:val="en-US"/>
        </w:rPr>
        <w:t>Reuters</w:t>
      </w:r>
      <w:r w:rsidRPr="00DC23CE">
        <w:rPr>
          <w:rFonts w:cs="Arial"/>
          <w:color w:val="auto"/>
          <w:szCs w:val="24"/>
          <w:lang w:val="en-US"/>
        </w:rPr>
        <w:t>. [online] 18 Jul. Available at: https://www.reuters.com/business/bhp-delays-jansen-potash-project-costs-surge-logs-record-copper-output-2025-07-17/.</w:t>
      </w:r>
    </w:p>
    <w:p w14:paraId="29CB24CC" w14:textId="77777777" w:rsidR="00560FF5" w:rsidRPr="00DC23CE" w:rsidRDefault="00560FF5" w:rsidP="00C61F77">
      <w:pPr>
        <w:spacing w:line="360" w:lineRule="auto"/>
        <w:jc w:val="both"/>
        <w:rPr>
          <w:rFonts w:cs="Arial"/>
          <w:color w:val="auto"/>
          <w:szCs w:val="24"/>
          <w:lang w:val="en-US"/>
        </w:rPr>
      </w:pPr>
      <w:proofErr w:type="spellStart"/>
      <w:r w:rsidRPr="00DC23CE">
        <w:rPr>
          <w:rFonts w:cs="Arial"/>
          <w:color w:val="auto"/>
          <w:szCs w:val="24"/>
          <w:lang w:val="en-US"/>
        </w:rPr>
        <w:t>Novitasari</w:t>
      </w:r>
      <w:proofErr w:type="spellEnd"/>
      <w:r w:rsidRPr="00DC23CE">
        <w:rPr>
          <w:rFonts w:cs="Arial"/>
          <w:color w:val="auto"/>
          <w:szCs w:val="24"/>
          <w:lang w:val="en-US"/>
        </w:rPr>
        <w:t xml:space="preserve">, M. and Agustia, D. (2023). COMPETITIVE ADVANTAGE AS A MEDIATING EFFECT IN THE IMPACT OF GREEN INNOVATION AND FIRM PERFORMANCE. </w:t>
      </w:r>
      <w:r w:rsidRPr="00DC23CE">
        <w:rPr>
          <w:rFonts w:cs="Arial"/>
          <w:i/>
          <w:iCs/>
          <w:color w:val="auto"/>
          <w:szCs w:val="24"/>
          <w:lang w:val="en-US"/>
        </w:rPr>
        <w:t>Business: Theory and Practice</w:t>
      </w:r>
      <w:r w:rsidRPr="00DC23CE">
        <w:rPr>
          <w:rFonts w:cs="Arial"/>
          <w:color w:val="auto"/>
          <w:szCs w:val="24"/>
          <w:lang w:val="en-US"/>
        </w:rPr>
        <w:t xml:space="preserve">, 24(1), pp.216–226. </w:t>
      </w:r>
      <w:proofErr w:type="spellStart"/>
      <w:proofErr w:type="gramStart"/>
      <w:r w:rsidRPr="00DC23CE">
        <w:rPr>
          <w:rFonts w:cs="Arial"/>
          <w:color w:val="auto"/>
          <w:szCs w:val="24"/>
          <w:lang w:val="en-US"/>
        </w:rPr>
        <w:t>doi:https</w:t>
      </w:r>
      <w:proofErr w:type="spellEnd"/>
      <w:r w:rsidRPr="00DC23CE">
        <w:rPr>
          <w:rFonts w:cs="Arial"/>
          <w:color w:val="auto"/>
          <w:szCs w:val="24"/>
          <w:lang w:val="en-US"/>
        </w:rPr>
        <w:t>://doi.org/10.3846/btp.2023.15865</w:t>
      </w:r>
      <w:proofErr w:type="gramEnd"/>
      <w:r w:rsidRPr="00DC23CE">
        <w:rPr>
          <w:rFonts w:cs="Arial"/>
          <w:color w:val="auto"/>
          <w:szCs w:val="24"/>
          <w:lang w:val="en-US"/>
        </w:rPr>
        <w:t>.</w:t>
      </w:r>
    </w:p>
    <w:p w14:paraId="714F7442" w14:textId="77777777" w:rsidR="00560FF5" w:rsidRPr="00DC23CE" w:rsidRDefault="00560FF5" w:rsidP="00C61F77">
      <w:pPr>
        <w:spacing w:line="360" w:lineRule="auto"/>
        <w:jc w:val="both"/>
        <w:rPr>
          <w:rFonts w:cs="Arial"/>
          <w:color w:val="auto"/>
          <w:szCs w:val="24"/>
          <w:lang w:val="en-US"/>
        </w:rPr>
      </w:pPr>
      <w:r w:rsidRPr="00DC23CE">
        <w:rPr>
          <w:rFonts w:cs="Arial"/>
          <w:color w:val="auto"/>
          <w:szCs w:val="24"/>
          <w:lang w:val="en-US"/>
        </w:rPr>
        <w:t xml:space="preserve">Precedence Research (2025). </w:t>
      </w:r>
      <w:r w:rsidRPr="00DC23CE">
        <w:rPr>
          <w:rFonts w:cs="Arial"/>
          <w:i/>
          <w:iCs/>
          <w:color w:val="auto"/>
          <w:szCs w:val="24"/>
          <w:lang w:val="en-US"/>
        </w:rPr>
        <w:t>Potash Market Size to Worth USD 97.15 Billion by 2033</w:t>
      </w:r>
      <w:r w:rsidRPr="00DC23CE">
        <w:rPr>
          <w:rFonts w:cs="Arial"/>
          <w:color w:val="auto"/>
          <w:szCs w:val="24"/>
          <w:lang w:val="en-US"/>
        </w:rPr>
        <w:t>. [online] Precedenceresearch.com. Available at: https://www.precedenceresearch.com/potash-market.</w:t>
      </w:r>
    </w:p>
    <w:p w14:paraId="102BF321" w14:textId="77777777" w:rsidR="00560FF5" w:rsidRPr="00DC23CE" w:rsidRDefault="00560FF5" w:rsidP="00C61F77">
      <w:pPr>
        <w:spacing w:line="360" w:lineRule="auto"/>
        <w:jc w:val="both"/>
        <w:rPr>
          <w:rFonts w:cs="Arial"/>
          <w:color w:val="auto"/>
          <w:szCs w:val="24"/>
          <w:lang w:val="en-US"/>
        </w:rPr>
      </w:pPr>
      <w:r w:rsidRPr="00DC23CE">
        <w:rPr>
          <w:rFonts w:cs="Arial"/>
          <w:color w:val="auto"/>
          <w:szCs w:val="24"/>
          <w:lang w:val="en-US"/>
        </w:rPr>
        <w:t xml:space="preserve">Rehman, S., Asif, T., Nasir, A., Ullah, A. and Noor, N. (2024). Harnessing knowledge management for green product competitive advantage with green process innovation as a mediator. </w:t>
      </w:r>
      <w:r w:rsidRPr="00DC23CE">
        <w:rPr>
          <w:rFonts w:cs="Arial"/>
          <w:i/>
          <w:iCs/>
          <w:color w:val="auto"/>
          <w:szCs w:val="24"/>
          <w:lang w:val="en-US"/>
        </w:rPr>
        <w:t>Journal of Open Innovation: Technology, Market, and Complexity</w:t>
      </w:r>
      <w:r w:rsidRPr="00DC23CE">
        <w:rPr>
          <w:rFonts w:cs="Arial"/>
          <w:color w:val="auto"/>
          <w:szCs w:val="24"/>
          <w:lang w:val="en-US"/>
        </w:rPr>
        <w:t xml:space="preserve">, 10(2), p.100274. </w:t>
      </w:r>
      <w:proofErr w:type="spellStart"/>
      <w:proofErr w:type="gramStart"/>
      <w:r w:rsidRPr="00DC23CE">
        <w:rPr>
          <w:rFonts w:cs="Arial"/>
          <w:color w:val="auto"/>
          <w:szCs w:val="24"/>
          <w:lang w:val="en-US"/>
        </w:rPr>
        <w:t>doi:https</w:t>
      </w:r>
      <w:proofErr w:type="spellEnd"/>
      <w:r w:rsidRPr="00DC23CE">
        <w:rPr>
          <w:rFonts w:cs="Arial"/>
          <w:color w:val="auto"/>
          <w:szCs w:val="24"/>
          <w:lang w:val="en-US"/>
        </w:rPr>
        <w:t>://doi.org/10.1016/j.joitmc.2024.100274</w:t>
      </w:r>
      <w:proofErr w:type="gramEnd"/>
      <w:r w:rsidRPr="00DC23CE">
        <w:rPr>
          <w:rFonts w:cs="Arial"/>
          <w:color w:val="auto"/>
          <w:szCs w:val="24"/>
          <w:lang w:val="en-US"/>
        </w:rPr>
        <w:t>.</w:t>
      </w:r>
    </w:p>
    <w:p w14:paraId="011AE2E1" w14:textId="77777777" w:rsidR="00560FF5" w:rsidRPr="00DC23CE" w:rsidRDefault="00560FF5" w:rsidP="00C61F77">
      <w:pPr>
        <w:spacing w:line="360" w:lineRule="auto"/>
        <w:jc w:val="both"/>
        <w:rPr>
          <w:rFonts w:cs="Arial"/>
          <w:color w:val="auto"/>
          <w:szCs w:val="24"/>
          <w:lang w:val="en-US"/>
        </w:rPr>
      </w:pPr>
      <w:r w:rsidRPr="00DC23CE">
        <w:rPr>
          <w:rFonts w:cs="Arial"/>
          <w:color w:val="auto"/>
          <w:szCs w:val="24"/>
          <w:lang w:val="en-US"/>
        </w:rPr>
        <w:t xml:space="preserve">Reuters (2024). BHP, Rio Tinto to build low-carbon iron pilot plant in Western Australia. </w:t>
      </w:r>
      <w:r w:rsidRPr="00DC23CE">
        <w:rPr>
          <w:rFonts w:cs="Arial"/>
          <w:i/>
          <w:iCs/>
          <w:color w:val="auto"/>
          <w:szCs w:val="24"/>
          <w:lang w:val="en-US"/>
        </w:rPr>
        <w:t>Reuters</w:t>
      </w:r>
      <w:r w:rsidRPr="00DC23CE">
        <w:rPr>
          <w:rFonts w:cs="Arial"/>
          <w:color w:val="auto"/>
          <w:szCs w:val="24"/>
          <w:lang w:val="en-US"/>
        </w:rPr>
        <w:t>. [online] 17 Dec. Available at: https://www.reuters.com/markets/commodities/bhp-rio-tinto-build-low-carbon-iron-pilot-plant-western-australia-2024-12-17/.</w:t>
      </w:r>
    </w:p>
    <w:p w14:paraId="7F7E7374" w14:textId="77777777" w:rsidR="00560FF5" w:rsidRPr="00DC23CE" w:rsidRDefault="00560FF5" w:rsidP="00C61F77">
      <w:pPr>
        <w:spacing w:line="360" w:lineRule="auto"/>
        <w:jc w:val="both"/>
        <w:rPr>
          <w:rFonts w:cs="Arial"/>
          <w:color w:val="auto"/>
          <w:szCs w:val="24"/>
          <w:lang w:val="en-US"/>
        </w:rPr>
      </w:pPr>
      <w:r w:rsidRPr="00DC23CE">
        <w:rPr>
          <w:rFonts w:cs="Arial"/>
          <w:color w:val="auto"/>
          <w:szCs w:val="24"/>
          <w:lang w:val="en-US"/>
        </w:rPr>
        <w:lastRenderedPageBreak/>
        <w:t xml:space="preserve">Reuters (2025a). BHP delays Jansen potash project as costs surge; logs record copper output. </w:t>
      </w:r>
      <w:r w:rsidRPr="00DC23CE">
        <w:rPr>
          <w:rFonts w:cs="Arial"/>
          <w:i/>
          <w:iCs/>
          <w:color w:val="auto"/>
          <w:szCs w:val="24"/>
          <w:lang w:val="en-US"/>
        </w:rPr>
        <w:t>Reuters</w:t>
      </w:r>
      <w:r w:rsidRPr="00DC23CE">
        <w:rPr>
          <w:rFonts w:cs="Arial"/>
          <w:color w:val="auto"/>
          <w:szCs w:val="24"/>
          <w:lang w:val="en-US"/>
        </w:rPr>
        <w:t>. [online] 18 Jul. Available at: https://www.reuters.com/business/bhp-delays-jansen-potash-project-costs-surge-logs-record-copper-output-2025-07-17/.</w:t>
      </w:r>
    </w:p>
    <w:p w14:paraId="31201F4E" w14:textId="77777777" w:rsidR="00560FF5" w:rsidRPr="00DC23CE" w:rsidRDefault="00560FF5" w:rsidP="00C61F77">
      <w:pPr>
        <w:spacing w:line="360" w:lineRule="auto"/>
        <w:jc w:val="both"/>
        <w:rPr>
          <w:rFonts w:cs="Arial"/>
          <w:color w:val="auto"/>
          <w:szCs w:val="24"/>
          <w:lang w:val="en-US"/>
        </w:rPr>
      </w:pPr>
      <w:r w:rsidRPr="00DC23CE">
        <w:rPr>
          <w:rFonts w:cs="Arial"/>
          <w:color w:val="auto"/>
          <w:szCs w:val="24"/>
          <w:lang w:val="en-US"/>
        </w:rPr>
        <w:t xml:space="preserve">Reuters (2025b). BHP takes steps with CATL, BYD to use more batteries, cut emissions. </w:t>
      </w:r>
      <w:r w:rsidRPr="00DC23CE">
        <w:rPr>
          <w:rFonts w:cs="Arial"/>
          <w:i/>
          <w:iCs/>
          <w:color w:val="auto"/>
          <w:szCs w:val="24"/>
          <w:lang w:val="en-US"/>
        </w:rPr>
        <w:t>Reuters</w:t>
      </w:r>
      <w:r w:rsidRPr="00DC23CE">
        <w:rPr>
          <w:rFonts w:cs="Arial"/>
          <w:color w:val="auto"/>
          <w:szCs w:val="24"/>
          <w:lang w:val="en-US"/>
        </w:rPr>
        <w:t>. [online] 14 Jul. Available at: https://www.reuters.com/sustainability/climate-energy/bhp-signs-deals-with-catl-byd-use-batteries-mines-vehicles-2025-07-14/.</w:t>
      </w:r>
    </w:p>
    <w:p w14:paraId="385DC396" w14:textId="77777777" w:rsidR="00560FF5" w:rsidRPr="00DC23CE" w:rsidRDefault="00560FF5" w:rsidP="00C61F77">
      <w:pPr>
        <w:spacing w:line="360" w:lineRule="auto"/>
        <w:jc w:val="both"/>
        <w:rPr>
          <w:rFonts w:cs="Arial"/>
          <w:color w:val="auto"/>
          <w:szCs w:val="24"/>
          <w:lang w:val="en-US"/>
        </w:rPr>
      </w:pPr>
      <w:r w:rsidRPr="00DC23CE">
        <w:rPr>
          <w:rFonts w:cs="Arial"/>
          <w:color w:val="auto"/>
          <w:szCs w:val="24"/>
          <w:lang w:val="en-US"/>
        </w:rPr>
        <w:t xml:space="preserve">Reuters (2025c). BHP, POSCO sign deal to advance hydrogen-based low emissions iron. </w:t>
      </w:r>
      <w:r w:rsidRPr="00DC23CE">
        <w:rPr>
          <w:rFonts w:cs="Arial"/>
          <w:i/>
          <w:iCs/>
          <w:color w:val="auto"/>
          <w:szCs w:val="24"/>
          <w:lang w:val="en-US"/>
        </w:rPr>
        <w:t>Reuters</w:t>
      </w:r>
      <w:r w:rsidRPr="00DC23CE">
        <w:rPr>
          <w:rFonts w:cs="Arial"/>
          <w:color w:val="auto"/>
          <w:szCs w:val="24"/>
          <w:lang w:val="en-US"/>
        </w:rPr>
        <w:t>. [online] 30 Oct. Available at: https://www.reuters.com/sustainability/climate-energy/bhp-posco-sign-deal-advance-hydrogen-based-low-emissions-iron-2025-10-30/.</w:t>
      </w:r>
    </w:p>
    <w:p w14:paraId="00251994" w14:textId="77777777" w:rsidR="00560FF5" w:rsidRPr="00DC23CE" w:rsidRDefault="00560FF5" w:rsidP="00C61F77">
      <w:pPr>
        <w:spacing w:line="360" w:lineRule="auto"/>
        <w:jc w:val="both"/>
        <w:rPr>
          <w:rFonts w:cs="Arial"/>
          <w:color w:val="auto"/>
          <w:szCs w:val="24"/>
          <w:lang w:val="en-US"/>
        </w:rPr>
      </w:pPr>
      <w:r w:rsidRPr="00DC23CE">
        <w:rPr>
          <w:rFonts w:cs="Arial"/>
          <w:color w:val="auto"/>
          <w:szCs w:val="24"/>
          <w:lang w:val="en-US"/>
        </w:rPr>
        <w:t xml:space="preserve">Reuters (2025d). Revamped Australian environment law will help business and nature, government says. </w:t>
      </w:r>
      <w:r w:rsidRPr="00DC23CE">
        <w:rPr>
          <w:rFonts w:cs="Arial"/>
          <w:i/>
          <w:iCs/>
          <w:color w:val="auto"/>
          <w:szCs w:val="24"/>
          <w:lang w:val="en-US"/>
        </w:rPr>
        <w:t>Reuters</w:t>
      </w:r>
      <w:r w:rsidRPr="00DC23CE">
        <w:rPr>
          <w:rFonts w:cs="Arial"/>
          <w:color w:val="auto"/>
          <w:szCs w:val="24"/>
          <w:lang w:val="en-US"/>
        </w:rPr>
        <w:t>. [online] 30 Oct. Available at: https://www.reuters.com/sustainability/climate-energy/australian-government-says-its-environmental-protection-bill-will-help-business-2025-10-29/.</w:t>
      </w:r>
    </w:p>
    <w:p w14:paraId="2A52EC34" w14:textId="77777777" w:rsidR="00560FF5" w:rsidRPr="00DC23CE" w:rsidRDefault="00560FF5" w:rsidP="00C61F77">
      <w:pPr>
        <w:spacing w:line="360" w:lineRule="auto"/>
        <w:jc w:val="both"/>
        <w:rPr>
          <w:rFonts w:cs="Arial"/>
          <w:color w:val="auto"/>
          <w:szCs w:val="24"/>
          <w:lang w:val="en-US"/>
        </w:rPr>
      </w:pPr>
      <w:r w:rsidRPr="00DC23CE">
        <w:rPr>
          <w:rFonts w:cs="Arial"/>
          <w:color w:val="auto"/>
          <w:szCs w:val="24"/>
          <w:lang w:val="en-US"/>
        </w:rPr>
        <w:t xml:space="preserve">Rumsa, M., John, M. and Biswas, W. (2025). Global steel decarbonisation roadmaps: Near-zero by 2050. </w:t>
      </w:r>
      <w:r w:rsidRPr="00DC23CE">
        <w:rPr>
          <w:rFonts w:cs="Arial"/>
          <w:i/>
          <w:iCs/>
          <w:color w:val="auto"/>
          <w:szCs w:val="24"/>
          <w:lang w:val="en-US"/>
        </w:rPr>
        <w:t>Environmental Impact Assessment Review</w:t>
      </w:r>
      <w:r w:rsidRPr="00DC23CE">
        <w:rPr>
          <w:rFonts w:cs="Arial"/>
          <w:color w:val="auto"/>
          <w:szCs w:val="24"/>
          <w:lang w:val="en-US"/>
        </w:rPr>
        <w:t xml:space="preserve">, 112, pp.107807–107807. </w:t>
      </w:r>
      <w:proofErr w:type="spellStart"/>
      <w:proofErr w:type="gramStart"/>
      <w:r w:rsidRPr="00DC23CE">
        <w:rPr>
          <w:rFonts w:cs="Arial"/>
          <w:color w:val="auto"/>
          <w:szCs w:val="24"/>
          <w:lang w:val="en-US"/>
        </w:rPr>
        <w:t>doi:https</w:t>
      </w:r>
      <w:proofErr w:type="spellEnd"/>
      <w:r w:rsidRPr="00DC23CE">
        <w:rPr>
          <w:rFonts w:cs="Arial"/>
          <w:color w:val="auto"/>
          <w:szCs w:val="24"/>
          <w:lang w:val="en-US"/>
        </w:rPr>
        <w:t>://doi.org/10.1016/j.eiar.2025.107807</w:t>
      </w:r>
      <w:proofErr w:type="gramEnd"/>
      <w:r w:rsidRPr="00DC23CE">
        <w:rPr>
          <w:rFonts w:cs="Arial"/>
          <w:color w:val="auto"/>
          <w:szCs w:val="24"/>
          <w:lang w:val="en-US"/>
        </w:rPr>
        <w:t>.</w:t>
      </w:r>
    </w:p>
    <w:p w14:paraId="4A3C4B87" w14:textId="77777777" w:rsidR="00560FF5" w:rsidRPr="00DC23CE" w:rsidRDefault="00560FF5" w:rsidP="00C61F77">
      <w:pPr>
        <w:spacing w:line="360" w:lineRule="auto"/>
        <w:jc w:val="both"/>
        <w:rPr>
          <w:rFonts w:cs="Arial"/>
          <w:color w:val="auto"/>
          <w:szCs w:val="24"/>
          <w:lang w:val="en-US"/>
        </w:rPr>
      </w:pPr>
      <w:r w:rsidRPr="00DC23CE">
        <w:rPr>
          <w:rFonts w:cs="Arial"/>
          <w:color w:val="auto"/>
          <w:szCs w:val="24"/>
          <w:lang w:val="en-US"/>
        </w:rPr>
        <w:t xml:space="preserve">Saura, J.R., </w:t>
      </w:r>
      <w:proofErr w:type="spellStart"/>
      <w:r w:rsidRPr="00DC23CE">
        <w:rPr>
          <w:rFonts w:cs="Arial"/>
          <w:color w:val="auto"/>
          <w:szCs w:val="24"/>
          <w:lang w:val="en-US"/>
        </w:rPr>
        <w:t>Škare</w:t>
      </w:r>
      <w:proofErr w:type="spellEnd"/>
      <w:r w:rsidRPr="00DC23CE">
        <w:rPr>
          <w:rFonts w:cs="Arial"/>
          <w:color w:val="auto"/>
          <w:szCs w:val="24"/>
          <w:lang w:val="en-US"/>
        </w:rPr>
        <w:t xml:space="preserve">, V. and Dosen, D.O. (2024). Is AI-based Digital Marketing ethical? Assessing a New Data Privacy Paradox. </w:t>
      </w:r>
      <w:r w:rsidRPr="00DC23CE">
        <w:rPr>
          <w:rFonts w:cs="Arial"/>
          <w:i/>
          <w:iCs/>
          <w:color w:val="auto"/>
          <w:szCs w:val="24"/>
          <w:lang w:val="en-US"/>
        </w:rPr>
        <w:t>Journal of Innovation &amp; Knowledge</w:t>
      </w:r>
      <w:r w:rsidRPr="00DC23CE">
        <w:rPr>
          <w:rFonts w:cs="Arial"/>
          <w:color w:val="auto"/>
          <w:szCs w:val="24"/>
          <w:lang w:val="en-US"/>
        </w:rPr>
        <w:t xml:space="preserve">, [online] 9(4), p.100597. </w:t>
      </w:r>
      <w:proofErr w:type="spellStart"/>
      <w:proofErr w:type="gramStart"/>
      <w:r w:rsidRPr="00DC23CE">
        <w:rPr>
          <w:rFonts w:cs="Arial"/>
          <w:color w:val="auto"/>
          <w:szCs w:val="24"/>
          <w:lang w:val="en-US"/>
        </w:rPr>
        <w:t>doi:https</w:t>
      </w:r>
      <w:proofErr w:type="spellEnd"/>
      <w:r w:rsidRPr="00DC23CE">
        <w:rPr>
          <w:rFonts w:cs="Arial"/>
          <w:color w:val="auto"/>
          <w:szCs w:val="24"/>
          <w:lang w:val="en-US"/>
        </w:rPr>
        <w:t>://doi.org/10.1016/j.jik.2024.100597</w:t>
      </w:r>
      <w:proofErr w:type="gramEnd"/>
      <w:r w:rsidRPr="00DC23CE">
        <w:rPr>
          <w:rFonts w:cs="Arial"/>
          <w:color w:val="auto"/>
          <w:szCs w:val="24"/>
          <w:lang w:val="en-US"/>
        </w:rPr>
        <w:t>.</w:t>
      </w:r>
    </w:p>
    <w:p w14:paraId="0424765F" w14:textId="77777777" w:rsidR="00560FF5" w:rsidRPr="00DC23CE" w:rsidRDefault="00560FF5" w:rsidP="00C13C53">
      <w:pPr>
        <w:spacing w:line="360" w:lineRule="auto"/>
        <w:jc w:val="both"/>
        <w:rPr>
          <w:rFonts w:cs="Arial"/>
          <w:color w:val="auto"/>
          <w:szCs w:val="24"/>
        </w:rPr>
      </w:pPr>
    </w:p>
    <w:p w14:paraId="296C3551" w14:textId="77777777" w:rsidR="00E106E6" w:rsidRPr="00DC23CE" w:rsidRDefault="00E106E6" w:rsidP="00CF291A">
      <w:pPr>
        <w:spacing w:line="360" w:lineRule="auto"/>
        <w:jc w:val="both"/>
        <w:rPr>
          <w:rFonts w:cs="Arial"/>
          <w:color w:val="auto"/>
          <w:szCs w:val="24"/>
          <w:lang w:val="en-US"/>
        </w:rPr>
      </w:pPr>
    </w:p>
    <w:sectPr w:rsidR="00E106E6" w:rsidRPr="00DC23CE" w:rsidSect="00D07A23">
      <w:footerReference w:type="default" r:id="rId21"/>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2AC958" w14:textId="77777777" w:rsidR="00437696" w:rsidRDefault="00437696" w:rsidP="002F43E7">
      <w:pPr>
        <w:spacing w:after="0" w:line="240" w:lineRule="auto"/>
      </w:pPr>
      <w:r>
        <w:separator/>
      </w:r>
    </w:p>
  </w:endnote>
  <w:endnote w:type="continuationSeparator" w:id="0">
    <w:p w14:paraId="76C43FA3" w14:textId="77777777" w:rsidR="00437696" w:rsidRDefault="00437696" w:rsidP="002F43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Shruti">
    <w:panose1 w:val="02000500000000000000"/>
    <w:charset w:val="00"/>
    <w:family w:val="swiss"/>
    <w:pitch w:val="variable"/>
    <w:sig w:usb0="0004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69676463"/>
      <w:docPartObj>
        <w:docPartGallery w:val="Page Numbers (Bottom of Page)"/>
        <w:docPartUnique/>
      </w:docPartObj>
    </w:sdtPr>
    <w:sdtEndPr>
      <w:rPr>
        <w:noProof/>
      </w:rPr>
    </w:sdtEndPr>
    <w:sdtContent>
      <w:p w14:paraId="255411F3" w14:textId="55451B21" w:rsidR="00D07A23" w:rsidRDefault="00D07A2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EC92230" w14:textId="77777777" w:rsidR="00D07A23" w:rsidRDefault="00D07A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643BEE" w14:textId="77777777" w:rsidR="00437696" w:rsidRDefault="00437696" w:rsidP="002F43E7">
      <w:pPr>
        <w:spacing w:after="0" w:line="240" w:lineRule="auto"/>
      </w:pPr>
      <w:r>
        <w:separator/>
      </w:r>
    </w:p>
  </w:footnote>
  <w:footnote w:type="continuationSeparator" w:id="0">
    <w:p w14:paraId="581633B7" w14:textId="77777777" w:rsidR="00437696" w:rsidRDefault="00437696" w:rsidP="002F43E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630493"/>
    <w:multiLevelType w:val="hybridMultilevel"/>
    <w:tmpl w:val="3A2AA66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D8E4297"/>
    <w:multiLevelType w:val="hybridMultilevel"/>
    <w:tmpl w:val="B5E46A8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14E21BD"/>
    <w:multiLevelType w:val="hybridMultilevel"/>
    <w:tmpl w:val="0CE6119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7A51573F"/>
    <w:multiLevelType w:val="hybridMultilevel"/>
    <w:tmpl w:val="A9DAB48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344479911">
    <w:abstractNumId w:val="1"/>
  </w:num>
  <w:num w:numId="2" w16cid:durableId="1088581589">
    <w:abstractNumId w:val="0"/>
  </w:num>
  <w:num w:numId="3" w16cid:durableId="1536115833">
    <w:abstractNumId w:val="2"/>
  </w:num>
  <w:num w:numId="4" w16cid:durableId="42017585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2F67"/>
    <w:rsid w:val="00000F38"/>
    <w:rsid w:val="000022C5"/>
    <w:rsid w:val="000035EB"/>
    <w:rsid w:val="00013E8B"/>
    <w:rsid w:val="00047738"/>
    <w:rsid w:val="00051F78"/>
    <w:rsid w:val="000754FA"/>
    <w:rsid w:val="000770C9"/>
    <w:rsid w:val="00081C10"/>
    <w:rsid w:val="00095519"/>
    <w:rsid w:val="000C3C92"/>
    <w:rsid w:val="000E1351"/>
    <w:rsid w:val="00133491"/>
    <w:rsid w:val="001565AA"/>
    <w:rsid w:val="001573B0"/>
    <w:rsid w:val="001777B1"/>
    <w:rsid w:val="0018025B"/>
    <w:rsid w:val="00180B49"/>
    <w:rsid w:val="001A6CDB"/>
    <w:rsid w:val="001B1292"/>
    <w:rsid w:val="001B6CAB"/>
    <w:rsid w:val="001E429E"/>
    <w:rsid w:val="001F2D76"/>
    <w:rsid w:val="001F6596"/>
    <w:rsid w:val="00225F72"/>
    <w:rsid w:val="00246858"/>
    <w:rsid w:val="00284108"/>
    <w:rsid w:val="00290856"/>
    <w:rsid w:val="002954D2"/>
    <w:rsid w:val="002C3CAA"/>
    <w:rsid w:val="002F43E7"/>
    <w:rsid w:val="002F4728"/>
    <w:rsid w:val="003029FE"/>
    <w:rsid w:val="003462A1"/>
    <w:rsid w:val="00354C3E"/>
    <w:rsid w:val="00390B0C"/>
    <w:rsid w:val="003A08DC"/>
    <w:rsid w:val="003A0EA0"/>
    <w:rsid w:val="003A13F7"/>
    <w:rsid w:val="003C61ED"/>
    <w:rsid w:val="003D3177"/>
    <w:rsid w:val="003E3203"/>
    <w:rsid w:val="003E5928"/>
    <w:rsid w:val="003F6BD8"/>
    <w:rsid w:val="0040673D"/>
    <w:rsid w:val="00413E1B"/>
    <w:rsid w:val="00437696"/>
    <w:rsid w:val="00445CFD"/>
    <w:rsid w:val="00447940"/>
    <w:rsid w:val="00470289"/>
    <w:rsid w:val="00481859"/>
    <w:rsid w:val="00481EBF"/>
    <w:rsid w:val="00482885"/>
    <w:rsid w:val="004840CE"/>
    <w:rsid w:val="004A6A0D"/>
    <w:rsid w:val="004B0203"/>
    <w:rsid w:val="004C090B"/>
    <w:rsid w:val="004E0921"/>
    <w:rsid w:val="00517E26"/>
    <w:rsid w:val="005216A4"/>
    <w:rsid w:val="005303A6"/>
    <w:rsid w:val="00560FF5"/>
    <w:rsid w:val="005720AD"/>
    <w:rsid w:val="005771D3"/>
    <w:rsid w:val="00580CC9"/>
    <w:rsid w:val="00585DED"/>
    <w:rsid w:val="005878FC"/>
    <w:rsid w:val="005A5405"/>
    <w:rsid w:val="005B310E"/>
    <w:rsid w:val="005C3563"/>
    <w:rsid w:val="005E41CD"/>
    <w:rsid w:val="005E73D3"/>
    <w:rsid w:val="006079CB"/>
    <w:rsid w:val="00615036"/>
    <w:rsid w:val="0062175F"/>
    <w:rsid w:val="00643321"/>
    <w:rsid w:val="00650D08"/>
    <w:rsid w:val="00666F24"/>
    <w:rsid w:val="00674C75"/>
    <w:rsid w:val="00690AF2"/>
    <w:rsid w:val="00692BC4"/>
    <w:rsid w:val="00695FE6"/>
    <w:rsid w:val="006C2419"/>
    <w:rsid w:val="006D7F1F"/>
    <w:rsid w:val="006F32CB"/>
    <w:rsid w:val="00726EB5"/>
    <w:rsid w:val="00743AE1"/>
    <w:rsid w:val="007534D9"/>
    <w:rsid w:val="00756C54"/>
    <w:rsid w:val="00770E08"/>
    <w:rsid w:val="00793761"/>
    <w:rsid w:val="007A6623"/>
    <w:rsid w:val="007A7123"/>
    <w:rsid w:val="007C7C77"/>
    <w:rsid w:val="007F1DA0"/>
    <w:rsid w:val="007F50DF"/>
    <w:rsid w:val="007F58C9"/>
    <w:rsid w:val="00820BDA"/>
    <w:rsid w:val="00832124"/>
    <w:rsid w:val="00841EB3"/>
    <w:rsid w:val="00871F8B"/>
    <w:rsid w:val="008A0449"/>
    <w:rsid w:val="008A1E65"/>
    <w:rsid w:val="008D699B"/>
    <w:rsid w:val="008E2390"/>
    <w:rsid w:val="009308A2"/>
    <w:rsid w:val="0093730D"/>
    <w:rsid w:val="009407F7"/>
    <w:rsid w:val="00942F67"/>
    <w:rsid w:val="0094634D"/>
    <w:rsid w:val="00952187"/>
    <w:rsid w:val="00960B08"/>
    <w:rsid w:val="00984508"/>
    <w:rsid w:val="009968C2"/>
    <w:rsid w:val="009B1EE2"/>
    <w:rsid w:val="009B50E6"/>
    <w:rsid w:val="009D09ED"/>
    <w:rsid w:val="009E6C70"/>
    <w:rsid w:val="00A1634A"/>
    <w:rsid w:val="00A21BC1"/>
    <w:rsid w:val="00A4506A"/>
    <w:rsid w:val="00A61574"/>
    <w:rsid w:val="00A63BA2"/>
    <w:rsid w:val="00A8750B"/>
    <w:rsid w:val="00AA1BED"/>
    <w:rsid w:val="00AD3D42"/>
    <w:rsid w:val="00AD4035"/>
    <w:rsid w:val="00AE5CBE"/>
    <w:rsid w:val="00AF0E47"/>
    <w:rsid w:val="00B15AD8"/>
    <w:rsid w:val="00B26521"/>
    <w:rsid w:val="00B27AEA"/>
    <w:rsid w:val="00B3176A"/>
    <w:rsid w:val="00BA35E8"/>
    <w:rsid w:val="00BB1008"/>
    <w:rsid w:val="00BC64DB"/>
    <w:rsid w:val="00BE0D34"/>
    <w:rsid w:val="00BE7631"/>
    <w:rsid w:val="00BF2D8B"/>
    <w:rsid w:val="00C13C53"/>
    <w:rsid w:val="00C61F77"/>
    <w:rsid w:val="00C648FB"/>
    <w:rsid w:val="00C71000"/>
    <w:rsid w:val="00C76DC0"/>
    <w:rsid w:val="00C86B1C"/>
    <w:rsid w:val="00C9019B"/>
    <w:rsid w:val="00C93385"/>
    <w:rsid w:val="00CD49E3"/>
    <w:rsid w:val="00CD5EE9"/>
    <w:rsid w:val="00CF291A"/>
    <w:rsid w:val="00D015AD"/>
    <w:rsid w:val="00D07A23"/>
    <w:rsid w:val="00D1129B"/>
    <w:rsid w:val="00D216BB"/>
    <w:rsid w:val="00D70928"/>
    <w:rsid w:val="00D779CE"/>
    <w:rsid w:val="00D86C5F"/>
    <w:rsid w:val="00DA3AD3"/>
    <w:rsid w:val="00DA670B"/>
    <w:rsid w:val="00DC23CE"/>
    <w:rsid w:val="00DF57E0"/>
    <w:rsid w:val="00DF7E91"/>
    <w:rsid w:val="00E03D61"/>
    <w:rsid w:val="00E106E6"/>
    <w:rsid w:val="00E16FF6"/>
    <w:rsid w:val="00E414CD"/>
    <w:rsid w:val="00E44274"/>
    <w:rsid w:val="00E5455B"/>
    <w:rsid w:val="00EB02AD"/>
    <w:rsid w:val="00EC635B"/>
    <w:rsid w:val="00ED596A"/>
    <w:rsid w:val="00F00C17"/>
    <w:rsid w:val="00F132FC"/>
    <w:rsid w:val="00F14584"/>
    <w:rsid w:val="00F22C31"/>
    <w:rsid w:val="00F27CED"/>
    <w:rsid w:val="00F322D9"/>
    <w:rsid w:val="00F4741D"/>
    <w:rsid w:val="00F50097"/>
    <w:rsid w:val="00F878A9"/>
    <w:rsid w:val="00FC4F91"/>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ACDCAE"/>
  <w15:chartTrackingRefBased/>
  <w15:docId w15:val="{23BC9D87-0D97-4DDC-92ED-A22E6097DA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F0E47"/>
    <w:rPr>
      <w:rFonts w:ascii="Arial" w:hAnsi="Arial"/>
      <w:color w:val="000000" w:themeColor="text1"/>
      <w:sz w:val="24"/>
      <w:lang w:val="en-GB"/>
    </w:rPr>
  </w:style>
  <w:style w:type="paragraph" w:styleId="Heading1">
    <w:name w:val="heading 1"/>
    <w:basedOn w:val="Normal"/>
    <w:next w:val="Normal"/>
    <w:link w:val="Heading1Char"/>
    <w:uiPriority w:val="9"/>
    <w:qFormat/>
    <w:rsid w:val="00AF0E47"/>
    <w:pPr>
      <w:keepNext/>
      <w:keepLines/>
      <w:spacing w:before="360" w:after="80"/>
      <w:outlineLvl w:val="0"/>
    </w:pPr>
    <w:rPr>
      <w:rFonts w:eastAsiaTheme="majorEastAsia" w:cstheme="majorBidi"/>
      <w:b/>
      <w:szCs w:val="40"/>
    </w:rPr>
  </w:style>
  <w:style w:type="paragraph" w:styleId="Heading2">
    <w:name w:val="heading 2"/>
    <w:basedOn w:val="Normal"/>
    <w:next w:val="Normal"/>
    <w:link w:val="Heading2Char"/>
    <w:uiPriority w:val="9"/>
    <w:unhideWhenUsed/>
    <w:qFormat/>
    <w:rsid w:val="00AF0E47"/>
    <w:pPr>
      <w:keepNext/>
      <w:keepLines/>
      <w:spacing w:before="160" w:after="80"/>
      <w:outlineLvl w:val="1"/>
    </w:pPr>
    <w:rPr>
      <w:rFonts w:eastAsiaTheme="majorEastAsia" w:cstheme="majorBidi"/>
      <w:b/>
      <w:szCs w:val="32"/>
    </w:rPr>
  </w:style>
  <w:style w:type="paragraph" w:styleId="Heading3">
    <w:name w:val="heading 3"/>
    <w:basedOn w:val="Normal"/>
    <w:next w:val="Normal"/>
    <w:link w:val="Heading3Char"/>
    <w:uiPriority w:val="9"/>
    <w:unhideWhenUsed/>
    <w:qFormat/>
    <w:rsid w:val="00000F38"/>
    <w:pPr>
      <w:keepNext/>
      <w:keepLines/>
      <w:spacing w:before="160" w:after="80"/>
      <w:outlineLvl w:val="2"/>
    </w:pPr>
    <w:rPr>
      <w:rFonts w:eastAsiaTheme="majorEastAsia" w:cstheme="majorBidi"/>
      <w:b/>
      <w:szCs w:val="28"/>
    </w:rPr>
  </w:style>
  <w:style w:type="paragraph" w:styleId="Heading4">
    <w:name w:val="heading 4"/>
    <w:basedOn w:val="Normal"/>
    <w:next w:val="Normal"/>
    <w:link w:val="Heading4Char"/>
    <w:uiPriority w:val="9"/>
    <w:semiHidden/>
    <w:unhideWhenUsed/>
    <w:qFormat/>
    <w:rsid w:val="00942F67"/>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942F67"/>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942F6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42F6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42F6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42F6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F0E47"/>
    <w:rPr>
      <w:rFonts w:ascii="Arial" w:eastAsiaTheme="majorEastAsia" w:hAnsi="Arial" w:cstheme="majorBidi"/>
      <w:b/>
      <w:color w:val="000000" w:themeColor="text1"/>
      <w:sz w:val="24"/>
      <w:szCs w:val="40"/>
    </w:rPr>
  </w:style>
  <w:style w:type="character" w:customStyle="1" w:styleId="Heading2Char">
    <w:name w:val="Heading 2 Char"/>
    <w:basedOn w:val="DefaultParagraphFont"/>
    <w:link w:val="Heading2"/>
    <w:uiPriority w:val="9"/>
    <w:rsid w:val="00AF0E47"/>
    <w:rPr>
      <w:rFonts w:ascii="Arial" w:eastAsiaTheme="majorEastAsia" w:hAnsi="Arial" w:cstheme="majorBidi"/>
      <w:b/>
      <w:color w:val="000000" w:themeColor="text1"/>
      <w:sz w:val="24"/>
      <w:szCs w:val="32"/>
    </w:rPr>
  </w:style>
  <w:style w:type="character" w:customStyle="1" w:styleId="Heading3Char">
    <w:name w:val="Heading 3 Char"/>
    <w:basedOn w:val="DefaultParagraphFont"/>
    <w:link w:val="Heading3"/>
    <w:uiPriority w:val="9"/>
    <w:rsid w:val="00000F38"/>
    <w:rPr>
      <w:rFonts w:ascii="Arial" w:eastAsiaTheme="majorEastAsia" w:hAnsi="Arial" w:cstheme="majorBidi"/>
      <w:b/>
      <w:color w:val="000000" w:themeColor="text1"/>
      <w:sz w:val="24"/>
      <w:szCs w:val="28"/>
      <w:lang w:val="en-GB"/>
    </w:rPr>
  </w:style>
  <w:style w:type="character" w:customStyle="1" w:styleId="Heading4Char">
    <w:name w:val="Heading 4 Char"/>
    <w:basedOn w:val="DefaultParagraphFont"/>
    <w:link w:val="Heading4"/>
    <w:uiPriority w:val="9"/>
    <w:semiHidden/>
    <w:rsid w:val="00942F67"/>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942F67"/>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942F6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42F6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42F6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42F67"/>
    <w:rPr>
      <w:rFonts w:eastAsiaTheme="majorEastAsia" w:cstheme="majorBidi"/>
      <w:color w:val="272727" w:themeColor="text1" w:themeTint="D8"/>
    </w:rPr>
  </w:style>
  <w:style w:type="paragraph" w:styleId="Title">
    <w:name w:val="Title"/>
    <w:basedOn w:val="Normal"/>
    <w:next w:val="Normal"/>
    <w:link w:val="TitleChar"/>
    <w:uiPriority w:val="10"/>
    <w:qFormat/>
    <w:rsid w:val="00942F6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42F6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42F6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42F6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42F67"/>
    <w:pPr>
      <w:spacing w:before="160"/>
      <w:jc w:val="center"/>
    </w:pPr>
    <w:rPr>
      <w:i/>
      <w:iCs/>
      <w:color w:val="404040" w:themeColor="text1" w:themeTint="BF"/>
    </w:rPr>
  </w:style>
  <w:style w:type="character" w:customStyle="1" w:styleId="QuoteChar">
    <w:name w:val="Quote Char"/>
    <w:basedOn w:val="DefaultParagraphFont"/>
    <w:link w:val="Quote"/>
    <w:uiPriority w:val="29"/>
    <w:rsid w:val="00942F67"/>
    <w:rPr>
      <w:i/>
      <w:iCs/>
      <w:color w:val="404040" w:themeColor="text1" w:themeTint="BF"/>
    </w:rPr>
  </w:style>
  <w:style w:type="paragraph" w:styleId="ListParagraph">
    <w:name w:val="List Paragraph"/>
    <w:basedOn w:val="Normal"/>
    <w:uiPriority w:val="34"/>
    <w:qFormat/>
    <w:rsid w:val="00942F67"/>
    <w:pPr>
      <w:ind w:left="720"/>
      <w:contextualSpacing/>
    </w:pPr>
  </w:style>
  <w:style w:type="character" w:styleId="IntenseEmphasis">
    <w:name w:val="Intense Emphasis"/>
    <w:basedOn w:val="DefaultParagraphFont"/>
    <w:uiPriority w:val="21"/>
    <w:qFormat/>
    <w:rsid w:val="00942F67"/>
    <w:rPr>
      <w:i/>
      <w:iCs/>
      <w:color w:val="2E74B5" w:themeColor="accent1" w:themeShade="BF"/>
    </w:rPr>
  </w:style>
  <w:style w:type="paragraph" w:styleId="IntenseQuote">
    <w:name w:val="Intense Quote"/>
    <w:basedOn w:val="Normal"/>
    <w:next w:val="Normal"/>
    <w:link w:val="IntenseQuoteChar"/>
    <w:uiPriority w:val="30"/>
    <w:qFormat/>
    <w:rsid w:val="00942F67"/>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942F67"/>
    <w:rPr>
      <w:i/>
      <w:iCs/>
      <w:color w:val="2E74B5" w:themeColor="accent1" w:themeShade="BF"/>
    </w:rPr>
  </w:style>
  <w:style w:type="character" w:styleId="IntenseReference">
    <w:name w:val="Intense Reference"/>
    <w:basedOn w:val="DefaultParagraphFont"/>
    <w:uiPriority w:val="32"/>
    <w:qFormat/>
    <w:rsid w:val="00942F67"/>
    <w:rPr>
      <w:b/>
      <w:bCs/>
      <w:smallCaps/>
      <w:color w:val="2E74B5" w:themeColor="accent1" w:themeShade="BF"/>
      <w:spacing w:val="5"/>
    </w:rPr>
  </w:style>
  <w:style w:type="character" w:styleId="Hyperlink">
    <w:name w:val="Hyperlink"/>
    <w:basedOn w:val="DefaultParagraphFont"/>
    <w:uiPriority w:val="99"/>
    <w:unhideWhenUsed/>
    <w:rsid w:val="00841EB3"/>
    <w:rPr>
      <w:color w:val="0563C1" w:themeColor="hyperlink"/>
      <w:u w:val="single"/>
    </w:rPr>
  </w:style>
  <w:style w:type="character" w:styleId="UnresolvedMention">
    <w:name w:val="Unresolved Mention"/>
    <w:basedOn w:val="DefaultParagraphFont"/>
    <w:uiPriority w:val="99"/>
    <w:semiHidden/>
    <w:unhideWhenUsed/>
    <w:rsid w:val="00841EB3"/>
    <w:rPr>
      <w:color w:val="605E5C"/>
      <w:shd w:val="clear" w:color="auto" w:fill="E1DFDD"/>
    </w:rPr>
  </w:style>
  <w:style w:type="paragraph" w:styleId="TOCHeading">
    <w:name w:val="TOC Heading"/>
    <w:basedOn w:val="Heading1"/>
    <w:next w:val="Normal"/>
    <w:uiPriority w:val="39"/>
    <w:unhideWhenUsed/>
    <w:qFormat/>
    <w:rsid w:val="00DF57E0"/>
    <w:pPr>
      <w:spacing w:before="240" w:after="0"/>
      <w:outlineLvl w:val="9"/>
    </w:pPr>
    <w:rPr>
      <w:rFonts w:asciiTheme="majorHAnsi" w:hAnsiTheme="majorHAnsi"/>
      <w:b w:val="0"/>
      <w:color w:val="2E74B5" w:themeColor="accent1" w:themeShade="BF"/>
      <w:sz w:val="32"/>
      <w:szCs w:val="32"/>
      <w:lang w:val="en-US"/>
    </w:rPr>
  </w:style>
  <w:style w:type="paragraph" w:styleId="TOC1">
    <w:name w:val="toc 1"/>
    <w:basedOn w:val="Normal"/>
    <w:next w:val="Normal"/>
    <w:autoRedefine/>
    <w:uiPriority w:val="39"/>
    <w:unhideWhenUsed/>
    <w:rsid w:val="00DF57E0"/>
    <w:pPr>
      <w:spacing w:after="100"/>
    </w:pPr>
  </w:style>
  <w:style w:type="paragraph" w:styleId="TOC2">
    <w:name w:val="toc 2"/>
    <w:basedOn w:val="Normal"/>
    <w:next w:val="Normal"/>
    <w:autoRedefine/>
    <w:uiPriority w:val="39"/>
    <w:unhideWhenUsed/>
    <w:rsid w:val="00DF57E0"/>
    <w:pPr>
      <w:spacing w:after="100"/>
      <w:ind w:left="240"/>
    </w:pPr>
  </w:style>
  <w:style w:type="paragraph" w:styleId="TOC3">
    <w:name w:val="toc 3"/>
    <w:basedOn w:val="Normal"/>
    <w:next w:val="Normal"/>
    <w:autoRedefine/>
    <w:uiPriority w:val="39"/>
    <w:unhideWhenUsed/>
    <w:rsid w:val="00DF57E0"/>
    <w:pPr>
      <w:spacing w:after="100"/>
      <w:ind w:left="480"/>
    </w:pPr>
  </w:style>
  <w:style w:type="paragraph" w:styleId="Header">
    <w:name w:val="header"/>
    <w:basedOn w:val="Normal"/>
    <w:link w:val="HeaderChar"/>
    <w:uiPriority w:val="99"/>
    <w:unhideWhenUsed/>
    <w:rsid w:val="002F43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43E7"/>
    <w:rPr>
      <w:rFonts w:ascii="Arial" w:hAnsi="Arial"/>
      <w:color w:val="000000" w:themeColor="text1"/>
      <w:sz w:val="24"/>
      <w:lang w:val="en-GB"/>
    </w:rPr>
  </w:style>
  <w:style w:type="paragraph" w:styleId="Footer">
    <w:name w:val="footer"/>
    <w:basedOn w:val="Normal"/>
    <w:link w:val="FooterChar"/>
    <w:uiPriority w:val="99"/>
    <w:unhideWhenUsed/>
    <w:rsid w:val="002F43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43E7"/>
    <w:rPr>
      <w:rFonts w:ascii="Arial" w:hAnsi="Arial"/>
      <w:color w:val="000000" w:themeColor="text1"/>
      <w:sz w:val="24"/>
      <w:lang w:val="en-GB"/>
    </w:rPr>
  </w:style>
  <w:style w:type="paragraph" w:styleId="NormalWeb">
    <w:name w:val="Normal (Web)"/>
    <w:basedOn w:val="Normal"/>
    <w:uiPriority w:val="99"/>
    <w:semiHidden/>
    <w:unhideWhenUsed/>
    <w:rsid w:val="00770E08"/>
    <w:rPr>
      <w:rFonts w:ascii="Times New Roman" w:hAnsi="Times New Roman"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bhp.com/about/why-our-work-matters"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bhp.com/what-we-do/global-locations/canada" TargetMode="External"/><Relationship Id="rId2" Type="http://schemas.openxmlformats.org/officeDocument/2006/relationships/numbering" Target="numbering.xml"/><Relationship Id="rId16" Type="http://schemas.openxmlformats.org/officeDocument/2006/relationships/hyperlink" Target="https://www.bhp.com/-/media/documents/media/reports-and-presentations/2025/250819_bhpresultsfortheyearended30june2025.pdf?utm_source=chatgpt.com" TargetMode="External"/><Relationship Id="rId20" Type="http://schemas.openxmlformats.org/officeDocument/2006/relationships/hyperlink" Target="https://www.iea.org/reports/global-critical-minerals-outlook-2025/executive-summar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bhp.com/about" TargetMode="External"/><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www.sec.gov/Archives/edgar/data/811809/000119312525183071/d35528d6k.htm?utm_source=chatgpt.co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0EC90C-7DCD-4107-9489-53C83818E5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18</Pages>
  <Words>3956</Words>
  <Characters>22551</Characters>
  <Application>Microsoft Office Word</Application>
  <DocSecurity>0</DocSecurity>
  <Lines>187</Lines>
  <Paragraphs>52</Paragraphs>
  <ScaleCrop>false</ScaleCrop>
  <Company/>
  <LinksUpToDate>false</LinksUpToDate>
  <CharactersWithSpaces>26455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mt360daysservice@gmail.com</dc:creator>
  <cp:keywords/>
  <dc:description/>
  <cp:lastModifiedBy>Dell</cp:lastModifiedBy>
  <cp:revision>6</cp:revision>
  <dcterms:created xsi:type="dcterms:W3CDTF">2026-07-04T21:11:00Z</dcterms:created>
  <dcterms:modified xsi:type="dcterms:W3CDTF">2026-07-22T17:06:00Z</dcterms:modified>
</cp:coreProperties>
</file>