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62C957" w14:textId="4317BE7D" w:rsidR="00383106" w:rsidRDefault="20B9F154" w:rsidP="32EE5E3E">
      <w:pPr>
        <w:spacing w:after="0"/>
      </w:pPr>
      <w:r w:rsidRPr="32EE5E3E">
        <w:rPr>
          <w:rFonts w:ascii="Arial" w:eastAsia="Arial" w:hAnsi="Arial" w:cs="Arial"/>
          <w:b/>
          <w:bCs/>
        </w:rPr>
        <w:t>Analyse and evaluate the extent to which the criminal law is prepared to accept that a victim may consent to harm.</w:t>
      </w:r>
    </w:p>
    <w:p w14:paraId="24CE29E7" w14:textId="62EA5E47" w:rsidR="32EE5E3E" w:rsidRDefault="32EE5E3E"/>
    <w:p w14:paraId="7A22F4E7" w14:textId="31215EB8" w:rsidR="5841DFF4" w:rsidRDefault="5841DFF4" w:rsidP="32EE5E3E">
      <w:pPr>
        <w:rPr>
          <w:rFonts w:ascii="Calibri" w:eastAsia="Calibri" w:hAnsi="Calibri" w:cs="Calibri"/>
          <w:sz w:val="22"/>
          <w:szCs w:val="22"/>
        </w:rPr>
      </w:pPr>
      <w:r w:rsidRPr="7BB39E41">
        <w:rPr>
          <w:rFonts w:ascii="Calibri" w:eastAsia="Calibri" w:hAnsi="Calibri" w:cs="Calibri"/>
          <w:sz w:val="22"/>
          <w:szCs w:val="22"/>
        </w:rPr>
        <w:t xml:space="preserve">The recognition of a victim's agreement to injury in the context of criminal law is a complicated and diverse matter that lies at the nexus of public </w:t>
      </w:r>
      <w:r w:rsidR="5642C96D" w:rsidRPr="7BB39E41">
        <w:rPr>
          <w:rFonts w:ascii="Calibri" w:eastAsia="Calibri" w:hAnsi="Calibri" w:cs="Calibri"/>
          <w:sz w:val="22"/>
          <w:szCs w:val="22"/>
        </w:rPr>
        <w:t>policy.</w:t>
      </w:r>
      <w:r w:rsidRPr="7BB39E41">
        <w:rPr>
          <w:rFonts w:ascii="Calibri" w:eastAsia="Calibri" w:hAnsi="Calibri" w:cs="Calibri"/>
          <w:sz w:val="22"/>
          <w:szCs w:val="22"/>
        </w:rPr>
        <w:t xml:space="preserve"> Although the primary goal of criminal law is to keep people safe, there are situations in which the law allows people to give their permission to do things that would otherwise be considered illegal</w:t>
      </w:r>
      <w:r w:rsidR="325FC026" w:rsidRPr="7BB39E41">
        <w:rPr>
          <w:rFonts w:ascii="Calibri" w:eastAsia="Calibri" w:hAnsi="Calibri" w:cs="Calibri"/>
          <w:sz w:val="22"/>
          <w:szCs w:val="22"/>
        </w:rPr>
        <w:t xml:space="preserve"> in different </w:t>
      </w:r>
      <w:r w:rsidR="2E266B8F" w:rsidRPr="7BB39E41">
        <w:rPr>
          <w:rFonts w:ascii="Calibri" w:eastAsia="Calibri" w:hAnsi="Calibri" w:cs="Calibri"/>
          <w:sz w:val="22"/>
          <w:szCs w:val="22"/>
        </w:rPr>
        <w:t>situations</w:t>
      </w:r>
      <w:r w:rsidRPr="7BB39E41">
        <w:rPr>
          <w:rFonts w:ascii="Calibri" w:eastAsia="Calibri" w:hAnsi="Calibri" w:cs="Calibri"/>
          <w:sz w:val="22"/>
          <w:szCs w:val="22"/>
        </w:rPr>
        <w:t xml:space="preserve">. This </w:t>
      </w:r>
      <w:r w:rsidR="332488CA" w:rsidRPr="7BB39E41">
        <w:rPr>
          <w:rFonts w:ascii="Calibri" w:eastAsia="Calibri" w:hAnsi="Calibri" w:cs="Calibri"/>
          <w:sz w:val="22"/>
          <w:szCs w:val="22"/>
        </w:rPr>
        <w:t>subtle stance</w:t>
      </w:r>
      <w:r w:rsidRPr="7BB39E41">
        <w:rPr>
          <w:rFonts w:ascii="Calibri" w:eastAsia="Calibri" w:hAnsi="Calibri" w:cs="Calibri"/>
          <w:sz w:val="22"/>
          <w:szCs w:val="22"/>
        </w:rPr>
        <w:t xml:space="preserve"> is influenced by various factors, including the extent of the harm</w:t>
      </w:r>
      <w:r w:rsidR="573C0B26" w:rsidRPr="7BB39E41">
        <w:rPr>
          <w:rFonts w:ascii="Calibri" w:eastAsia="Calibri" w:hAnsi="Calibri" w:cs="Calibri"/>
          <w:sz w:val="22"/>
          <w:szCs w:val="22"/>
        </w:rPr>
        <w:t xml:space="preserve"> and</w:t>
      </w:r>
      <w:r w:rsidRPr="7BB39E41">
        <w:rPr>
          <w:rFonts w:ascii="Calibri" w:eastAsia="Calibri" w:hAnsi="Calibri" w:cs="Calibri"/>
          <w:sz w:val="22"/>
          <w:szCs w:val="22"/>
        </w:rPr>
        <w:t xml:space="preserve"> the situation surrounding the consent</w:t>
      </w:r>
      <w:r w:rsidR="5427597E" w:rsidRPr="7BB39E41">
        <w:rPr>
          <w:rFonts w:ascii="Calibri" w:eastAsia="Calibri" w:hAnsi="Calibri" w:cs="Calibri"/>
          <w:sz w:val="22"/>
          <w:szCs w:val="22"/>
        </w:rPr>
        <w:t>.</w:t>
      </w:r>
      <w:r w:rsidRPr="7BB39E41">
        <w:rPr>
          <w:rFonts w:ascii="Calibri" w:eastAsia="Calibri" w:hAnsi="Calibri" w:cs="Calibri"/>
          <w:sz w:val="22"/>
          <w:szCs w:val="22"/>
        </w:rPr>
        <w:t xml:space="preserve"> The laws' willingness to accept consent varies greatly, ranging from physical sports and consensual sexual acts to medical procedures and cultural practices</w:t>
      </w:r>
      <w:r w:rsidR="66A191CE" w:rsidRPr="7BB39E41">
        <w:rPr>
          <w:rFonts w:ascii="Calibri" w:eastAsia="Calibri" w:hAnsi="Calibri" w:cs="Calibri"/>
          <w:sz w:val="22"/>
          <w:szCs w:val="22"/>
        </w:rPr>
        <w:t>, this can be a range of offences.</w:t>
      </w:r>
    </w:p>
    <w:p w14:paraId="3593B8A6" w14:textId="53E33A59" w:rsidR="689338DD" w:rsidRDefault="689338DD" w:rsidP="32EE5E3E">
      <w:pPr>
        <w:rPr>
          <w:rFonts w:ascii="Calibri" w:eastAsia="Calibri" w:hAnsi="Calibri" w:cs="Calibri"/>
          <w:sz w:val="22"/>
          <w:szCs w:val="22"/>
        </w:rPr>
      </w:pPr>
      <w:r w:rsidRPr="7BB39E41">
        <w:rPr>
          <w:rFonts w:ascii="Calibri" w:eastAsia="Calibri" w:hAnsi="Calibri" w:cs="Calibri"/>
          <w:sz w:val="22"/>
          <w:szCs w:val="22"/>
        </w:rPr>
        <w:t xml:space="preserve">Depending on the jurisdiction and type of harm, different criminal laws have different positions on the complex question of whether a victim can agree to harm. The general rule is that, although it has its restrictions, consent may be used as a </w:t>
      </w:r>
      <w:r w:rsidR="080FB8BE" w:rsidRPr="7BB39E41">
        <w:rPr>
          <w:rFonts w:ascii="Calibri" w:eastAsia="Calibri" w:hAnsi="Calibri" w:cs="Calibri"/>
          <w:sz w:val="22"/>
          <w:szCs w:val="22"/>
        </w:rPr>
        <w:t>defense</w:t>
      </w:r>
      <w:r w:rsidRPr="7BB39E41">
        <w:rPr>
          <w:rFonts w:ascii="Calibri" w:eastAsia="Calibri" w:hAnsi="Calibri" w:cs="Calibri"/>
          <w:sz w:val="22"/>
          <w:szCs w:val="22"/>
        </w:rPr>
        <w:t xml:space="preserve"> against some criminal accusations, especially those </w:t>
      </w:r>
      <w:r w:rsidR="37A6DD28" w:rsidRPr="7BB39E41">
        <w:rPr>
          <w:rFonts w:ascii="Calibri" w:eastAsia="Calibri" w:hAnsi="Calibri" w:cs="Calibri"/>
          <w:sz w:val="22"/>
          <w:szCs w:val="22"/>
        </w:rPr>
        <w:t xml:space="preserve">which </w:t>
      </w:r>
      <w:r w:rsidRPr="7BB39E41">
        <w:rPr>
          <w:rFonts w:ascii="Calibri" w:eastAsia="Calibri" w:hAnsi="Calibri" w:cs="Calibri"/>
          <w:sz w:val="22"/>
          <w:szCs w:val="22"/>
        </w:rPr>
        <w:t>involv</w:t>
      </w:r>
      <w:r w:rsidR="7604B94F" w:rsidRPr="7BB39E41">
        <w:rPr>
          <w:rFonts w:ascii="Calibri" w:eastAsia="Calibri" w:hAnsi="Calibri" w:cs="Calibri"/>
          <w:sz w:val="22"/>
          <w:szCs w:val="22"/>
        </w:rPr>
        <w:t>e</w:t>
      </w:r>
      <w:r w:rsidRPr="7BB39E41">
        <w:rPr>
          <w:rFonts w:ascii="Calibri" w:eastAsia="Calibri" w:hAnsi="Calibri" w:cs="Calibri"/>
          <w:sz w:val="22"/>
          <w:szCs w:val="22"/>
        </w:rPr>
        <w:t xml:space="preserve"> bodily harm.</w:t>
      </w:r>
      <w:r w:rsidR="51BD2AF6" w:rsidRPr="7BB39E41">
        <w:rPr>
          <w:rFonts w:ascii="Calibri" w:eastAsia="Calibri" w:hAnsi="Calibri" w:cs="Calibri"/>
          <w:sz w:val="22"/>
          <w:szCs w:val="22"/>
        </w:rPr>
        <w:t xml:space="preserve"> </w:t>
      </w:r>
      <w:r w:rsidR="2F117284" w:rsidRPr="7BB39E41">
        <w:rPr>
          <w:rFonts w:ascii="Calibri" w:eastAsia="Calibri" w:hAnsi="Calibri" w:cs="Calibri"/>
          <w:sz w:val="22"/>
          <w:szCs w:val="22"/>
        </w:rPr>
        <w:t xml:space="preserve">Consent can be used as a defense in criminal law against some offences, especially those that involve assault or battery. A person's agreement to an action that could otherwise be deemed hurtful could invalidate the action's illegality. </w:t>
      </w:r>
      <w:r w:rsidR="49E8014A" w:rsidRPr="7BB39E41">
        <w:rPr>
          <w:rFonts w:ascii="Calibri" w:eastAsia="Calibri" w:hAnsi="Calibri" w:cs="Calibri"/>
          <w:sz w:val="22"/>
          <w:szCs w:val="22"/>
        </w:rPr>
        <w:t>Whether permission is a legitimate defense depends largely on public policy.</w:t>
      </w:r>
      <w:r w:rsidR="7A04FC19" w:rsidRPr="7BB39E41">
        <w:rPr>
          <w:rFonts w:ascii="Calibri" w:eastAsia="Calibri" w:hAnsi="Calibri" w:cs="Calibri"/>
          <w:sz w:val="22"/>
          <w:szCs w:val="22"/>
        </w:rPr>
        <w:t xml:space="preserve"> Even when people give their permission, the law frequently seeks to keep them safe. </w:t>
      </w:r>
      <w:r w:rsidR="14D78D48" w:rsidRPr="7BB39E41">
        <w:rPr>
          <w:rFonts w:ascii="Calibri" w:eastAsia="Calibri" w:hAnsi="Calibri" w:cs="Calibri"/>
          <w:sz w:val="22"/>
          <w:szCs w:val="22"/>
        </w:rPr>
        <w:t>Because of this, the admissibility of permission as a defense often depends on whether the injury is thought to be advantageous or socially acceptable</w:t>
      </w:r>
      <w:r w:rsidR="0DE724B3" w:rsidRPr="7BB39E41">
        <w:rPr>
          <w:rFonts w:ascii="Calibri" w:eastAsia="Calibri" w:hAnsi="Calibri" w:cs="Calibri"/>
          <w:sz w:val="22"/>
          <w:szCs w:val="22"/>
        </w:rPr>
        <w:t xml:space="preserve"> and where the crime was committed and between who.</w:t>
      </w:r>
      <w:r w:rsidR="1EA3BE75" w:rsidRPr="7BB39E41">
        <w:rPr>
          <w:rFonts w:ascii="Calibri" w:eastAsia="Calibri" w:hAnsi="Calibri" w:cs="Calibri"/>
          <w:sz w:val="22"/>
          <w:szCs w:val="22"/>
        </w:rPr>
        <w:t xml:space="preserve"> Consent being used as a defense can be stated as the </w:t>
      </w:r>
      <w:r w:rsidR="67A5243B" w:rsidRPr="7BB39E41">
        <w:rPr>
          <w:rFonts w:ascii="Calibri" w:eastAsia="Calibri" w:hAnsi="Calibri" w:cs="Calibri"/>
          <w:sz w:val="22"/>
          <w:szCs w:val="22"/>
        </w:rPr>
        <w:t xml:space="preserve">defendant can argue that due to being given consent there was not a crime committed. </w:t>
      </w:r>
      <w:r w:rsidR="0CE62C11" w:rsidRPr="7BB39E41">
        <w:rPr>
          <w:rFonts w:ascii="Calibri" w:eastAsia="Calibri" w:hAnsi="Calibri" w:cs="Calibri"/>
          <w:sz w:val="22"/>
          <w:szCs w:val="22"/>
        </w:rPr>
        <w:t>However,</w:t>
      </w:r>
      <w:r w:rsidR="67A5243B" w:rsidRPr="7BB39E41">
        <w:rPr>
          <w:rFonts w:ascii="Calibri" w:eastAsia="Calibri" w:hAnsi="Calibri" w:cs="Calibri"/>
          <w:sz w:val="22"/>
          <w:szCs w:val="22"/>
        </w:rPr>
        <w:t xml:space="preserve"> </w:t>
      </w:r>
      <w:r w:rsidR="41E023D4" w:rsidRPr="7BB39E41">
        <w:rPr>
          <w:rFonts w:ascii="Calibri" w:eastAsia="Calibri" w:hAnsi="Calibri" w:cs="Calibri"/>
          <w:sz w:val="22"/>
          <w:szCs w:val="22"/>
        </w:rPr>
        <w:t xml:space="preserve">consent is not normally </w:t>
      </w:r>
      <w:r w:rsidR="5A60D758" w:rsidRPr="7BB39E41">
        <w:rPr>
          <w:rFonts w:ascii="Calibri" w:eastAsia="Calibri" w:hAnsi="Calibri" w:cs="Calibri"/>
          <w:sz w:val="22"/>
          <w:szCs w:val="22"/>
        </w:rPr>
        <w:t xml:space="preserve">a defense to criminal charges unless the crime in question is a rape or sexual assault </w:t>
      </w:r>
      <w:r w:rsidR="3F489193" w:rsidRPr="7BB39E41">
        <w:rPr>
          <w:rFonts w:ascii="Calibri" w:eastAsia="Calibri" w:hAnsi="Calibri" w:cs="Calibri"/>
          <w:sz w:val="22"/>
          <w:szCs w:val="22"/>
        </w:rPr>
        <w:t xml:space="preserve">crime. When being given consent, it must be given willingly without pressure and by their own will and </w:t>
      </w:r>
      <w:r w:rsidR="38DB4B81" w:rsidRPr="7BB39E41">
        <w:rPr>
          <w:rFonts w:ascii="Calibri" w:eastAsia="Calibri" w:hAnsi="Calibri" w:cs="Calibri"/>
          <w:sz w:val="22"/>
          <w:szCs w:val="22"/>
        </w:rPr>
        <w:t>admission of what will be happening.</w:t>
      </w:r>
    </w:p>
    <w:p w14:paraId="3382268F" w14:textId="1FAB0527" w:rsidR="00014480" w:rsidRDefault="20BB9D62" w:rsidP="6E2AB4A7">
      <w:pPr>
        <w:pStyle w:val="p1"/>
        <w:divId w:val="1471508933"/>
        <w:rPr>
          <w:rFonts w:ascii="Calibri" w:eastAsia="Calibri" w:hAnsi="Calibri" w:cs="Calibri"/>
          <w:sz w:val="22"/>
          <w:szCs w:val="22"/>
        </w:rPr>
      </w:pPr>
      <w:r w:rsidRPr="7BB39E41">
        <w:rPr>
          <w:rStyle w:val="s1"/>
          <w:rFonts w:ascii="Calibri" w:eastAsia="Calibri" w:hAnsi="Calibri" w:cs="Calibri"/>
          <w:sz w:val="22"/>
          <w:szCs w:val="22"/>
        </w:rPr>
        <w:t xml:space="preserve">One area where consent is commonly addressed is in cases of sports and recreational activities. In these instances, participants may inherently consent to a certain level of harm by engaging in contact sports or risky activities. Courts often consider the nature of the activity, the level of risk involved, and the participants' voluntary participation when determining whether a victim's consent is a valid </w:t>
      </w:r>
      <w:r w:rsidR="0445F28D" w:rsidRPr="7BB39E41">
        <w:rPr>
          <w:rStyle w:val="s1"/>
          <w:rFonts w:ascii="Calibri" w:eastAsia="Calibri" w:hAnsi="Calibri" w:cs="Calibri"/>
          <w:sz w:val="22"/>
          <w:szCs w:val="22"/>
        </w:rPr>
        <w:t>defence</w:t>
      </w:r>
      <w:r w:rsidRPr="7BB39E41">
        <w:rPr>
          <w:rStyle w:val="s1"/>
          <w:rFonts w:ascii="Calibri" w:eastAsia="Calibri" w:hAnsi="Calibri" w:cs="Calibri"/>
          <w:sz w:val="22"/>
          <w:szCs w:val="22"/>
        </w:rPr>
        <w:t>.</w:t>
      </w:r>
    </w:p>
    <w:p w14:paraId="1FB1A64D" w14:textId="714E7E22" w:rsidR="00014480" w:rsidRDefault="20BB9D62" w:rsidP="6E2AB4A7">
      <w:pPr>
        <w:pStyle w:val="p1"/>
        <w:divId w:val="1471508933"/>
        <w:rPr>
          <w:rStyle w:val="s1"/>
          <w:rFonts w:ascii="Calibri" w:eastAsia="Calibri" w:hAnsi="Calibri" w:cs="Calibri"/>
          <w:sz w:val="22"/>
          <w:szCs w:val="22"/>
        </w:rPr>
      </w:pPr>
      <w:r w:rsidRPr="7BB39E41">
        <w:rPr>
          <w:rStyle w:val="s1"/>
          <w:rFonts w:ascii="Calibri" w:eastAsia="Calibri" w:hAnsi="Calibri" w:cs="Calibri"/>
          <w:sz w:val="22"/>
          <w:szCs w:val="22"/>
        </w:rPr>
        <w:t xml:space="preserve">However, even in these cases, there are limits to the type and extent of harm that can be consented to. Courts are unlikely to accept consent as a </w:t>
      </w:r>
      <w:r w:rsidR="595A5512" w:rsidRPr="7BB39E41">
        <w:rPr>
          <w:rStyle w:val="s1"/>
          <w:rFonts w:ascii="Calibri" w:eastAsia="Calibri" w:hAnsi="Calibri" w:cs="Calibri"/>
          <w:sz w:val="22"/>
          <w:szCs w:val="22"/>
        </w:rPr>
        <w:t>defence</w:t>
      </w:r>
      <w:r w:rsidRPr="7BB39E41">
        <w:rPr>
          <w:rStyle w:val="s1"/>
          <w:rFonts w:ascii="Calibri" w:eastAsia="Calibri" w:hAnsi="Calibri" w:cs="Calibri"/>
          <w:sz w:val="22"/>
          <w:szCs w:val="22"/>
        </w:rPr>
        <w:t xml:space="preserve"> in cases of serious bodily harm, permanent injury, or actions that go beyond the bounds of the agreed-upon activity.</w:t>
      </w:r>
    </w:p>
    <w:p w14:paraId="6F7D9321" w14:textId="777932B0" w:rsidR="00014480" w:rsidRDefault="00014480" w:rsidP="6E2AB4A7">
      <w:pPr>
        <w:pStyle w:val="p1"/>
        <w:divId w:val="1471508933"/>
        <w:rPr>
          <w:rStyle w:val="s1"/>
          <w:rFonts w:ascii="Calibri" w:eastAsia="Calibri" w:hAnsi="Calibri" w:cs="Calibri"/>
          <w:sz w:val="22"/>
          <w:szCs w:val="22"/>
        </w:rPr>
      </w:pPr>
    </w:p>
    <w:p w14:paraId="2966993E" w14:textId="24F4D2B9" w:rsidR="003B445E" w:rsidRDefault="00014480" w:rsidP="7BB39E41">
      <w:pPr>
        <w:pStyle w:val="p1"/>
        <w:rPr>
          <w:rStyle w:val="s1"/>
          <w:rFonts w:ascii="Calibri" w:eastAsia="Calibri" w:hAnsi="Calibri" w:cs="Calibri"/>
          <w:sz w:val="22"/>
          <w:szCs w:val="22"/>
        </w:rPr>
      </w:pPr>
      <w:r w:rsidRPr="7BB39E41">
        <w:rPr>
          <w:rStyle w:val="s1"/>
          <w:rFonts w:ascii="Calibri" w:eastAsia="Calibri" w:hAnsi="Calibri" w:cs="Calibri"/>
          <w:sz w:val="22"/>
          <w:szCs w:val="22"/>
        </w:rPr>
        <w:t>Moreover, there are strict guidelines and principles in place to ensure that consent is given freely and without coercion. For example, consent given under duress, deception, or incapacity is not considered valid in the eyes of the law</w:t>
      </w:r>
      <w:r w:rsidR="4B9A7EEF" w:rsidRPr="7BB39E41">
        <w:rPr>
          <w:rStyle w:val="s1"/>
          <w:rFonts w:ascii="Calibri" w:eastAsia="Calibri" w:hAnsi="Calibri" w:cs="Calibri"/>
          <w:sz w:val="22"/>
          <w:szCs w:val="22"/>
        </w:rPr>
        <w:t xml:space="preserve"> as without this, consent would not have been taken.</w:t>
      </w:r>
      <w:r w:rsidR="53A63F40" w:rsidRPr="7BB39E41">
        <w:rPr>
          <w:rStyle w:val="s1"/>
          <w:rFonts w:ascii="Calibri" w:eastAsia="Calibri" w:hAnsi="Calibri" w:cs="Calibri"/>
          <w:sz w:val="22"/>
          <w:szCs w:val="22"/>
        </w:rPr>
        <w:t xml:space="preserve"> </w:t>
      </w:r>
      <w:r w:rsidR="00A24C77" w:rsidRPr="7BB39E41">
        <w:rPr>
          <w:rStyle w:val="s1"/>
          <w:rFonts w:ascii="Calibri" w:eastAsia="Calibri" w:hAnsi="Calibri" w:cs="Calibri"/>
          <w:sz w:val="22"/>
          <w:szCs w:val="22"/>
        </w:rPr>
        <w:t xml:space="preserve">In cases of intimate partner violence or situations where the harm inflicted is non-consensual, the law takes a firm stance against the perpetrator, regardless of any claim of consent by the victim. Consent is not a </w:t>
      </w:r>
      <w:r w:rsidR="42545F31" w:rsidRPr="7BB39E41">
        <w:rPr>
          <w:rStyle w:val="s1"/>
          <w:rFonts w:ascii="Calibri" w:eastAsia="Calibri" w:hAnsi="Calibri" w:cs="Calibri"/>
          <w:sz w:val="22"/>
          <w:szCs w:val="22"/>
        </w:rPr>
        <w:t xml:space="preserve">defense </w:t>
      </w:r>
      <w:r w:rsidR="00A24C77" w:rsidRPr="7BB39E41">
        <w:rPr>
          <w:rStyle w:val="s1"/>
          <w:rFonts w:ascii="Calibri" w:eastAsia="Calibri" w:hAnsi="Calibri" w:cs="Calibri"/>
          <w:sz w:val="22"/>
          <w:szCs w:val="22"/>
        </w:rPr>
        <w:t>in cases of domestic abuse, sexual assault, or any form of violence where there is a power imbalance or coercion involved.</w:t>
      </w:r>
      <w:r w:rsidR="19B75FC5" w:rsidRPr="7BB39E41">
        <w:rPr>
          <w:rStyle w:val="s1"/>
          <w:rFonts w:ascii="Calibri" w:eastAsia="Calibri" w:hAnsi="Calibri" w:cs="Calibri"/>
          <w:sz w:val="22"/>
          <w:szCs w:val="22"/>
        </w:rPr>
        <w:t xml:space="preserve"> </w:t>
      </w:r>
      <w:r w:rsidR="346F6BF2" w:rsidRPr="7BB39E41">
        <w:rPr>
          <w:rStyle w:val="s1"/>
          <w:rFonts w:ascii="Calibri" w:eastAsia="Calibri" w:hAnsi="Calibri" w:cs="Calibri"/>
          <w:sz w:val="22"/>
          <w:szCs w:val="22"/>
        </w:rPr>
        <w:t xml:space="preserve"> </w:t>
      </w:r>
    </w:p>
    <w:p w14:paraId="0E69173F" w14:textId="3FA80BC1" w:rsidR="7BB39E41" w:rsidRDefault="7BB39E41" w:rsidP="7BB39E41">
      <w:pPr>
        <w:pStyle w:val="p1"/>
        <w:rPr>
          <w:rStyle w:val="s1"/>
          <w:rFonts w:ascii="Calibri" w:eastAsia="Calibri" w:hAnsi="Calibri" w:cs="Calibri"/>
          <w:sz w:val="22"/>
          <w:szCs w:val="22"/>
        </w:rPr>
      </w:pPr>
    </w:p>
    <w:p w14:paraId="23906E92" w14:textId="572FE113" w:rsidR="7A04FC19" w:rsidRDefault="7A04FC19" w:rsidP="32EE5E3E">
      <w:pPr>
        <w:rPr>
          <w:rFonts w:ascii="Calibri" w:eastAsia="Calibri" w:hAnsi="Calibri" w:cs="Calibri"/>
          <w:sz w:val="22"/>
          <w:szCs w:val="22"/>
        </w:rPr>
      </w:pPr>
      <w:r w:rsidRPr="32EE5E3E">
        <w:rPr>
          <w:rFonts w:ascii="Calibri" w:eastAsia="Calibri" w:hAnsi="Calibri" w:cs="Calibri"/>
          <w:sz w:val="22"/>
          <w:szCs w:val="22"/>
        </w:rPr>
        <w:t xml:space="preserve">There are two levels of </w:t>
      </w:r>
      <w:r w:rsidR="594D2B00" w:rsidRPr="32EE5E3E">
        <w:rPr>
          <w:rFonts w:ascii="Calibri" w:eastAsia="Calibri" w:hAnsi="Calibri" w:cs="Calibri"/>
          <w:sz w:val="22"/>
          <w:szCs w:val="22"/>
        </w:rPr>
        <w:t>harm</w:t>
      </w:r>
      <w:r w:rsidRPr="32EE5E3E">
        <w:rPr>
          <w:rFonts w:ascii="Calibri" w:eastAsia="Calibri" w:hAnsi="Calibri" w:cs="Calibri"/>
          <w:sz w:val="22"/>
          <w:szCs w:val="22"/>
        </w:rPr>
        <w:t xml:space="preserve"> and </w:t>
      </w:r>
      <w:r w:rsidR="00147518" w:rsidRPr="32EE5E3E">
        <w:rPr>
          <w:rFonts w:ascii="Calibri" w:eastAsia="Calibri" w:hAnsi="Calibri" w:cs="Calibri"/>
          <w:sz w:val="22"/>
          <w:szCs w:val="22"/>
        </w:rPr>
        <w:t>consent</w:t>
      </w:r>
      <w:r w:rsidRPr="32EE5E3E">
        <w:rPr>
          <w:rFonts w:ascii="Calibri" w:eastAsia="Calibri" w:hAnsi="Calibri" w:cs="Calibri"/>
          <w:sz w:val="22"/>
          <w:szCs w:val="22"/>
        </w:rPr>
        <w:t>, moderate harm</w:t>
      </w:r>
      <w:r w:rsidR="43E60B44" w:rsidRPr="32EE5E3E">
        <w:rPr>
          <w:rFonts w:ascii="Calibri" w:eastAsia="Calibri" w:hAnsi="Calibri" w:cs="Calibri"/>
          <w:sz w:val="22"/>
          <w:szCs w:val="22"/>
        </w:rPr>
        <w:t>, minor harm, serious harm and injury and death.</w:t>
      </w:r>
      <w:r w:rsidR="0B43B65D" w:rsidRPr="32EE5E3E">
        <w:rPr>
          <w:rFonts w:ascii="Calibri" w:eastAsia="Calibri" w:hAnsi="Calibri" w:cs="Calibri"/>
          <w:sz w:val="22"/>
          <w:szCs w:val="22"/>
        </w:rPr>
        <w:t xml:space="preserve"> For minor physical harm, such as that incurred in contact sports or consensual sexual activities, the law typically accepts consent as a valid defense</w:t>
      </w:r>
      <w:r w:rsidR="40123166" w:rsidRPr="32EE5E3E">
        <w:rPr>
          <w:rFonts w:ascii="Calibri" w:eastAsia="Calibri" w:hAnsi="Calibri" w:cs="Calibri"/>
          <w:sz w:val="22"/>
          <w:szCs w:val="22"/>
        </w:rPr>
        <w:t xml:space="preserve"> as these crimes sometimes cannot be helped</w:t>
      </w:r>
      <w:r w:rsidR="02393D5B" w:rsidRPr="32EE5E3E">
        <w:rPr>
          <w:rFonts w:ascii="Calibri" w:eastAsia="Calibri" w:hAnsi="Calibri" w:cs="Calibri"/>
          <w:sz w:val="22"/>
          <w:szCs w:val="22"/>
        </w:rPr>
        <w:t xml:space="preserve"> and this is a valid </w:t>
      </w:r>
      <w:r w:rsidR="02FAAC73" w:rsidRPr="32EE5E3E">
        <w:rPr>
          <w:rFonts w:ascii="Calibri" w:eastAsia="Calibri" w:hAnsi="Calibri" w:cs="Calibri"/>
          <w:sz w:val="22"/>
          <w:szCs w:val="22"/>
        </w:rPr>
        <w:t>defense</w:t>
      </w:r>
      <w:r w:rsidR="0B43B65D" w:rsidRPr="32EE5E3E">
        <w:rPr>
          <w:rFonts w:ascii="Calibri" w:eastAsia="Calibri" w:hAnsi="Calibri" w:cs="Calibri"/>
          <w:sz w:val="22"/>
          <w:szCs w:val="22"/>
        </w:rPr>
        <w:t xml:space="preserve">. Consent to moderate harm, such as that which occurs in rough sexual encounters or certain forms of body modification </w:t>
      </w:r>
      <w:r w:rsidR="081F05B8" w:rsidRPr="32EE5E3E">
        <w:rPr>
          <w:rFonts w:ascii="Calibri" w:eastAsia="Calibri" w:hAnsi="Calibri" w:cs="Calibri"/>
          <w:sz w:val="22"/>
          <w:szCs w:val="22"/>
        </w:rPr>
        <w:t xml:space="preserve">such as </w:t>
      </w:r>
      <w:r w:rsidR="0B43B65D" w:rsidRPr="32EE5E3E">
        <w:rPr>
          <w:rFonts w:ascii="Calibri" w:eastAsia="Calibri" w:hAnsi="Calibri" w:cs="Calibri"/>
          <w:sz w:val="22"/>
          <w:szCs w:val="22"/>
        </w:rPr>
        <w:t>tattoos</w:t>
      </w:r>
      <w:r w:rsidR="6595E38B" w:rsidRPr="32EE5E3E">
        <w:rPr>
          <w:rFonts w:ascii="Calibri" w:eastAsia="Calibri" w:hAnsi="Calibri" w:cs="Calibri"/>
          <w:sz w:val="22"/>
          <w:szCs w:val="22"/>
        </w:rPr>
        <w:t xml:space="preserve"> or </w:t>
      </w:r>
      <w:r w:rsidR="0B43B65D" w:rsidRPr="32EE5E3E">
        <w:rPr>
          <w:rFonts w:ascii="Calibri" w:eastAsia="Calibri" w:hAnsi="Calibri" w:cs="Calibri"/>
          <w:sz w:val="22"/>
          <w:szCs w:val="22"/>
        </w:rPr>
        <w:t>piercings, is generally accepted, provided it is informed</w:t>
      </w:r>
      <w:r w:rsidR="58383C24" w:rsidRPr="32EE5E3E">
        <w:rPr>
          <w:rFonts w:ascii="Calibri" w:eastAsia="Calibri" w:hAnsi="Calibri" w:cs="Calibri"/>
          <w:sz w:val="22"/>
          <w:szCs w:val="22"/>
        </w:rPr>
        <w:t>.</w:t>
      </w:r>
      <w:r w:rsidR="0B43B65D" w:rsidRPr="32EE5E3E">
        <w:rPr>
          <w:rFonts w:ascii="Calibri" w:eastAsia="Calibri" w:hAnsi="Calibri" w:cs="Calibri"/>
          <w:sz w:val="22"/>
          <w:szCs w:val="22"/>
        </w:rPr>
        <w:t xml:space="preserve"> However, the law requires that consent must be clear</w:t>
      </w:r>
      <w:r w:rsidR="6CB5145C" w:rsidRPr="32EE5E3E">
        <w:rPr>
          <w:rFonts w:ascii="Calibri" w:eastAsia="Calibri" w:hAnsi="Calibri" w:cs="Calibri"/>
          <w:sz w:val="22"/>
          <w:szCs w:val="22"/>
        </w:rPr>
        <w:t>.</w:t>
      </w:r>
      <w:r w:rsidR="0B43B65D" w:rsidRPr="32EE5E3E">
        <w:rPr>
          <w:rFonts w:ascii="Calibri" w:eastAsia="Calibri" w:hAnsi="Calibri" w:cs="Calibri"/>
          <w:sz w:val="22"/>
          <w:szCs w:val="22"/>
        </w:rPr>
        <w:t xml:space="preserve"> Case law, such as </w:t>
      </w:r>
      <w:r w:rsidR="080E7526" w:rsidRPr="32EE5E3E">
        <w:rPr>
          <w:rFonts w:ascii="Calibri" w:eastAsia="Calibri" w:hAnsi="Calibri" w:cs="Calibri"/>
          <w:sz w:val="22"/>
          <w:szCs w:val="22"/>
        </w:rPr>
        <w:t>(</w:t>
      </w:r>
      <w:r w:rsidR="0B43B65D" w:rsidRPr="32EE5E3E">
        <w:rPr>
          <w:rFonts w:ascii="Calibri" w:eastAsia="Calibri" w:hAnsi="Calibri" w:cs="Calibri"/>
          <w:i/>
          <w:iCs/>
          <w:sz w:val="22"/>
          <w:szCs w:val="22"/>
        </w:rPr>
        <w:t>R v. Wilson</w:t>
      </w:r>
      <w:r w:rsidR="4AFC3309" w:rsidRPr="32EE5E3E">
        <w:rPr>
          <w:rFonts w:ascii="Calibri" w:eastAsia="Calibri" w:hAnsi="Calibri" w:cs="Calibri"/>
          <w:i/>
          <w:iCs/>
          <w:sz w:val="22"/>
          <w:szCs w:val="22"/>
        </w:rPr>
        <w:t xml:space="preserve">, </w:t>
      </w:r>
      <w:r w:rsidR="0B43B65D" w:rsidRPr="32EE5E3E">
        <w:rPr>
          <w:rFonts w:ascii="Calibri" w:eastAsia="Calibri" w:hAnsi="Calibri" w:cs="Calibri"/>
          <w:sz w:val="22"/>
          <w:szCs w:val="22"/>
        </w:rPr>
        <w:t>1996), where a husband branded his wife</w:t>
      </w:r>
      <w:r w:rsidR="2BAA155A" w:rsidRPr="32EE5E3E">
        <w:rPr>
          <w:rFonts w:ascii="Calibri" w:eastAsia="Calibri" w:hAnsi="Calibri" w:cs="Calibri"/>
          <w:sz w:val="22"/>
          <w:szCs w:val="22"/>
        </w:rPr>
        <w:t xml:space="preserve"> with a knife</w:t>
      </w:r>
      <w:r w:rsidR="0B43B65D" w:rsidRPr="32EE5E3E">
        <w:rPr>
          <w:rFonts w:ascii="Calibri" w:eastAsia="Calibri" w:hAnsi="Calibri" w:cs="Calibri"/>
          <w:sz w:val="22"/>
          <w:szCs w:val="22"/>
        </w:rPr>
        <w:t xml:space="preserve"> with her consent, has shown that courts may accept consent in cases involving moderate harm</w:t>
      </w:r>
      <w:r w:rsidR="021E568A" w:rsidRPr="32EE5E3E">
        <w:rPr>
          <w:rFonts w:ascii="Calibri" w:eastAsia="Calibri" w:hAnsi="Calibri" w:cs="Calibri"/>
          <w:sz w:val="22"/>
          <w:szCs w:val="22"/>
        </w:rPr>
        <w:t>. The case had this outcome</w:t>
      </w:r>
      <w:r w:rsidR="23CC8AF6" w:rsidRPr="32EE5E3E">
        <w:rPr>
          <w:rFonts w:ascii="Calibri" w:eastAsia="Calibri" w:hAnsi="Calibri" w:cs="Calibri"/>
          <w:sz w:val="22"/>
          <w:szCs w:val="22"/>
        </w:rPr>
        <w:t xml:space="preserve"> </w:t>
      </w:r>
      <w:r w:rsidR="644DCC42" w:rsidRPr="32EE5E3E">
        <w:rPr>
          <w:rFonts w:ascii="Calibri" w:eastAsia="Calibri" w:hAnsi="Calibri" w:cs="Calibri"/>
          <w:sz w:val="22"/>
          <w:szCs w:val="22"/>
        </w:rPr>
        <w:t xml:space="preserve">under </w:t>
      </w:r>
      <w:r w:rsidR="04B29A75" w:rsidRPr="32EE5E3E">
        <w:rPr>
          <w:rFonts w:ascii="Calibri" w:eastAsia="Calibri" w:hAnsi="Calibri" w:cs="Calibri"/>
          <w:sz w:val="22"/>
          <w:szCs w:val="22"/>
        </w:rPr>
        <w:t>47</w:t>
      </w:r>
      <w:r w:rsidR="644DCC42" w:rsidRPr="32EE5E3E">
        <w:rPr>
          <w:rFonts w:ascii="Calibri" w:eastAsia="Calibri" w:hAnsi="Calibri" w:cs="Calibri"/>
          <w:sz w:val="22"/>
          <w:szCs w:val="22"/>
        </w:rPr>
        <w:t xml:space="preserve"> of the Act as this crime happened between </w:t>
      </w:r>
      <w:r w:rsidR="41A4D3CA" w:rsidRPr="32EE5E3E">
        <w:rPr>
          <w:rFonts w:ascii="Calibri" w:eastAsia="Calibri" w:hAnsi="Calibri" w:cs="Calibri"/>
          <w:sz w:val="22"/>
          <w:szCs w:val="22"/>
        </w:rPr>
        <w:t>two</w:t>
      </w:r>
      <w:r w:rsidR="644DCC42" w:rsidRPr="32EE5E3E">
        <w:rPr>
          <w:rFonts w:ascii="Calibri" w:eastAsia="Calibri" w:hAnsi="Calibri" w:cs="Calibri"/>
          <w:sz w:val="22"/>
          <w:szCs w:val="22"/>
        </w:rPr>
        <w:t xml:space="preserve"> consenting adults in the privacy of their own home </w:t>
      </w:r>
      <w:r w:rsidR="484A2F36" w:rsidRPr="32EE5E3E">
        <w:rPr>
          <w:rFonts w:ascii="Calibri" w:eastAsia="Calibri" w:hAnsi="Calibri" w:cs="Calibri"/>
          <w:sz w:val="22"/>
          <w:szCs w:val="22"/>
        </w:rPr>
        <w:t>and no serious harm was a result of it.</w:t>
      </w:r>
    </w:p>
    <w:p w14:paraId="35B4F0FF" w14:textId="6E07E925" w:rsidR="6ECA1B5E" w:rsidRDefault="6ECA1B5E" w:rsidP="32EE5E3E">
      <w:pPr>
        <w:rPr>
          <w:rFonts w:ascii="Calibri" w:eastAsia="Calibri" w:hAnsi="Calibri" w:cs="Calibri"/>
          <w:sz w:val="22"/>
          <w:szCs w:val="22"/>
        </w:rPr>
      </w:pPr>
      <w:r w:rsidRPr="32EE5E3E">
        <w:rPr>
          <w:rFonts w:ascii="Calibri" w:eastAsia="Calibri" w:hAnsi="Calibri" w:cs="Calibri"/>
          <w:sz w:val="22"/>
          <w:szCs w:val="22"/>
        </w:rPr>
        <w:t xml:space="preserve">On the other hand, consent to serious harm, such as severe injury or life-threatening activities is less likely to be accepted. In </w:t>
      </w:r>
      <w:r w:rsidR="682B39C4" w:rsidRPr="32EE5E3E">
        <w:rPr>
          <w:rFonts w:ascii="Calibri" w:eastAsia="Calibri" w:hAnsi="Calibri" w:cs="Calibri"/>
          <w:sz w:val="22"/>
          <w:szCs w:val="22"/>
        </w:rPr>
        <w:t>(</w:t>
      </w:r>
      <w:r w:rsidRPr="32EE5E3E">
        <w:rPr>
          <w:rFonts w:ascii="Calibri" w:eastAsia="Calibri" w:hAnsi="Calibri" w:cs="Calibri"/>
          <w:i/>
          <w:iCs/>
          <w:sz w:val="22"/>
          <w:szCs w:val="22"/>
        </w:rPr>
        <w:t>R v. Brown</w:t>
      </w:r>
      <w:r w:rsidR="4B8DE77B" w:rsidRPr="32EE5E3E">
        <w:rPr>
          <w:rFonts w:ascii="Calibri" w:eastAsia="Calibri" w:hAnsi="Calibri" w:cs="Calibri"/>
          <w:i/>
          <w:iCs/>
          <w:sz w:val="22"/>
          <w:szCs w:val="22"/>
        </w:rPr>
        <w:t xml:space="preserve">, </w:t>
      </w:r>
      <w:r w:rsidRPr="32EE5E3E">
        <w:rPr>
          <w:rFonts w:ascii="Calibri" w:eastAsia="Calibri" w:hAnsi="Calibri" w:cs="Calibri"/>
          <w:sz w:val="22"/>
          <w:szCs w:val="22"/>
        </w:rPr>
        <w:t xml:space="preserve">1993), the House of Lords held that consent was not a valid defense for individuals who engaged in activities </w:t>
      </w:r>
      <w:r w:rsidR="4FFA94AB" w:rsidRPr="32EE5E3E">
        <w:rPr>
          <w:rFonts w:ascii="Calibri" w:eastAsia="Calibri" w:hAnsi="Calibri" w:cs="Calibri"/>
          <w:sz w:val="22"/>
          <w:szCs w:val="22"/>
        </w:rPr>
        <w:t>which</w:t>
      </w:r>
      <w:r w:rsidRPr="32EE5E3E">
        <w:rPr>
          <w:rFonts w:ascii="Calibri" w:eastAsia="Calibri" w:hAnsi="Calibri" w:cs="Calibri"/>
          <w:sz w:val="22"/>
          <w:szCs w:val="22"/>
        </w:rPr>
        <w:t xml:space="preserve"> resulted in </w:t>
      </w:r>
      <w:r w:rsidR="4174B27D" w:rsidRPr="32EE5E3E">
        <w:rPr>
          <w:rFonts w:ascii="Calibri" w:eastAsia="Calibri" w:hAnsi="Calibri" w:cs="Calibri"/>
          <w:sz w:val="22"/>
          <w:szCs w:val="22"/>
        </w:rPr>
        <w:t>major</w:t>
      </w:r>
      <w:r w:rsidRPr="32EE5E3E">
        <w:rPr>
          <w:rFonts w:ascii="Calibri" w:eastAsia="Calibri" w:hAnsi="Calibri" w:cs="Calibri"/>
          <w:sz w:val="22"/>
          <w:szCs w:val="22"/>
        </w:rPr>
        <w:t xml:space="preserve"> injur</w:t>
      </w:r>
      <w:r w:rsidR="5FCE0E69" w:rsidRPr="32EE5E3E">
        <w:rPr>
          <w:rFonts w:ascii="Calibri" w:eastAsia="Calibri" w:hAnsi="Calibri" w:cs="Calibri"/>
          <w:sz w:val="22"/>
          <w:szCs w:val="22"/>
        </w:rPr>
        <w:t>ies</w:t>
      </w:r>
      <w:r w:rsidR="21EDBF50" w:rsidRPr="32EE5E3E">
        <w:rPr>
          <w:rFonts w:ascii="Calibri" w:eastAsia="Calibri" w:hAnsi="Calibri" w:cs="Calibri"/>
          <w:sz w:val="22"/>
          <w:szCs w:val="22"/>
        </w:rPr>
        <w:t xml:space="preserve">, this decision was made </w:t>
      </w:r>
      <w:r w:rsidR="4667826F" w:rsidRPr="32EE5E3E">
        <w:rPr>
          <w:rFonts w:ascii="Calibri" w:eastAsia="Calibri" w:hAnsi="Calibri" w:cs="Calibri"/>
          <w:sz w:val="22"/>
          <w:szCs w:val="22"/>
        </w:rPr>
        <w:t xml:space="preserve">Under section 47 of the Offences Act Against </w:t>
      </w:r>
      <w:r w:rsidR="3900EE61" w:rsidRPr="32EE5E3E">
        <w:rPr>
          <w:rFonts w:ascii="Calibri" w:eastAsia="Calibri" w:hAnsi="Calibri" w:cs="Calibri"/>
          <w:sz w:val="22"/>
          <w:szCs w:val="22"/>
        </w:rPr>
        <w:t>the Person Act 1861</w:t>
      </w:r>
      <w:r w:rsidR="44C9DEBB" w:rsidRPr="32EE5E3E">
        <w:rPr>
          <w:rFonts w:ascii="Calibri" w:eastAsia="Calibri" w:hAnsi="Calibri" w:cs="Calibri"/>
          <w:sz w:val="22"/>
          <w:szCs w:val="22"/>
        </w:rPr>
        <w:t xml:space="preserve"> and unlawful wounding, contrary to Section 2</w:t>
      </w:r>
      <w:r w:rsidR="301BAA86" w:rsidRPr="32EE5E3E">
        <w:rPr>
          <w:rFonts w:ascii="Calibri" w:eastAsia="Calibri" w:hAnsi="Calibri" w:cs="Calibri"/>
          <w:sz w:val="22"/>
          <w:szCs w:val="22"/>
        </w:rPr>
        <w:t>0.</w:t>
      </w:r>
    </w:p>
    <w:p w14:paraId="0815239C" w14:textId="5FE9772E" w:rsidR="75E9F40A" w:rsidRDefault="75E9F40A" w:rsidP="32EE5E3E">
      <w:pPr>
        <w:rPr>
          <w:rFonts w:ascii="Calibri" w:eastAsia="Calibri" w:hAnsi="Calibri" w:cs="Calibri"/>
          <w:sz w:val="22"/>
          <w:szCs w:val="22"/>
        </w:rPr>
      </w:pPr>
      <w:r w:rsidRPr="32EE5E3E">
        <w:rPr>
          <w:rFonts w:ascii="Calibri" w:eastAsia="Calibri" w:hAnsi="Calibri" w:cs="Calibri"/>
          <w:sz w:val="22"/>
          <w:szCs w:val="22"/>
        </w:rPr>
        <w:t xml:space="preserve">Criminal law is prepared to accept that a victim may consent to harm to a certain extent, </w:t>
      </w:r>
      <w:r w:rsidR="25E5DC14" w:rsidRPr="32EE5E3E">
        <w:rPr>
          <w:rFonts w:ascii="Calibri" w:eastAsia="Calibri" w:hAnsi="Calibri" w:cs="Calibri"/>
          <w:sz w:val="22"/>
          <w:szCs w:val="22"/>
        </w:rPr>
        <w:t>mainly</w:t>
      </w:r>
      <w:r w:rsidRPr="32EE5E3E">
        <w:rPr>
          <w:rFonts w:ascii="Calibri" w:eastAsia="Calibri" w:hAnsi="Calibri" w:cs="Calibri"/>
          <w:sz w:val="22"/>
          <w:szCs w:val="22"/>
        </w:rPr>
        <w:t xml:space="preserve"> when the harm is minor or moderate and the consent is informed. However, for serious harm or life-threatening </w:t>
      </w:r>
      <w:r w:rsidR="781BC215" w:rsidRPr="32EE5E3E">
        <w:rPr>
          <w:rFonts w:ascii="Calibri" w:eastAsia="Calibri" w:hAnsi="Calibri" w:cs="Calibri"/>
          <w:sz w:val="22"/>
          <w:szCs w:val="22"/>
        </w:rPr>
        <w:t>injuries</w:t>
      </w:r>
      <w:r w:rsidRPr="32EE5E3E">
        <w:rPr>
          <w:rFonts w:ascii="Calibri" w:eastAsia="Calibri" w:hAnsi="Calibri" w:cs="Calibri"/>
          <w:sz w:val="22"/>
          <w:szCs w:val="22"/>
        </w:rPr>
        <w:t>, the law generally does not accept consent as a defense due to public policy considerations</w:t>
      </w:r>
      <w:r w:rsidR="56133120" w:rsidRPr="32EE5E3E">
        <w:rPr>
          <w:rFonts w:ascii="Calibri" w:eastAsia="Calibri" w:hAnsi="Calibri" w:cs="Calibri"/>
          <w:sz w:val="22"/>
          <w:szCs w:val="22"/>
        </w:rPr>
        <w:t xml:space="preserve"> which are</w:t>
      </w:r>
      <w:r w:rsidRPr="32EE5E3E">
        <w:rPr>
          <w:rFonts w:ascii="Calibri" w:eastAsia="Calibri" w:hAnsi="Calibri" w:cs="Calibri"/>
          <w:sz w:val="22"/>
          <w:szCs w:val="22"/>
        </w:rPr>
        <w:t xml:space="preserve"> aimed at protecting individuals from preserving life. The evolving societal attitudes toward self-determination suggest that the boundaries of acceptable consent may continue to </w:t>
      </w:r>
      <w:r w:rsidR="20A41FCE" w:rsidRPr="32EE5E3E">
        <w:rPr>
          <w:rFonts w:ascii="Calibri" w:eastAsia="Calibri" w:hAnsi="Calibri" w:cs="Calibri"/>
          <w:sz w:val="22"/>
          <w:szCs w:val="22"/>
        </w:rPr>
        <w:t>evolve</w:t>
      </w:r>
      <w:r w:rsidRPr="32EE5E3E">
        <w:rPr>
          <w:rFonts w:ascii="Calibri" w:eastAsia="Calibri" w:hAnsi="Calibri" w:cs="Calibri"/>
          <w:sz w:val="22"/>
          <w:szCs w:val="22"/>
        </w:rPr>
        <w:t>, but the core principle of preventing significant harm is likely to remain a key factor in legal determinations.</w:t>
      </w:r>
      <w:r w:rsidR="47FBDEDF" w:rsidRPr="32EE5E3E">
        <w:rPr>
          <w:rFonts w:ascii="Calibri" w:eastAsia="Calibri" w:hAnsi="Calibri" w:cs="Calibri"/>
          <w:sz w:val="22"/>
          <w:szCs w:val="22"/>
        </w:rPr>
        <w:t xml:space="preserve"> The major goal is striking a balance between the right to personal autonomy and the necessity of keeping public order and safeguarding individuals from serious damage.</w:t>
      </w:r>
      <w:r w:rsidR="0C15E4F1" w:rsidRPr="32EE5E3E">
        <w:rPr>
          <w:rFonts w:ascii="Calibri" w:eastAsia="Calibri" w:hAnsi="Calibri" w:cs="Calibri"/>
          <w:sz w:val="22"/>
          <w:szCs w:val="22"/>
        </w:rPr>
        <w:t xml:space="preserve"> </w:t>
      </w:r>
    </w:p>
    <w:p w14:paraId="2E770DFD" w14:textId="4C47CC9E" w:rsidR="32EE5E3E" w:rsidRDefault="32EE5E3E" w:rsidP="32EE5E3E">
      <w:pPr>
        <w:rPr>
          <w:rFonts w:ascii="Calibri" w:eastAsia="Calibri" w:hAnsi="Calibri" w:cs="Calibri"/>
          <w:b/>
          <w:bCs/>
          <w:i/>
          <w:iCs/>
          <w:sz w:val="22"/>
          <w:szCs w:val="22"/>
        </w:rPr>
      </w:pPr>
    </w:p>
    <w:p w14:paraId="71A45E25" w14:textId="6F1767A5" w:rsidR="75E9F40A" w:rsidRDefault="75E9F40A" w:rsidP="32EE5E3E">
      <w:pPr>
        <w:rPr>
          <w:rFonts w:ascii="Calibri" w:eastAsia="Calibri" w:hAnsi="Calibri" w:cs="Calibri"/>
          <w:sz w:val="22"/>
          <w:szCs w:val="22"/>
        </w:rPr>
      </w:pPr>
      <w:r w:rsidRPr="32EE5E3E">
        <w:rPr>
          <w:rFonts w:ascii="Calibri" w:eastAsia="Calibri" w:hAnsi="Calibri" w:cs="Calibri"/>
          <w:b/>
          <w:bCs/>
          <w:i/>
          <w:iCs/>
          <w:sz w:val="22"/>
          <w:szCs w:val="22"/>
        </w:rPr>
        <w:t>R</w:t>
      </w:r>
      <w:r w:rsidR="253E4BCA" w:rsidRPr="32EE5E3E">
        <w:rPr>
          <w:rFonts w:ascii="Calibri" w:eastAsia="Calibri" w:hAnsi="Calibri" w:cs="Calibri"/>
          <w:b/>
          <w:bCs/>
          <w:i/>
          <w:iCs/>
          <w:sz w:val="22"/>
          <w:szCs w:val="22"/>
        </w:rPr>
        <w:t>eference list:</w:t>
      </w:r>
    </w:p>
    <w:p w14:paraId="110147C3" w14:textId="52DC29CF" w:rsidR="62F8F779" w:rsidRDefault="62F8F779" w:rsidP="32EE5E3E">
      <w:pPr>
        <w:spacing w:after="0"/>
        <w:rPr>
          <w:rFonts w:ascii="Calibri" w:eastAsia="Calibri" w:hAnsi="Calibri" w:cs="Calibri"/>
          <w:color w:val="000000" w:themeColor="text1"/>
          <w:sz w:val="22"/>
          <w:szCs w:val="22"/>
        </w:rPr>
      </w:pPr>
      <w:r w:rsidRPr="32EE5E3E">
        <w:rPr>
          <w:rFonts w:ascii="Calibri" w:eastAsia="Calibri" w:hAnsi="Calibri" w:cs="Calibri"/>
          <w:sz w:val="22"/>
          <w:szCs w:val="22"/>
        </w:rPr>
        <w:t xml:space="preserve">Anon. (n.d.). </w:t>
      </w:r>
      <w:r w:rsidRPr="32EE5E3E">
        <w:rPr>
          <w:rFonts w:ascii="Calibri" w:eastAsia="Calibri" w:hAnsi="Calibri" w:cs="Calibri"/>
          <w:i/>
          <w:iCs/>
          <w:sz w:val="22"/>
          <w:szCs w:val="22"/>
        </w:rPr>
        <w:t>Examining Consent as a Defence in Criminal Law</w:t>
      </w:r>
      <w:r w:rsidRPr="32EE5E3E">
        <w:rPr>
          <w:rFonts w:ascii="Calibri" w:eastAsia="Calibri" w:hAnsi="Calibri" w:cs="Calibri"/>
          <w:sz w:val="22"/>
          <w:szCs w:val="22"/>
        </w:rPr>
        <w:t>. Available at:</w:t>
      </w:r>
      <w:r w:rsidRPr="32EE5E3E">
        <w:rPr>
          <w:rFonts w:ascii="Calibri" w:eastAsia="Calibri" w:hAnsi="Calibri" w:cs="Calibri"/>
          <w:color w:val="000000" w:themeColor="text1"/>
          <w:sz w:val="22"/>
          <w:szCs w:val="22"/>
        </w:rPr>
        <w:t xml:space="preserve"> </w:t>
      </w:r>
      <w:hyperlink r:id="rId5">
        <w:r w:rsidRPr="32EE5E3E">
          <w:rPr>
            <w:rStyle w:val="Hyperlink"/>
            <w:rFonts w:ascii="Calibri" w:eastAsia="Calibri" w:hAnsi="Calibri" w:cs="Calibri"/>
            <w:sz w:val="22"/>
            <w:szCs w:val="22"/>
          </w:rPr>
          <w:t>https://www.lawteacher.net/free-law-essays/criminal-law/consent-defence-criminal-law-3735.php</w:t>
        </w:r>
      </w:hyperlink>
      <w:r w:rsidRPr="32EE5E3E">
        <w:rPr>
          <w:rFonts w:ascii="Calibri" w:eastAsia="Calibri" w:hAnsi="Calibri" w:cs="Calibri"/>
          <w:color w:val="000000" w:themeColor="text1"/>
          <w:sz w:val="22"/>
          <w:szCs w:val="22"/>
        </w:rPr>
        <w:t>.</w:t>
      </w:r>
    </w:p>
    <w:p w14:paraId="209722EE" w14:textId="7CA3112D" w:rsidR="32EE5E3E" w:rsidRDefault="32EE5E3E" w:rsidP="32EE5E3E">
      <w:pPr>
        <w:spacing w:after="0"/>
        <w:rPr>
          <w:rFonts w:ascii="Calibri" w:eastAsia="Calibri" w:hAnsi="Calibri" w:cs="Calibri"/>
          <w:color w:val="000000" w:themeColor="text1"/>
          <w:sz w:val="22"/>
          <w:szCs w:val="22"/>
        </w:rPr>
      </w:pPr>
    </w:p>
    <w:p w14:paraId="0C5BEF23" w14:textId="01954896" w:rsidR="354D6ECE" w:rsidRDefault="354D6ECE" w:rsidP="32EE5E3E">
      <w:pPr>
        <w:spacing w:after="0"/>
        <w:rPr>
          <w:rFonts w:ascii="Calibri" w:eastAsia="Calibri" w:hAnsi="Calibri" w:cs="Calibri"/>
          <w:color w:val="000000" w:themeColor="text1"/>
          <w:sz w:val="22"/>
          <w:szCs w:val="22"/>
        </w:rPr>
      </w:pPr>
      <w:r w:rsidRPr="32EE5E3E">
        <w:rPr>
          <w:rFonts w:ascii="Calibri" w:eastAsia="Calibri" w:hAnsi="Calibri" w:cs="Calibri"/>
          <w:color w:val="000000" w:themeColor="text1"/>
          <w:sz w:val="22"/>
          <w:szCs w:val="22"/>
        </w:rPr>
        <w:t xml:space="preserve">Collegelaw.co.uk. (2010). </w:t>
      </w:r>
      <w:r w:rsidRPr="32EE5E3E">
        <w:rPr>
          <w:rFonts w:ascii="Calibri" w:eastAsia="Calibri" w:hAnsi="Calibri" w:cs="Calibri"/>
          <w:i/>
          <w:iCs/>
          <w:color w:val="000000" w:themeColor="text1"/>
          <w:sz w:val="22"/>
          <w:szCs w:val="22"/>
        </w:rPr>
        <w:t>Defence of Consent - Criminal Law A2</w:t>
      </w:r>
      <w:r w:rsidRPr="32EE5E3E">
        <w:rPr>
          <w:rFonts w:ascii="Calibri" w:eastAsia="Calibri" w:hAnsi="Calibri" w:cs="Calibri"/>
          <w:color w:val="000000" w:themeColor="text1"/>
          <w:sz w:val="22"/>
          <w:szCs w:val="22"/>
        </w:rPr>
        <w:t xml:space="preserve">. [online] Available at: </w:t>
      </w:r>
      <w:hyperlink r:id="rId6">
        <w:r w:rsidRPr="32EE5E3E">
          <w:rPr>
            <w:rStyle w:val="Hyperlink"/>
            <w:rFonts w:ascii="Calibri" w:eastAsia="Calibri" w:hAnsi="Calibri" w:cs="Calibri"/>
            <w:sz w:val="22"/>
            <w:szCs w:val="22"/>
          </w:rPr>
          <w:t>https://www.collegelaw.co.uk/criminal-law/defence_of_consent/index.html</w:t>
        </w:r>
      </w:hyperlink>
      <w:r w:rsidRPr="32EE5E3E">
        <w:rPr>
          <w:rFonts w:ascii="Calibri" w:eastAsia="Calibri" w:hAnsi="Calibri" w:cs="Calibri"/>
          <w:color w:val="000000" w:themeColor="text1"/>
          <w:sz w:val="22"/>
          <w:szCs w:val="22"/>
        </w:rPr>
        <w:t>.</w:t>
      </w:r>
    </w:p>
    <w:p w14:paraId="067B4D11" w14:textId="7A6B30F3" w:rsidR="32EE5E3E" w:rsidRDefault="32EE5E3E" w:rsidP="32EE5E3E">
      <w:pPr>
        <w:spacing w:after="0"/>
        <w:rPr>
          <w:rFonts w:ascii="Calibri" w:eastAsia="Calibri" w:hAnsi="Calibri" w:cs="Calibri"/>
          <w:color w:val="000000" w:themeColor="text1"/>
          <w:sz w:val="22"/>
          <w:szCs w:val="22"/>
        </w:rPr>
      </w:pPr>
    </w:p>
    <w:p w14:paraId="2CEAC29E" w14:textId="673CE38C" w:rsidR="1626BB16" w:rsidRDefault="1626BB16" w:rsidP="32EE5E3E">
      <w:pPr>
        <w:spacing w:after="0"/>
        <w:rPr>
          <w:rFonts w:ascii="Calibri" w:eastAsia="Calibri" w:hAnsi="Calibri" w:cs="Calibri"/>
          <w:color w:val="000000" w:themeColor="text1"/>
          <w:sz w:val="22"/>
          <w:szCs w:val="22"/>
        </w:rPr>
      </w:pPr>
      <w:r w:rsidRPr="32EE5E3E">
        <w:rPr>
          <w:rFonts w:ascii="Calibri" w:eastAsia="Calibri" w:hAnsi="Calibri" w:cs="Calibri"/>
          <w:sz w:val="22"/>
          <w:szCs w:val="22"/>
        </w:rPr>
        <w:t>Anon.</w:t>
      </w:r>
      <w:r w:rsidRPr="32EE5E3E">
        <w:rPr>
          <w:rFonts w:ascii="Calibri" w:eastAsia="Calibri" w:hAnsi="Calibri" w:cs="Calibri"/>
          <w:color w:val="000000" w:themeColor="text1"/>
          <w:sz w:val="22"/>
          <w:szCs w:val="22"/>
        </w:rPr>
        <w:t xml:space="preserve"> (n.d.). </w:t>
      </w:r>
      <w:r w:rsidRPr="32EE5E3E">
        <w:rPr>
          <w:rFonts w:ascii="Calibri" w:eastAsia="Calibri" w:hAnsi="Calibri" w:cs="Calibri"/>
          <w:i/>
          <w:iCs/>
          <w:color w:val="000000" w:themeColor="text1"/>
          <w:sz w:val="22"/>
          <w:szCs w:val="22"/>
        </w:rPr>
        <w:t>R v Wilson</w:t>
      </w:r>
      <w:r w:rsidRPr="32EE5E3E">
        <w:rPr>
          <w:rFonts w:ascii="Calibri" w:eastAsia="Calibri" w:hAnsi="Calibri" w:cs="Calibri"/>
          <w:color w:val="000000" w:themeColor="text1"/>
          <w:sz w:val="22"/>
          <w:szCs w:val="22"/>
        </w:rPr>
        <w:t xml:space="preserve">. Available at: </w:t>
      </w:r>
      <w:hyperlink r:id="rId7">
        <w:r w:rsidRPr="32EE5E3E">
          <w:rPr>
            <w:rStyle w:val="Hyperlink"/>
            <w:rFonts w:ascii="Calibri" w:eastAsia="Calibri" w:hAnsi="Calibri" w:cs="Calibri"/>
            <w:sz w:val="22"/>
            <w:szCs w:val="22"/>
          </w:rPr>
          <w:t>http://www.e-lawresources.co.uk/cases/R-v-Wilson.php</w:t>
        </w:r>
      </w:hyperlink>
    </w:p>
    <w:p w14:paraId="7BD8460C" w14:textId="28692A7B" w:rsidR="32EE5E3E" w:rsidRDefault="32EE5E3E" w:rsidP="32EE5E3E">
      <w:pPr>
        <w:spacing w:after="0"/>
        <w:rPr>
          <w:rFonts w:ascii="Calibri" w:eastAsia="Calibri" w:hAnsi="Calibri" w:cs="Calibri"/>
          <w:color w:val="000000" w:themeColor="text1"/>
          <w:sz w:val="22"/>
          <w:szCs w:val="22"/>
        </w:rPr>
      </w:pPr>
    </w:p>
    <w:p w14:paraId="42A37872" w14:textId="53BBE2EE" w:rsidR="78953E25" w:rsidRDefault="78953E25" w:rsidP="32EE5E3E">
      <w:pPr>
        <w:spacing w:after="0"/>
        <w:rPr>
          <w:rFonts w:ascii="Calibri" w:eastAsia="Calibri" w:hAnsi="Calibri" w:cs="Calibri"/>
          <w:color w:val="000000" w:themeColor="text1"/>
          <w:sz w:val="22"/>
          <w:szCs w:val="22"/>
        </w:rPr>
      </w:pPr>
      <w:r w:rsidRPr="32EE5E3E">
        <w:rPr>
          <w:rFonts w:ascii="Calibri" w:eastAsia="Calibri" w:hAnsi="Calibri" w:cs="Calibri"/>
          <w:color w:val="000000" w:themeColor="text1"/>
          <w:sz w:val="22"/>
          <w:szCs w:val="22"/>
        </w:rPr>
        <w:t xml:space="preserve">E-lawresources.co.uk. (2020). </w:t>
      </w:r>
      <w:r w:rsidRPr="32EE5E3E">
        <w:rPr>
          <w:rFonts w:ascii="Calibri" w:eastAsia="Calibri" w:hAnsi="Calibri" w:cs="Calibri"/>
          <w:i/>
          <w:iCs/>
          <w:color w:val="000000" w:themeColor="text1"/>
          <w:sz w:val="22"/>
          <w:szCs w:val="22"/>
        </w:rPr>
        <w:t>R v Brown 1993</w:t>
      </w:r>
      <w:r w:rsidRPr="32EE5E3E">
        <w:rPr>
          <w:rFonts w:ascii="Calibri" w:eastAsia="Calibri" w:hAnsi="Calibri" w:cs="Calibri"/>
          <w:color w:val="000000" w:themeColor="text1"/>
          <w:sz w:val="22"/>
          <w:szCs w:val="22"/>
        </w:rPr>
        <w:t xml:space="preserve">. Available at: </w:t>
      </w:r>
      <w:hyperlink r:id="rId8">
        <w:r w:rsidRPr="32EE5E3E">
          <w:rPr>
            <w:rStyle w:val="Hyperlink"/>
            <w:rFonts w:ascii="Calibri" w:eastAsia="Calibri" w:hAnsi="Calibri" w:cs="Calibri"/>
            <w:sz w:val="22"/>
            <w:szCs w:val="22"/>
          </w:rPr>
          <w:t>http://www.e-lawresources.co.uk/cases/R-v-Brown-1993.php</w:t>
        </w:r>
      </w:hyperlink>
      <w:r w:rsidRPr="32EE5E3E">
        <w:rPr>
          <w:rFonts w:ascii="Calibri" w:eastAsia="Calibri" w:hAnsi="Calibri" w:cs="Calibri"/>
          <w:color w:val="000000" w:themeColor="text1"/>
          <w:sz w:val="22"/>
          <w:szCs w:val="22"/>
        </w:rPr>
        <w:t>.</w:t>
      </w:r>
    </w:p>
    <w:p w14:paraId="2709C9FA" w14:textId="43220AFF" w:rsidR="32EE5E3E" w:rsidRDefault="32EE5E3E" w:rsidP="32EE5E3E">
      <w:pPr>
        <w:spacing w:after="0"/>
        <w:rPr>
          <w:rFonts w:ascii="Calibri" w:eastAsia="Calibri" w:hAnsi="Calibri" w:cs="Calibri"/>
          <w:color w:val="000000" w:themeColor="text1"/>
          <w:sz w:val="22"/>
          <w:szCs w:val="22"/>
        </w:rPr>
      </w:pPr>
    </w:p>
    <w:p w14:paraId="03DBC122" w14:textId="64A29555" w:rsidR="09C3ED90" w:rsidRDefault="09C3ED90" w:rsidP="32EE5E3E">
      <w:pPr>
        <w:spacing w:after="0"/>
      </w:pPr>
      <w:r w:rsidRPr="7BB39E41">
        <w:rPr>
          <w:rFonts w:ascii="Calibri" w:eastAsia="Calibri" w:hAnsi="Calibri" w:cs="Calibri"/>
          <w:color w:val="000000" w:themeColor="text1"/>
          <w:sz w:val="22"/>
          <w:szCs w:val="22"/>
        </w:rPr>
        <w:t xml:space="preserve">LAW TUTOR. (n.d.). </w:t>
      </w:r>
      <w:r w:rsidRPr="7BB39E41">
        <w:rPr>
          <w:rFonts w:ascii="Calibri" w:eastAsia="Calibri" w:hAnsi="Calibri" w:cs="Calibri"/>
          <w:i/>
          <w:iCs/>
          <w:color w:val="000000" w:themeColor="text1"/>
          <w:sz w:val="22"/>
          <w:szCs w:val="22"/>
        </w:rPr>
        <w:t>Law Tutor</w:t>
      </w:r>
      <w:r w:rsidRPr="7BB39E41">
        <w:rPr>
          <w:rFonts w:ascii="Calibri" w:eastAsia="Calibri" w:hAnsi="Calibri" w:cs="Calibri"/>
          <w:color w:val="000000" w:themeColor="text1"/>
          <w:sz w:val="22"/>
          <w:szCs w:val="22"/>
        </w:rPr>
        <w:t xml:space="preserve">. Available at: </w:t>
      </w:r>
      <w:hyperlink r:id="rId9">
        <w:r w:rsidRPr="7BB39E41">
          <w:rPr>
            <w:rStyle w:val="Hyperlink"/>
            <w:rFonts w:ascii="Calibri" w:eastAsia="Calibri" w:hAnsi="Calibri" w:cs="Calibri"/>
            <w:sz w:val="22"/>
            <w:szCs w:val="22"/>
          </w:rPr>
          <w:t>https://lawtutor.co.uk/articles/r-v-brown</w:t>
        </w:r>
      </w:hyperlink>
      <w:r w:rsidRPr="7BB39E41">
        <w:rPr>
          <w:rFonts w:ascii="Calibri" w:eastAsia="Calibri" w:hAnsi="Calibri" w:cs="Calibri"/>
          <w:color w:val="000000" w:themeColor="text1"/>
          <w:sz w:val="22"/>
          <w:szCs w:val="22"/>
        </w:rPr>
        <w:t>.</w:t>
      </w:r>
    </w:p>
    <w:p w14:paraId="3C305BE8" w14:textId="5E77B40D" w:rsidR="7BB39E41" w:rsidRDefault="7BB39E41" w:rsidP="7BB39E41">
      <w:pPr>
        <w:spacing w:after="0"/>
        <w:rPr>
          <w:rFonts w:ascii="Calibri" w:eastAsia="Calibri" w:hAnsi="Calibri" w:cs="Calibri"/>
          <w:color w:val="000000" w:themeColor="text1"/>
          <w:sz w:val="22"/>
          <w:szCs w:val="22"/>
        </w:rPr>
      </w:pPr>
    </w:p>
    <w:p w14:paraId="3FB5C31B" w14:textId="7E73AAFF" w:rsidR="5E1B9280" w:rsidRDefault="5E1B9280" w:rsidP="7BB39E41">
      <w:pPr>
        <w:spacing w:after="0"/>
        <w:rPr>
          <w:rFonts w:ascii="Calibri" w:eastAsia="Calibri" w:hAnsi="Calibri" w:cs="Calibri"/>
          <w:color w:val="000000" w:themeColor="text1"/>
          <w:sz w:val="22"/>
          <w:szCs w:val="22"/>
        </w:rPr>
      </w:pPr>
      <w:r w:rsidRPr="7BB39E41">
        <w:rPr>
          <w:rFonts w:ascii="Calibri" w:eastAsia="Calibri" w:hAnsi="Calibri" w:cs="Calibri"/>
          <w:color w:val="000000" w:themeColor="text1"/>
          <w:sz w:val="22"/>
          <w:szCs w:val="22"/>
        </w:rPr>
        <w:t xml:space="preserve">Crown Prosecution Service (2021). </w:t>
      </w:r>
      <w:r w:rsidRPr="7BB39E41">
        <w:rPr>
          <w:rFonts w:ascii="Calibri" w:eastAsia="Calibri" w:hAnsi="Calibri" w:cs="Calibri"/>
          <w:i/>
          <w:iCs/>
          <w:color w:val="000000" w:themeColor="text1"/>
          <w:sz w:val="22"/>
          <w:szCs w:val="22"/>
        </w:rPr>
        <w:t>Rape and Sexual Offences - Chapter 6: Consent | The Crown Prosecution Service</w:t>
      </w:r>
      <w:r w:rsidRPr="7BB39E41">
        <w:rPr>
          <w:rFonts w:ascii="Calibri" w:eastAsia="Calibri" w:hAnsi="Calibri" w:cs="Calibri"/>
          <w:color w:val="000000" w:themeColor="text1"/>
          <w:sz w:val="22"/>
          <w:szCs w:val="22"/>
        </w:rPr>
        <w:t xml:space="preserve">. Available at: </w:t>
      </w:r>
      <w:hyperlink r:id="rId10">
        <w:r w:rsidRPr="7BB39E41">
          <w:rPr>
            <w:rStyle w:val="Hyperlink"/>
            <w:rFonts w:ascii="Calibri" w:eastAsia="Calibri" w:hAnsi="Calibri" w:cs="Calibri"/>
            <w:sz w:val="22"/>
            <w:szCs w:val="22"/>
          </w:rPr>
          <w:t>https://www.cps.gov.uk/legal-guidance/rape-and-sexual-offences-chapter-6-consent</w:t>
        </w:r>
      </w:hyperlink>
      <w:r w:rsidRPr="7BB39E41">
        <w:rPr>
          <w:rFonts w:ascii="Calibri" w:eastAsia="Calibri" w:hAnsi="Calibri" w:cs="Calibri"/>
          <w:color w:val="000000" w:themeColor="text1"/>
          <w:sz w:val="22"/>
          <w:szCs w:val="22"/>
        </w:rPr>
        <w:t>.</w:t>
      </w:r>
    </w:p>
    <w:p w14:paraId="166DE4B4" w14:textId="6C227EB8" w:rsidR="7BB39E41" w:rsidRDefault="7BB39E41" w:rsidP="7BB39E41">
      <w:pPr>
        <w:spacing w:after="0"/>
        <w:rPr>
          <w:rFonts w:ascii="Calibri" w:eastAsia="Calibri" w:hAnsi="Calibri" w:cs="Calibri"/>
          <w:color w:val="000000" w:themeColor="text1"/>
          <w:sz w:val="22"/>
          <w:szCs w:val="22"/>
        </w:rPr>
      </w:pPr>
    </w:p>
    <w:p w14:paraId="1E21F55C" w14:textId="7CD51AA9" w:rsidR="5E1B9280" w:rsidRDefault="5E1B9280" w:rsidP="7BB39E41">
      <w:pPr>
        <w:spacing w:after="0"/>
        <w:rPr>
          <w:rFonts w:ascii="Calibri" w:eastAsia="Calibri" w:hAnsi="Calibri" w:cs="Calibri"/>
          <w:color w:val="000000" w:themeColor="text1"/>
          <w:sz w:val="22"/>
          <w:szCs w:val="22"/>
        </w:rPr>
      </w:pPr>
      <w:r w:rsidRPr="7BB39E41">
        <w:rPr>
          <w:rFonts w:ascii="Calibri" w:eastAsia="Calibri" w:hAnsi="Calibri" w:cs="Calibri"/>
          <w:color w:val="000000" w:themeColor="text1"/>
          <w:sz w:val="22"/>
          <w:szCs w:val="22"/>
        </w:rPr>
        <w:t>‌</w:t>
      </w:r>
      <w:r w:rsidR="22B2C3E2" w:rsidRPr="7BB39E41">
        <w:rPr>
          <w:rFonts w:ascii="Calibri" w:eastAsia="Calibri" w:hAnsi="Calibri" w:cs="Calibri"/>
          <w:color w:val="000000" w:themeColor="text1"/>
          <w:sz w:val="22"/>
          <w:szCs w:val="22"/>
        </w:rPr>
        <w:t xml:space="preserve">Crory, E. (2021). </w:t>
      </w:r>
      <w:r w:rsidR="22B2C3E2" w:rsidRPr="7BB39E41">
        <w:rPr>
          <w:rFonts w:ascii="Calibri" w:eastAsia="Calibri" w:hAnsi="Calibri" w:cs="Calibri"/>
          <w:i/>
          <w:iCs/>
          <w:color w:val="000000" w:themeColor="text1"/>
          <w:sz w:val="22"/>
          <w:szCs w:val="22"/>
        </w:rPr>
        <w:t>Consent to serious harm for sexual gratification -not a defence</w:t>
      </w:r>
      <w:r w:rsidR="22B2C3E2" w:rsidRPr="7BB39E41">
        <w:rPr>
          <w:rFonts w:ascii="Calibri" w:eastAsia="Calibri" w:hAnsi="Calibri" w:cs="Calibri"/>
          <w:color w:val="000000" w:themeColor="text1"/>
          <w:sz w:val="22"/>
          <w:szCs w:val="22"/>
        </w:rPr>
        <w:t xml:space="preserve">.  Available at: </w:t>
      </w:r>
      <w:hyperlink r:id="rId11">
        <w:r w:rsidR="22B2C3E2" w:rsidRPr="7BB39E41">
          <w:rPr>
            <w:rStyle w:val="Hyperlink"/>
            <w:rFonts w:ascii="Calibri" w:eastAsia="Calibri" w:hAnsi="Calibri" w:cs="Calibri"/>
            <w:sz w:val="22"/>
            <w:szCs w:val="22"/>
          </w:rPr>
          <w:t>https://wrda.net/wp-content/uploads/2021/01/Consent-to-harm-for-sexual-gratification-not-a-defence-by-WPG.pdf</w:t>
        </w:r>
      </w:hyperlink>
      <w:r w:rsidR="22B2C3E2" w:rsidRPr="7BB39E41">
        <w:rPr>
          <w:rFonts w:ascii="Calibri" w:eastAsia="Calibri" w:hAnsi="Calibri" w:cs="Calibri"/>
          <w:color w:val="000000" w:themeColor="text1"/>
          <w:sz w:val="22"/>
          <w:szCs w:val="22"/>
        </w:rPr>
        <w:t xml:space="preserve"> </w:t>
      </w:r>
    </w:p>
    <w:p w14:paraId="15F8848F" w14:textId="4323871F" w:rsidR="7BB39E41" w:rsidRDefault="7BB39E41" w:rsidP="7BB39E41">
      <w:pPr>
        <w:spacing w:after="0"/>
        <w:rPr>
          <w:rFonts w:ascii="Calibri" w:eastAsia="Calibri" w:hAnsi="Calibri" w:cs="Calibri"/>
          <w:color w:val="000000" w:themeColor="text1"/>
          <w:sz w:val="22"/>
          <w:szCs w:val="22"/>
        </w:rPr>
      </w:pPr>
    </w:p>
    <w:p w14:paraId="6884A017" w14:textId="38C5CFB6" w:rsidR="3CB74A63" w:rsidRDefault="3CB74A63" w:rsidP="7BB39E41">
      <w:pPr>
        <w:spacing w:after="0"/>
        <w:rPr>
          <w:rFonts w:ascii="Calibri" w:eastAsia="Calibri" w:hAnsi="Calibri" w:cs="Calibri"/>
          <w:color w:val="000000" w:themeColor="text1"/>
          <w:sz w:val="22"/>
          <w:szCs w:val="22"/>
        </w:rPr>
      </w:pPr>
      <w:r w:rsidRPr="7BB39E41">
        <w:rPr>
          <w:rFonts w:ascii="Calibri" w:eastAsia="Calibri" w:hAnsi="Calibri" w:cs="Calibri"/>
          <w:color w:val="000000" w:themeColor="text1"/>
          <w:sz w:val="22"/>
          <w:szCs w:val="22"/>
        </w:rPr>
        <w:t xml:space="preserve">Code of Practice for Victims of Crime in. (2020). Available at: </w:t>
      </w:r>
      <w:hyperlink r:id="rId12">
        <w:r w:rsidRPr="7BB39E41">
          <w:rPr>
            <w:rStyle w:val="Hyperlink"/>
            <w:rFonts w:ascii="Calibri" w:eastAsia="Calibri" w:hAnsi="Calibri" w:cs="Calibri"/>
            <w:sz w:val="22"/>
            <w:szCs w:val="22"/>
          </w:rPr>
          <w:t>https://assets.publishing.service.gov.uk/media/5fb407ffe90e072099045110/victims-code-2020.pdf</w:t>
        </w:r>
      </w:hyperlink>
      <w:r w:rsidRPr="7BB39E41">
        <w:rPr>
          <w:rFonts w:ascii="Calibri" w:eastAsia="Calibri" w:hAnsi="Calibri" w:cs="Calibri"/>
          <w:color w:val="000000" w:themeColor="text1"/>
          <w:sz w:val="22"/>
          <w:szCs w:val="22"/>
        </w:rPr>
        <w:t xml:space="preserve"> </w:t>
      </w:r>
    </w:p>
    <w:p w14:paraId="7ACB8FC2" w14:textId="149CA87C" w:rsidR="7BB39E41" w:rsidRDefault="7BB39E41" w:rsidP="7BB39E41">
      <w:pPr>
        <w:spacing w:after="0"/>
        <w:rPr>
          <w:rFonts w:ascii="Calibri" w:eastAsia="Calibri" w:hAnsi="Calibri" w:cs="Calibri"/>
          <w:color w:val="000000" w:themeColor="text1"/>
          <w:sz w:val="22"/>
          <w:szCs w:val="22"/>
        </w:rPr>
      </w:pPr>
    </w:p>
    <w:p w14:paraId="10BAA675" w14:textId="3A8CB837" w:rsidR="656A07DA" w:rsidRDefault="656A07DA" w:rsidP="7BB39E41">
      <w:pPr>
        <w:spacing w:after="0"/>
        <w:rPr>
          <w:rFonts w:ascii="Calibri" w:eastAsia="Calibri" w:hAnsi="Calibri" w:cs="Calibri"/>
          <w:color w:val="000000" w:themeColor="text1"/>
          <w:sz w:val="22"/>
          <w:szCs w:val="22"/>
        </w:rPr>
      </w:pPr>
      <w:r w:rsidRPr="7BB39E41">
        <w:rPr>
          <w:rFonts w:ascii="Calibri" w:eastAsia="Calibri" w:hAnsi="Calibri" w:cs="Calibri"/>
          <w:color w:val="000000" w:themeColor="text1"/>
          <w:sz w:val="22"/>
          <w:szCs w:val="22"/>
        </w:rPr>
        <w:t xml:space="preserve">Tadros, V. (2011). Consent to Harm. </w:t>
      </w:r>
      <w:r w:rsidRPr="7BB39E41">
        <w:rPr>
          <w:rFonts w:ascii="Calibri" w:eastAsia="Calibri" w:hAnsi="Calibri" w:cs="Calibri"/>
          <w:i/>
          <w:iCs/>
          <w:color w:val="000000" w:themeColor="text1"/>
          <w:sz w:val="22"/>
          <w:szCs w:val="22"/>
        </w:rPr>
        <w:t>Current Legal Problems</w:t>
      </w:r>
      <w:r w:rsidRPr="7BB39E41">
        <w:rPr>
          <w:rFonts w:ascii="Calibri" w:eastAsia="Calibri" w:hAnsi="Calibri" w:cs="Calibri"/>
          <w:color w:val="000000" w:themeColor="text1"/>
          <w:sz w:val="22"/>
          <w:szCs w:val="22"/>
        </w:rPr>
        <w:t xml:space="preserve">, 64(1), pp.23–49. Available at: </w:t>
      </w:r>
      <w:hyperlink r:id="rId13">
        <w:r w:rsidRPr="7BB39E41">
          <w:rPr>
            <w:rStyle w:val="Hyperlink"/>
            <w:rFonts w:ascii="Calibri" w:eastAsia="Calibri" w:hAnsi="Calibri" w:cs="Calibri"/>
            <w:sz w:val="22"/>
            <w:szCs w:val="22"/>
          </w:rPr>
          <w:t>https://doi.org/10.1093/clp/cur004.</w:t>
        </w:r>
      </w:hyperlink>
    </w:p>
    <w:p w14:paraId="3178D831" w14:textId="2FBE37EE" w:rsidR="7BB39E41" w:rsidRDefault="7BB39E41" w:rsidP="7BB39E41">
      <w:pPr>
        <w:spacing w:after="0"/>
        <w:rPr>
          <w:rFonts w:ascii="Calibri" w:eastAsia="Calibri" w:hAnsi="Calibri" w:cs="Calibri"/>
          <w:color w:val="000000" w:themeColor="text1"/>
          <w:sz w:val="22"/>
          <w:szCs w:val="22"/>
        </w:rPr>
      </w:pPr>
    </w:p>
    <w:p w14:paraId="5B2C7D4F" w14:textId="644D33A0" w:rsidR="656A07DA" w:rsidRDefault="656A07DA" w:rsidP="7BB39E41">
      <w:pPr>
        <w:spacing w:before="240" w:after="240"/>
      </w:pPr>
      <w:r w:rsidRPr="7BB39E41">
        <w:rPr>
          <w:rFonts w:ascii="Calibri" w:eastAsia="Calibri" w:hAnsi="Calibri" w:cs="Calibri"/>
          <w:color w:val="000000" w:themeColor="text1"/>
          <w:sz w:val="22"/>
          <w:szCs w:val="22"/>
        </w:rPr>
        <w:t>‌</w:t>
      </w:r>
    </w:p>
    <w:p w14:paraId="2CFA3877" w14:textId="42E4E169" w:rsidR="7BB39E41" w:rsidRDefault="7BB39E41" w:rsidP="7BB39E41">
      <w:pPr>
        <w:spacing w:after="0"/>
        <w:rPr>
          <w:rFonts w:ascii="Calibri" w:eastAsia="Calibri" w:hAnsi="Calibri" w:cs="Calibri"/>
          <w:color w:val="000000" w:themeColor="text1"/>
          <w:sz w:val="22"/>
          <w:szCs w:val="22"/>
        </w:rPr>
      </w:pPr>
    </w:p>
    <w:p w14:paraId="6CAE9973" w14:textId="442AE889" w:rsidR="3CB74A63" w:rsidRDefault="3CB74A63" w:rsidP="7BB39E41">
      <w:pPr>
        <w:spacing w:before="240" w:after="240"/>
      </w:pPr>
      <w:r w:rsidRPr="7BB39E41">
        <w:rPr>
          <w:rFonts w:ascii="Calibri" w:eastAsia="Calibri" w:hAnsi="Calibri" w:cs="Calibri"/>
          <w:color w:val="000000" w:themeColor="text1"/>
          <w:sz w:val="22"/>
          <w:szCs w:val="22"/>
        </w:rPr>
        <w:t>‌</w:t>
      </w:r>
    </w:p>
    <w:p w14:paraId="5883061E" w14:textId="089E883E" w:rsidR="7BB39E41" w:rsidRDefault="7BB39E41" w:rsidP="7BB39E41">
      <w:pPr>
        <w:spacing w:after="0"/>
        <w:rPr>
          <w:rFonts w:ascii="Calibri" w:eastAsia="Calibri" w:hAnsi="Calibri" w:cs="Calibri"/>
          <w:color w:val="000000" w:themeColor="text1"/>
          <w:sz w:val="22"/>
          <w:szCs w:val="22"/>
        </w:rPr>
      </w:pPr>
    </w:p>
    <w:p w14:paraId="47DC81D5" w14:textId="7FD20038" w:rsidR="22B2C3E2" w:rsidRDefault="22B2C3E2" w:rsidP="7BB39E41">
      <w:pPr>
        <w:spacing w:before="240" w:after="240"/>
      </w:pPr>
      <w:r w:rsidRPr="7BB39E41">
        <w:rPr>
          <w:rFonts w:ascii="Calibri" w:eastAsia="Calibri" w:hAnsi="Calibri" w:cs="Calibri"/>
          <w:color w:val="000000" w:themeColor="text1"/>
          <w:sz w:val="22"/>
          <w:szCs w:val="22"/>
        </w:rPr>
        <w:t>‌</w:t>
      </w:r>
    </w:p>
    <w:p w14:paraId="6AE4B282" w14:textId="218E9ECB" w:rsidR="7BB39E41" w:rsidRDefault="7BB39E41" w:rsidP="7BB39E41">
      <w:pPr>
        <w:spacing w:before="240" w:after="240"/>
        <w:rPr>
          <w:rFonts w:ascii="Calibri" w:eastAsia="Calibri" w:hAnsi="Calibri" w:cs="Calibri"/>
          <w:color w:val="000000" w:themeColor="text1"/>
          <w:sz w:val="22"/>
          <w:szCs w:val="22"/>
        </w:rPr>
      </w:pPr>
    </w:p>
    <w:p w14:paraId="5873E89A" w14:textId="0B312509" w:rsidR="15C512CC" w:rsidRDefault="15C512CC" w:rsidP="32EE5E3E">
      <w:pPr>
        <w:spacing w:after="0"/>
        <w:rPr>
          <w:rFonts w:ascii="Calibri" w:eastAsia="Calibri" w:hAnsi="Calibri" w:cs="Calibri"/>
          <w:color w:val="000000" w:themeColor="text1"/>
          <w:sz w:val="22"/>
          <w:szCs w:val="22"/>
        </w:rPr>
      </w:pPr>
    </w:p>
    <w:p w14:paraId="5224EE9A" w14:textId="73F11F36" w:rsidR="09C3ED90" w:rsidRDefault="09C3ED90" w:rsidP="32EE5E3E">
      <w:pPr>
        <w:spacing w:before="240" w:after="240"/>
      </w:pPr>
      <w:r w:rsidRPr="32EE5E3E">
        <w:rPr>
          <w:rFonts w:ascii="Calibri" w:eastAsia="Calibri" w:hAnsi="Calibri" w:cs="Calibri"/>
          <w:color w:val="000000" w:themeColor="text1"/>
          <w:sz w:val="22"/>
          <w:szCs w:val="22"/>
        </w:rPr>
        <w:t>‌</w:t>
      </w:r>
    </w:p>
    <w:p w14:paraId="05CE8AB9" w14:textId="7B21D42B" w:rsidR="32EE5E3E" w:rsidRDefault="32EE5E3E" w:rsidP="32EE5E3E">
      <w:pPr>
        <w:spacing w:after="0"/>
        <w:rPr>
          <w:rFonts w:ascii="Calibri" w:eastAsia="Calibri" w:hAnsi="Calibri" w:cs="Calibri"/>
          <w:color w:val="000000" w:themeColor="text1"/>
          <w:sz w:val="22"/>
          <w:szCs w:val="22"/>
        </w:rPr>
      </w:pPr>
    </w:p>
    <w:p w14:paraId="190BC0D3" w14:textId="50AA7929" w:rsidR="78953E25" w:rsidRDefault="78953E25" w:rsidP="32EE5E3E">
      <w:pPr>
        <w:spacing w:before="240" w:after="240"/>
      </w:pPr>
      <w:r w:rsidRPr="32EE5E3E">
        <w:rPr>
          <w:rFonts w:ascii="Calibri" w:eastAsia="Calibri" w:hAnsi="Calibri" w:cs="Calibri"/>
          <w:color w:val="000000" w:themeColor="text1"/>
          <w:sz w:val="22"/>
          <w:szCs w:val="22"/>
        </w:rPr>
        <w:t>‌</w:t>
      </w:r>
    </w:p>
    <w:p w14:paraId="55B7CB0A" w14:textId="553A5366" w:rsidR="32EE5E3E" w:rsidRDefault="32EE5E3E" w:rsidP="32EE5E3E">
      <w:pPr>
        <w:spacing w:after="0"/>
        <w:rPr>
          <w:rFonts w:ascii="Calibri" w:eastAsia="Calibri" w:hAnsi="Calibri" w:cs="Calibri"/>
          <w:color w:val="000000" w:themeColor="text1"/>
          <w:sz w:val="22"/>
          <w:szCs w:val="22"/>
        </w:rPr>
      </w:pPr>
    </w:p>
    <w:p w14:paraId="64D17804" w14:textId="7FC6E50F" w:rsidR="1626BB16" w:rsidRDefault="1626BB16" w:rsidP="32EE5E3E">
      <w:pPr>
        <w:spacing w:before="240" w:after="240"/>
      </w:pPr>
      <w:r w:rsidRPr="32EE5E3E">
        <w:rPr>
          <w:rFonts w:ascii="Calibri" w:eastAsia="Calibri" w:hAnsi="Calibri" w:cs="Calibri"/>
          <w:color w:val="000000" w:themeColor="text1"/>
          <w:sz w:val="22"/>
          <w:szCs w:val="22"/>
        </w:rPr>
        <w:t>‌</w:t>
      </w:r>
    </w:p>
    <w:p w14:paraId="5C29094B" w14:textId="14EBBFD4" w:rsidR="32EE5E3E" w:rsidRDefault="32EE5E3E" w:rsidP="32EE5E3E">
      <w:pPr>
        <w:spacing w:after="0"/>
        <w:rPr>
          <w:rFonts w:ascii="Calibri" w:eastAsia="Calibri" w:hAnsi="Calibri" w:cs="Calibri"/>
          <w:color w:val="000000" w:themeColor="text1"/>
          <w:sz w:val="22"/>
          <w:szCs w:val="22"/>
        </w:rPr>
      </w:pPr>
    </w:p>
    <w:p w14:paraId="6EC30DE9" w14:textId="5D6EB003" w:rsidR="354D6ECE" w:rsidRDefault="354D6ECE" w:rsidP="32EE5E3E">
      <w:pPr>
        <w:spacing w:before="240" w:after="240"/>
      </w:pPr>
      <w:r w:rsidRPr="32EE5E3E">
        <w:rPr>
          <w:rFonts w:ascii="Calibri" w:eastAsia="Calibri" w:hAnsi="Calibri" w:cs="Calibri"/>
          <w:color w:val="000000" w:themeColor="text1"/>
          <w:sz w:val="22"/>
          <w:szCs w:val="22"/>
        </w:rPr>
        <w:t>‌</w:t>
      </w:r>
    </w:p>
    <w:p w14:paraId="4519F417" w14:textId="08A5F426" w:rsidR="32EE5E3E" w:rsidRDefault="32EE5E3E" w:rsidP="32EE5E3E">
      <w:pPr>
        <w:spacing w:after="0"/>
        <w:rPr>
          <w:rFonts w:ascii="Calibri" w:eastAsia="Calibri" w:hAnsi="Calibri" w:cs="Calibri"/>
          <w:color w:val="000000" w:themeColor="text1"/>
          <w:sz w:val="22"/>
          <w:szCs w:val="22"/>
        </w:rPr>
      </w:pPr>
    </w:p>
    <w:p w14:paraId="4DCF0633" w14:textId="4CF6B8B3" w:rsidR="62F8F779" w:rsidRDefault="62F8F779" w:rsidP="32EE5E3E">
      <w:pPr>
        <w:spacing w:before="240" w:after="240"/>
      </w:pPr>
      <w:r w:rsidRPr="32EE5E3E">
        <w:rPr>
          <w:rFonts w:ascii="Calibri" w:eastAsia="Calibri" w:hAnsi="Calibri" w:cs="Calibri"/>
          <w:color w:val="000000" w:themeColor="text1"/>
          <w:sz w:val="22"/>
          <w:szCs w:val="22"/>
        </w:rPr>
        <w:t>‌</w:t>
      </w:r>
    </w:p>
    <w:p w14:paraId="5E775B19" w14:textId="35630CEB" w:rsidR="32EE5E3E" w:rsidRDefault="32EE5E3E" w:rsidP="32EE5E3E">
      <w:pPr>
        <w:rPr>
          <w:rFonts w:ascii="Calibri" w:eastAsia="Calibri" w:hAnsi="Calibri" w:cs="Calibri"/>
          <w:b/>
          <w:bCs/>
          <w:i/>
          <w:iCs/>
          <w:sz w:val="22"/>
          <w:szCs w:val="22"/>
        </w:rPr>
      </w:pPr>
    </w:p>
    <w:sectPr w:rsidR="32EE5E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pleSystemUIFont">
    <w:altName w:val="Cambria"/>
    <w:charset w:val="00"/>
    <w:family w:val="roman"/>
    <w:pitch w:val="default"/>
  </w:font>
  <w:font w:name="UICTFontTextStyleBody">
    <w:altName w:val="Cambria"/>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5D073"/>
    <w:multiLevelType w:val="hybridMultilevel"/>
    <w:tmpl w:val="FFFFFFFF"/>
    <w:lvl w:ilvl="0" w:tplc="4FF01A84">
      <w:start w:val="1"/>
      <w:numFmt w:val="bullet"/>
      <w:lvlText w:val="·"/>
      <w:lvlJc w:val="left"/>
      <w:pPr>
        <w:ind w:left="720" w:hanging="360"/>
      </w:pPr>
      <w:rPr>
        <w:rFonts w:ascii="Symbol" w:hAnsi="Symbol" w:hint="default"/>
      </w:rPr>
    </w:lvl>
    <w:lvl w:ilvl="1" w:tplc="BC34A7A4">
      <w:start w:val="1"/>
      <w:numFmt w:val="bullet"/>
      <w:lvlText w:val="o"/>
      <w:lvlJc w:val="left"/>
      <w:pPr>
        <w:ind w:left="1440" w:hanging="360"/>
      </w:pPr>
      <w:rPr>
        <w:rFonts w:ascii="Courier New" w:hAnsi="Courier New" w:hint="default"/>
      </w:rPr>
    </w:lvl>
    <w:lvl w:ilvl="2" w:tplc="EB604BE8">
      <w:start w:val="1"/>
      <w:numFmt w:val="bullet"/>
      <w:lvlText w:val=""/>
      <w:lvlJc w:val="left"/>
      <w:pPr>
        <w:ind w:left="2160" w:hanging="360"/>
      </w:pPr>
      <w:rPr>
        <w:rFonts w:ascii="Wingdings" w:hAnsi="Wingdings" w:hint="default"/>
      </w:rPr>
    </w:lvl>
    <w:lvl w:ilvl="3" w:tplc="6D640126">
      <w:start w:val="1"/>
      <w:numFmt w:val="bullet"/>
      <w:lvlText w:val=""/>
      <w:lvlJc w:val="left"/>
      <w:pPr>
        <w:ind w:left="2880" w:hanging="360"/>
      </w:pPr>
      <w:rPr>
        <w:rFonts w:ascii="Symbol" w:hAnsi="Symbol" w:hint="default"/>
      </w:rPr>
    </w:lvl>
    <w:lvl w:ilvl="4" w:tplc="548603EC">
      <w:start w:val="1"/>
      <w:numFmt w:val="bullet"/>
      <w:lvlText w:val="o"/>
      <w:lvlJc w:val="left"/>
      <w:pPr>
        <w:ind w:left="3600" w:hanging="360"/>
      </w:pPr>
      <w:rPr>
        <w:rFonts w:ascii="Courier New" w:hAnsi="Courier New" w:hint="default"/>
      </w:rPr>
    </w:lvl>
    <w:lvl w:ilvl="5" w:tplc="DCE85490">
      <w:start w:val="1"/>
      <w:numFmt w:val="bullet"/>
      <w:lvlText w:val=""/>
      <w:lvlJc w:val="left"/>
      <w:pPr>
        <w:ind w:left="4320" w:hanging="360"/>
      </w:pPr>
      <w:rPr>
        <w:rFonts w:ascii="Wingdings" w:hAnsi="Wingdings" w:hint="default"/>
      </w:rPr>
    </w:lvl>
    <w:lvl w:ilvl="6" w:tplc="8B3CDDD8">
      <w:start w:val="1"/>
      <w:numFmt w:val="bullet"/>
      <w:lvlText w:val=""/>
      <w:lvlJc w:val="left"/>
      <w:pPr>
        <w:ind w:left="5040" w:hanging="360"/>
      </w:pPr>
      <w:rPr>
        <w:rFonts w:ascii="Symbol" w:hAnsi="Symbol" w:hint="default"/>
      </w:rPr>
    </w:lvl>
    <w:lvl w:ilvl="7" w:tplc="65981850">
      <w:start w:val="1"/>
      <w:numFmt w:val="bullet"/>
      <w:lvlText w:val="o"/>
      <w:lvlJc w:val="left"/>
      <w:pPr>
        <w:ind w:left="5760" w:hanging="360"/>
      </w:pPr>
      <w:rPr>
        <w:rFonts w:ascii="Courier New" w:hAnsi="Courier New" w:hint="default"/>
      </w:rPr>
    </w:lvl>
    <w:lvl w:ilvl="8" w:tplc="1EE49CE8">
      <w:start w:val="1"/>
      <w:numFmt w:val="bullet"/>
      <w:lvlText w:val=""/>
      <w:lvlJc w:val="left"/>
      <w:pPr>
        <w:ind w:left="6480" w:hanging="360"/>
      </w:pPr>
      <w:rPr>
        <w:rFonts w:ascii="Wingdings" w:hAnsi="Wingdings" w:hint="default"/>
      </w:rPr>
    </w:lvl>
  </w:abstractNum>
  <w:abstractNum w:abstractNumId="1" w15:restartNumberingAfterBreak="0">
    <w:nsid w:val="05BEFD89"/>
    <w:multiLevelType w:val="hybridMultilevel"/>
    <w:tmpl w:val="FFFFFFFF"/>
    <w:lvl w:ilvl="0" w:tplc="11CAE5E6">
      <w:start w:val="1"/>
      <w:numFmt w:val="bullet"/>
      <w:lvlText w:val="·"/>
      <w:lvlJc w:val="left"/>
      <w:pPr>
        <w:ind w:left="720" w:hanging="360"/>
      </w:pPr>
      <w:rPr>
        <w:rFonts w:ascii="Symbol" w:hAnsi="Symbol" w:hint="default"/>
      </w:rPr>
    </w:lvl>
    <w:lvl w:ilvl="1" w:tplc="65221F2E">
      <w:start w:val="1"/>
      <w:numFmt w:val="bullet"/>
      <w:lvlText w:val="o"/>
      <w:lvlJc w:val="left"/>
      <w:pPr>
        <w:ind w:left="1440" w:hanging="360"/>
      </w:pPr>
      <w:rPr>
        <w:rFonts w:ascii="Courier New" w:hAnsi="Courier New" w:hint="default"/>
      </w:rPr>
    </w:lvl>
    <w:lvl w:ilvl="2" w:tplc="780CFAC8">
      <w:start w:val="1"/>
      <w:numFmt w:val="bullet"/>
      <w:lvlText w:val=""/>
      <w:lvlJc w:val="left"/>
      <w:pPr>
        <w:ind w:left="2160" w:hanging="360"/>
      </w:pPr>
      <w:rPr>
        <w:rFonts w:ascii="Wingdings" w:hAnsi="Wingdings" w:hint="default"/>
      </w:rPr>
    </w:lvl>
    <w:lvl w:ilvl="3" w:tplc="818A1AF6">
      <w:start w:val="1"/>
      <w:numFmt w:val="bullet"/>
      <w:lvlText w:val=""/>
      <w:lvlJc w:val="left"/>
      <w:pPr>
        <w:ind w:left="2880" w:hanging="360"/>
      </w:pPr>
      <w:rPr>
        <w:rFonts w:ascii="Symbol" w:hAnsi="Symbol" w:hint="default"/>
      </w:rPr>
    </w:lvl>
    <w:lvl w:ilvl="4" w:tplc="91F03C30">
      <w:start w:val="1"/>
      <w:numFmt w:val="bullet"/>
      <w:lvlText w:val="o"/>
      <w:lvlJc w:val="left"/>
      <w:pPr>
        <w:ind w:left="3600" w:hanging="360"/>
      </w:pPr>
      <w:rPr>
        <w:rFonts w:ascii="Courier New" w:hAnsi="Courier New" w:hint="default"/>
      </w:rPr>
    </w:lvl>
    <w:lvl w:ilvl="5" w:tplc="4E2AEFA4">
      <w:start w:val="1"/>
      <w:numFmt w:val="bullet"/>
      <w:lvlText w:val=""/>
      <w:lvlJc w:val="left"/>
      <w:pPr>
        <w:ind w:left="4320" w:hanging="360"/>
      </w:pPr>
      <w:rPr>
        <w:rFonts w:ascii="Wingdings" w:hAnsi="Wingdings" w:hint="default"/>
      </w:rPr>
    </w:lvl>
    <w:lvl w:ilvl="6" w:tplc="FC889B6C">
      <w:start w:val="1"/>
      <w:numFmt w:val="bullet"/>
      <w:lvlText w:val=""/>
      <w:lvlJc w:val="left"/>
      <w:pPr>
        <w:ind w:left="5040" w:hanging="360"/>
      </w:pPr>
      <w:rPr>
        <w:rFonts w:ascii="Symbol" w:hAnsi="Symbol" w:hint="default"/>
      </w:rPr>
    </w:lvl>
    <w:lvl w:ilvl="7" w:tplc="F1FE2D70">
      <w:start w:val="1"/>
      <w:numFmt w:val="bullet"/>
      <w:lvlText w:val="o"/>
      <w:lvlJc w:val="left"/>
      <w:pPr>
        <w:ind w:left="5760" w:hanging="360"/>
      </w:pPr>
      <w:rPr>
        <w:rFonts w:ascii="Courier New" w:hAnsi="Courier New" w:hint="default"/>
      </w:rPr>
    </w:lvl>
    <w:lvl w:ilvl="8" w:tplc="93C21846">
      <w:start w:val="1"/>
      <w:numFmt w:val="bullet"/>
      <w:lvlText w:val=""/>
      <w:lvlJc w:val="left"/>
      <w:pPr>
        <w:ind w:left="6480" w:hanging="360"/>
      </w:pPr>
      <w:rPr>
        <w:rFonts w:ascii="Wingdings" w:hAnsi="Wingdings" w:hint="default"/>
      </w:rPr>
    </w:lvl>
  </w:abstractNum>
  <w:abstractNum w:abstractNumId="2" w15:restartNumberingAfterBreak="0">
    <w:nsid w:val="21471264"/>
    <w:multiLevelType w:val="hybridMultilevel"/>
    <w:tmpl w:val="FFFFFFFF"/>
    <w:lvl w:ilvl="0" w:tplc="75CED356">
      <w:start w:val="1"/>
      <w:numFmt w:val="bullet"/>
      <w:lvlText w:val="·"/>
      <w:lvlJc w:val="left"/>
      <w:pPr>
        <w:ind w:left="720" w:hanging="360"/>
      </w:pPr>
      <w:rPr>
        <w:rFonts w:ascii="Symbol" w:hAnsi="Symbol" w:hint="default"/>
      </w:rPr>
    </w:lvl>
    <w:lvl w:ilvl="1" w:tplc="0756E138">
      <w:start w:val="1"/>
      <w:numFmt w:val="bullet"/>
      <w:lvlText w:val="o"/>
      <w:lvlJc w:val="left"/>
      <w:pPr>
        <w:ind w:left="1440" w:hanging="360"/>
      </w:pPr>
      <w:rPr>
        <w:rFonts w:ascii="Courier New" w:hAnsi="Courier New" w:hint="default"/>
      </w:rPr>
    </w:lvl>
    <w:lvl w:ilvl="2" w:tplc="D4066B74">
      <w:start w:val="1"/>
      <w:numFmt w:val="bullet"/>
      <w:lvlText w:val=""/>
      <w:lvlJc w:val="left"/>
      <w:pPr>
        <w:ind w:left="2160" w:hanging="360"/>
      </w:pPr>
      <w:rPr>
        <w:rFonts w:ascii="Wingdings" w:hAnsi="Wingdings" w:hint="default"/>
      </w:rPr>
    </w:lvl>
    <w:lvl w:ilvl="3" w:tplc="99D2948E">
      <w:start w:val="1"/>
      <w:numFmt w:val="bullet"/>
      <w:lvlText w:val=""/>
      <w:lvlJc w:val="left"/>
      <w:pPr>
        <w:ind w:left="2880" w:hanging="360"/>
      </w:pPr>
      <w:rPr>
        <w:rFonts w:ascii="Symbol" w:hAnsi="Symbol" w:hint="default"/>
      </w:rPr>
    </w:lvl>
    <w:lvl w:ilvl="4" w:tplc="873EE65C">
      <w:start w:val="1"/>
      <w:numFmt w:val="bullet"/>
      <w:lvlText w:val="o"/>
      <w:lvlJc w:val="left"/>
      <w:pPr>
        <w:ind w:left="3600" w:hanging="360"/>
      </w:pPr>
      <w:rPr>
        <w:rFonts w:ascii="Courier New" w:hAnsi="Courier New" w:hint="default"/>
      </w:rPr>
    </w:lvl>
    <w:lvl w:ilvl="5" w:tplc="E68ACA82">
      <w:start w:val="1"/>
      <w:numFmt w:val="bullet"/>
      <w:lvlText w:val=""/>
      <w:lvlJc w:val="left"/>
      <w:pPr>
        <w:ind w:left="4320" w:hanging="360"/>
      </w:pPr>
      <w:rPr>
        <w:rFonts w:ascii="Wingdings" w:hAnsi="Wingdings" w:hint="default"/>
      </w:rPr>
    </w:lvl>
    <w:lvl w:ilvl="6" w:tplc="87460A00">
      <w:start w:val="1"/>
      <w:numFmt w:val="bullet"/>
      <w:lvlText w:val=""/>
      <w:lvlJc w:val="left"/>
      <w:pPr>
        <w:ind w:left="5040" w:hanging="360"/>
      </w:pPr>
      <w:rPr>
        <w:rFonts w:ascii="Symbol" w:hAnsi="Symbol" w:hint="default"/>
      </w:rPr>
    </w:lvl>
    <w:lvl w:ilvl="7" w:tplc="1E924CC2">
      <w:start w:val="1"/>
      <w:numFmt w:val="bullet"/>
      <w:lvlText w:val="o"/>
      <w:lvlJc w:val="left"/>
      <w:pPr>
        <w:ind w:left="5760" w:hanging="360"/>
      </w:pPr>
      <w:rPr>
        <w:rFonts w:ascii="Courier New" w:hAnsi="Courier New" w:hint="default"/>
      </w:rPr>
    </w:lvl>
    <w:lvl w:ilvl="8" w:tplc="1226B2AE">
      <w:start w:val="1"/>
      <w:numFmt w:val="bullet"/>
      <w:lvlText w:val=""/>
      <w:lvlJc w:val="left"/>
      <w:pPr>
        <w:ind w:left="6480" w:hanging="360"/>
      </w:pPr>
      <w:rPr>
        <w:rFonts w:ascii="Wingdings" w:hAnsi="Wingdings" w:hint="default"/>
      </w:rPr>
    </w:lvl>
  </w:abstractNum>
  <w:abstractNum w:abstractNumId="3" w15:restartNumberingAfterBreak="0">
    <w:nsid w:val="4CB3492F"/>
    <w:multiLevelType w:val="hybridMultilevel"/>
    <w:tmpl w:val="FFFFFFFF"/>
    <w:lvl w:ilvl="0" w:tplc="9EFA5A2A">
      <w:start w:val="1"/>
      <w:numFmt w:val="bullet"/>
      <w:lvlText w:val="·"/>
      <w:lvlJc w:val="left"/>
      <w:pPr>
        <w:ind w:left="720" w:hanging="360"/>
      </w:pPr>
      <w:rPr>
        <w:rFonts w:ascii="Symbol" w:hAnsi="Symbol" w:hint="default"/>
      </w:rPr>
    </w:lvl>
    <w:lvl w:ilvl="1" w:tplc="851E6986">
      <w:start w:val="1"/>
      <w:numFmt w:val="bullet"/>
      <w:lvlText w:val="o"/>
      <w:lvlJc w:val="left"/>
      <w:pPr>
        <w:ind w:left="1440" w:hanging="360"/>
      </w:pPr>
      <w:rPr>
        <w:rFonts w:ascii="Courier New" w:hAnsi="Courier New" w:hint="default"/>
      </w:rPr>
    </w:lvl>
    <w:lvl w:ilvl="2" w:tplc="AFAE4392">
      <w:start w:val="1"/>
      <w:numFmt w:val="bullet"/>
      <w:lvlText w:val=""/>
      <w:lvlJc w:val="left"/>
      <w:pPr>
        <w:ind w:left="2160" w:hanging="360"/>
      </w:pPr>
      <w:rPr>
        <w:rFonts w:ascii="Wingdings" w:hAnsi="Wingdings" w:hint="default"/>
      </w:rPr>
    </w:lvl>
    <w:lvl w:ilvl="3" w:tplc="C46291F6">
      <w:start w:val="1"/>
      <w:numFmt w:val="bullet"/>
      <w:lvlText w:val=""/>
      <w:lvlJc w:val="left"/>
      <w:pPr>
        <w:ind w:left="2880" w:hanging="360"/>
      </w:pPr>
      <w:rPr>
        <w:rFonts w:ascii="Symbol" w:hAnsi="Symbol" w:hint="default"/>
      </w:rPr>
    </w:lvl>
    <w:lvl w:ilvl="4" w:tplc="1854AC28">
      <w:start w:val="1"/>
      <w:numFmt w:val="bullet"/>
      <w:lvlText w:val="o"/>
      <w:lvlJc w:val="left"/>
      <w:pPr>
        <w:ind w:left="3600" w:hanging="360"/>
      </w:pPr>
      <w:rPr>
        <w:rFonts w:ascii="Courier New" w:hAnsi="Courier New" w:hint="default"/>
      </w:rPr>
    </w:lvl>
    <w:lvl w:ilvl="5" w:tplc="1E563978">
      <w:start w:val="1"/>
      <w:numFmt w:val="bullet"/>
      <w:lvlText w:val=""/>
      <w:lvlJc w:val="left"/>
      <w:pPr>
        <w:ind w:left="4320" w:hanging="360"/>
      </w:pPr>
      <w:rPr>
        <w:rFonts w:ascii="Wingdings" w:hAnsi="Wingdings" w:hint="default"/>
      </w:rPr>
    </w:lvl>
    <w:lvl w:ilvl="6" w:tplc="2A22A8AA">
      <w:start w:val="1"/>
      <w:numFmt w:val="bullet"/>
      <w:lvlText w:val=""/>
      <w:lvlJc w:val="left"/>
      <w:pPr>
        <w:ind w:left="5040" w:hanging="360"/>
      </w:pPr>
      <w:rPr>
        <w:rFonts w:ascii="Symbol" w:hAnsi="Symbol" w:hint="default"/>
      </w:rPr>
    </w:lvl>
    <w:lvl w:ilvl="7" w:tplc="069E2CDC">
      <w:start w:val="1"/>
      <w:numFmt w:val="bullet"/>
      <w:lvlText w:val="o"/>
      <w:lvlJc w:val="left"/>
      <w:pPr>
        <w:ind w:left="5760" w:hanging="360"/>
      </w:pPr>
      <w:rPr>
        <w:rFonts w:ascii="Courier New" w:hAnsi="Courier New" w:hint="default"/>
      </w:rPr>
    </w:lvl>
    <w:lvl w:ilvl="8" w:tplc="62AE3228">
      <w:start w:val="1"/>
      <w:numFmt w:val="bullet"/>
      <w:lvlText w:val=""/>
      <w:lvlJc w:val="left"/>
      <w:pPr>
        <w:ind w:left="6480" w:hanging="360"/>
      </w:pPr>
      <w:rPr>
        <w:rFonts w:ascii="Wingdings" w:hAnsi="Wingdings" w:hint="default"/>
      </w:rPr>
    </w:lvl>
  </w:abstractNum>
  <w:abstractNum w:abstractNumId="4" w15:restartNumberingAfterBreak="0">
    <w:nsid w:val="53E436D4"/>
    <w:multiLevelType w:val="hybridMultilevel"/>
    <w:tmpl w:val="FFFFFFFF"/>
    <w:lvl w:ilvl="0" w:tplc="9F5AD054">
      <w:start w:val="1"/>
      <w:numFmt w:val="bullet"/>
      <w:lvlText w:val="·"/>
      <w:lvlJc w:val="left"/>
      <w:pPr>
        <w:ind w:left="720" w:hanging="360"/>
      </w:pPr>
      <w:rPr>
        <w:rFonts w:ascii="Symbol" w:hAnsi="Symbol" w:hint="default"/>
      </w:rPr>
    </w:lvl>
    <w:lvl w:ilvl="1" w:tplc="C57A7C5E">
      <w:start w:val="1"/>
      <w:numFmt w:val="bullet"/>
      <w:lvlText w:val="o"/>
      <w:lvlJc w:val="left"/>
      <w:pPr>
        <w:ind w:left="1440" w:hanging="360"/>
      </w:pPr>
      <w:rPr>
        <w:rFonts w:ascii="Courier New" w:hAnsi="Courier New" w:hint="default"/>
      </w:rPr>
    </w:lvl>
    <w:lvl w:ilvl="2" w:tplc="C9A07330">
      <w:start w:val="1"/>
      <w:numFmt w:val="bullet"/>
      <w:lvlText w:val=""/>
      <w:lvlJc w:val="left"/>
      <w:pPr>
        <w:ind w:left="2160" w:hanging="360"/>
      </w:pPr>
      <w:rPr>
        <w:rFonts w:ascii="Wingdings" w:hAnsi="Wingdings" w:hint="default"/>
      </w:rPr>
    </w:lvl>
    <w:lvl w:ilvl="3" w:tplc="776A81FE">
      <w:start w:val="1"/>
      <w:numFmt w:val="bullet"/>
      <w:lvlText w:val=""/>
      <w:lvlJc w:val="left"/>
      <w:pPr>
        <w:ind w:left="2880" w:hanging="360"/>
      </w:pPr>
      <w:rPr>
        <w:rFonts w:ascii="Symbol" w:hAnsi="Symbol" w:hint="default"/>
      </w:rPr>
    </w:lvl>
    <w:lvl w:ilvl="4" w:tplc="522E10FA">
      <w:start w:val="1"/>
      <w:numFmt w:val="bullet"/>
      <w:lvlText w:val="o"/>
      <w:lvlJc w:val="left"/>
      <w:pPr>
        <w:ind w:left="3600" w:hanging="360"/>
      </w:pPr>
      <w:rPr>
        <w:rFonts w:ascii="Courier New" w:hAnsi="Courier New" w:hint="default"/>
      </w:rPr>
    </w:lvl>
    <w:lvl w:ilvl="5" w:tplc="CDF4C51A">
      <w:start w:val="1"/>
      <w:numFmt w:val="bullet"/>
      <w:lvlText w:val=""/>
      <w:lvlJc w:val="left"/>
      <w:pPr>
        <w:ind w:left="4320" w:hanging="360"/>
      </w:pPr>
      <w:rPr>
        <w:rFonts w:ascii="Wingdings" w:hAnsi="Wingdings" w:hint="default"/>
      </w:rPr>
    </w:lvl>
    <w:lvl w:ilvl="6" w:tplc="09B6E9A4">
      <w:start w:val="1"/>
      <w:numFmt w:val="bullet"/>
      <w:lvlText w:val=""/>
      <w:lvlJc w:val="left"/>
      <w:pPr>
        <w:ind w:left="5040" w:hanging="360"/>
      </w:pPr>
      <w:rPr>
        <w:rFonts w:ascii="Symbol" w:hAnsi="Symbol" w:hint="default"/>
      </w:rPr>
    </w:lvl>
    <w:lvl w:ilvl="7" w:tplc="E8383538">
      <w:start w:val="1"/>
      <w:numFmt w:val="bullet"/>
      <w:lvlText w:val="o"/>
      <w:lvlJc w:val="left"/>
      <w:pPr>
        <w:ind w:left="5760" w:hanging="360"/>
      </w:pPr>
      <w:rPr>
        <w:rFonts w:ascii="Courier New" w:hAnsi="Courier New" w:hint="default"/>
      </w:rPr>
    </w:lvl>
    <w:lvl w:ilvl="8" w:tplc="06EABF20">
      <w:start w:val="1"/>
      <w:numFmt w:val="bullet"/>
      <w:lvlText w:val=""/>
      <w:lvlJc w:val="left"/>
      <w:pPr>
        <w:ind w:left="6480" w:hanging="360"/>
      </w:pPr>
      <w:rPr>
        <w:rFonts w:ascii="Wingdings" w:hAnsi="Wingdings" w:hint="default"/>
      </w:rPr>
    </w:lvl>
  </w:abstractNum>
  <w:num w:numId="1" w16cid:durableId="248661841">
    <w:abstractNumId w:val="2"/>
  </w:num>
  <w:num w:numId="2" w16cid:durableId="1527135742">
    <w:abstractNumId w:val="0"/>
  </w:num>
  <w:num w:numId="3" w16cid:durableId="1004628681">
    <w:abstractNumId w:val="3"/>
  </w:num>
  <w:num w:numId="4" w16cid:durableId="477380749">
    <w:abstractNumId w:val="4"/>
  </w:num>
  <w:num w:numId="5" w16cid:durableId="11639320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0C22FC"/>
    <w:rsid w:val="00014480"/>
    <w:rsid w:val="00147518"/>
    <w:rsid w:val="001B141A"/>
    <w:rsid w:val="00383106"/>
    <w:rsid w:val="003B445E"/>
    <w:rsid w:val="005633D5"/>
    <w:rsid w:val="006D298B"/>
    <w:rsid w:val="006D4F32"/>
    <w:rsid w:val="00830661"/>
    <w:rsid w:val="00A04A2F"/>
    <w:rsid w:val="00A24C77"/>
    <w:rsid w:val="00B17336"/>
    <w:rsid w:val="00B2048D"/>
    <w:rsid w:val="00BD2E78"/>
    <w:rsid w:val="00C04E91"/>
    <w:rsid w:val="00C76EFF"/>
    <w:rsid w:val="00F86A3E"/>
    <w:rsid w:val="021E568A"/>
    <w:rsid w:val="02393D5B"/>
    <w:rsid w:val="02FAAC73"/>
    <w:rsid w:val="03995179"/>
    <w:rsid w:val="0445F28D"/>
    <w:rsid w:val="04B29A75"/>
    <w:rsid w:val="080E7526"/>
    <w:rsid w:val="080FB8BE"/>
    <w:rsid w:val="081F05B8"/>
    <w:rsid w:val="09C3ED90"/>
    <w:rsid w:val="0A7B271D"/>
    <w:rsid w:val="0B43B65D"/>
    <w:rsid w:val="0C15E4F1"/>
    <w:rsid w:val="0CE62C11"/>
    <w:rsid w:val="0D6B886E"/>
    <w:rsid w:val="0D77B012"/>
    <w:rsid w:val="0DE724B3"/>
    <w:rsid w:val="0EFB1791"/>
    <w:rsid w:val="12277D50"/>
    <w:rsid w:val="1292C327"/>
    <w:rsid w:val="14D78D48"/>
    <w:rsid w:val="15BA1699"/>
    <w:rsid w:val="15C512CC"/>
    <w:rsid w:val="1626BB16"/>
    <w:rsid w:val="17879F25"/>
    <w:rsid w:val="17B42DF7"/>
    <w:rsid w:val="195785D5"/>
    <w:rsid w:val="19B75FC5"/>
    <w:rsid w:val="1B214688"/>
    <w:rsid w:val="1BF6608E"/>
    <w:rsid w:val="1D630988"/>
    <w:rsid w:val="1EA3BE75"/>
    <w:rsid w:val="20A41FCE"/>
    <w:rsid w:val="20B9F154"/>
    <w:rsid w:val="20BB9D62"/>
    <w:rsid w:val="21EDBF50"/>
    <w:rsid w:val="22B2C3E2"/>
    <w:rsid w:val="23CC8AF6"/>
    <w:rsid w:val="23D41632"/>
    <w:rsid w:val="253E4BCA"/>
    <w:rsid w:val="25E5DC14"/>
    <w:rsid w:val="2949D724"/>
    <w:rsid w:val="29DF8C19"/>
    <w:rsid w:val="2BAA155A"/>
    <w:rsid w:val="2C8515FA"/>
    <w:rsid w:val="2DA51A08"/>
    <w:rsid w:val="2E266B8F"/>
    <w:rsid w:val="2F117284"/>
    <w:rsid w:val="2F2239FB"/>
    <w:rsid w:val="2F2A9883"/>
    <w:rsid w:val="301BAA86"/>
    <w:rsid w:val="30B10FB9"/>
    <w:rsid w:val="325B8C3D"/>
    <w:rsid w:val="325FC026"/>
    <w:rsid w:val="32EE5E3E"/>
    <w:rsid w:val="332488CA"/>
    <w:rsid w:val="346F6BF2"/>
    <w:rsid w:val="34E6B67E"/>
    <w:rsid w:val="354D6ECE"/>
    <w:rsid w:val="36205F43"/>
    <w:rsid w:val="37A6DD28"/>
    <w:rsid w:val="38D68ADB"/>
    <w:rsid w:val="38DB4B81"/>
    <w:rsid w:val="3900EE61"/>
    <w:rsid w:val="39402077"/>
    <w:rsid w:val="3A0E5997"/>
    <w:rsid w:val="3C23CF62"/>
    <w:rsid w:val="3C8AD650"/>
    <w:rsid w:val="3CB74A63"/>
    <w:rsid w:val="3E654F5F"/>
    <w:rsid w:val="3EA84C91"/>
    <w:rsid w:val="3F489193"/>
    <w:rsid w:val="3F53C6F3"/>
    <w:rsid w:val="40123166"/>
    <w:rsid w:val="4174B27D"/>
    <w:rsid w:val="41A4D3CA"/>
    <w:rsid w:val="41E023D4"/>
    <w:rsid w:val="421EFF20"/>
    <w:rsid w:val="42545F31"/>
    <w:rsid w:val="43E60B44"/>
    <w:rsid w:val="44121D69"/>
    <w:rsid w:val="44C9DEBB"/>
    <w:rsid w:val="4558CDC0"/>
    <w:rsid w:val="463CACB5"/>
    <w:rsid w:val="4667826F"/>
    <w:rsid w:val="47FBDEDF"/>
    <w:rsid w:val="484A2F36"/>
    <w:rsid w:val="49537707"/>
    <w:rsid w:val="49E8014A"/>
    <w:rsid w:val="4AFC3309"/>
    <w:rsid w:val="4B424958"/>
    <w:rsid w:val="4B8DE77B"/>
    <w:rsid w:val="4B9A7EEF"/>
    <w:rsid w:val="4BE48571"/>
    <w:rsid w:val="4F447BBE"/>
    <w:rsid w:val="4FFA94AB"/>
    <w:rsid w:val="506248E0"/>
    <w:rsid w:val="50DCBDA4"/>
    <w:rsid w:val="515DD13B"/>
    <w:rsid w:val="51BD2AF6"/>
    <w:rsid w:val="5399EA09"/>
    <w:rsid w:val="53A63F40"/>
    <w:rsid w:val="5427597E"/>
    <w:rsid w:val="54F1E462"/>
    <w:rsid w:val="56133120"/>
    <w:rsid w:val="5642C96D"/>
    <w:rsid w:val="573C0B26"/>
    <w:rsid w:val="577972BB"/>
    <w:rsid w:val="58383C24"/>
    <w:rsid w:val="5841DFF4"/>
    <w:rsid w:val="594D2B00"/>
    <w:rsid w:val="595A5512"/>
    <w:rsid w:val="596A27E2"/>
    <w:rsid w:val="5A60D758"/>
    <w:rsid w:val="5C311FF1"/>
    <w:rsid w:val="5C984E00"/>
    <w:rsid w:val="5D0C22FC"/>
    <w:rsid w:val="5E1B9280"/>
    <w:rsid w:val="5FCE0E69"/>
    <w:rsid w:val="61B6D4FA"/>
    <w:rsid w:val="62790497"/>
    <w:rsid w:val="62F8F779"/>
    <w:rsid w:val="644DCC42"/>
    <w:rsid w:val="656A07DA"/>
    <w:rsid w:val="6595E38B"/>
    <w:rsid w:val="65D3BB40"/>
    <w:rsid w:val="66A191CE"/>
    <w:rsid w:val="678B6EEC"/>
    <w:rsid w:val="67A5243B"/>
    <w:rsid w:val="681C2A57"/>
    <w:rsid w:val="682B39C4"/>
    <w:rsid w:val="689338DD"/>
    <w:rsid w:val="69B19157"/>
    <w:rsid w:val="6CB5145C"/>
    <w:rsid w:val="6E2AB4A7"/>
    <w:rsid w:val="6E412F4F"/>
    <w:rsid w:val="6ECA1B5E"/>
    <w:rsid w:val="7274BAA0"/>
    <w:rsid w:val="74EBF50F"/>
    <w:rsid w:val="75E9F40A"/>
    <w:rsid w:val="7604B94F"/>
    <w:rsid w:val="76AE3C61"/>
    <w:rsid w:val="781BC215"/>
    <w:rsid w:val="78953E25"/>
    <w:rsid w:val="7A04FC19"/>
    <w:rsid w:val="7B09EBED"/>
    <w:rsid w:val="7BB39E41"/>
    <w:rsid w:val="7CB1D90A"/>
    <w:rsid w:val="7DD94505"/>
    <w:rsid w:val="7EC88F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C22FC"/>
  <w15:chartTrackingRefBased/>
  <w15:docId w15:val="{DFDA1207-4CAF-441D-88FB-61B332340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customStyle="1" w:styleId="p1">
    <w:name w:val="p1"/>
    <w:basedOn w:val="Normal"/>
    <w:rsid w:val="003B445E"/>
    <w:pPr>
      <w:spacing w:after="0" w:line="240" w:lineRule="auto"/>
    </w:pPr>
    <w:rPr>
      <w:rFonts w:ascii=".AppleSystemUIFont" w:hAnsi=".AppleSystemUIFont" w:cs="Times New Roman"/>
      <w:sz w:val="26"/>
      <w:szCs w:val="26"/>
      <w:lang w:val="en-GB" w:eastAsia="en-GB"/>
    </w:rPr>
  </w:style>
  <w:style w:type="paragraph" w:customStyle="1" w:styleId="p2">
    <w:name w:val="p2"/>
    <w:basedOn w:val="Normal"/>
    <w:rsid w:val="003B445E"/>
    <w:pPr>
      <w:spacing w:after="0" w:line="240" w:lineRule="auto"/>
    </w:pPr>
    <w:rPr>
      <w:rFonts w:ascii=".AppleSystemUIFont" w:hAnsi=".AppleSystemUIFont" w:cs="Times New Roman"/>
      <w:sz w:val="26"/>
      <w:szCs w:val="26"/>
      <w:lang w:val="en-GB" w:eastAsia="en-GB"/>
    </w:rPr>
  </w:style>
  <w:style w:type="character" w:customStyle="1" w:styleId="s1">
    <w:name w:val="s1"/>
    <w:basedOn w:val="DefaultParagraphFont"/>
    <w:rsid w:val="003B445E"/>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1508933">
      <w:bodyDiv w:val="1"/>
      <w:marLeft w:val="0"/>
      <w:marRight w:val="0"/>
      <w:marTop w:val="0"/>
      <w:marBottom w:val="0"/>
      <w:divBdr>
        <w:top w:val="none" w:sz="0" w:space="0" w:color="auto"/>
        <w:left w:val="none" w:sz="0" w:space="0" w:color="auto"/>
        <w:bottom w:val="none" w:sz="0" w:space="0" w:color="auto"/>
        <w:right w:val="none" w:sz="0" w:space="0" w:color="auto"/>
      </w:divBdr>
      <w:divsChild>
        <w:div w:id="874465031">
          <w:marLeft w:val="0"/>
          <w:marRight w:val="0"/>
          <w:marTop w:val="0"/>
          <w:marBottom w:val="0"/>
          <w:divBdr>
            <w:top w:val="none" w:sz="0" w:space="0" w:color="auto"/>
            <w:left w:val="none" w:sz="0" w:space="0" w:color="auto"/>
            <w:bottom w:val="none" w:sz="0" w:space="0" w:color="auto"/>
            <w:right w:val="none" w:sz="0" w:space="0" w:color="auto"/>
          </w:divBdr>
        </w:div>
        <w:div w:id="1782337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awresources.co.uk/cases/R-v-Brown-1993.php" TargetMode="External"/><Relationship Id="rId13" Type="http://schemas.openxmlformats.org/officeDocument/2006/relationships/hyperlink" Target="https://academic.oup.com/clp/article-abstract/64/1/23/761024?redirectedFrom=fulltext" TargetMode="External"/><Relationship Id="rId3" Type="http://schemas.openxmlformats.org/officeDocument/2006/relationships/settings" Target="settings.xml"/><Relationship Id="rId7" Type="http://schemas.openxmlformats.org/officeDocument/2006/relationships/hyperlink" Target="http://www.e-lawresources.co.uk/cases/R-v-Wilson.php" TargetMode="External"/><Relationship Id="rId12" Type="http://schemas.openxmlformats.org/officeDocument/2006/relationships/hyperlink" Target="https://assets.publishing.service.gov.uk/media/5fb407ffe90e072099045110/victims-code-202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egelaw.co.uk/criminal-law/defence_of_consent/index.html" TargetMode="External"/><Relationship Id="rId11" Type="http://schemas.openxmlformats.org/officeDocument/2006/relationships/hyperlink" Target="https://wrda.net/wp-content/uploads/2021/01/Consent-to-harm-for-sexual-gratification-not-a-defence-by-WPG.pdf" TargetMode="External"/><Relationship Id="rId5" Type="http://schemas.openxmlformats.org/officeDocument/2006/relationships/hyperlink" Target="https://www.lawteacher.net/free-law-essays/criminal-law/consent-defence-criminal-law-3735.php" TargetMode="External"/><Relationship Id="rId15" Type="http://schemas.openxmlformats.org/officeDocument/2006/relationships/theme" Target="theme/theme1.xml"/><Relationship Id="rId10" Type="http://schemas.openxmlformats.org/officeDocument/2006/relationships/hyperlink" Target="https://www.cps.gov.uk/legal-guidance/rape-and-sexual-offences-chapter-6-consent" TargetMode="External"/><Relationship Id="rId4" Type="http://schemas.openxmlformats.org/officeDocument/2006/relationships/webSettings" Target="webSettings.xml"/><Relationship Id="rId9" Type="http://schemas.openxmlformats.org/officeDocument/2006/relationships/hyperlink" Target="https://lawtutor.co.uk/articles/r-v-brow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1171</Words>
  <Characters>6675</Characters>
  <Application>Microsoft Office Word</Application>
  <DocSecurity>4</DocSecurity>
  <Lines>55</Lines>
  <Paragraphs>15</Paragraphs>
  <ScaleCrop>false</ScaleCrop>
  <Company/>
  <LinksUpToDate>false</LinksUpToDate>
  <CharactersWithSpaces>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Szczesniak (2306259)</dc:creator>
  <cp:keywords/>
  <dc:description/>
  <cp:lastModifiedBy>Maja Szczesniak (2306259)</cp:lastModifiedBy>
  <cp:revision>9</cp:revision>
  <dcterms:created xsi:type="dcterms:W3CDTF">2024-07-20T01:22:00Z</dcterms:created>
  <dcterms:modified xsi:type="dcterms:W3CDTF">2024-07-19T22:29:00Z</dcterms:modified>
</cp:coreProperties>
</file>