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D2BFE" w14:textId="77777777" w:rsidR="00911B5E" w:rsidRDefault="00911B5E">
      <w:pPr>
        <w:spacing w:line="360" w:lineRule="auto"/>
      </w:pPr>
    </w:p>
    <w:p w14:paraId="11CD7BEE" w14:textId="77777777" w:rsidR="00911B5E" w:rsidRDefault="00911B5E">
      <w:pPr>
        <w:spacing w:line="360" w:lineRule="auto"/>
      </w:pPr>
    </w:p>
    <w:p w14:paraId="131805F9" w14:textId="77777777" w:rsidR="00911B5E" w:rsidRDefault="00911B5E">
      <w:pPr>
        <w:spacing w:line="360" w:lineRule="auto"/>
      </w:pPr>
    </w:p>
    <w:p w14:paraId="1BA9D0E4" w14:textId="77777777" w:rsidR="00911B5E" w:rsidRDefault="00911B5E">
      <w:pPr>
        <w:spacing w:line="360" w:lineRule="auto"/>
      </w:pPr>
    </w:p>
    <w:p w14:paraId="2219E0E5" w14:textId="77777777" w:rsidR="00911B5E" w:rsidRDefault="00911B5E">
      <w:pPr>
        <w:spacing w:line="360" w:lineRule="auto"/>
      </w:pPr>
    </w:p>
    <w:p w14:paraId="55D57D51" w14:textId="77777777" w:rsidR="00911B5E" w:rsidRDefault="00911B5E">
      <w:pPr>
        <w:spacing w:line="360" w:lineRule="auto"/>
      </w:pPr>
    </w:p>
    <w:p w14:paraId="7A357B3E" w14:textId="77777777" w:rsidR="00911B5E" w:rsidRPr="00046926" w:rsidRDefault="00000000" w:rsidP="00046926">
      <w:pPr>
        <w:spacing w:after="160" w:line="360" w:lineRule="auto"/>
        <w:jc w:val="center"/>
        <w:rPr>
          <w:sz w:val="24"/>
          <w:szCs w:val="24"/>
        </w:rPr>
      </w:pPr>
      <w:r w:rsidRPr="00046926">
        <w:rPr>
          <w:rFonts w:ascii="Arial" w:eastAsia="Arial" w:hAnsi="Arial" w:cs="Arial"/>
          <w:sz w:val="24"/>
          <w:szCs w:val="24"/>
        </w:rPr>
        <w:t>BMHP5016 – Principles of Health and Social Care Practice</w:t>
      </w:r>
    </w:p>
    <w:p w14:paraId="70C5EC29" w14:textId="77777777" w:rsidR="00911B5E" w:rsidRPr="00046926" w:rsidRDefault="00911B5E" w:rsidP="00046926">
      <w:pPr>
        <w:spacing w:line="360" w:lineRule="auto"/>
        <w:jc w:val="center"/>
        <w:rPr>
          <w:sz w:val="24"/>
          <w:szCs w:val="24"/>
        </w:rPr>
      </w:pPr>
    </w:p>
    <w:p w14:paraId="06A113C8" w14:textId="77777777" w:rsidR="00911B5E" w:rsidRPr="00046926" w:rsidRDefault="00000000" w:rsidP="00046926">
      <w:pPr>
        <w:spacing w:after="160" w:line="360" w:lineRule="auto"/>
        <w:jc w:val="center"/>
        <w:rPr>
          <w:sz w:val="24"/>
          <w:szCs w:val="24"/>
        </w:rPr>
      </w:pPr>
      <w:r w:rsidRPr="00046926">
        <w:rPr>
          <w:rFonts w:ascii="Arial" w:eastAsia="Arial" w:hAnsi="Arial" w:cs="Arial"/>
          <w:sz w:val="24"/>
          <w:szCs w:val="24"/>
        </w:rPr>
        <w:t>Component 1: Written Assignment</w:t>
      </w:r>
    </w:p>
    <w:p w14:paraId="6C80977A" w14:textId="77777777" w:rsidR="00911B5E" w:rsidRPr="00046926" w:rsidRDefault="00000000" w:rsidP="00046926">
      <w:pPr>
        <w:spacing w:after="160" w:line="360" w:lineRule="auto"/>
        <w:jc w:val="center"/>
        <w:rPr>
          <w:sz w:val="24"/>
          <w:szCs w:val="24"/>
        </w:rPr>
      </w:pPr>
      <w:r w:rsidRPr="00046926">
        <w:rPr>
          <w:rFonts w:ascii="Arial" w:eastAsia="Arial" w:hAnsi="Arial" w:cs="Arial"/>
          <w:sz w:val="24"/>
          <w:szCs w:val="24"/>
        </w:rPr>
        <w:t>Reflective Report</w:t>
      </w:r>
    </w:p>
    <w:p w14:paraId="1C400986" w14:textId="77777777" w:rsidR="00911B5E" w:rsidRPr="00046926" w:rsidRDefault="00911B5E" w:rsidP="00046926">
      <w:pPr>
        <w:spacing w:line="360" w:lineRule="auto"/>
        <w:jc w:val="center"/>
        <w:rPr>
          <w:sz w:val="24"/>
          <w:szCs w:val="24"/>
        </w:rPr>
      </w:pPr>
    </w:p>
    <w:p w14:paraId="5FBA2A3A" w14:textId="77777777" w:rsidR="00911B5E" w:rsidRPr="00046926" w:rsidRDefault="00911B5E" w:rsidP="00046926">
      <w:pPr>
        <w:spacing w:line="360" w:lineRule="auto"/>
        <w:jc w:val="center"/>
        <w:rPr>
          <w:sz w:val="24"/>
          <w:szCs w:val="24"/>
        </w:rPr>
      </w:pPr>
    </w:p>
    <w:p w14:paraId="03F2D707" w14:textId="77777777" w:rsidR="00911B5E" w:rsidRPr="00046926" w:rsidRDefault="00911B5E" w:rsidP="00046926">
      <w:pPr>
        <w:spacing w:line="360" w:lineRule="auto"/>
        <w:jc w:val="center"/>
        <w:rPr>
          <w:sz w:val="24"/>
          <w:szCs w:val="24"/>
        </w:rPr>
      </w:pPr>
    </w:p>
    <w:p w14:paraId="162FE6DC" w14:textId="2FC62E71" w:rsidR="00911B5E" w:rsidRPr="00046926" w:rsidRDefault="00000000" w:rsidP="00046926">
      <w:pPr>
        <w:spacing w:after="160" w:line="360" w:lineRule="auto"/>
        <w:jc w:val="center"/>
        <w:rPr>
          <w:sz w:val="24"/>
          <w:szCs w:val="24"/>
        </w:rPr>
      </w:pPr>
      <w:r w:rsidRPr="00046926">
        <w:rPr>
          <w:rFonts w:ascii="Arial" w:eastAsia="Arial" w:hAnsi="Arial" w:cs="Arial"/>
          <w:sz w:val="24"/>
          <w:szCs w:val="24"/>
        </w:rPr>
        <w:t xml:space="preserve">Student Name: </w:t>
      </w:r>
      <w:r w:rsidR="00046926" w:rsidRPr="00046926">
        <w:rPr>
          <w:rFonts w:ascii="Arial" w:eastAsia="Arial" w:hAnsi="Arial" w:cs="Arial"/>
          <w:sz w:val="24"/>
          <w:szCs w:val="24"/>
        </w:rPr>
        <w:t>Naanaz Saddiq</w:t>
      </w:r>
    </w:p>
    <w:p w14:paraId="46B84C0E" w14:textId="77777777" w:rsidR="00911B5E" w:rsidRPr="00046926" w:rsidRDefault="00911B5E" w:rsidP="00046926">
      <w:pPr>
        <w:spacing w:line="360" w:lineRule="auto"/>
        <w:jc w:val="center"/>
        <w:rPr>
          <w:sz w:val="24"/>
          <w:szCs w:val="24"/>
        </w:rPr>
      </w:pPr>
    </w:p>
    <w:p w14:paraId="274A8F87" w14:textId="3504129D" w:rsidR="00911B5E" w:rsidRPr="00046926" w:rsidRDefault="00000000" w:rsidP="00046926">
      <w:pPr>
        <w:spacing w:after="160" w:line="360" w:lineRule="auto"/>
        <w:jc w:val="center"/>
        <w:rPr>
          <w:sz w:val="24"/>
          <w:szCs w:val="24"/>
        </w:rPr>
      </w:pPr>
      <w:r w:rsidRPr="00046926">
        <w:rPr>
          <w:rFonts w:ascii="Arial" w:eastAsia="Arial" w:hAnsi="Arial" w:cs="Arial"/>
          <w:sz w:val="24"/>
          <w:szCs w:val="24"/>
        </w:rPr>
        <w:t xml:space="preserve">Student Number: </w:t>
      </w:r>
      <w:r w:rsidR="00046926">
        <w:rPr>
          <w:rFonts w:ascii="Arial" w:eastAsia="Arial" w:hAnsi="Arial" w:cs="Arial"/>
          <w:sz w:val="24"/>
          <w:szCs w:val="24"/>
        </w:rPr>
        <w:t>2438383</w:t>
      </w:r>
    </w:p>
    <w:p w14:paraId="7270EABB" w14:textId="77777777" w:rsidR="00911B5E" w:rsidRPr="00046926" w:rsidRDefault="00911B5E" w:rsidP="00046926">
      <w:pPr>
        <w:spacing w:line="360" w:lineRule="auto"/>
        <w:jc w:val="center"/>
        <w:rPr>
          <w:sz w:val="24"/>
          <w:szCs w:val="24"/>
        </w:rPr>
      </w:pPr>
    </w:p>
    <w:p w14:paraId="70EA0D14" w14:textId="77777777" w:rsidR="00911B5E" w:rsidRPr="00046926" w:rsidRDefault="00000000" w:rsidP="00046926">
      <w:pPr>
        <w:spacing w:after="160" w:line="360" w:lineRule="auto"/>
        <w:jc w:val="center"/>
        <w:rPr>
          <w:sz w:val="24"/>
          <w:szCs w:val="24"/>
        </w:rPr>
      </w:pPr>
      <w:r w:rsidRPr="00046926">
        <w:rPr>
          <w:rFonts w:ascii="Arial" w:eastAsia="Arial" w:hAnsi="Arial" w:cs="Arial"/>
          <w:sz w:val="24"/>
          <w:szCs w:val="24"/>
        </w:rPr>
        <w:t>Module Code: BMHP5016</w:t>
      </w:r>
    </w:p>
    <w:p w14:paraId="5E04AFED" w14:textId="77777777" w:rsidR="00911B5E" w:rsidRPr="00046926" w:rsidRDefault="00911B5E">
      <w:pPr>
        <w:spacing w:line="360" w:lineRule="auto"/>
        <w:rPr>
          <w:sz w:val="24"/>
          <w:szCs w:val="24"/>
        </w:rPr>
      </w:pPr>
    </w:p>
    <w:p w14:paraId="74DDF415" w14:textId="50934042" w:rsidR="00911B5E" w:rsidRPr="00046926" w:rsidRDefault="00911B5E">
      <w:pPr>
        <w:spacing w:after="160" w:line="360" w:lineRule="auto"/>
        <w:jc w:val="center"/>
        <w:rPr>
          <w:sz w:val="24"/>
          <w:szCs w:val="24"/>
        </w:rPr>
      </w:pPr>
    </w:p>
    <w:p w14:paraId="01E9B36F" w14:textId="77777777" w:rsidR="00911B5E" w:rsidRDefault="00911B5E">
      <w:pPr>
        <w:spacing w:line="360" w:lineRule="auto"/>
      </w:pPr>
    </w:p>
    <w:p w14:paraId="7D9548B7" w14:textId="59CF0BC7" w:rsidR="00911B5E" w:rsidRDefault="00911B5E">
      <w:pPr>
        <w:spacing w:after="160" w:line="360" w:lineRule="auto"/>
        <w:jc w:val="center"/>
      </w:pPr>
    </w:p>
    <w:p w14:paraId="631398CE" w14:textId="77777777" w:rsidR="00911B5E" w:rsidRDefault="00000000">
      <w:pPr>
        <w:spacing w:line="360" w:lineRule="auto"/>
      </w:pPr>
      <w:r>
        <w:br w:type="page"/>
      </w:r>
    </w:p>
    <w:p w14:paraId="01D9FF11" w14:textId="77777777" w:rsidR="00911B5E" w:rsidRDefault="00911B5E">
      <w:pPr>
        <w:sectPr w:rsidR="00911B5E">
          <w:footerReference w:type="even" r:id="rId7"/>
          <w:pgSz w:w="11906" w:h="16838"/>
          <w:pgMar w:top="1440" w:right="1440" w:bottom="1440" w:left="1440" w:header="708" w:footer="708" w:gutter="0"/>
          <w:cols w:space="720"/>
          <w:docGrid w:linePitch="360"/>
        </w:sectPr>
      </w:pPr>
    </w:p>
    <w:p w14:paraId="327ED920" w14:textId="77777777" w:rsidR="004A1D7A" w:rsidRPr="004A1D7A" w:rsidRDefault="004A1D7A">
      <w:pPr>
        <w:spacing w:before="280" w:after="140" w:line="360" w:lineRule="auto"/>
        <w:rPr>
          <w:rFonts w:ascii="Arial" w:eastAsia="Arial" w:hAnsi="Arial" w:cs="Arial"/>
          <w:b/>
          <w:bCs/>
          <w:sz w:val="24"/>
          <w:szCs w:val="24"/>
        </w:rPr>
      </w:pPr>
    </w:p>
    <w:p w14:paraId="231AD5B1" w14:textId="2F92EC45" w:rsidR="00911B5E" w:rsidRDefault="00000000">
      <w:pPr>
        <w:spacing w:before="280" w:after="140" w:line="360" w:lineRule="auto"/>
      </w:pPr>
      <w:r>
        <w:rPr>
          <w:rFonts w:ascii="Arial" w:eastAsia="Arial" w:hAnsi="Arial" w:cs="Arial"/>
          <w:b/>
          <w:bCs/>
          <w:sz w:val="26"/>
          <w:szCs w:val="26"/>
        </w:rPr>
        <w:t>Introduction</w:t>
      </w:r>
    </w:p>
    <w:p w14:paraId="5784A8B7" w14:textId="55F5F635" w:rsidR="00911B5E" w:rsidRDefault="00F9030F">
      <w:pPr>
        <w:spacing w:after="160" w:line="360" w:lineRule="auto"/>
        <w:jc w:val="both"/>
      </w:pPr>
      <w:r w:rsidRPr="00F9030F">
        <w:rPr>
          <w:rFonts w:ascii="Arial" w:eastAsia="Arial" w:hAnsi="Arial" w:cs="Arial"/>
          <w:sz w:val="22"/>
          <w:szCs w:val="22"/>
        </w:rPr>
        <w:t>The values of health and social care practice in the United Kingdom are a fundamental framework on which the professionals can provide safe, dignified and effective services. Person-centred care, partnership working</w:t>
      </w:r>
      <w:r w:rsidR="00D80AEC">
        <w:rPr>
          <w:rFonts w:ascii="Arial" w:eastAsia="Arial" w:hAnsi="Arial" w:cs="Arial"/>
          <w:sz w:val="22"/>
          <w:szCs w:val="22"/>
        </w:rPr>
        <w:t>,</w:t>
      </w:r>
      <w:r w:rsidRPr="00F9030F">
        <w:rPr>
          <w:rFonts w:ascii="Arial" w:eastAsia="Arial" w:hAnsi="Arial" w:cs="Arial"/>
          <w:sz w:val="22"/>
          <w:szCs w:val="22"/>
        </w:rPr>
        <w:t xml:space="preserve"> and ethical decision-making are recognised as cornerstones of quality care delivery in the UK. This reflective report will discuss the theoretical importance of these principles, discuss how they were applied in practice based on the case study of a care home with an aged resident experiencing dementia. Theory will be informed by important legislation like the Care Act (2014) and the Health and Care Act (2022), as well as theories of biomedical ethics like Maslow</w:t>
      </w:r>
      <w:r w:rsidR="00D80AEC">
        <w:rPr>
          <w:rFonts w:ascii="Arial" w:eastAsia="Arial" w:hAnsi="Arial" w:cs="Arial"/>
          <w:sz w:val="22"/>
          <w:szCs w:val="22"/>
        </w:rPr>
        <w:t>’</w:t>
      </w:r>
      <w:r w:rsidRPr="00F9030F">
        <w:rPr>
          <w:rFonts w:ascii="Arial" w:eastAsia="Arial" w:hAnsi="Arial" w:cs="Arial"/>
          <w:sz w:val="22"/>
          <w:szCs w:val="22"/>
        </w:rPr>
        <w:t>s Hierarchy of Needs (1943) and the four principles of biomedical ethics (Beauchamp and Childress, 2019)</w:t>
      </w:r>
      <w:r>
        <w:rPr>
          <w:rFonts w:ascii="Arial" w:eastAsia="Arial" w:hAnsi="Arial" w:cs="Arial"/>
          <w:sz w:val="22"/>
          <w:szCs w:val="22"/>
        </w:rPr>
        <w:t>.</w:t>
      </w:r>
    </w:p>
    <w:p w14:paraId="179D651F" w14:textId="6ACDDD9E" w:rsidR="00911B5E" w:rsidRDefault="00000000" w:rsidP="00F616F7">
      <w:pPr>
        <w:spacing w:before="280" w:after="140" w:line="360" w:lineRule="auto"/>
        <w:rPr>
          <w:rFonts w:ascii="Arial" w:eastAsia="Arial" w:hAnsi="Arial" w:cs="Arial"/>
          <w:b/>
          <w:bCs/>
          <w:sz w:val="26"/>
          <w:szCs w:val="26"/>
        </w:rPr>
      </w:pPr>
      <w:r>
        <w:rPr>
          <w:rFonts w:ascii="Arial" w:eastAsia="Arial" w:hAnsi="Arial" w:cs="Arial"/>
          <w:b/>
          <w:bCs/>
          <w:sz w:val="26"/>
          <w:szCs w:val="26"/>
        </w:rPr>
        <w:t xml:space="preserve">Task 1: The Significance of Person-Centred Care, Partnership Working </w:t>
      </w:r>
    </w:p>
    <w:p w14:paraId="563007DB" w14:textId="77777777" w:rsidR="00D85DDA" w:rsidRPr="00D85DDA" w:rsidRDefault="00D85DDA" w:rsidP="00D85DDA">
      <w:pPr>
        <w:spacing w:before="280" w:after="140" w:line="360" w:lineRule="auto"/>
        <w:jc w:val="both"/>
        <w:rPr>
          <w:rFonts w:ascii="Arial" w:eastAsia="Arial" w:hAnsi="Arial" w:cs="Arial"/>
          <w:sz w:val="22"/>
          <w:szCs w:val="22"/>
          <w:lang w:val="en-GB"/>
        </w:rPr>
      </w:pPr>
      <w:r w:rsidRPr="00D85DDA">
        <w:rPr>
          <w:rFonts w:ascii="Arial" w:eastAsia="Arial" w:hAnsi="Arial" w:cs="Arial"/>
          <w:sz w:val="22"/>
          <w:szCs w:val="22"/>
          <w:lang w:val="en-GB"/>
        </w:rPr>
        <w:t>Individuals receive better support when Person-centred care functions as the primary foundation for decision-making. Dignity, compassion, and respect are maintained by medical professionals during service delivery according to the Health Foundation (2016). Experts claim that Person-centred care ensures independence through coordinated efforts. Legal requirements are established by the Care Act (2014) to promote wellbeing and involve people in their own support plans. Care Quality Commission (2023) Regulation 9 demands that services reflect the specific values and needs of every person. Person-centred care improves the experiences of those using services because the approach focuses on individual preferences.</w:t>
      </w:r>
    </w:p>
    <w:p w14:paraId="0BAA4995" w14:textId="525A1D42" w:rsidR="00D85DDA" w:rsidRPr="00D85DDA" w:rsidRDefault="00D85DDA" w:rsidP="00D85DDA">
      <w:pPr>
        <w:spacing w:before="280" w:after="140" w:line="360" w:lineRule="auto"/>
        <w:jc w:val="both"/>
        <w:rPr>
          <w:rFonts w:ascii="Arial" w:eastAsia="Arial" w:hAnsi="Arial" w:cs="Arial"/>
          <w:sz w:val="22"/>
          <w:szCs w:val="22"/>
          <w:lang w:val="en-GB"/>
        </w:rPr>
      </w:pPr>
      <w:r w:rsidRPr="00D85DDA">
        <w:rPr>
          <w:rFonts w:ascii="Arial" w:eastAsia="Arial" w:hAnsi="Arial" w:cs="Arial"/>
          <w:sz w:val="22"/>
          <w:szCs w:val="22"/>
          <w:lang w:val="en-GB"/>
        </w:rPr>
        <w:t>Difficulties emerge regarding the consistent delivery of Person-centred care because high demand and staff shortages create pressure. Organi</w:t>
      </w:r>
      <w:r w:rsidR="00A3568E">
        <w:rPr>
          <w:rFonts w:ascii="Arial" w:eastAsia="Arial" w:hAnsi="Arial" w:cs="Arial"/>
          <w:sz w:val="22"/>
          <w:szCs w:val="22"/>
          <w:lang w:val="en-GB"/>
        </w:rPr>
        <w:t>s</w:t>
      </w:r>
      <w:r w:rsidRPr="00D85DDA">
        <w:rPr>
          <w:rFonts w:ascii="Arial" w:eastAsia="Arial" w:hAnsi="Arial" w:cs="Arial"/>
          <w:sz w:val="22"/>
          <w:szCs w:val="22"/>
          <w:lang w:val="en-GB"/>
        </w:rPr>
        <w:t>ational pressures must be balanced by medical professionals who hold responsibility for compassionate support. It has been observed that emotional and psychological wellbeing hold the same value as physical health in the framework of Maslow’s Hierarchy of Needs (1943). Individuals prioriti</w:t>
      </w:r>
      <w:r w:rsidR="00A3568E">
        <w:rPr>
          <w:rFonts w:ascii="Arial" w:eastAsia="Arial" w:hAnsi="Arial" w:cs="Arial"/>
          <w:sz w:val="22"/>
          <w:szCs w:val="22"/>
          <w:lang w:val="en-GB"/>
        </w:rPr>
        <w:t>s</w:t>
      </w:r>
      <w:r w:rsidRPr="00D85DDA">
        <w:rPr>
          <w:rFonts w:ascii="Arial" w:eastAsia="Arial" w:hAnsi="Arial" w:cs="Arial"/>
          <w:sz w:val="22"/>
          <w:szCs w:val="22"/>
          <w:lang w:val="en-GB"/>
        </w:rPr>
        <w:t>e their requirements differently based on personal situations even though Maslow’s theory provides a helpful structure. Person-centred care requires medical professionals to recognize these differences while performing their working position duties.</w:t>
      </w:r>
    </w:p>
    <w:p w14:paraId="1ED5979F" w14:textId="26DA23C3" w:rsidR="00D85DDA" w:rsidRPr="00D85DDA" w:rsidRDefault="00D85DDA" w:rsidP="00D85DDA">
      <w:pPr>
        <w:spacing w:before="280" w:after="140" w:line="360" w:lineRule="auto"/>
        <w:jc w:val="both"/>
        <w:rPr>
          <w:rFonts w:ascii="Arial" w:eastAsia="Arial" w:hAnsi="Arial" w:cs="Arial"/>
          <w:sz w:val="22"/>
          <w:szCs w:val="22"/>
          <w:lang w:val="en-GB"/>
        </w:rPr>
      </w:pPr>
      <w:r w:rsidRPr="00D85DDA">
        <w:rPr>
          <w:rFonts w:ascii="Arial" w:eastAsia="Arial" w:hAnsi="Arial" w:cs="Arial"/>
          <w:sz w:val="22"/>
          <w:szCs w:val="22"/>
          <w:lang w:val="en-GB"/>
        </w:rPr>
        <w:t xml:space="preserve">Collaboration between various sectors defines the concept of partnership working. Glasby and Dickinson (2014) explain that shared knowledge and coordinated decisions improve outcomes </w:t>
      </w:r>
      <w:r w:rsidRPr="00D85DDA">
        <w:rPr>
          <w:rFonts w:ascii="Arial" w:eastAsia="Arial" w:hAnsi="Arial" w:cs="Arial"/>
          <w:sz w:val="22"/>
          <w:szCs w:val="22"/>
          <w:lang w:val="en-GB"/>
        </w:rPr>
        <w:lastRenderedPageBreak/>
        <w:t>for individuals. Continuity of care is improved by integrated systems when NHS organi</w:t>
      </w:r>
      <w:r w:rsidR="00A3568E">
        <w:rPr>
          <w:rFonts w:ascii="Arial" w:eastAsia="Arial" w:hAnsi="Arial" w:cs="Arial"/>
          <w:sz w:val="22"/>
          <w:szCs w:val="22"/>
          <w:lang w:val="en-GB"/>
        </w:rPr>
        <w:t>s</w:t>
      </w:r>
      <w:r w:rsidRPr="00D85DDA">
        <w:rPr>
          <w:rFonts w:ascii="Arial" w:eastAsia="Arial" w:hAnsi="Arial" w:cs="Arial"/>
          <w:sz w:val="22"/>
          <w:szCs w:val="22"/>
          <w:lang w:val="en-GB"/>
        </w:rPr>
        <w:t>ations and local authorities cooperate under the Health and Care Act (2022). NHS England (2022) states that duplication of services is reduced when different groups work together. Partnership working supports people with complex needs while the Integrated Care Systems (ICSs) encourage closer teamwork between voluntary services and local authorities.</w:t>
      </w:r>
    </w:p>
    <w:p w14:paraId="032674F9" w14:textId="5F4F6B60" w:rsidR="00D85DDA" w:rsidRPr="00D85DDA" w:rsidRDefault="00D85DDA" w:rsidP="00D85DDA">
      <w:pPr>
        <w:spacing w:before="280" w:after="140" w:line="360" w:lineRule="auto"/>
        <w:jc w:val="both"/>
        <w:rPr>
          <w:rFonts w:ascii="Arial" w:eastAsia="Arial" w:hAnsi="Arial" w:cs="Arial"/>
          <w:sz w:val="22"/>
          <w:szCs w:val="22"/>
          <w:lang w:val="en-GB"/>
        </w:rPr>
      </w:pPr>
      <w:r w:rsidRPr="00D85DDA">
        <w:rPr>
          <w:rFonts w:ascii="Arial" w:eastAsia="Arial" w:hAnsi="Arial" w:cs="Arial"/>
          <w:sz w:val="22"/>
          <w:szCs w:val="22"/>
          <w:lang w:val="en-GB"/>
        </w:rPr>
        <w:t>Communication obstacles and professional boundaries often hinder the success of partnership working. Effective results are achieved by professionals when information is shared appropriately between departments. Many people believe that mutual respect remains necessary for successful outcomes. Partnership working depends on shared responsibility so that coordinated services remain available to everyone. Collaborative efforts fail when organi</w:t>
      </w:r>
      <w:r w:rsidR="00A3568E">
        <w:rPr>
          <w:rFonts w:ascii="Arial" w:eastAsia="Arial" w:hAnsi="Arial" w:cs="Arial"/>
          <w:sz w:val="22"/>
          <w:szCs w:val="22"/>
          <w:lang w:val="en-GB"/>
        </w:rPr>
        <w:t>s</w:t>
      </w:r>
      <w:r w:rsidRPr="00D85DDA">
        <w:rPr>
          <w:rFonts w:ascii="Arial" w:eastAsia="Arial" w:hAnsi="Arial" w:cs="Arial"/>
          <w:sz w:val="22"/>
          <w:szCs w:val="22"/>
          <w:lang w:val="en-GB"/>
        </w:rPr>
        <w:t>ational differences stop the flow of communication.</w:t>
      </w:r>
    </w:p>
    <w:p w14:paraId="75622F7F" w14:textId="77777777" w:rsidR="00D85DDA" w:rsidRPr="00D85DDA" w:rsidRDefault="00D85DDA" w:rsidP="00D85DDA">
      <w:pPr>
        <w:spacing w:before="280" w:after="140" w:line="360" w:lineRule="auto"/>
        <w:jc w:val="both"/>
        <w:rPr>
          <w:rFonts w:ascii="Arial" w:eastAsia="Arial" w:hAnsi="Arial" w:cs="Arial"/>
          <w:sz w:val="22"/>
          <w:szCs w:val="22"/>
          <w:lang w:val="en-GB"/>
        </w:rPr>
      </w:pPr>
      <w:r w:rsidRPr="00D85DDA">
        <w:rPr>
          <w:rFonts w:ascii="Arial" w:eastAsia="Arial" w:hAnsi="Arial" w:cs="Arial"/>
          <w:sz w:val="22"/>
          <w:szCs w:val="22"/>
          <w:lang w:val="en-GB"/>
        </w:rPr>
        <w:t>Professional actions in health and social care find their base in ethical practice. Individual choice and wellbeing are promoted by practitioners who follow established guidelines like autonomy and justice (Beauchamp and Childress, 2019). It has been observed that dilemmas happen when different moral principles conflict with each other. The Nursing and Midwifery Council (NMC) Code (2018) and the Health and Care Professions Council (HCPC) Standards of Conduct, Performance and Ethics (2016) reinforce accountability. Professionalism is maintained by medical professionals when they follow these codes while providing safe care.</w:t>
      </w:r>
    </w:p>
    <w:p w14:paraId="52C52070" w14:textId="77777777" w:rsidR="00D85DDA" w:rsidRPr="00D85DDA" w:rsidRDefault="00D85DDA" w:rsidP="00D85DDA">
      <w:pPr>
        <w:spacing w:before="280" w:after="140" w:line="360" w:lineRule="auto"/>
        <w:jc w:val="both"/>
        <w:rPr>
          <w:rFonts w:ascii="Arial" w:eastAsia="Arial" w:hAnsi="Arial" w:cs="Arial"/>
          <w:sz w:val="22"/>
          <w:szCs w:val="22"/>
          <w:lang w:val="en-GB"/>
        </w:rPr>
      </w:pPr>
      <w:r w:rsidRPr="00D85DDA">
        <w:rPr>
          <w:rFonts w:ascii="Arial" w:eastAsia="Arial" w:hAnsi="Arial" w:cs="Arial"/>
          <w:sz w:val="22"/>
          <w:szCs w:val="22"/>
          <w:lang w:val="en-GB"/>
        </w:rPr>
        <w:t>Safe and effective support becomes possible when Person-centred care, partnership working, and ethical practice combine. Dignity and individual rights are respected by professionals through evidence-based practice. Experts claim that these principles ensure high-quality outcomes within the United Kingdom. Legislation and professional guidance provide the necessary structure for these principles to work. Service users receive better treatment because Person-centred care and ethical practice guide the actions of every medical professional.</w:t>
      </w:r>
    </w:p>
    <w:p w14:paraId="79D0A526" w14:textId="77777777" w:rsidR="00CE1F05" w:rsidRPr="00CE1F05" w:rsidRDefault="00CE1F05" w:rsidP="00CE1F05">
      <w:pPr>
        <w:spacing w:before="280" w:after="140" w:line="360" w:lineRule="auto"/>
        <w:jc w:val="both"/>
        <w:rPr>
          <w:rFonts w:ascii="Arial" w:eastAsia="Arial" w:hAnsi="Arial" w:cs="Arial"/>
          <w:sz w:val="22"/>
          <w:szCs w:val="22"/>
        </w:rPr>
      </w:pPr>
    </w:p>
    <w:p w14:paraId="0C3D25FD" w14:textId="77777777" w:rsidR="00911B5E" w:rsidRDefault="00000000">
      <w:pPr>
        <w:spacing w:before="280" w:after="140" w:line="360" w:lineRule="auto"/>
      </w:pPr>
      <w:r>
        <w:rPr>
          <w:rFonts w:ascii="Arial" w:eastAsia="Arial" w:hAnsi="Arial" w:cs="Arial"/>
          <w:b/>
          <w:bCs/>
          <w:sz w:val="26"/>
          <w:szCs w:val="26"/>
        </w:rPr>
        <w:t>Task 2: Person-Centred Care, Partnership Working and Ethics in Practice</w:t>
      </w:r>
    </w:p>
    <w:p w14:paraId="20E71894" w14:textId="6E53B233" w:rsidR="00911B5E" w:rsidRDefault="00F9030F">
      <w:pPr>
        <w:spacing w:after="160" w:line="360" w:lineRule="auto"/>
        <w:jc w:val="both"/>
      </w:pPr>
      <w:r w:rsidRPr="00F9030F">
        <w:rPr>
          <w:rFonts w:ascii="Arial" w:eastAsia="Arial" w:hAnsi="Arial" w:cs="Arial"/>
          <w:sz w:val="22"/>
          <w:szCs w:val="22"/>
        </w:rPr>
        <w:t xml:space="preserve">The case study below demonstrates how the above principles can be implemented in a care home context in the UK setting. Margaret is an elderly lady aged 82 with moderate dementia in a residential care home. She greatly connects to her routines and routine, such as preparing </w:t>
      </w:r>
      <w:r w:rsidRPr="00F9030F">
        <w:rPr>
          <w:rFonts w:ascii="Arial" w:eastAsia="Arial" w:hAnsi="Arial" w:cs="Arial"/>
          <w:sz w:val="22"/>
          <w:szCs w:val="22"/>
        </w:rPr>
        <w:lastRenderedPageBreak/>
        <w:t>her own morning tea, listening to music during her age, as well as spending time in the garden. Her family come and visit</w:t>
      </w:r>
      <w:r w:rsidR="00285C4F">
        <w:rPr>
          <w:rFonts w:ascii="Arial" w:eastAsia="Arial" w:hAnsi="Arial" w:cs="Arial"/>
          <w:sz w:val="22"/>
          <w:szCs w:val="22"/>
        </w:rPr>
        <w:t>s</w:t>
      </w:r>
      <w:r w:rsidRPr="00F9030F">
        <w:rPr>
          <w:rFonts w:ascii="Arial" w:eastAsia="Arial" w:hAnsi="Arial" w:cs="Arial"/>
          <w:sz w:val="22"/>
          <w:szCs w:val="22"/>
        </w:rPr>
        <w:t xml:space="preserve"> her on a regular basis and participate</w:t>
      </w:r>
      <w:r w:rsidR="00285C4F">
        <w:rPr>
          <w:rFonts w:ascii="Arial" w:eastAsia="Arial" w:hAnsi="Arial" w:cs="Arial"/>
          <w:sz w:val="22"/>
          <w:szCs w:val="22"/>
        </w:rPr>
        <w:t>s</w:t>
      </w:r>
      <w:r w:rsidRPr="00F9030F">
        <w:rPr>
          <w:rFonts w:ascii="Arial" w:eastAsia="Arial" w:hAnsi="Arial" w:cs="Arial"/>
          <w:sz w:val="22"/>
          <w:szCs w:val="22"/>
        </w:rPr>
        <w:t xml:space="preserve"> in her care</w:t>
      </w:r>
      <w:r>
        <w:rPr>
          <w:rFonts w:ascii="Arial" w:eastAsia="Arial" w:hAnsi="Arial" w:cs="Arial"/>
          <w:sz w:val="22"/>
          <w:szCs w:val="22"/>
        </w:rPr>
        <w:t>.</w:t>
      </w:r>
    </w:p>
    <w:p w14:paraId="5CA6AC0C" w14:textId="2E72126D" w:rsidR="00911B5E" w:rsidRDefault="00285C4F">
      <w:pPr>
        <w:spacing w:after="160" w:line="360" w:lineRule="auto"/>
        <w:jc w:val="both"/>
      </w:pPr>
      <w:r w:rsidRPr="00285C4F">
        <w:rPr>
          <w:rFonts w:ascii="Arial" w:eastAsia="Arial" w:hAnsi="Arial" w:cs="Arial"/>
          <w:sz w:val="22"/>
          <w:szCs w:val="22"/>
        </w:rPr>
        <w:t>Central to the concept of person-centred care, the individualised care plan created to help Margaret change the patient-centred care is evident in the approach that considers her history, personal preferences and daily routines. Care staff purposefully work to understand what Margaret is like as an individual instead of concentrating on her diagnosis. This is in line with the principles of the Care Act (2014)</w:t>
      </w:r>
      <w:r>
        <w:rPr>
          <w:rFonts w:ascii="Arial" w:eastAsia="Arial" w:hAnsi="Arial" w:cs="Arial"/>
          <w:sz w:val="22"/>
          <w:szCs w:val="22"/>
        </w:rPr>
        <w:t>,</w:t>
      </w:r>
      <w:r w:rsidRPr="00285C4F">
        <w:rPr>
          <w:rFonts w:ascii="Arial" w:eastAsia="Arial" w:hAnsi="Arial" w:cs="Arial"/>
          <w:sz w:val="22"/>
          <w:szCs w:val="22"/>
        </w:rPr>
        <w:t xml:space="preserve"> which states that care planning must be based on individual wellbeing, preferences and strengths. The Hierarchy of Needs (1943) by Maslow can offer a useful theoretical framework in terms of which to interpret this approach. The physiological needs lie at the bottom of the Maslow pyramid</w:t>
      </w:r>
      <w:r>
        <w:rPr>
          <w:rFonts w:ascii="Arial" w:eastAsia="Arial" w:hAnsi="Arial" w:cs="Arial"/>
          <w:sz w:val="22"/>
          <w:szCs w:val="22"/>
        </w:rPr>
        <w:t>,</w:t>
      </w:r>
      <w:r w:rsidRPr="00285C4F">
        <w:rPr>
          <w:rFonts w:ascii="Arial" w:eastAsia="Arial" w:hAnsi="Arial" w:cs="Arial"/>
          <w:sz w:val="22"/>
          <w:szCs w:val="22"/>
        </w:rPr>
        <w:t xml:space="preserve"> including warmth, nutrition and personal hygiene, which care staff attend to in their daily physical care. Safety needs are included by holding periodic risk assessment</w:t>
      </w:r>
      <w:r>
        <w:rPr>
          <w:rFonts w:ascii="Arial" w:eastAsia="Arial" w:hAnsi="Arial" w:cs="Arial"/>
          <w:sz w:val="22"/>
          <w:szCs w:val="22"/>
        </w:rPr>
        <w:t>s,</w:t>
      </w:r>
      <w:r w:rsidRPr="00285C4F">
        <w:rPr>
          <w:rFonts w:ascii="Arial" w:eastAsia="Arial" w:hAnsi="Arial" w:cs="Arial"/>
          <w:sz w:val="22"/>
          <w:szCs w:val="22"/>
        </w:rPr>
        <w:t xml:space="preserve"> where </w:t>
      </w:r>
      <w:r>
        <w:rPr>
          <w:rFonts w:ascii="Arial" w:eastAsia="Arial" w:hAnsi="Arial" w:cs="Arial"/>
          <w:sz w:val="22"/>
          <w:szCs w:val="22"/>
        </w:rPr>
        <w:t>Margaret's</w:t>
      </w:r>
      <w:r w:rsidRPr="00285C4F">
        <w:rPr>
          <w:rFonts w:ascii="Arial" w:eastAsia="Arial" w:hAnsi="Arial" w:cs="Arial"/>
          <w:sz w:val="22"/>
          <w:szCs w:val="22"/>
        </w:rPr>
        <w:t xml:space="preserve"> desire to make her own tea is contrasted with </w:t>
      </w:r>
      <w:r>
        <w:rPr>
          <w:rFonts w:ascii="Arial" w:eastAsia="Arial" w:hAnsi="Arial" w:cs="Arial"/>
          <w:sz w:val="22"/>
          <w:szCs w:val="22"/>
        </w:rPr>
        <w:t xml:space="preserve">the </w:t>
      </w:r>
      <w:r w:rsidRPr="00285C4F">
        <w:rPr>
          <w:rFonts w:ascii="Arial" w:eastAsia="Arial" w:hAnsi="Arial" w:cs="Arial"/>
          <w:sz w:val="22"/>
          <w:szCs w:val="22"/>
        </w:rPr>
        <w:t xml:space="preserve">danger of cognitive impairment. Most importantly, her higher </w:t>
      </w:r>
      <w:r>
        <w:rPr>
          <w:rFonts w:ascii="Arial" w:eastAsia="Arial" w:hAnsi="Arial" w:cs="Arial"/>
          <w:sz w:val="22"/>
          <w:szCs w:val="22"/>
        </w:rPr>
        <w:t>needs, which are belonging, caring about the family, participating in the routine, and being respected, are attended to by</w:t>
      </w:r>
      <w:r w:rsidRPr="00285C4F">
        <w:rPr>
          <w:rFonts w:ascii="Arial" w:eastAsia="Arial" w:hAnsi="Arial" w:cs="Arial"/>
          <w:sz w:val="22"/>
          <w:szCs w:val="22"/>
        </w:rPr>
        <w:t xml:space="preserve"> the staff members as well. Brooker (2007) is of the opinion that the well</w:t>
      </w:r>
      <w:r>
        <w:rPr>
          <w:rFonts w:ascii="Arial" w:eastAsia="Arial" w:hAnsi="Arial" w:cs="Arial"/>
          <w:sz w:val="22"/>
          <w:szCs w:val="22"/>
        </w:rPr>
        <w:t>-</w:t>
      </w:r>
      <w:r w:rsidRPr="00285C4F">
        <w:rPr>
          <w:rFonts w:ascii="Arial" w:eastAsia="Arial" w:hAnsi="Arial" w:cs="Arial"/>
          <w:sz w:val="22"/>
          <w:szCs w:val="22"/>
        </w:rPr>
        <w:t>being of individuals living with dementia is significantly reliant on attention to these emotional and social aspects of care, which further validates the holistic, person-centred approach used in the case of Margaret</w:t>
      </w:r>
      <w:r>
        <w:rPr>
          <w:rFonts w:ascii="Arial" w:eastAsia="Arial" w:hAnsi="Arial" w:cs="Arial"/>
          <w:sz w:val="22"/>
          <w:szCs w:val="22"/>
        </w:rPr>
        <w:t>.</w:t>
      </w:r>
    </w:p>
    <w:p w14:paraId="012330BD" w14:textId="73A54CF0" w:rsidR="00911B5E" w:rsidRDefault="00285C4F">
      <w:pPr>
        <w:spacing w:after="160" w:line="360" w:lineRule="auto"/>
        <w:jc w:val="both"/>
      </w:pPr>
      <w:r w:rsidRPr="00285C4F">
        <w:rPr>
          <w:rFonts w:ascii="Arial" w:eastAsia="Arial" w:hAnsi="Arial" w:cs="Arial"/>
          <w:sz w:val="22"/>
          <w:szCs w:val="22"/>
        </w:rPr>
        <w:t>The idea of partnership working is exhibited in the multidisciplinary approach to the care of Margaret. Her support will include her general practitioner (GP), community mental health nurses, an occupational therapist and her family, which will be under the integrated care framework set by the Health and Care Act (2022). Routine multidisciplinary team (MDT) meetings help make sure that all professionals exchange information</w:t>
      </w:r>
      <w:r>
        <w:rPr>
          <w:rFonts w:ascii="Arial" w:eastAsia="Arial" w:hAnsi="Arial" w:cs="Arial"/>
          <w:sz w:val="22"/>
          <w:szCs w:val="22"/>
        </w:rPr>
        <w:t>,</w:t>
      </w:r>
      <w:r w:rsidRPr="00285C4F">
        <w:rPr>
          <w:rFonts w:ascii="Arial" w:eastAsia="Arial" w:hAnsi="Arial" w:cs="Arial"/>
          <w:sz w:val="22"/>
          <w:szCs w:val="22"/>
        </w:rPr>
        <w:t xml:space="preserve"> coordinate their interventions</w:t>
      </w:r>
      <w:r>
        <w:rPr>
          <w:rFonts w:ascii="Arial" w:eastAsia="Arial" w:hAnsi="Arial" w:cs="Arial"/>
          <w:sz w:val="22"/>
          <w:szCs w:val="22"/>
        </w:rPr>
        <w:t>,</w:t>
      </w:r>
      <w:r w:rsidRPr="00285C4F">
        <w:rPr>
          <w:rFonts w:ascii="Arial" w:eastAsia="Arial" w:hAnsi="Arial" w:cs="Arial"/>
          <w:sz w:val="22"/>
          <w:szCs w:val="22"/>
        </w:rPr>
        <w:t xml:space="preserve"> and do not repeat themselves. As shown by Goodwin et al. (2014), integrated models of care yield more favo</w:t>
      </w:r>
      <w:r>
        <w:rPr>
          <w:rFonts w:ascii="Arial" w:eastAsia="Arial" w:hAnsi="Arial" w:cs="Arial"/>
          <w:sz w:val="22"/>
          <w:szCs w:val="22"/>
        </w:rPr>
        <w:t>u</w:t>
      </w:r>
      <w:r w:rsidRPr="00285C4F">
        <w:rPr>
          <w:rFonts w:ascii="Arial" w:eastAsia="Arial" w:hAnsi="Arial" w:cs="Arial"/>
          <w:sz w:val="22"/>
          <w:szCs w:val="22"/>
        </w:rPr>
        <w:t xml:space="preserve">rable outcomes among older persons with complex needs by ensuring that the knowledge gap between services is reduced and that there </w:t>
      </w:r>
      <w:r>
        <w:rPr>
          <w:rFonts w:ascii="Arial" w:eastAsia="Arial" w:hAnsi="Arial" w:cs="Arial"/>
          <w:sz w:val="22"/>
          <w:szCs w:val="22"/>
        </w:rPr>
        <w:t>is</w:t>
      </w:r>
      <w:r w:rsidRPr="00285C4F">
        <w:rPr>
          <w:rFonts w:ascii="Arial" w:eastAsia="Arial" w:hAnsi="Arial" w:cs="Arial"/>
          <w:sz w:val="22"/>
          <w:szCs w:val="22"/>
        </w:rPr>
        <w:t xml:space="preserve"> increased consistency. The work with the family of Margaret is also an important aspect of this type of partnership, as it makes sure that the insights of people acquainted with this woman </w:t>
      </w:r>
      <w:r>
        <w:rPr>
          <w:rFonts w:ascii="Arial" w:eastAsia="Arial" w:hAnsi="Arial" w:cs="Arial"/>
          <w:sz w:val="22"/>
          <w:szCs w:val="22"/>
        </w:rPr>
        <w:t xml:space="preserve">for </w:t>
      </w:r>
      <w:r w:rsidRPr="00285C4F">
        <w:rPr>
          <w:rFonts w:ascii="Arial" w:eastAsia="Arial" w:hAnsi="Arial" w:cs="Arial"/>
          <w:sz w:val="22"/>
          <w:szCs w:val="22"/>
        </w:rPr>
        <w:t>most of their li</w:t>
      </w:r>
      <w:r>
        <w:rPr>
          <w:rFonts w:ascii="Arial" w:eastAsia="Arial" w:hAnsi="Arial" w:cs="Arial"/>
          <w:sz w:val="22"/>
          <w:szCs w:val="22"/>
        </w:rPr>
        <w:t>ves</w:t>
      </w:r>
      <w:r w:rsidRPr="00285C4F">
        <w:rPr>
          <w:rFonts w:ascii="Arial" w:eastAsia="Arial" w:hAnsi="Arial" w:cs="Arial"/>
          <w:sz w:val="22"/>
          <w:szCs w:val="22"/>
        </w:rPr>
        <w:t xml:space="preserve"> prevail in the care plan</w:t>
      </w:r>
      <w:r>
        <w:rPr>
          <w:rFonts w:ascii="Arial" w:eastAsia="Arial" w:hAnsi="Arial" w:cs="Arial"/>
          <w:sz w:val="22"/>
          <w:szCs w:val="22"/>
        </w:rPr>
        <w:t>.</w:t>
      </w:r>
    </w:p>
    <w:p w14:paraId="3E11771C" w14:textId="1EB26DD9" w:rsidR="00911B5E" w:rsidRDefault="00285C4F">
      <w:pPr>
        <w:spacing w:after="160" w:line="360" w:lineRule="auto"/>
        <w:jc w:val="both"/>
      </w:pPr>
      <w:r w:rsidRPr="00285C4F">
        <w:rPr>
          <w:rFonts w:ascii="Arial" w:eastAsia="Arial" w:hAnsi="Arial" w:cs="Arial"/>
          <w:sz w:val="22"/>
          <w:szCs w:val="22"/>
        </w:rPr>
        <w:t>The care of Margaret is also mainly based on ethical practice. There is a big moral dilemma when she denies personal care at times of confusion. This presents a conflict between the respect of her autonomy and the obligation of beneficence, where staff should work to safeguard her health and well</w:t>
      </w:r>
      <w:r>
        <w:rPr>
          <w:rFonts w:ascii="Arial" w:eastAsia="Arial" w:hAnsi="Arial" w:cs="Arial"/>
          <w:sz w:val="22"/>
          <w:szCs w:val="22"/>
        </w:rPr>
        <w:t>-</w:t>
      </w:r>
      <w:r w:rsidRPr="00285C4F">
        <w:rPr>
          <w:rFonts w:ascii="Arial" w:eastAsia="Arial" w:hAnsi="Arial" w:cs="Arial"/>
          <w:sz w:val="22"/>
          <w:szCs w:val="22"/>
        </w:rPr>
        <w:t>being. According to the Mental Capacity Act (2005), the staff ha</w:t>
      </w:r>
      <w:r>
        <w:rPr>
          <w:rFonts w:ascii="Arial" w:eastAsia="Arial" w:hAnsi="Arial" w:cs="Arial"/>
          <w:sz w:val="22"/>
          <w:szCs w:val="22"/>
        </w:rPr>
        <w:t>ve</w:t>
      </w:r>
      <w:r w:rsidRPr="00285C4F">
        <w:rPr>
          <w:rFonts w:ascii="Arial" w:eastAsia="Arial" w:hAnsi="Arial" w:cs="Arial"/>
          <w:sz w:val="22"/>
          <w:szCs w:val="22"/>
        </w:rPr>
        <w:t xml:space="preserve"> to determine initially whether Margaret has the ability to make the decision in question. In the case of a lack of capacity, the decision-making should consider her best interests, </w:t>
      </w:r>
      <w:r w:rsidRPr="00285C4F">
        <w:rPr>
          <w:rFonts w:ascii="Arial" w:eastAsia="Arial" w:hAnsi="Arial" w:cs="Arial"/>
          <w:sz w:val="22"/>
          <w:szCs w:val="22"/>
        </w:rPr>
        <w:lastRenderedPageBreak/>
        <w:t>consult with her family and other care team members. The non</w:t>
      </w:r>
      <w:r>
        <w:rPr>
          <w:rFonts w:ascii="Arial" w:eastAsia="Arial" w:hAnsi="Arial" w:cs="Arial"/>
          <w:sz w:val="22"/>
          <w:szCs w:val="22"/>
        </w:rPr>
        <w:t>-</w:t>
      </w:r>
      <w:r w:rsidRPr="00285C4F">
        <w:rPr>
          <w:rFonts w:ascii="Arial" w:eastAsia="Arial" w:hAnsi="Arial" w:cs="Arial"/>
          <w:sz w:val="22"/>
          <w:szCs w:val="22"/>
        </w:rPr>
        <w:t>maleficence principle stipulates that inaction should not harm by neglecting</w:t>
      </w:r>
      <w:r>
        <w:rPr>
          <w:rFonts w:ascii="Arial" w:eastAsia="Arial" w:hAnsi="Arial" w:cs="Arial"/>
          <w:sz w:val="22"/>
          <w:szCs w:val="22"/>
        </w:rPr>
        <w:t>,</w:t>
      </w:r>
      <w:r w:rsidRPr="00285C4F">
        <w:rPr>
          <w:rFonts w:ascii="Arial" w:eastAsia="Arial" w:hAnsi="Arial" w:cs="Arial"/>
          <w:sz w:val="22"/>
          <w:szCs w:val="22"/>
        </w:rPr>
        <w:t xml:space="preserve"> and the principle of justice outlines that Margaret deserves the same dignity that any other person in her position would. These reflections are based on legal considerations</w:t>
      </w:r>
      <w:r>
        <w:rPr>
          <w:rFonts w:ascii="Arial" w:eastAsia="Arial" w:hAnsi="Arial" w:cs="Arial"/>
          <w:sz w:val="22"/>
          <w:szCs w:val="22"/>
        </w:rPr>
        <w:t xml:space="preserve"> and</w:t>
      </w:r>
      <w:r w:rsidRPr="00285C4F">
        <w:rPr>
          <w:rFonts w:ascii="Arial" w:eastAsia="Arial" w:hAnsi="Arial" w:cs="Arial"/>
          <w:sz w:val="22"/>
          <w:szCs w:val="22"/>
        </w:rPr>
        <w:t xml:space="preserve"> professional values and depict the complicated yet inseparable nature of ethical reasoning in daily care home practice</w:t>
      </w:r>
      <w:r>
        <w:rPr>
          <w:rFonts w:ascii="Arial" w:eastAsia="Arial" w:hAnsi="Arial" w:cs="Arial"/>
          <w:sz w:val="22"/>
          <w:szCs w:val="22"/>
        </w:rPr>
        <w:t>.</w:t>
      </w:r>
    </w:p>
    <w:p w14:paraId="3F134CB5" w14:textId="52FEEA96" w:rsidR="00911B5E" w:rsidRDefault="00000000">
      <w:pPr>
        <w:spacing w:before="280" w:after="140" w:line="360" w:lineRule="auto"/>
        <w:rPr>
          <w:rFonts w:ascii="Arial" w:eastAsia="Arial" w:hAnsi="Arial" w:cs="Arial"/>
          <w:b/>
          <w:bCs/>
          <w:sz w:val="26"/>
          <w:szCs w:val="26"/>
        </w:rPr>
      </w:pPr>
      <w:r>
        <w:rPr>
          <w:rFonts w:ascii="Arial" w:eastAsia="Arial" w:hAnsi="Arial" w:cs="Arial"/>
          <w:b/>
          <w:bCs/>
          <w:sz w:val="26"/>
          <w:szCs w:val="26"/>
        </w:rPr>
        <w:t>Task 3: Self-Reflection</w:t>
      </w:r>
      <w:r w:rsidR="00322E67">
        <w:rPr>
          <w:rFonts w:ascii="Arial" w:eastAsia="Arial" w:hAnsi="Arial" w:cs="Arial"/>
          <w:b/>
          <w:bCs/>
          <w:sz w:val="26"/>
          <w:szCs w:val="26"/>
        </w:rPr>
        <w:t xml:space="preserve"> and Personal Development </w:t>
      </w:r>
    </w:p>
    <w:p w14:paraId="4B3080DB" w14:textId="51D09D8C" w:rsidR="004A1D7A" w:rsidRPr="004A1D7A" w:rsidRDefault="004A1D7A" w:rsidP="004A1D7A">
      <w:pPr>
        <w:spacing w:before="280" w:after="140" w:line="360" w:lineRule="auto"/>
        <w:jc w:val="both"/>
        <w:rPr>
          <w:rFonts w:ascii="Arial" w:eastAsia="Arial" w:hAnsi="Arial" w:cs="Arial"/>
          <w:b/>
          <w:bCs/>
          <w:sz w:val="22"/>
          <w:szCs w:val="22"/>
        </w:rPr>
      </w:pPr>
      <w:r w:rsidRPr="004A1D7A">
        <w:rPr>
          <w:rFonts w:ascii="Arial" w:hAnsi="Arial" w:cs="Arial"/>
          <w:sz w:val="22"/>
          <w:szCs w:val="22"/>
        </w:rPr>
        <w:t xml:space="preserve">Learning the ideas of person-centred care, partnership working and ethical practice has made my understanding of being a health and social care professional much better. Even though I knew that treating people with kindness was good before I started this module, I see now that person-centred care needs a working individual to mix kindness with evidence-based practice and legal rules. Because I have thought about my past, I see how these ideas have changed my way of working with others. It has been observed that person-centred care becomes stronger when legal knowledge is used to help people. Professional practice is shaped by these ethical choices in the future for every working individual. Working as a ward clerk at Russells Hall Hospital changed how I understood person-centred care. Although my role focused on administration, I regularly spoke with patients and their families, listening respectfully and offering reassurance. This experience showed me that emotional wellbeing is as important as physical health, reflecting Maslow’s Hierarchy of Needs (1943). It reinforced that person-centred care means focusing on the individual, not just the paperwork. My time at boots pharmacy further strengthened my understanding of person-centred care. Customers sought advice about medicines and health concerns highlighting the importance of respecting individual choices and maintaining confidentiality. Although I was not working in a clinical role, I recognise that person centred care is essential in all healthcare settings. These experiences will guide my future practise by ensuring I respect each person's dignity, preferences and involvement in decisions about their care. This module strengthened my understanding of partnership working as a ward clerk, I worked with the nurses, healthcare professionals and families to share information effectively I saw how teamwork improved patient care and safety Glasby and Dickinson (2014) argued that effective partnership working depends on mutual respect and collaboration I will apply these principles in my future practice. The concept of ethical practice is a principle that has gained much weight while I was learning my studies. When I held an unpaid working position at Russells Hall Hospital, medical documents were handled regularly, and private knowledge was shared in a proper way. Working at Nationwide gave me the duty of managing money, personal details where shared, 4 being honest, and keeping secrets were needed. Those duties were not direct medical help for sick people, but those duties showed the value of acting like a professional worker, having good character, </w:t>
      </w:r>
      <w:r w:rsidRPr="004A1D7A">
        <w:rPr>
          <w:rFonts w:ascii="Arial" w:hAnsi="Arial" w:cs="Arial"/>
          <w:sz w:val="22"/>
          <w:szCs w:val="22"/>
        </w:rPr>
        <w:lastRenderedPageBreak/>
        <w:t>and being responsible. While looking back at these moments, these values are seen to match the ethical principles of autonomy, beneficence, non-maleficence and justice described by Beauchamp and Childress (2019). Experts claim that ethical practice makes a professional worker find a balance between the rights of a person and the duty to give safe help. In the time coming, I will ask for help from workers with more years of experience when hard moral choices appear because I want my choices to be right for the law and the job. These experiences have allowed my mind to see the qualities that help my health and social care work. My way of talking, my emotional understanding, and keeping people’s data private. Positive relationships were built with patients and other workers even when people felt worried because my talking was professional. This module has shown my mind that talking well is more than hearing and giving facts. Because talking well needs a working together with people and respect for different backgrounds, I must focus on person centred care. The Care Act (2014) says that people must be part of the choices about their help. Many people believe that growing these skills allows a worker to help more in person-centred practice. Certain parts of my work still need more growth direct care for people with hard health and social care needs has been limited even though I have many skills that move from one job to another. Knowing the law better is also a goal, specifically the Mental Capacity Act (2005), so I can speak with certainty about choices of consent and capacity. To make these parts better, Continuing Professional Development (CPD) will be started and training for dementia awareness will be joined. I will look for more chances to work or give time for free in health and social care places. It has been observed that these chances let a person use the book knowledge from this module in real life while building professional skill and certainty. Professional development is seen as a road that never ends because a worker must always learn and check their own work. Looking back at my old jobs helped me see how my talking, my work with a team, and my knowledge of right and wrong grew. Many people believe that professional development requires a worker to change how they work when new facts are found. In my health and social care journey, every person will be treated with dignity and respect while I use the law and moral rules.</w:t>
      </w:r>
    </w:p>
    <w:p w14:paraId="4DFFFB4F" w14:textId="77777777" w:rsidR="00911B5E" w:rsidRDefault="00000000">
      <w:pPr>
        <w:spacing w:before="280" w:after="140" w:line="360" w:lineRule="auto"/>
        <w:rPr>
          <w:rFonts w:ascii="Arial" w:eastAsia="Arial" w:hAnsi="Arial" w:cs="Arial"/>
          <w:b/>
          <w:bCs/>
          <w:sz w:val="26"/>
          <w:szCs w:val="26"/>
        </w:rPr>
      </w:pPr>
      <w:r>
        <w:rPr>
          <w:rFonts w:ascii="Arial" w:eastAsia="Arial" w:hAnsi="Arial" w:cs="Arial"/>
          <w:b/>
          <w:bCs/>
          <w:sz w:val="26"/>
          <w:szCs w:val="26"/>
        </w:rPr>
        <w:t>Conclusion</w:t>
      </w:r>
    </w:p>
    <w:p w14:paraId="4EA122DA" w14:textId="2AD6CF40" w:rsidR="00A3568E" w:rsidRDefault="00A3568E" w:rsidP="00A3568E">
      <w:pPr>
        <w:spacing w:before="280" w:after="140" w:line="360" w:lineRule="auto"/>
        <w:jc w:val="both"/>
        <w:rPr>
          <w:rFonts w:ascii="Arial" w:hAnsi="Arial" w:cs="Arial"/>
          <w:sz w:val="22"/>
          <w:szCs w:val="22"/>
        </w:rPr>
      </w:pPr>
      <w:r w:rsidRPr="00A3568E">
        <w:rPr>
          <w:rFonts w:ascii="Arial" w:hAnsi="Arial" w:cs="Arial"/>
          <w:sz w:val="22"/>
          <w:szCs w:val="22"/>
        </w:rPr>
        <w:t>In conclusion, person-centred care, partnership working, and ethical practice are fundamental principles that underpin safe, effective, and compassionate health and social care in the UK. Reflecting on these principles has strengthened my understanding of the importance of respecting individual needs, working collaboratively with others, and making decisions guided by professional values and legislation. I recognise that developing these skills requires continuous learning, self-ref</w:t>
      </w:r>
      <w:r w:rsidR="005D680F">
        <w:rPr>
          <w:rFonts w:ascii="Arial" w:hAnsi="Arial" w:cs="Arial"/>
          <w:sz w:val="22"/>
          <w:szCs w:val="22"/>
        </w:rPr>
        <w:t>lection</w:t>
      </w:r>
      <w:r w:rsidRPr="00A3568E">
        <w:rPr>
          <w:rFonts w:ascii="Arial" w:hAnsi="Arial" w:cs="Arial"/>
          <w:sz w:val="22"/>
          <w:szCs w:val="22"/>
        </w:rPr>
        <w:t xml:space="preserve">, and professional development. As I progress in my career, </w:t>
      </w:r>
      <w:r w:rsidRPr="00A3568E">
        <w:rPr>
          <w:rFonts w:ascii="Arial" w:hAnsi="Arial" w:cs="Arial"/>
          <w:sz w:val="22"/>
          <w:szCs w:val="22"/>
        </w:rPr>
        <w:lastRenderedPageBreak/>
        <w:t>I will apply these principles consistently to promote high-quality care, improve service user outcomes, and uphold the standards expected of a competent and compassionate health and social care professional.</w:t>
      </w:r>
    </w:p>
    <w:p w14:paraId="6A0641D4" w14:textId="77777777" w:rsidR="004F3ECA" w:rsidRDefault="004F3ECA" w:rsidP="00A3568E">
      <w:pPr>
        <w:spacing w:before="280" w:after="140" w:line="360" w:lineRule="auto"/>
        <w:jc w:val="both"/>
        <w:rPr>
          <w:rFonts w:ascii="Arial" w:hAnsi="Arial" w:cs="Arial"/>
          <w:sz w:val="22"/>
          <w:szCs w:val="22"/>
        </w:rPr>
      </w:pPr>
    </w:p>
    <w:p w14:paraId="76E804C7" w14:textId="77777777" w:rsidR="004F3ECA" w:rsidRDefault="004F3ECA" w:rsidP="00A3568E">
      <w:pPr>
        <w:spacing w:before="280" w:after="140" w:line="360" w:lineRule="auto"/>
        <w:jc w:val="both"/>
        <w:rPr>
          <w:rFonts w:ascii="Arial" w:hAnsi="Arial" w:cs="Arial"/>
          <w:sz w:val="22"/>
          <w:szCs w:val="22"/>
        </w:rPr>
      </w:pPr>
    </w:p>
    <w:p w14:paraId="76EB1409" w14:textId="77777777" w:rsidR="004F3ECA" w:rsidRDefault="004F3ECA" w:rsidP="00A3568E">
      <w:pPr>
        <w:spacing w:before="280" w:after="140" w:line="360" w:lineRule="auto"/>
        <w:jc w:val="both"/>
        <w:rPr>
          <w:rFonts w:ascii="Arial" w:hAnsi="Arial" w:cs="Arial"/>
          <w:sz w:val="22"/>
          <w:szCs w:val="22"/>
        </w:rPr>
      </w:pPr>
    </w:p>
    <w:p w14:paraId="6A6BCAE9" w14:textId="77777777" w:rsidR="004F3ECA" w:rsidRDefault="004F3ECA" w:rsidP="00A3568E">
      <w:pPr>
        <w:spacing w:before="280" w:after="140" w:line="360" w:lineRule="auto"/>
        <w:jc w:val="both"/>
        <w:rPr>
          <w:rFonts w:ascii="Arial" w:hAnsi="Arial" w:cs="Arial"/>
          <w:sz w:val="22"/>
          <w:szCs w:val="22"/>
        </w:rPr>
      </w:pPr>
    </w:p>
    <w:p w14:paraId="6CE4C2BD" w14:textId="77777777" w:rsidR="004F3ECA" w:rsidRDefault="004F3ECA" w:rsidP="00A3568E">
      <w:pPr>
        <w:spacing w:before="280" w:after="140" w:line="360" w:lineRule="auto"/>
        <w:jc w:val="both"/>
        <w:rPr>
          <w:rFonts w:ascii="Arial" w:hAnsi="Arial" w:cs="Arial"/>
          <w:sz w:val="22"/>
          <w:szCs w:val="22"/>
        </w:rPr>
      </w:pPr>
    </w:p>
    <w:p w14:paraId="3C866835" w14:textId="77777777" w:rsidR="004F3ECA" w:rsidRDefault="004F3ECA" w:rsidP="00A3568E">
      <w:pPr>
        <w:spacing w:before="280" w:after="140" w:line="360" w:lineRule="auto"/>
        <w:jc w:val="both"/>
        <w:rPr>
          <w:rFonts w:ascii="Arial" w:hAnsi="Arial" w:cs="Arial"/>
          <w:sz w:val="22"/>
          <w:szCs w:val="22"/>
        </w:rPr>
      </w:pPr>
    </w:p>
    <w:p w14:paraId="5F54F9CC" w14:textId="77777777" w:rsidR="004F3ECA" w:rsidRDefault="004F3ECA" w:rsidP="00A3568E">
      <w:pPr>
        <w:spacing w:before="280" w:after="140" w:line="360" w:lineRule="auto"/>
        <w:jc w:val="both"/>
        <w:rPr>
          <w:rFonts w:ascii="Arial" w:hAnsi="Arial" w:cs="Arial"/>
          <w:sz w:val="22"/>
          <w:szCs w:val="22"/>
        </w:rPr>
      </w:pPr>
    </w:p>
    <w:p w14:paraId="483A7DE4" w14:textId="77777777" w:rsidR="004F3ECA" w:rsidRDefault="004F3ECA" w:rsidP="00A3568E">
      <w:pPr>
        <w:spacing w:before="280" w:after="140" w:line="360" w:lineRule="auto"/>
        <w:jc w:val="both"/>
        <w:rPr>
          <w:rFonts w:ascii="Arial" w:hAnsi="Arial" w:cs="Arial"/>
          <w:sz w:val="22"/>
          <w:szCs w:val="22"/>
        </w:rPr>
      </w:pPr>
    </w:p>
    <w:p w14:paraId="1ABAC54F" w14:textId="77777777" w:rsidR="004F3ECA" w:rsidRPr="00A3568E" w:rsidRDefault="004F3ECA" w:rsidP="00A3568E">
      <w:pPr>
        <w:spacing w:before="280" w:after="140" w:line="360" w:lineRule="auto"/>
        <w:jc w:val="both"/>
        <w:rPr>
          <w:rFonts w:ascii="Arial" w:hAnsi="Arial" w:cs="Arial"/>
          <w:sz w:val="22"/>
          <w:szCs w:val="22"/>
        </w:rPr>
      </w:pPr>
    </w:p>
    <w:p w14:paraId="729DBE5F" w14:textId="77777777" w:rsidR="004F3ECA" w:rsidRDefault="004F3ECA">
      <w:pPr>
        <w:spacing w:before="280" w:after="140" w:line="360" w:lineRule="auto"/>
        <w:rPr>
          <w:rFonts w:ascii="Arial" w:eastAsia="Arial" w:hAnsi="Arial" w:cs="Arial"/>
          <w:b/>
          <w:bCs/>
          <w:sz w:val="26"/>
          <w:szCs w:val="26"/>
        </w:rPr>
      </w:pPr>
    </w:p>
    <w:p w14:paraId="30ED7CA5" w14:textId="77777777" w:rsidR="004F3ECA" w:rsidRDefault="004F3ECA">
      <w:pPr>
        <w:spacing w:before="280" w:after="140" w:line="360" w:lineRule="auto"/>
        <w:rPr>
          <w:rFonts w:ascii="Arial" w:eastAsia="Arial" w:hAnsi="Arial" w:cs="Arial"/>
          <w:b/>
          <w:bCs/>
          <w:sz w:val="26"/>
          <w:szCs w:val="26"/>
        </w:rPr>
      </w:pPr>
    </w:p>
    <w:p w14:paraId="4BFC4BFA" w14:textId="77777777" w:rsidR="004F3ECA" w:rsidRDefault="004F3ECA">
      <w:pPr>
        <w:spacing w:before="280" w:after="140" w:line="360" w:lineRule="auto"/>
        <w:rPr>
          <w:rFonts w:ascii="Arial" w:eastAsia="Arial" w:hAnsi="Arial" w:cs="Arial"/>
          <w:b/>
          <w:bCs/>
          <w:sz w:val="26"/>
          <w:szCs w:val="26"/>
        </w:rPr>
      </w:pPr>
    </w:p>
    <w:p w14:paraId="58555A73" w14:textId="77777777" w:rsidR="004F3ECA" w:rsidRDefault="004F3ECA">
      <w:pPr>
        <w:spacing w:before="280" w:after="140" w:line="360" w:lineRule="auto"/>
        <w:rPr>
          <w:rFonts w:ascii="Arial" w:eastAsia="Arial" w:hAnsi="Arial" w:cs="Arial"/>
          <w:b/>
          <w:bCs/>
          <w:sz w:val="26"/>
          <w:szCs w:val="26"/>
        </w:rPr>
      </w:pPr>
    </w:p>
    <w:p w14:paraId="72E1D055" w14:textId="77777777" w:rsidR="004F3ECA" w:rsidRDefault="004F3ECA">
      <w:pPr>
        <w:spacing w:before="280" w:after="140" w:line="360" w:lineRule="auto"/>
        <w:rPr>
          <w:rFonts w:ascii="Arial" w:eastAsia="Arial" w:hAnsi="Arial" w:cs="Arial"/>
          <w:b/>
          <w:bCs/>
          <w:sz w:val="26"/>
          <w:szCs w:val="26"/>
        </w:rPr>
      </w:pPr>
    </w:p>
    <w:p w14:paraId="5D17EA09" w14:textId="77777777" w:rsidR="004F3ECA" w:rsidRDefault="004F3ECA">
      <w:pPr>
        <w:spacing w:before="280" w:after="140" w:line="360" w:lineRule="auto"/>
        <w:rPr>
          <w:rFonts w:ascii="Arial" w:eastAsia="Arial" w:hAnsi="Arial" w:cs="Arial"/>
          <w:b/>
          <w:bCs/>
          <w:sz w:val="26"/>
          <w:szCs w:val="26"/>
        </w:rPr>
      </w:pPr>
    </w:p>
    <w:p w14:paraId="626DCCA8" w14:textId="77777777" w:rsidR="004F3ECA" w:rsidRDefault="004F3ECA">
      <w:pPr>
        <w:spacing w:before="280" w:after="140" w:line="360" w:lineRule="auto"/>
        <w:rPr>
          <w:rFonts w:ascii="Arial" w:eastAsia="Arial" w:hAnsi="Arial" w:cs="Arial"/>
          <w:b/>
          <w:bCs/>
          <w:sz w:val="26"/>
          <w:szCs w:val="26"/>
        </w:rPr>
      </w:pPr>
    </w:p>
    <w:p w14:paraId="2DE39AF0" w14:textId="77777777" w:rsidR="004F3ECA" w:rsidRDefault="004F3ECA">
      <w:pPr>
        <w:spacing w:before="280" w:after="140" w:line="360" w:lineRule="auto"/>
        <w:rPr>
          <w:rFonts w:ascii="Arial" w:eastAsia="Arial" w:hAnsi="Arial" w:cs="Arial"/>
          <w:b/>
          <w:bCs/>
          <w:sz w:val="26"/>
          <w:szCs w:val="26"/>
        </w:rPr>
      </w:pPr>
    </w:p>
    <w:p w14:paraId="2D86DFA3" w14:textId="77777777" w:rsidR="004F3ECA" w:rsidRDefault="004F3ECA">
      <w:pPr>
        <w:spacing w:before="280" w:after="140" w:line="360" w:lineRule="auto"/>
        <w:rPr>
          <w:rFonts w:ascii="Arial" w:eastAsia="Arial" w:hAnsi="Arial" w:cs="Arial"/>
          <w:b/>
          <w:bCs/>
          <w:sz w:val="26"/>
          <w:szCs w:val="26"/>
        </w:rPr>
      </w:pPr>
    </w:p>
    <w:p w14:paraId="49DD40E1" w14:textId="2A3E2C3C" w:rsidR="004F3ECA" w:rsidRPr="004F3ECA" w:rsidRDefault="00000000">
      <w:pPr>
        <w:spacing w:before="280" w:after="140" w:line="360" w:lineRule="auto"/>
        <w:rPr>
          <w:rFonts w:ascii="Arial" w:eastAsia="Arial" w:hAnsi="Arial" w:cs="Arial"/>
          <w:b/>
          <w:bCs/>
          <w:sz w:val="26"/>
          <w:szCs w:val="26"/>
        </w:rPr>
      </w:pPr>
      <w:r>
        <w:rPr>
          <w:rFonts w:ascii="Arial" w:eastAsia="Arial" w:hAnsi="Arial" w:cs="Arial"/>
          <w:b/>
          <w:bCs/>
          <w:sz w:val="26"/>
          <w:szCs w:val="26"/>
        </w:rPr>
        <w:lastRenderedPageBreak/>
        <w:t>References</w:t>
      </w:r>
    </w:p>
    <w:p w14:paraId="310CB8BE" w14:textId="49402137" w:rsidR="00911B5E" w:rsidRDefault="00000000">
      <w:pPr>
        <w:spacing w:after="160" w:line="360" w:lineRule="auto"/>
        <w:jc w:val="both"/>
      </w:pPr>
      <w:r>
        <w:rPr>
          <w:rFonts w:ascii="Arial" w:eastAsia="Arial" w:hAnsi="Arial" w:cs="Arial"/>
          <w:sz w:val="22"/>
          <w:szCs w:val="22"/>
        </w:rPr>
        <w:t xml:space="preserve">Beauchamp, T.L. and Childress, J.F. (2019) Principles of Biomedical Ethics. 8th edn. New York: Oxford University Press. Available at: </w:t>
      </w:r>
      <w:hyperlink r:id="rId8" w:history="1">
        <w:r w:rsidR="00D80AEC" w:rsidRPr="00DB039F">
          <w:rPr>
            <w:rStyle w:val="Hyperlink"/>
            <w:rFonts w:ascii="Arial" w:eastAsia="Arial" w:hAnsi="Arial" w:cs="Arial"/>
            <w:sz w:val="22"/>
            <w:szCs w:val="22"/>
          </w:rPr>
          <w:t>https://global.oup.com/academic/product/principles-of-biomedical-ethics-9780190640873</w:t>
        </w:r>
      </w:hyperlink>
      <w:r w:rsidR="00D80AEC">
        <w:rPr>
          <w:rFonts w:ascii="Arial" w:eastAsia="Arial" w:hAnsi="Arial" w:cs="Arial"/>
          <w:sz w:val="22"/>
          <w:szCs w:val="22"/>
        </w:rPr>
        <w:t xml:space="preserve"> </w:t>
      </w:r>
      <w:r>
        <w:rPr>
          <w:rFonts w:ascii="Arial" w:eastAsia="Arial" w:hAnsi="Arial" w:cs="Arial"/>
          <w:sz w:val="22"/>
          <w:szCs w:val="22"/>
        </w:rPr>
        <w:t xml:space="preserve"> (Accessed: 25 June 2026).</w:t>
      </w:r>
    </w:p>
    <w:p w14:paraId="501830B5" w14:textId="77777777" w:rsidR="00911B5E" w:rsidRDefault="00911B5E">
      <w:pPr>
        <w:spacing w:line="360" w:lineRule="auto"/>
      </w:pPr>
    </w:p>
    <w:p w14:paraId="4B1167DF" w14:textId="77575937" w:rsidR="00911B5E" w:rsidRDefault="00000000">
      <w:pPr>
        <w:spacing w:after="160" w:line="360" w:lineRule="auto"/>
        <w:jc w:val="both"/>
      </w:pPr>
      <w:r>
        <w:rPr>
          <w:rFonts w:ascii="Arial" w:eastAsia="Arial" w:hAnsi="Arial" w:cs="Arial"/>
          <w:sz w:val="22"/>
          <w:szCs w:val="22"/>
        </w:rPr>
        <w:t xml:space="preserve">Brooker, D. (2007) Person-Centred Dementia Care: Making Services Better. London: Jessica Kingsley Publishers. Available at: </w:t>
      </w:r>
      <w:hyperlink r:id="rId9" w:history="1">
        <w:r w:rsidR="00D80AEC" w:rsidRPr="00DB039F">
          <w:rPr>
            <w:rStyle w:val="Hyperlink"/>
            <w:rFonts w:ascii="Arial" w:eastAsia="Arial" w:hAnsi="Arial" w:cs="Arial"/>
            <w:sz w:val="22"/>
            <w:szCs w:val="22"/>
          </w:rPr>
          <w:t>https://books.google.com/books/about/Person_centred_Dementia_Care.html?id=1ecPBQAAQBAJ</w:t>
        </w:r>
      </w:hyperlink>
      <w:r w:rsidR="00D80AEC">
        <w:rPr>
          <w:rFonts w:ascii="Arial" w:eastAsia="Arial" w:hAnsi="Arial" w:cs="Arial"/>
          <w:sz w:val="22"/>
          <w:szCs w:val="22"/>
        </w:rPr>
        <w:t xml:space="preserve"> </w:t>
      </w:r>
      <w:r>
        <w:rPr>
          <w:rFonts w:ascii="Arial" w:eastAsia="Arial" w:hAnsi="Arial" w:cs="Arial"/>
          <w:sz w:val="22"/>
          <w:szCs w:val="22"/>
        </w:rPr>
        <w:t>(Accessed: 25 June 2026).</w:t>
      </w:r>
    </w:p>
    <w:p w14:paraId="75CAA0DD" w14:textId="77777777" w:rsidR="00911B5E" w:rsidRDefault="00911B5E">
      <w:pPr>
        <w:spacing w:line="360" w:lineRule="auto"/>
      </w:pPr>
    </w:p>
    <w:p w14:paraId="798A29BB" w14:textId="2B21A6FB" w:rsidR="00911B5E" w:rsidRDefault="00000000">
      <w:pPr>
        <w:spacing w:after="160" w:line="360" w:lineRule="auto"/>
        <w:jc w:val="both"/>
      </w:pPr>
      <w:r>
        <w:rPr>
          <w:rFonts w:ascii="Arial" w:eastAsia="Arial" w:hAnsi="Arial" w:cs="Arial"/>
          <w:sz w:val="22"/>
          <w:szCs w:val="22"/>
        </w:rPr>
        <w:t xml:space="preserve">Care Act (2014) c.23. Available at: </w:t>
      </w:r>
      <w:hyperlink r:id="rId10" w:history="1">
        <w:r w:rsidR="00D80AEC" w:rsidRPr="00DB039F">
          <w:rPr>
            <w:rStyle w:val="Hyperlink"/>
            <w:rFonts w:ascii="Arial" w:eastAsia="Arial" w:hAnsi="Arial" w:cs="Arial"/>
            <w:sz w:val="22"/>
            <w:szCs w:val="22"/>
          </w:rPr>
          <w:t>https://www.legislation.gov.uk/ukpga/2014/23/contents</w:t>
        </w:r>
      </w:hyperlink>
      <w:r w:rsidR="00D80AEC">
        <w:rPr>
          <w:rFonts w:ascii="Arial" w:eastAsia="Arial" w:hAnsi="Arial" w:cs="Arial"/>
          <w:sz w:val="22"/>
          <w:szCs w:val="22"/>
        </w:rPr>
        <w:t xml:space="preserve"> </w:t>
      </w:r>
      <w:r>
        <w:rPr>
          <w:rFonts w:ascii="Arial" w:eastAsia="Arial" w:hAnsi="Arial" w:cs="Arial"/>
          <w:sz w:val="22"/>
          <w:szCs w:val="22"/>
        </w:rPr>
        <w:t xml:space="preserve"> (Accessed: 25 June 2026).</w:t>
      </w:r>
    </w:p>
    <w:p w14:paraId="446FD6E8" w14:textId="77777777" w:rsidR="00911B5E" w:rsidRDefault="00911B5E">
      <w:pPr>
        <w:spacing w:line="360" w:lineRule="auto"/>
      </w:pPr>
    </w:p>
    <w:p w14:paraId="11945262" w14:textId="1FE61977" w:rsidR="00911B5E" w:rsidRDefault="00000000">
      <w:pPr>
        <w:spacing w:after="160" w:line="360" w:lineRule="auto"/>
        <w:jc w:val="both"/>
      </w:pPr>
      <w:r>
        <w:rPr>
          <w:rFonts w:ascii="Arial" w:eastAsia="Arial" w:hAnsi="Arial" w:cs="Arial"/>
          <w:sz w:val="22"/>
          <w:szCs w:val="22"/>
        </w:rPr>
        <w:t xml:space="preserve">Care Quality Commission (2023) Regulation 9: Person-centred care. Available at: </w:t>
      </w:r>
      <w:hyperlink r:id="rId11" w:history="1">
        <w:r w:rsidR="00D80AEC" w:rsidRPr="00DB039F">
          <w:rPr>
            <w:rStyle w:val="Hyperlink"/>
            <w:rFonts w:ascii="Arial" w:eastAsia="Arial" w:hAnsi="Arial" w:cs="Arial"/>
            <w:sz w:val="22"/>
            <w:szCs w:val="22"/>
          </w:rPr>
          <w:t>https://www.cqc.org.uk/guidance-providers/regulations/regulation-9-person-centred-care</w:t>
        </w:r>
      </w:hyperlink>
      <w:r w:rsidR="00D80AEC">
        <w:rPr>
          <w:rFonts w:ascii="Arial" w:eastAsia="Arial" w:hAnsi="Arial" w:cs="Arial"/>
          <w:sz w:val="22"/>
          <w:szCs w:val="22"/>
        </w:rPr>
        <w:t xml:space="preserve"> </w:t>
      </w:r>
      <w:r>
        <w:rPr>
          <w:rFonts w:ascii="Arial" w:eastAsia="Arial" w:hAnsi="Arial" w:cs="Arial"/>
          <w:sz w:val="22"/>
          <w:szCs w:val="22"/>
        </w:rPr>
        <w:t xml:space="preserve"> (Accessed: 25 June 2026).</w:t>
      </w:r>
    </w:p>
    <w:p w14:paraId="022933C0" w14:textId="77777777" w:rsidR="00911B5E" w:rsidRDefault="00911B5E">
      <w:pPr>
        <w:spacing w:line="360" w:lineRule="auto"/>
      </w:pPr>
    </w:p>
    <w:p w14:paraId="01B2FE6E" w14:textId="51C8467D" w:rsidR="00911B5E" w:rsidRDefault="00000000">
      <w:pPr>
        <w:spacing w:after="160" w:line="360" w:lineRule="auto"/>
        <w:jc w:val="both"/>
      </w:pPr>
      <w:r>
        <w:rPr>
          <w:rFonts w:ascii="Arial" w:eastAsia="Arial" w:hAnsi="Arial" w:cs="Arial"/>
          <w:sz w:val="22"/>
          <w:szCs w:val="22"/>
        </w:rPr>
        <w:t xml:space="preserve">Glasby, J. and Dickinson, H. (2014) Partnership Working in Health and Social Care: What is Integrated Care and How Can We Deliver It? 2nd edn. Bristol: Policy Press. Available at: </w:t>
      </w:r>
      <w:hyperlink r:id="rId12" w:history="1">
        <w:r w:rsidR="00D80AEC" w:rsidRPr="00DB039F">
          <w:rPr>
            <w:rStyle w:val="Hyperlink"/>
            <w:rFonts w:ascii="Arial" w:eastAsia="Arial" w:hAnsi="Arial" w:cs="Arial"/>
            <w:sz w:val="22"/>
            <w:szCs w:val="22"/>
          </w:rPr>
          <w:t>https://policy.bristoluniversitypress.co.uk/partnership-working-in-health-and-social-care-second-edition</w:t>
        </w:r>
      </w:hyperlink>
      <w:r w:rsidR="00D80AEC">
        <w:rPr>
          <w:rFonts w:ascii="Arial" w:eastAsia="Arial" w:hAnsi="Arial" w:cs="Arial"/>
          <w:sz w:val="22"/>
          <w:szCs w:val="22"/>
        </w:rPr>
        <w:t xml:space="preserve"> </w:t>
      </w:r>
      <w:r>
        <w:rPr>
          <w:rFonts w:ascii="Arial" w:eastAsia="Arial" w:hAnsi="Arial" w:cs="Arial"/>
          <w:sz w:val="22"/>
          <w:szCs w:val="22"/>
        </w:rPr>
        <w:t>(Accessed: 25 June 2026).</w:t>
      </w:r>
    </w:p>
    <w:p w14:paraId="4AD785D9" w14:textId="77777777" w:rsidR="00911B5E" w:rsidRDefault="00911B5E">
      <w:pPr>
        <w:spacing w:line="360" w:lineRule="auto"/>
      </w:pPr>
    </w:p>
    <w:p w14:paraId="4936B609" w14:textId="6A81D473" w:rsidR="00911B5E" w:rsidRDefault="00000000">
      <w:pPr>
        <w:spacing w:after="160" w:line="360" w:lineRule="auto"/>
        <w:jc w:val="both"/>
      </w:pPr>
      <w:r>
        <w:rPr>
          <w:rFonts w:ascii="Arial" w:eastAsia="Arial" w:hAnsi="Arial" w:cs="Arial"/>
          <w:sz w:val="22"/>
          <w:szCs w:val="22"/>
        </w:rPr>
        <w:t xml:space="preserve">Goodwin, N., Dixon, A., Anderson, G. and Wodchis, W. (2014) Providing Integrated Care for Older People with Complex Needs: Lessons from Seven International Case Studies. London: The King's Fund. Available at: </w:t>
      </w:r>
      <w:hyperlink r:id="rId13" w:history="1">
        <w:r w:rsidR="00D80AEC" w:rsidRPr="00DB039F">
          <w:rPr>
            <w:rStyle w:val="Hyperlink"/>
            <w:rFonts w:ascii="Arial" w:eastAsia="Arial" w:hAnsi="Arial" w:cs="Arial"/>
            <w:sz w:val="22"/>
            <w:szCs w:val="22"/>
          </w:rPr>
          <w:t>https://www.kingsfund.org.uk/publications/providing-integrated-care-older-people-complex-needs</w:t>
        </w:r>
      </w:hyperlink>
      <w:r w:rsidR="00D80AEC">
        <w:rPr>
          <w:rFonts w:ascii="Arial" w:eastAsia="Arial" w:hAnsi="Arial" w:cs="Arial"/>
          <w:sz w:val="22"/>
          <w:szCs w:val="22"/>
        </w:rPr>
        <w:t xml:space="preserve"> </w:t>
      </w:r>
      <w:r>
        <w:rPr>
          <w:rFonts w:ascii="Arial" w:eastAsia="Arial" w:hAnsi="Arial" w:cs="Arial"/>
          <w:sz w:val="22"/>
          <w:szCs w:val="22"/>
        </w:rPr>
        <w:t>(Accessed: 25 June 2026).</w:t>
      </w:r>
    </w:p>
    <w:p w14:paraId="73B5B253" w14:textId="77777777" w:rsidR="00911B5E" w:rsidRDefault="00911B5E">
      <w:pPr>
        <w:spacing w:line="360" w:lineRule="auto"/>
      </w:pPr>
    </w:p>
    <w:p w14:paraId="1C8713FD" w14:textId="17807B07" w:rsidR="00911B5E" w:rsidRDefault="00000000">
      <w:pPr>
        <w:spacing w:after="160" w:line="360" w:lineRule="auto"/>
        <w:jc w:val="both"/>
      </w:pPr>
      <w:r>
        <w:rPr>
          <w:rFonts w:ascii="Arial" w:eastAsia="Arial" w:hAnsi="Arial" w:cs="Arial"/>
          <w:sz w:val="22"/>
          <w:szCs w:val="22"/>
        </w:rPr>
        <w:t xml:space="preserve">Health and Care Professions Council (HCPC) (2016) Standards of Conduct, Performance and Ethics. London: HCPC. Available at: </w:t>
      </w:r>
      <w:hyperlink r:id="rId14" w:history="1">
        <w:r w:rsidR="00D80AEC" w:rsidRPr="00DB039F">
          <w:rPr>
            <w:rStyle w:val="Hyperlink"/>
            <w:rFonts w:ascii="Arial" w:eastAsia="Arial" w:hAnsi="Arial" w:cs="Arial"/>
            <w:sz w:val="22"/>
            <w:szCs w:val="22"/>
          </w:rPr>
          <w:t>https://www.hcpc-uk.org/globalassets/resources/standards/standards-of-conduct-performance-and-ethics-2016.pdf</w:t>
        </w:r>
      </w:hyperlink>
      <w:r w:rsidR="00D80AEC">
        <w:rPr>
          <w:rFonts w:ascii="Arial" w:eastAsia="Arial" w:hAnsi="Arial" w:cs="Arial"/>
          <w:sz w:val="22"/>
          <w:szCs w:val="22"/>
        </w:rPr>
        <w:t xml:space="preserve"> </w:t>
      </w:r>
      <w:r>
        <w:rPr>
          <w:rFonts w:ascii="Arial" w:eastAsia="Arial" w:hAnsi="Arial" w:cs="Arial"/>
          <w:sz w:val="22"/>
          <w:szCs w:val="22"/>
        </w:rPr>
        <w:t>(Accessed: 25 June 2026).</w:t>
      </w:r>
    </w:p>
    <w:p w14:paraId="051691BA" w14:textId="77777777" w:rsidR="00911B5E" w:rsidRDefault="00911B5E">
      <w:pPr>
        <w:spacing w:line="360" w:lineRule="auto"/>
      </w:pPr>
    </w:p>
    <w:p w14:paraId="4DE1449E" w14:textId="575DAA32" w:rsidR="00911B5E" w:rsidRDefault="00000000">
      <w:pPr>
        <w:spacing w:after="160" w:line="360" w:lineRule="auto"/>
        <w:jc w:val="both"/>
      </w:pPr>
      <w:r>
        <w:rPr>
          <w:rFonts w:ascii="Arial" w:eastAsia="Arial" w:hAnsi="Arial" w:cs="Arial"/>
          <w:sz w:val="22"/>
          <w:szCs w:val="22"/>
        </w:rPr>
        <w:lastRenderedPageBreak/>
        <w:t xml:space="preserve">The Health Foundation (2016) Person-Centred Care Made Simple. London: The Health Foundation. Available at: </w:t>
      </w:r>
      <w:hyperlink r:id="rId15" w:history="1">
        <w:r w:rsidR="00D80AEC" w:rsidRPr="00DB039F">
          <w:rPr>
            <w:rStyle w:val="Hyperlink"/>
            <w:rFonts w:ascii="Arial" w:eastAsia="Arial" w:hAnsi="Arial" w:cs="Arial"/>
            <w:sz w:val="22"/>
            <w:szCs w:val="22"/>
          </w:rPr>
          <w:t>https://www.health.org.uk/sites/default/files/PersonCentredCareMadeSimple.pdf</w:t>
        </w:r>
      </w:hyperlink>
      <w:r w:rsidR="00D80AEC">
        <w:rPr>
          <w:rFonts w:ascii="Arial" w:eastAsia="Arial" w:hAnsi="Arial" w:cs="Arial"/>
          <w:sz w:val="22"/>
          <w:szCs w:val="22"/>
        </w:rPr>
        <w:t xml:space="preserve"> </w:t>
      </w:r>
      <w:r>
        <w:rPr>
          <w:rFonts w:ascii="Arial" w:eastAsia="Arial" w:hAnsi="Arial" w:cs="Arial"/>
          <w:sz w:val="22"/>
          <w:szCs w:val="22"/>
        </w:rPr>
        <w:t>(Accessed: 25 June 2026).</w:t>
      </w:r>
    </w:p>
    <w:p w14:paraId="56123624" w14:textId="77777777" w:rsidR="00911B5E" w:rsidRDefault="00911B5E">
      <w:pPr>
        <w:spacing w:line="360" w:lineRule="auto"/>
      </w:pPr>
    </w:p>
    <w:p w14:paraId="13B3EDA1" w14:textId="5730D402" w:rsidR="00911B5E" w:rsidRDefault="00000000">
      <w:pPr>
        <w:spacing w:after="160" w:line="360" w:lineRule="auto"/>
        <w:jc w:val="both"/>
      </w:pPr>
      <w:r>
        <w:rPr>
          <w:rFonts w:ascii="Arial" w:eastAsia="Arial" w:hAnsi="Arial" w:cs="Arial"/>
          <w:sz w:val="22"/>
          <w:szCs w:val="22"/>
        </w:rPr>
        <w:t xml:space="preserve">Maslow, A.H. (1943) 'A Theory of Human Motivation', Psychological Review, 50(4), pp. 370-396. Available at: </w:t>
      </w:r>
      <w:hyperlink r:id="rId16" w:history="1">
        <w:r w:rsidR="00D80AEC" w:rsidRPr="00DB039F">
          <w:rPr>
            <w:rStyle w:val="Hyperlink"/>
            <w:rFonts w:ascii="Arial" w:eastAsia="Arial" w:hAnsi="Arial" w:cs="Arial"/>
            <w:sz w:val="22"/>
            <w:szCs w:val="22"/>
          </w:rPr>
          <w:t>https://psychclassics.yorku.ca/Maslow/motivation.htm</w:t>
        </w:r>
      </w:hyperlink>
      <w:r w:rsidR="00D80AEC">
        <w:rPr>
          <w:rFonts w:ascii="Arial" w:eastAsia="Arial" w:hAnsi="Arial" w:cs="Arial"/>
          <w:sz w:val="22"/>
          <w:szCs w:val="22"/>
        </w:rPr>
        <w:t xml:space="preserve"> </w:t>
      </w:r>
      <w:r>
        <w:rPr>
          <w:rFonts w:ascii="Arial" w:eastAsia="Arial" w:hAnsi="Arial" w:cs="Arial"/>
          <w:sz w:val="22"/>
          <w:szCs w:val="22"/>
        </w:rPr>
        <w:t>(Accessed: 25 June 2026).</w:t>
      </w:r>
    </w:p>
    <w:p w14:paraId="78AFF833" w14:textId="77777777" w:rsidR="00911B5E" w:rsidRDefault="00911B5E">
      <w:pPr>
        <w:spacing w:line="360" w:lineRule="auto"/>
      </w:pPr>
    </w:p>
    <w:p w14:paraId="11D1BE02" w14:textId="7C3E6284" w:rsidR="00911B5E" w:rsidRDefault="00000000">
      <w:pPr>
        <w:spacing w:after="160" w:line="360" w:lineRule="auto"/>
        <w:jc w:val="both"/>
      </w:pPr>
      <w:r>
        <w:rPr>
          <w:rFonts w:ascii="Arial" w:eastAsia="Arial" w:hAnsi="Arial" w:cs="Arial"/>
          <w:sz w:val="22"/>
          <w:szCs w:val="22"/>
        </w:rPr>
        <w:t xml:space="preserve">Mental Capacity Act (2005) c.9. Available at: </w:t>
      </w:r>
      <w:hyperlink r:id="rId17" w:history="1">
        <w:r w:rsidR="00D80AEC" w:rsidRPr="00DB039F">
          <w:rPr>
            <w:rStyle w:val="Hyperlink"/>
            <w:rFonts w:ascii="Arial" w:eastAsia="Arial" w:hAnsi="Arial" w:cs="Arial"/>
            <w:sz w:val="22"/>
            <w:szCs w:val="22"/>
          </w:rPr>
          <w:t>https://www.legislation.gov.uk/ukpga/2005/9/contents</w:t>
        </w:r>
      </w:hyperlink>
      <w:r w:rsidR="00D80AEC">
        <w:rPr>
          <w:rFonts w:ascii="Arial" w:eastAsia="Arial" w:hAnsi="Arial" w:cs="Arial"/>
          <w:sz w:val="22"/>
          <w:szCs w:val="22"/>
        </w:rPr>
        <w:t xml:space="preserve"> </w:t>
      </w:r>
      <w:r>
        <w:rPr>
          <w:rFonts w:ascii="Arial" w:eastAsia="Arial" w:hAnsi="Arial" w:cs="Arial"/>
          <w:sz w:val="22"/>
          <w:szCs w:val="22"/>
        </w:rPr>
        <w:t>(Accessed: 25 June 2026).</w:t>
      </w:r>
    </w:p>
    <w:p w14:paraId="36730168" w14:textId="77777777" w:rsidR="00911B5E" w:rsidRDefault="00911B5E">
      <w:pPr>
        <w:spacing w:line="360" w:lineRule="auto"/>
      </w:pPr>
    </w:p>
    <w:p w14:paraId="7509D2D6" w14:textId="05D6460C" w:rsidR="00911B5E" w:rsidRDefault="00000000">
      <w:pPr>
        <w:spacing w:after="160" w:line="360" w:lineRule="auto"/>
        <w:jc w:val="both"/>
      </w:pPr>
      <w:r>
        <w:rPr>
          <w:rFonts w:ascii="Arial" w:eastAsia="Arial" w:hAnsi="Arial" w:cs="Arial"/>
          <w:sz w:val="22"/>
          <w:szCs w:val="22"/>
        </w:rPr>
        <w:t xml:space="preserve">Mental Capacity Act 2005: Code of Practice (2007) London: The Stationery Office. Available at: </w:t>
      </w:r>
      <w:hyperlink r:id="rId18" w:history="1">
        <w:r w:rsidR="00D80AEC" w:rsidRPr="00DB039F">
          <w:rPr>
            <w:rStyle w:val="Hyperlink"/>
            <w:rFonts w:ascii="Arial" w:eastAsia="Arial" w:hAnsi="Arial" w:cs="Arial"/>
            <w:sz w:val="22"/>
            <w:szCs w:val="22"/>
          </w:rPr>
          <w:t>https://assets.publishing.service.gov.uk/media/5a7c9d7640f0b63cfcc3a4fb/7295.pdf</w:t>
        </w:r>
      </w:hyperlink>
      <w:r w:rsidR="00D80AEC">
        <w:rPr>
          <w:rFonts w:ascii="Arial" w:eastAsia="Arial" w:hAnsi="Arial" w:cs="Arial"/>
          <w:sz w:val="22"/>
          <w:szCs w:val="22"/>
        </w:rPr>
        <w:t xml:space="preserve"> </w:t>
      </w:r>
      <w:r>
        <w:rPr>
          <w:rFonts w:ascii="Arial" w:eastAsia="Arial" w:hAnsi="Arial" w:cs="Arial"/>
          <w:sz w:val="22"/>
          <w:szCs w:val="22"/>
        </w:rPr>
        <w:t xml:space="preserve"> (Accessed: 25 June 2026).</w:t>
      </w:r>
    </w:p>
    <w:p w14:paraId="14EA56B4" w14:textId="77777777" w:rsidR="00911B5E" w:rsidRDefault="00911B5E">
      <w:pPr>
        <w:spacing w:line="360" w:lineRule="auto"/>
      </w:pPr>
    </w:p>
    <w:p w14:paraId="7D0CEDB6" w14:textId="4B10CF46" w:rsidR="00911B5E" w:rsidRDefault="00000000">
      <w:pPr>
        <w:spacing w:after="160" w:line="360" w:lineRule="auto"/>
        <w:jc w:val="both"/>
      </w:pPr>
      <w:r>
        <w:rPr>
          <w:rFonts w:ascii="Arial" w:eastAsia="Arial" w:hAnsi="Arial" w:cs="Arial"/>
          <w:sz w:val="22"/>
          <w:szCs w:val="22"/>
        </w:rPr>
        <w:t xml:space="preserve">NHS England (2022) Integrated Care Systems: Design Framework. Available at: </w:t>
      </w:r>
      <w:hyperlink r:id="rId19" w:history="1">
        <w:r w:rsidR="00D80AEC" w:rsidRPr="00DB039F">
          <w:rPr>
            <w:rStyle w:val="Hyperlink"/>
            <w:rFonts w:ascii="Arial" w:eastAsia="Arial" w:hAnsi="Arial" w:cs="Arial"/>
            <w:sz w:val="22"/>
            <w:szCs w:val="22"/>
          </w:rPr>
          <w:t>https://www.england.nhs.uk/wp-content/uploads/2021/06/B0642-ics-design-framework-june-2021.pdf</w:t>
        </w:r>
      </w:hyperlink>
      <w:r w:rsidR="00D80AEC">
        <w:rPr>
          <w:rFonts w:ascii="Arial" w:eastAsia="Arial" w:hAnsi="Arial" w:cs="Arial"/>
          <w:sz w:val="22"/>
          <w:szCs w:val="22"/>
        </w:rPr>
        <w:t xml:space="preserve"> </w:t>
      </w:r>
      <w:r>
        <w:rPr>
          <w:rFonts w:ascii="Arial" w:eastAsia="Arial" w:hAnsi="Arial" w:cs="Arial"/>
          <w:sz w:val="22"/>
          <w:szCs w:val="22"/>
        </w:rPr>
        <w:t>(Accessed: 25 June 2026).</w:t>
      </w:r>
    </w:p>
    <w:p w14:paraId="74085367" w14:textId="77777777" w:rsidR="00911B5E" w:rsidRDefault="00911B5E">
      <w:pPr>
        <w:spacing w:line="360" w:lineRule="auto"/>
      </w:pPr>
    </w:p>
    <w:p w14:paraId="7E749305" w14:textId="0D65AC36" w:rsidR="00911B5E" w:rsidRDefault="00000000">
      <w:pPr>
        <w:spacing w:after="160" w:line="360" w:lineRule="auto"/>
        <w:jc w:val="both"/>
      </w:pPr>
      <w:r>
        <w:rPr>
          <w:rFonts w:ascii="Arial" w:eastAsia="Arial" w:hAnsi="Arial" w:cs="Arial"/>
          <w:sz w:val="22"/>
          <w:szCs w:val="22"/>
        </w:rPr>
        <w:t xml:space="preserve">Nursing and Midwifery Council (NMC) (2018) The Code: Professional Standards of Practice and Behaviour for Nurses, Midwives and Nursing Associates. London: NMC. Available at: </w:t>
      </w:r>
      <w:hyperlink r:id="rId20" w:history="1">
        <w:r w:rsidR="00D80AEC" w:rsidRPr="00DB039F">
          <w:rPr>
            <w:rStyle w:val="Hyperlink"/>
            <w:rFonts w:ascii="Arial" w:eastAsia="Arial" w:hAnsi="Arial" w:cs="Arial"/>
            <w:sz w:val="22"/>
            <w:szCs w:val="22"/>
          </w:rPr>
          <w:t>https://www.nmc.org.uk/globalassets/sitedocuments/nmc-publications/nmc-code.pdf</w:t>
        </w:r>
      </w:hyperlink>
      <w:r w:rsidR="00D80AEC">
        <w:rPr>
          <w:rFonts w:ascii="Arial" w:eastAsia="Arial" w:hAnsi="Arial" w:cs="Arial"/>
          <w:sz w:val="22"/>
          <w:szCs w:val="22"/>
        </w:rPr>
        <w:t xml:space="preserve"> </w:t>
      </w:r>
      <w:r>
        <w:rPr>
          <w:rFonts w:ascii="Arial" w:eastAsia="Arial" w:hAnsi="Arial" w:cs="Arial"/>
          <w:sz w:val="22"/>
          <w:szCs w:val="22"/>
        </w:rPr>
        <w:t xml:space="preserve"> (Accessed: 25 June 2026).</w:t>
      </w:r>
    </w:p>
    <w:p w14:paraId="593929B7" w14:textId="77777777" w:rsidR="00911B5E" w:rsidRDefault="00911B5E">
      <w:pPr>
        <w:spacing w:line="360" w:lineRule="auto"/>
      </w:pPr>
    </w:p>
    <w:p w14:paraId="010237E9" w14:textId="52800AB6" w:rsidR="00911B5E" w:rsidRDefault="00000000">
      <w:pPr>
        <w:spacing w:after="160" w:line="360" w:lineRule="auto"/>
        <w:jc w:val="both"/>
      </w:pPr>
      <w:r>
        <w:rPr>
          <w:rFonts w:ascii="Arial" w:eastAsia="Arial" w:hAnsi="Arial" w:cs="Arial"/>
          <w:sz w:val="22"/>
          <w:szCs w:val="22"/>
        </w:rPr>
        <w:t xml:space="preserve">Wodchis, W., Dixon, A., Anderson, G. and Goodwin, N. (2015) 'Integrating care for older people with complex needs: key insights and lessons from a seven-country cross-case analysis', International Journal of Integrated Care, 15, e021. Available at: </w:t>
      </w:r>
      <w:hyperlink r:id="rId21" w:history="1">
        <w:r w:rsidR="00D80AEC" w:rsidRPr="00DB039F">
          <w:rPr>
            <w:rStyle w:val="Hyperlink"/>
            <w:rFonts w:ascii="Arial" w:eastAsia="Arial" w:hAnsi="Arial" w:cs="Arial"/>
            <w:sz w:val="22"/>
            <w:szCs w:val="22"/>
          </w:rPr>
          <w:t>https://pmc.ncbi.nlm.nih.gov/articles/PMC4628509/</w:t>
        </w:r>
      </w:hyperlink>
      <w:r w:rsidR="00D80AEC">
        <w:rPr>
          <w:rFonts w:ascii="Arial" w:eastAsia="Arial" w:hAnsi="Arial" w:cs="Arial"/>
          <w:sz w:val="22"/>
          <w:szCs w:val="22"/>
        </w:rPr>
        <w:t xml:space="preserve"> </w:t>
      </w:r>
      <w:r>
        <w:rPr>
          <w:rFonts w:ascii="Arial" w:eastAsia="Arial" w:hAnsi="Arial" w:cs="Arial"/>
          <w:sz w:val="22"/>
          <w:szCs w:val="22"/>
        </w:rPr>
        <w:t>(Accessed: 25 June 2026).</w:t>
      </w:r>
    </w:p>
    <w:sectPr w:rsidR="00911B5E">
      <w:footerReference w:type="default" r:id="rId22"/>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45535" w14:textId="77777777" w:rsidR="004D190A" w:rsidRDefault="004D190A">
      <w:r>
        <w:separator/>
      </w:r>
    </w:p>
  </w:endnote>
  <w:endnote w:type="continuationSeparator" w:id="0">
    <w:p w14:paraId="31B6B192" w14:textId="77777777" w:rsidR="004D190A" w:rsidRDefault="004D19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6858626"/>
      <w:docPartObj>
        <w:docPartGallery w:val="Page Numbers (Bottom of Page)"/>
        <w:docPartUnique/>
      </w:docPartObj>
    </w:sdtPr>
    <w:sdtContent>
      <w:p w14:paraId="70E59338" w14:textId="6B8402AE" w:rsidR="00031F76" w:rsidRDefault="00031F76" w:rsidP="00DB03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B3AA8E1" w14:textId="77777777" w:rsidR="00031F76" w:rsidRDefault="00031F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3474137"/>
      <w:docPartObj>
        <w:docPartGallery w:val="Page Numbers (Bottom of Page)"/>
        <w:docPartUnique/>
      </w:docPartObj>
    </w:sdtPr>
    <w:sdtContent>
      <w:p w14:paraId="33C638F2" w14:textId="7049DEEF" w:rsidR="00031F76" w:rsidRDefault="00031F76" w:rsidP="00DB039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077F1B" w14:textId="4DBD07C2" w:rsidR="00911B5E" w:rsidRDefault="00911B5E">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59EC0" w14:textId="77777777" w:rsidR="004D190A" w:rsidRDefault="004D190A">
      <w:r>
        <w:separator/>
      </w:r>
    </w:p>
  </w:footnote>
  <w:footnote w:type="continuationSeparator" w:id="0">
    <w:p w14:paraId="5AC8AA1F" w14:textId="77777777" w:rsidR="004D190A" w:rsidRDefault="004D19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EE1171"/>
    <w:multiLevelType w:val="hybridMultilevel"/>
    <w:tmpl w:val="835CC852"/>
    <w:lvl w:ilvl="0" w:tplc="912A67EE">
      <w:start w:val="1"/>
      <w:numFmt w:val="bullet"/>
      <w:lvlText w:val="●"/>
      <w:lvlJc w:val="left"/>
      <w:pPr>
        <w:ind w:left="720" w:hanging="360"/>
      </w:pPr>
    </w:lvl>
    <w:lvl w:ilvl="1" w:tplc="A43AEEEA">
      <w:start w:val="1"/>
      <w:numFmt w:val="bullet"/>
      <w:lvlText w:val="○"/>
      <w:lvlJc w:val="left"/>
      <w:pPr>
        <w:ind w:left="1440" w:hanging="360"/>
      </w:pPr>
    </w:lvl>
    <w:lvl w:ilvl="2" w:tplc="0EAE91BA">
      <w:start w:val="1"/>
      <w:numFmt w:val="bullet"/>
      <w:lvlText w:val="■"/>
      <w:lvlJc w:val="left"/>
      <w:pPr>
        <w:ind w:left="2160" w:hanging="360"/>
      </w:pPr>
    </w:lvl>
    <w:lvl w:ilvl="3" w:tplc="34B8CF6C">
      <w:start w:val="1"/>
      <w:numFmt w:val="bullet"/>
      <w:lvlText w:val="●"/>
      <w:lvlJc w:val="left"/>
      <w:pPr>
        <w:ind w:left="2880" w:hanging="360"/>
      </w:pPr>
    </w:lvl>
    <w:lvl w:ilvl="4" w:tplc="15944FE6">
      <w:start w:val="1"/>
      <w:numFmt w:val="bullet"/>
      <w:lvlText w:val="○"/>
      <w:lvlJc w:val="left"/>
      <w:pPr>
        <w:ind w:left="3600" w:hanging="360"/>
      </w:pPr>
    </w:lvl>
    <w:lvl w:ilvl="5" w:tplc="B680CD38">
      <w:start w:val="1"/>
      <w:numFmt w:val="bullet"/>
      <w:lvlText w:val="■"/>
      <w:lvlJc w:val="left"/>
      <w:pPr>
        <w:ind w:left="4320" w:hanging="360"/>
      </w:pPr>
    </w:lvl>
    <w:lvl w:ilvl="6" w:tplc="65BC75A0">
      <w:start w:val="1"/>
      <w:numFmt w:val="bullet"/>
      <w:lvlText w:val="●"/>
      <w:lvlJc w:val="left"/>
      <w:pPr>
        <w:ind w:left="5040" w:hanging="360"/>
      </w:pPr>
    </w:lvl>
    <w:lvl w:ilvl="7" w:tplc="E0BE9D6A">
      <w:start w:val="1"/>
      <w:numFmt w:val="bullet"/>
      <w:lvlText w:val="●"/>
      <w:lvlJc w:val="left"/>
      <w:pPr>
        <w:ind w:left="5760" w:hanging="360"/>
      </w:pPr>
    </w:lvl>
    <w:lvl w:ilvl="8" w:tplc="5DB67B90">
      <w:start w:val="1"/>
      <w:numFmt w:val="bullet"/>
      <w:lvlText w:val="●"/>
      <w:lvlJc w:val="left"/>
      <w:pPr>
        <w:ind w:left="6480" w:hanging="360"/>
      </w:pPr>
    </w:lvl>
  </w:abstractNum>
  <w:num w:numId="1" w16cid:durableId="207280148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1B5E"/>
    <w:rsid w:val="00031F76"/>
    <w:rsid w:val="00046926"/>
    <w:rsid w:val="00285C4F"/>
    <w:rsid w:val="002930B0"/>
    <w:rsid w:val="00295E0F"/>
    <w:rsid w:val="002B036B"/>
    <w:rsid w:val="0031526E"/>
    <w:rsid w:val="00322E67"/>
    <w:rsid w:val="00326EA1"/>
    <w:rsid w:val="00336EEE"/>
    <w:rsid w:val="00420E9F"/>
    <w:rsid w:val="004A1D7A"/>
    <w:rsid w:val="004D190A"/>
    <w:rsid w:val="004F3ECA"/>
    <w:rsid w:val="005953A5"/>
    <w:rsid w:val="005D680F"/>
    <w:rsid w:val="00664567"/>
    <w:rsid w:val="00693244"/>
    <w:rsid w:val="0085637B"/>
    <w:rsid w:val="00897B6E"/>
    <w:rsid w:val="00911B5E"/>
    <w:rsid w:val="00A3568E"/>
    <w:rsid w:val="00A358BE"/>
    <w:rsid w:val="00A80DB7"/>
    <w:rsid w:val="00B3302C"/>
    <w:rsid w:val="00C07E8D"/>
    <w:rsid w:val="00CE1F05"/>
    <w:rsid w:val="00CE49C9"/>
    <w:rsid w:val="00D80AEC"/>
    <w:rsid w:val="00D85D3D"/>
    <w:rsid w:val="00D85DDA"/>
    <w:rsid w:val="00DF543E"/>
    <w:rsid w:val="00F02F86"/>
    <w:rsid w:val="00F616F7"/>
    <w:rsid w:val="00F76FE4"/>
    <w:rsid w:val="00F903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378DA"/>
  <w15:docId w15:val="{0E5D3499-F4BC-4100-9B92-28D9359DF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031F76"/>
    <w:pPr>
      <w:tabs>
        <w:tab w:val="center" w:pos="4513"/>
        <w:tab w:val="right" w:pos="9026"/>
      </w:tabs>
    </w:pPr>
  </w:style>
  <w:style w:type="character" w:customStyle="1" w:styleId="HeaderChar">
    <w:name w:val="Header Char"/>
    <w:basedOn w:val="DefaultParagraphFont"/>
    <w:link w:val="Header"/>
    <w:uiPriority w:val="99"/>
    <w:rsid w:val="00031F76"/>
  </w:style>
  <w:style w:type="paragraph" w:styleId="Footer">
    <w:name w:val="footer"/>
    <w:basedOn w:val="Normal"/>
    <w:link w:val="FooterChar"/>
    <w:uiPriority w:val="99"/>
    <w:unhideWhenUsed/>
    <w:rsid w:val="00031F76"/>
    <w:pPr>
      <w:tabs>
        <w:tab w:val="center" w:pos="4513"/>
        <w:tab w:val="right" w:pos="9026"/>
      </w:tabs>
    </w:pPr>
  </w:style>
  <w:style w:type="character" w:customStyle="1" w:styleId="FooterChar">
    <w:name w:val="Footer Char"/>
    <w:basedOn w:val="DefaultParagraphFont"/>
    <w:link w:val="Footer"/>
    <w:uiPriority w:val="99"/>
    <w:rsid w:val="00031F76"/>
  </w:style>
  <w:style w:type="character" w:styleId="PageNumber">
    <w:name w:val="page number"/>
    <w:basedOn w:val="DefaultParagraphFont"/>
    <w:uiPriority w:val="99"/>
    <w:semiHidden/>
    <w:unhideWhenUsed/>
    <w:rsid w:val="00031F76"/>
  </w:style>
  <w:style w:type="character" w:styleId="UnresolvedMention">
    <w:name w:val="Unresolved Mention"/>
    <w:basedOn w:val="DefaultParagraphFont"/>
    <w:uiPriority w:val="99"/>
    <w:semiHidden/>
    <w:unhideWhenUsed/>
    <w:rsid w:val="00D80A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global.oup.com/academic/product/principles-of-biomedical-ethics-9780190640873" TargetMode="External"/><Relationship Id="rId13" Type="http://schemas.openxmlformats.org/officeDocument/2006/relationships/hyperlink" Target="https://www.kingsfund.org.uk/publications/providing-integrated-care-older-people-complex-needs" TargetMode="External"/><Relationship Id="rId18" Type="http://schemas.openxmlformats.org/officeDocument/2006/relationships/hyperlink" Target="https://assets.publishing.service.gov.uk/media/5a7c9d7640f0b63cfcc3a4fb/7295.pdf" TargetMode="External"/><Relationship Id="rId3" Type="http://schemas.openxmlformats.org/officeDocument/2006/relationships/settings" Target="settings.xml"/><Relationship Id="rId21" Type="http://schemas.openxmlformats.org/officeDocument/2006/relationships/hyperlink" Target="https://pmc.ncbi.nlm.nih.gov/articles/PMC4628509/" TargetMode="External"/><Relationship Id="rId7" Type="http://schemas.openxmlformats.org/officeDocument/2006/relationships/footer" Target="footer1.xml"/><Relationship Id="rId12" Type="http://schemas.openxmlformats.org/officeDocument/2006/relationships/hyperlink" Target="https://policy.bristoluniversitypress.co.uk/partnership-working-in-health-and-social-care-second-edition" TargetMode="External"/><Relationship Id="rId17" Type="http://schemas.openxmlformats.org/officeDocument/2006/relationships/hyperlink" Target="https://www.legislation.gov.uk/ukpga/2005/9/contents" TargetMode="External"/><Relationship Id="rId2" Type="http://schemas.openxmlformats.org/officeDocument/2006/relationships/styles" Target="styles.xml"/><Relationship Id="rId16" Type="http://schemas.openxmlformats.org/officeDocument/2006/relationships/hyperlink" Target="https://psychclassics.yorku.ca/Maslow/motivation.htm" TargetMode="External"/><Relationship Id="rId20" Type="http://schemas.openxmlformats.org/officeDocument/2006/relationships/hyperlink" Target="https://www.nmc.org.uk/globalassets/sitedocuments/nmc-publications/nmc-cod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guidance-providers/regulations/regulation-9-person-centred-car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ealth.org.uk/sites/default/files/PersonCentredCareMadeSimple.pdf" TargetMode="External"/><Relationship Id="rId23" Type="http://schemas.openxmlformats.org/officeDocument/2006/relationships/fontTable" Target="fontTable.xml"/><Relationship Id="rId10" Type="http://schemas.openxmlformats.org/officeDocument/2006/relationships/hyperlink" Target="https://www.legislation.gov.uk/ukpga/2014/23/contents" TargetMode="External"/><Relationship Id="rId19" Type="http://schemas.openxmlformats.org/officeDocument/2006/relationships/hyperlink" Target="https://www.england.nhs.uk/wp-content/uploads/2021/06/B0642-ics-design-framework-june-2021.pdf" TargetMode="External"/><Relationship Id="rId4" Type="http://schemas.openxmlformats.org/officeDocument/2006/relationships/webSettings" Target="webSettings.xml"/><Relationship Id="rId9" Type="http://schemas.openxmlformats.org/officeDocument/2006/relationships/hyperlink" Target="https://books.google.com/books/about/Person_centred_Dementia_Care.html?id=1ecPBQAAQBAJ" TargetMode="External"/><Relationship Id="rId14" Type="http://schemas.openxmlformats.org/officeDocument/2006/relationships/hyperlink" Target="https://www.hcpc-uk.org/globalassets/resources/standards/standards-of-conduct-performance-and-ethics-2016.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2861</Words>
  <Characters>16313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Naanaz Saddiq (2438383)</dc:creator>
  <cp:lastModifiedBy>Naanaz Saddiq (2438383)</cp:lastModifiedBy>
  <cp:revision>3</cp:revision>
  <dcterms:created xsi:type="dcterms:W3CDTF">2026-07-04T17:18:00Z</dcterms:created>
  <dcterms:modified xsi:type="dcterms:W3CDTF">2026-07-04T17:23:00Z</dcterms:modified>
</cp:coreProperties>
</file>