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2DA4" w:rsidRDefault="00706099" w:rsidP="00AF2DA4">
      <w:pPr>
        <w:spacing w:line="360" w:lineRule="auto"/>
        <w:jc w:val="center"/>
        <w:rPr>
          <w:rFonts w:ascii="Arial" w:hAnsi="Arial" w:cs="Arial"/>
          <w:sz w:val="28"/>
        </w:rPr>
      </w:pPr>
      <w:r w:rsidRPr="000B20BD">
        <w:rPr>
          <w:noProof/>
          <w:lang w:eastAsia="en-GB"/>
        </w:rPr>
        <w:drawing>
          <wp:inline distT="0" distB="0" distL="0" distR="0" wp14:anchorId="5B3BB2EC" wp14:editId="1C4BFA14">
            <wp:extent cx="3521491" cy="1461331"/>
            <wp:effectExtent l="0" t="0" r="3175" b="5715"/>
            <wp:docPr id="16" name="Picture 16" descr="University of Wales Trinity Saint David launches new digital healthcare  course - Digital Health and Care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niversity of Wales Trinity Saint David launches new digital healthcare  course - Digital Health and Care Wal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21931" cy="1461514"/>
                    </a:xfrm>
                    <a:prstGeom prst="rect">
                      <a:avLst/>
                    </a:prstGeom>
                    <a:noFill/>
                    <a:ln>
                      <a:noFill/>
                    </a:ln>
                  </pic:spPr>
                </pic:pic>
              </a:graphicData>
            </a:graphic>
          </wp:inline>
        </w:drawing>
      </w:r>
    </w:p>
    <w:p w:rsidR="00AF2DA4" w:rsidRDefault="00AF2DA4" w:rsidP="00130495">
      <w:pPr>
        <w:spacing w:line="360" w:lineRule="auto"/>
        <w:rPr>
          <w:rFonts w:ascii="Arial" w:hAnsi="Arial" w:cs="Arial"/>
          <w:sz w:val="28"/>
        </w:rPr>
      </w:pPr>
    </w:p>
    <w:p w:rsidR="00AF2DA4" w:rsidRDefault="00AF2DA4" w:rsidP="00AF2DA4">
      <w:pPr>
        <w:spacing w:line="360" w:lineRule="auto"/>
        <w:jc w:val="center"/>
        <w:rPr>
          <w:rFonts w:ascii="Arial" w:hAnsi="Arial" w:cs="Arial"/>
          <w:b/>
          <w:sz w:val="28"/>
        </w:rPr>
      </w:pPr>
      <w:r w:rsidRPr="00706099">
        <w:rPr>
          <w:rFonts w:ascii="Arial" w:hAnsi="Arial" w:cs="Arial"/>
          <w:b/>
          <w:sz w:val="28"/>
        </w:rPr>
        <w:t>Evaluating Ahold Delhaize’s Proposed Entry into Canada: Macro-Environmental Attractiveness, OLI Advantages and Entry-Mode Strategy</w:t>
      </w:r>
    </w:p>
    <w:p w:rsidR="009063AC" w:rsidRDefault="009063AC" w:rsidP="00AF2DA4">
      <w:pPr>
        <w:spacing w:line="360" w:lineRule="auto"/>
        <w:jc w:val="center"/>
        <w:rPr>
          <w:rFonts w:ascii="Arial" w:hAnsi="Arial" w:cs="Arial"/>
          <w:b/>
          <w:sz w:val="28"/>
        </w:rPr>
      </w:pPr>
    </w:p>
    <w:p w:rsidR="00130495" w:rsidRDefault="00130495" w:rsidP="00130495">
      <w:pPr>
        <w:spacing w:line="360" w:lineRule="auto"/>
        <w:jc w:val="center"/>
        <w:rPr>
          <w:rFonts w:ascii="Arial" w:hAnsi="Arial" w:cs="Arial"/>
          <w:b/>
          <w:sz w:val="28"/>
        </w:rPr>
      </w:pPr>
      <w:r w:rsidRPr="00706099">
        <w:rPr>
          <w:rFonts w:ascii="Arial" w:hAnsi="Arial" w:cs="Arial"/>
          <w:b/>
          <w:sz w:val="28"/>
        </w:rPr>
        <w:t>Programme:</w:t>
      </w:r>
      <w:r w:rsidRPr="00706099">
        <w:rPr>
          <w:b/>
        </w:rPr>
        <w:t xml:space="preserve"> </w:t>
      </w:r>
      <w:r w:rsidRPr="00706099">
        <w:rPr>
          <w:rFonts w:ascii="Arial" w:hAnsi="Arial" w:cs="Arial"/>
          <w:b/>
          <w:sz w:val="28"/>
        </w:rPr>
        <w:t>Master of Business Administration</w:t>
      </w:r>
    </w:p>
    <w:p w:rsidR="009063AC" w:rsidRPr="00706099" w:rsidRDefault="009063AC" w:rsidP="009063AC">
      <w:pPr>
        <w:spacing w:line="360" w:lineRule="auto"/>
        <w:jc w:val="center"/>
        <w:rPr>
          <w:rFonts w:ascii="Arial" w:hAnsi="Arial" w:cs="Arial"/>
          <w:b/>
          <w:sz w:val="28"/>
        </w:rPr>
      </w:pPr>
      <w:r w:rsidRPr="00706099">
        <w:rPr>
          <w:rFonts w:ascii="Arial" w:hAnsi="Arial" w:cs="Arial"/>
          <w:b/>
          <w:sz w:val="28"/>
        </w:rPr>
        <w:t>Module:</w:t>
      </w:r>
      <w:r w:rsidRPr="00706099">
        <w:rPr>
          <w:b/>
        </w:rPr>
        <w:t xml:space="preserve"> </w:t>
      </w:r>
      <w:r w:rsidRPr="00706099">
        <w:rPr>
          <w:rFonts w:ascii="Arial" w:hAnsi="Arial" w:cs="Arial"/>
          <w:b/>
          <w:sz w:val="28"/>
        </w:rPr>
        <w:t>International Business Concepts</w:t>
      </w:r>
    </w:p>
    <w:p w:rsidR="007E19C3" w:rsidRPr="00706099" w:rsidRDefault="00706099" w:rsidP="00AF2DA4">
      <w:pPr>
        <w:spacing w:line="360" w:lineRule="auto"/>
        <w:jc w:val="center"/>
        <w:rPr>
          <w:rFonts w:ascii="Arial" w:hAnsi="Arial" w:cs="Arial"/>
          <w:b/>
          <w:sz w:val="28"/>
        </w:rPr>
      </w:pPr>
      <w:r w:rsidRPr="00706099">
        <w:rPr>
          <w:rFonts w:ascii="Arial" w:hAnsi="Arial" w:cs="Arial"/>
          <w:b/>
          <w:sz w:val="28"/>
        </w:rPr>
        <w:t>Module Code: LCMB7034</w:t>
      </w:r>
    </w:p>
    <w:p w:rsidR="00706099" w:rsidRDefault="00706099" w:rsidP="00AF2DA4">
      <w:pPr>
        <w:spacing w:line="360" w:lineRule="auto"/>
        <w:jc w:val="center"/>
        <w:rPr>
          <w:rFonts w:ascii="Arial" w:hAnsi="Arial" w:cs="Arial"/>
          <w:b/>
          <w:sz w:val="28"/>
        </w:rPr>
      </w:pPr>
    </w:p>
    <w:p w:rsidR="00B65C71" w:rsidRDefault="00B65C71" w:rsidP="00706099">
      <w:pPr>
        <w:jc w:val="center"/>
        <w:rPr>
          <w:rFonts w:ascii="Arial" w:hAnsi="Arial" w:cs="Arial"/>
          <w:b/>
          <w:sz w:val="28"/>
        </w:rPr>
      </w:pPr>
      <w:r w:rsidRPr="00B65C71">
        <w:rPr>
          <w:rFonts w:ascii="Arial" w:hAnsi="Arial" w:cs="Arial"/>
          <w:b/>
          <w:sz w:val="28"/>
        </w:rPr>
        <w:t>Lecturer Name: Jean Wang</w:t>
      </w:r>
    </w:p>
    <w:p w:rsidR="00B65C71" w:rsidRDefault="00B65C71" w:rsidP="00706099">
      <w:pPr>
        <w:jc w:val="center"/>
        <w:rPr>
          <w:rFonts w:ascii="Arial" w:hAnsi="Arial" w:cs="Arial"/>
          <w:b/>
          <w:sz w:val="28"/>
        </w:rPr>
      </w:pPr>
    </w:p>
    <w:p w:rsidR="00706099" w:rsidRPr="00706099" w:rsidRDefault="00706099" w:rsidP="00706099">
      <w:pPr>
        <w:jc w:val="center"/>
        <w:rPr>
          <w:rFonts w:ascii="Arial" w:hAnsi="Arial" w:cs="Arial"/>
          <w:b/>
          <w:i/>
          <w:sz w:val="28"/>
          <w:szCs w:val="28"/>
        </w:rPr>
      </w:pPr>
      <w:r w:rsidRPr="00706099">
        <w:rPr>
          <w:rFonts w:ascii="Arial" w:hAnsi="Arial" w:cs="Arial"/>
          <w:b/>
          <w:i/>
          <w:sz w:val="28"/>
          <w:szCs w:val="28"/>
        </w:rPr>
        <w:t>Student Name: Mehedi Kobir</w:t>
      </w:r>
    </w:p>
    <w:p w:rsidR="00130495" w:rsidRDefault="00706099" w:rsidP="00706099">
      <w:pPr>
        <w:jc w:val="center"/>
        <w:rPr>
          <w:rFonts w:ascii="Arial" w:hAnsi="Arial" w:cs="Arial"/>
          <w:b/>
          <w:i/>
          <w:sz w:val="28"/>
          <w:szCs w:val="28"/>
        </w:rPr>
      </w:pPr>
      <w:r w:rsidRPr="00706099">
        <w:rPr>
          <w:rFonts w:ascii="Arial" w:hAnsi="Arial" w:cs="Arial"/>
          <w:b/>
          <w:i/>
          <w:sz w:val="28"/>
          <w:szCs w:val="28"/>
        </w:rPr>
        <w:t>Student ID:</w:t>
      </w:r>
      <w:r w:rsidRPr="00706099">
        <w:rPr>
          <w:b/>
          <w:i/>
        </w:rPr>
        <w:t xml:space="preserve"> </w:t>
      </w:r>
      <w:r w:rsidRPr="00706099">
        <w:rPr>
          <w:rFonts w:ascii="Arial" w:hAnsi="Arial" w:cs="Arial"/>
          <w:b/>
          <w:i/>
          <w:sz w:val="28"/>
          <w:szCs w:val="28"/>
        </w:rPr>
        <w:t>2521541</w:t>
      </w:r>
    </w:p>
    <w:p w:rsidR="00130495" w:rsidRDefault="00130495" w:rsidP="00706099">
      <w:pPr>
        <w:jc w:val="center"/>
        <w:rPr>
          <w:rFonts w:ascii="Arial" w:hAnsi="Arial" w:cs="Arial"/>
          <w:b/>
          <w:i/>
          <w:sz w:val="28"/>
          <w:szCs w:val="28"/>
        </w:rPr>
      </w:pPr>
    </w:p>
    <w:p w:rsidR="00130495" w:rsidRDefault="00130495" w:rsidP="00706099">
      <w:pPr>
        <w:jc w:val="center"/>
        <w:rPr>
          <w:rFonts w:ascii="Arial" w:hAnsi="Arial" w:cs="Arial"/>
          <w:b/>
          <w:i/>
          <w:sz w:val="28"/>
          <w:szCs w:val="28"/>
        </w:rPr>
      </w:pPr>
    </w:p>
    <w:p w:rsidR="00130495" w:rsidRDefault="00130495" w:rsidP="00706099">
      <w:pPr>
        <w:jc w:val="center"/>
        <w:rPr>
          <w:rFonts w:ascii="Arial" w:hAnsi="Arial" w:cs="Arial"/>
          <w:b/>
          <w:i/>
          <w:sz w:val="28"/>
          <w:szCs w:val="28"/>
        </w:rPr>
      </w:pPr>
      <w:r>
        <w:rPr>
          <w:rFonts w:ascii="Arial" w:hAnsi="Arial" w:cs="Arial"/>
          <w:b/>
          <w:i/>
          <w:sz w:val="28"/>
          <w:szCs w:val="28"/>
        </w:rPr>
        <w:t>Word Count: 51</w:t>
      </w:r>
      <w:r w:rsidR="00782DFB">
        <w:rPr>
          <w:rFonts w:ascii="Arial" w:hAnsi="Arial" w:cs="Arial"/>
          <w:b/>
          <w:i/>
          <w:sz w:val="28"/>
          <w:szCs w:val="28"/>
        </w:rPr>
        <w:t>31</w:t>
      </w:r>
    </w:p>
    <w:p w:rsidR="00940129" w:rsidRDefault="00130495" w:rsidP="00706099">
      <w:pPr>
        <w:jc w:val="center"/>
        <w:rPr>
          <w:rFonts w:ascii="Arial" w:hAnsi="Arial" w:cs="Arial"/>
          <w:b/>
          <w:i/>
          <w:sz w:val="28"/>
          <w:szCs w:val="28"/>
        </w:rPr>
      </w:pPr>
      <w:r>
        <w:rPr>
          <w:rFonts w:ascii="Arial" w:hAnsi="Arial" w:cs="Arial"/>
          <w:b/>
          <w:i/>
          <w:sz w:val="28"/>
          <w:szCs w:val="28"/>
        </w:rPr>
        <w:t>Submission Date: 14th August, 2026</w:t>
      </w:r>
      <w:r w:rsidR="00940129">
        <w:rPr>
          <w:rFonts w:ascii="Arial" w:hAnsi="Arial" w:cs="Arial"/>
          <w:b/>
          <w:i/>
          <w:sz w:val="28"/>
          <w:szCs w:val="28"/>
        </w:rPr>
        <w:br w:type="page"/>
      </w:r>
    </w:p>
    <w:p w:rsidR="00706099" w:rsidRPr="00940129" w:rsidRDefault="00940129" w:rsidP="00130495">
      <w:pPr>
        <w:spacing w:before="240" w:line="360" w:lineRule="auto"/>
        <w:jc w:val="both"/>
        <w:rPr>
          <w:rFonts w:ascii="Arial" w:hAnsi="Arial" w:cs="Arial"/>
          <w:b/>
          <w:sz w:val="24"/>
          <w:szCs w:val="28"/>
        </w:rPr>
      </w:pPr>
      <w:r w:rsidRPr="00940129">
        <w:rPr>
          <w:rFonts w:ascii="Arial" w:hAnsi="Arial" w:cs="Arial"/>
          <w:b/>
          <w:sz w:val="24"/>
          <w:szCs w:val="28"/>
        </w:rPr>
        <w:lastRenderedPageBreak/>
        <w:t>AI Acknowledgement</w:t>
      </w:r>
    </w:p>
    <w:p w:rsidR="00AF2DA4" w:rsidRDefault="00130495" w:rsidP="00130495">
      <w:pPr>
        <w:spacing w:before="240" w:line="360" w:lineRule="auto"/>
        <w:jc w:val="both"/>
        <w:rPr>
          <w:rFonts w:ascii="Arial" w:hAnsi="Arial" w:cs="Arial"/>
          <w:sz w:val="24"/>
          <w:szCs w:val="24"/>
        </w:rPr>
      </w:pPr>
      <w:r w:rsidRPr="00130495">
        <w:rPr>
          <w:rFonts w:ascii="Arial" w:hAnsi="Arial" w:cs="Arial"/>
          <w:sz w:val="24"/>
          <w:szCs w:val="24"/>
        </w:rPr>
        <w:t xml:space="preserve">I confirm that I have not used AI tools for this </w:t>
      </w:r>
      <w:r w:rsidR="00653204">
        <w:rPr>
          <w:rFonts w:ascii="Arial" w:hAnsi="Arial" w:cs="Arial"/>
          <w:sz w:val="24"/>
          <w:szCs w:val="24"/>
        </w:rPr>
        <w:t>report</w:t>
      </w:r>
      <w:r w:rsidRPr="00130495">
        <w:rPr>
          <w:rFonts w:ascii="Arial" w:hAnsi="Arial" w:cs="Arial"/>
          <w:sz w:val="24"/>
          <w:szCs w:val="24"/>
        </w:rPr>
        <w:t xml:space="preserve">. Research and analysis was done independently and cited with </w:t>
      </w:r>
      <w:r>
        <w:rPr>
          <w:rFonts w:ascii="Arial" w:hAnsi="Arial" w:cs="Arial"/>
          <w:sz w:val="24"/>
          <w:szCs w:val="24"/>
        </w:rPr>
        <w:t xml:space="preserve">proper </w:t>
      </w:r>
      <w:r w:rsidRPr="00130495">
        <w:rPr>
          <w:rFonts w:ascii="Arial" w:hAnsi="Arial" w:cs="Arial"/>
          <w:sz w:val="24"/>
          <w:szCs w:val="24"/>
        </w:rPr>
        <w:t>academic sources and references.</w:t>
      </w:r>
    </w:p>
    <w:p w:rsidR="00130495" w:rsidRPr="00130495" w:rsidRDefault="00130495" w:rsidP="00130495">
      <w:pPr>
        <w:spacing w:before="240" w:line="360" w:lineRule="auto"/>
        <w:jc w:val="both"/>
        <w:rPr>
          <w:rFonts w:ascii="Arial" w:hAnsi="Arial" w:cs="Arial"/>
          <w:b/>
          <w:sz w:val="24"/>
          <w:szCs w:val="24"/>
        </w:rPr>
      </w:pPr>
      <w:r w:rsidRPr="00130495">
        <w:rPr>
          <w:rFonts w:ascii="Arial" w:hAnsi="Arial" w:cs="Arial"/>
          <w:b/>
          <w:sz w:val="24"/>
          <w:szCs w:val="24"/>
        </w:rPr>
        <w:t>Student Name: Mehedi Kobir</w:t>
      </w:r>
    </w:p>
    <w:p w:rsidR="00130495" w:rsidRPr="00130495" w:rsidRDefault="00130495" w:rsidP="00130495">
      <w:pPr>
        <w:spacing w:before="240" w:line="360" w:lineRule="auto"/>
        <w:jc w:val="both"/>
        <w:rPr>
          <w:rFonts w:ascii="Arial" w:hAnsi="Arial" w:cs="Arial"/>
          <w:b/>
          <w:sz w:val="24"/>
          <w:szCs w:val="24"/>
        </w:rPr>
      </w:pPr>
      <w:r w:rsidRPr="00130495">
        <w:rPr>
          <w:rFonts w:ascii="Arial" w:hAnsi="Arial" w:cs="Arial"/>
          <w:b/>
          <w:sz w:val="24"/>
          <w:szCs w:val="24"/>
        </w:rPr>
        <w:t>Date: 14/08/2026</w:t>
      </w:r>
    </w:p>
    <w:p w:rsidR="00A425C3" w:rsidRDefault="00A425C3" w:rsidP="00C66A12">
      <w:pPr>
        <w:spacing w:line="360" w:lineRule="auto"/>
        <w:jc w:val="both"/>
        <w:rPr>
          <w:rFonts w:ascii="Arial" w:hAnsi="Arial" w:cs="Arial"/>
          <w:sz w:val="24"/>
          <w:szCs w:val="24"/>
        </w:rPr>
      </w:pPr>
      <w:r>
        <w:rPr>
          <w:rFonts w:ascii="Arial" w:hAnsi="Arial" w:cs="Arial"/>
          <w:sz w:val="24"/>
          <w:szCs w:val="24"/>
        </w:rPr>
        <w:br w:type="page"/>
      </w:r>
    </w:p>
    <w:p w:rsidR="00A425C3" w:rsidRDefault="00A425C3" w:rsidP="00C66A12">
      <w:pPr>
        <w:spacing w:line="360" w:lineRule="auto"/>
        <w:jc w:val="both"/>
        <w:rPr>
          <w:rFonts w:ascii="Arial" w:hAnsi="Arial" w:cs="Arial"/>
          <w:sz w:val="24"/>
          <w:szCs w:val="24"/>
        </w:rPr>
        <w:sectPr w:rsidR="00A425C3" w:rsidSect="00696425">
          <w:headerReference w:type="even" r:id="rId9"/>
          <w:headerReference w:type="default" r:id="rId10"/>
          <w:footerReference w:type="even" r:id="rId11"/>
          <w:footerReference w:type="default" r:id="rId12"/>
          <w:headerReference w:type="first" r:id="rId13"/>
          <w:footerReference w:type="first" r:id="rId14"/>
          <w:pgSz w:w="11907" w:h="16839" w:code="9"/>
          <w:pgMar w:top="1440" w:right="1440" w:bottom="1440" w:left="1440" w:header="720" w:footer="720" w:gutter="0"/>
          <w:cols w:space="720"/>
          <w:docGrid w:linePitch="360"/>
        </w:sectPr>
      </w:pPr>
    </w:p>
    <w:sdt>
      <w:sdtPr>
        <w:rPr>
          <w:rFonts w:asciiTheme="minorHAnsi" w:eastAsiaTheme="minorHAnsi" w:hAnsiTheme="minorHAnsi" w:cstheme="minorBidi"/>
          <w:b w:val="0"/>
          <w:bCs w:val="0"/>
          <w:color w:val="auto"/>
          <w:sz w:val="22"/>
          <w:szCs w:val="22"/>
          <w:lang w:val="en-GB" w:eastAsia="en-US"/>
        </w:rPr>
        <w:id w:val="-612818481"/>
        <w:docPartObj>
          <w:docPartGallery w:val="Table of Contents"/>
          <w:docPartUnique/>
        </w:docPartObj>
      </w:sdtPr>
      <w:sdtEndPr>
        <w:rPr>
          <w:noProof/>
        </w:rPr>
      </w:sdtEndPr>
      <w:sdtContent>
        <w:p w:rsidR="00703082" w:rsidRPr="00703082" w:rsidRDefault="00703082" w:rsidP="00703082">
          <w:pPr>
            <w:pStyle w:val="TOCHeading"/>
            <w:jc w:val="center"/>
            <w:rPr>
              <w:rFonts w:ascii="Arial" w:hAnsi="Arial" w:cs="Arial"/>
              <w:color w:val="auto"/>
            </w:rPr>
          </w:pPr>
          <w:r w:rsidRPr="00703082">
            <w:rPr>
              <w:rFonts w:ascii="Arial" w:hAnsi="Arial" w:cs="Arial"/>
              <w:color w:val="auto"/>
            </w:rPr>
            <w:t>Table of Contents</w:t>
          </w:r>
        </w:p>
        <w:p w:rsidR="00130495" w:rsidRPr="00130495" w:rsidRDefault="00703082">
          <w:pPr>
            <w:pStyle w:val="TOC1"/>
            <w:rPr>
              <w:rFonts w:eastAsiaTheme="minorEastAsia"/>
              <w:b/>
              <w:noProof/>
              <w:lang w:eastAsia="en-GB"/>
            </w:rPr>
          </w:pPr>
          <w:r w:rsidRPr="00F83646">
            <w:rPr>
              <w:rFonts w:ascii="Arial" w:hAnsi="Arial" w:cs="Arial"/>
              <w:b/>
            </w:rPr>
            <w:fldChar w:fldCharType="begin"/>
          </w:r>
          <w:r w:rsidRPr="00F83646">
            <w:rPr>
              <w:rFonts w:ascii="Arial" w:hAnsi="Arial" w:cs="Arial"/>
              <w:b/>
            </w:rPr>
            <w:instrText xml:space="preserve"> TOC \o "1-3" \h \z \u </w:instrText>
          </w:r>
          <w:r w:rsidRPr="00F83646">
            <w:rPr>
              <w:rFonts w:ascii="Arial" w:hAnsi="Arial" w:cs="Arial"/>
              <w:b/>
            </w:rPr>
            <w:fldChar w:fldCharType="separate"/>
          </w:r>
          <w:hyperlink w:anchor="_Toc237580520" w:history="1">
            <w:r w:rsidR="00130495" w:rsidRPr="00130495">
              <w:rPr>
                <w:rStyle w:val="Hyperlink"/>
                <w:rFonts w:ascii="Arial" w:hAnsi="Arial" w:cs="Arial"/>
                <w:b/>
                <w:noProof/>
              </w:rPr>
              <w:t>1. Introduction</w:t>
            </w:r>
            <w:r w:rsidR="00130495" w:rsidRPr="00130495">
              <w:rPr>
                <w:b/>
                <w:noProof/>
                <w:webHidden/>
              </w:rPr>
              <w:tab/>
            </w:r>
            <w:r w:rsidR="00130495" w:rsidRPr="00130495">
              <w:rPr>
                <w:b/>
                <w:noProof/>
                <w:webHidden/>
              </w:rPr>
              <w:fldChar w:fldCharType="begin"/>
            </w:r>
            <w:r w:rsidR="00130495" w:rsidRPr="00130495">
              <w:rPr>
                <w:b/>
                <w:noProof/>
                <w:webHidden/>
              </w:rPr>
              <w:instrText xml:space="preserve"> PAGEREF _Toc237580520 \h </w:instrText>
            </w:r>
            <w:r w:rsidR="00130495" w:rsidRPr="00130495">
              <w:rPr>
                <w:b/>
                <w:noProof/>
                <w:webHidden/>
              </w:rPr>
            </w:r>
            <w:r w:rsidR="00130495" w:rsidRPr="00130495">
              <w:rPr>
                <w:b/>
                <w:noProof/>
                <w:webHidden/>
              </w:rPr>
              <w:fldChar w:fldCharType="separate"/>
            </w:r>
            <w:r w:rsidR="00782DFB">
              <w:rPr>
                <w:b/>
                <w:noProof/>
                <w:webHidden/>
              </w:rPr>
              <w:t>1</w:t>
            </w:r>
            <w:r w:rsidR="00130495" w:rsidRPr="00130495">
              <w:rPr>
                <w:b/>
                <w:noProof/>
                <w:webHidden/>
              </w:rPr>
              <w:fldChar w:fldCharType="end"/>
            </w:r>
          </w:hyperlink>
        </w:p>
        <w:p w:rsidR="00130495" w:rsidRPr="00130495" w:rsidRDefault="006F4727">
          <w:pPr>
            <w:pStyle w:val="TOC1"/>
            <w:rPr>
              <w:rFonts w:eastAsiaTheme="minorEastAsia"/>
              <w:b/>
              <w:noProof/>
              <w:lang w:eastAsia="en-GB"/>
            </w:rPr>
          </w:pPr>
          <w:hyperlink w:anchor="_Toc237580521" w:history="1">
            <w:r w:rsidR="00130495" w:rsidRPr="00130495">
              <w:rPr>
                <w:rStyle w:val="Hyperlink"/>
                <w:rFonts w:ascii="Arial" w:hAnsi="Arial" w:cs="Arial"/>
                <w:b/>
                <w:noProof/>
              </w:rPr>
              <w:t>2. Organisational Classification and Global Strategy</w:t>
            </w:r>
            <w:r w:rsidR="00130495" w:rsidRPr="00130495">
              <w:rPr>
                <w:b/>
                <w:noProof/>
                <w:webHidden/>
              </w:rPr>
              <w:tab/>
            </w:r>
            <w:r w:rsidR="00130495" w:rsidRPr="00130495">
              <w:rPr>
                <w:b/>
                <w:noProof/>
                <w:webHidden/>
              </w:rPr>
              <w:fldChar w:fldCharType="begin"/>
            </w:r>
            <w:r w:rsidR="00130495" w:rsidRPr="00130495">
              <w:rPr>
                <w:b/>
                <w:noProof/>
                <w:webHidden/>
              </w:rPr>
              <w:instrText xml:space="preserve"> PAGEREF _Toc237580521 \h </w:instrText>
            </w:r>
            <w:r w:rsidR="00130495" w:rsidRPr="00130495">
              <w:rPr>
                <w:b/>
                <w:noProof/>
                <w:webHidden/>
              </w:rPr>
            </w:r>
            <w:r w:rsidR="00130495" w:rsidRPr="00130495">
              <w:rPr>
                <w:b/>
                <w:noProof/>
                <w:webHidden/>
              </w:rPr>
              <w:fldChar w:fldCharType="separate"/>
            </w:r>
            <w:r w:rsidR="00782DFB">
              <w:rPr>
                <w:b/>
                <w:noProof/>
                <w:webHidden/>
              </w:rPr>
              <w:t>1</w:t>
            </w:r>
            <w:r w:rsidR="00130495" w:rsidRPr="00130495">
              <w:rPr>
                <w:b/>
                <w:noProof/>
                <w:webHidden/>
              </w:rPr>
              <w:fldChar w:fldCharType="end"/>
            </w:r>
          </w:hyperlink>
        </w:p>
        <w:p w:rsidR="00130495" w:rsidRPr="00130495" w:rsidRDefault="006F4727">
          <w:pPr>
            <w:pStyle w:val="TOC2"/>
            <w:tabs>
              <w:tab w:val="right" w:leader="dot" w:pos="9017"/>
            </w:tabs>
            <w:rPr>
              <w:rFonts w:eastAsiaTheme="minorEastAsia"/>
              <w:b/>
              <w:noProof/>
              <w:lang w:eastAsia="en-GB"/>
            </w:rPr>
          </w:pPr>
          <w:hyperlink w:anchor="_Toc237580522" w:history="1">
            <w:r w:rsidR="00130495" w:rsidRPr="00130495">
              <w:rPr>
                <w:rStyle w:val="Hyperlink"/>
                <w:rFonts w:ascii="Arial" w:hAnsi="Arial" w:cs="Arial"/>
                <w:b/>
                <w:noProof/>
              </w:rPr>
              <w:t>2.1 Strategic Categorisation Using Bartlett and Ghoshal’s Model</w:t>
            </w:r>
            <w:r w:rsidR="00130495" w:rsidRPr="00130495">
              <w:rPr>
                <w:b/>
                <w:noProof/>
                <w:webHidden/>
              </w:rPr>
              <w:tab/>
            </w:r>
            <w:r w:rsidR="00130495" w:rsidRPr="00130495">
              <w:rPr>
                <w:b/>
                <w:noProof/>
                <w:webHidden/>
              </w:rPr>
              <w:fldChar w:fldCharType="begin"/>
            </w:r>
            <w:r w:rsidR="00130495" w:rsidRPr="00130495">
              <w:rPr>
                <w:b/>
                <w:noProof/>
                <w:webHidden/>
              </w:rPr>
              <w:instrText xml:space="preserve"> PAGEREF _Toc237580522 \h </w:instrText>
            </w:r>
            <w:r w:rsidR="00130495" w:rsidRPr="00130495">
              <w:rPr>
                <w:b/>
                <w:noProof/>
                <w:webHidden/>
              </w:rPr>
            </w:r>
            <w:r w:rsidR="00130495" w:rsidRPr="00130495">
              <w:rPr>
                <w:b/>
                <w:noProof/>
                <w:webHidden/>
              </w:rPr>
              <w:fldChar w:fldCharType="separate"/>
            </w:r>
            <w:r w:rsidR="00782DFB">
              <w:rPr>
                <w:b/>
                <w:noProof/>
                <w:webHidden/>
              </w:rPr>
              <w:t>1</w:t>
            </w:r>
            <w:r w:rsidR="00130495" w:rsidRPr="00130495">
              <w:rPr>
                <w:b/>
                <w:noProof/>
                <w:webHidden/>
              </w:rPr>
              <w:fldChar w:fldCharType="end"/>
            </w:r>
          </w:hyperlink>
        </w:p>
        <w:p w:rsidR="00130495" w:rsidRPr="00130495" w:rsidRDefault="006F4727">
          <w:pPr>
            <w:pStyle w:val="TOC2"/>
            <w:tabs>
              <w:tab w:val="right" w:leader="dot" w:pos="9017"/>
            </w:tabs>
            <w:rPr>
              <w:rFonts w:eastAsiaTheme="minorEastAsia"/>
              <w:b/>
              <w:noProof/>
              <w:lang w:eastAsia="en-GB"/>
            </w:rPr>
          </w:pPr>
          <w:hyperlink w:anchor="_Toc237580523" w:history="1">
            <w:r w:rsidR="00130495" w:rsidRPr="00130495">
              <w:rPr>
                <w:rStyle w:val="Hyperlink"/>
                <w:rFonts w:ascii="Arial" w:hAnsi="Arial" w:cs="Arial"/>
                <w:b/>
                <w:noProof/>
              </w:rPr>
              <w:t>2.2 Global Configuration and Competitive Advantage</w:t>
            </w:r>
            <w:r w:rsidR="00130495" w:rsidRPr="00130495">
              <w:rPr>
                <w:b/>
                <w:noProof/>
                <w:webHidden/>
              </w:rPr>
              <w:tab/>
            </w:r>
            <w:r w:rsidR="00130495" w:rsidRPr="00130495">
              <w:rPr>
                <w:b/>
                <w:noProof/>
                <w:webHidden/>
              </w:rPr>
              <w:fldChar w:fldCharType="begin"/>
            </w:r>
            <w:r w:rsidR="00130495" w:rsidRPr="00130495">
              <w:rPr>
                <w:b/>
                <w:noProof/>
                <w:webHidden/>
              </w:rPr>
              <w:instrText xml:space="preserve"> PAGEREF _Toc237580523 \h </w:instrText>
            </w:r>
            <w:r w:rsidR="00130495" w:rsidRPr="00130495">
              <w:rPr>
                <w:b/>
                <w:noProof/>
                <w:webHidden/>
              </w:rPr>
            </w:r>
            <w:r w:rsidR="00130495" w:rsidRPr="00130495">
              <w:rPr>
                <w:b/>
                <w:noProof/>
                <w:webHidden/>
              </w:rPr>
              <w:fldChar w:fldCharType="separate"/>
            </w:r>
            <w:r w:rsidR="00782DFB">
              <w:rPr>
                <w:b/>
                <w:noProof/>
                <w:webHidden/>
              </w:rPr>
              <w:t>2</w:t>
            </w:r>
            <w:r w:rsidR="00130495" w:rsidRPr="00130495">
              <w:rPr>
                <w:b/>
                <w:noProof/>
                <w:webHidden/>
              </w:rPr>
              <w:fldChar w:fldCharType="end"/>
            </w:r>
          </w:hyperlink>
        </w:p>
        <w:p w:rsidR="00130495" w:rsidRPr="00130495" w:rsidRDefault="006F4727">
          <w:pPr>
            <w:pStyle w:val="TOC1"/>
            <w:rPr>
              <w:rFonts w:eastAsiaTheme="minorEastAsia"/>
              <w:b/>
              <w:noProof/>
              <w:lang w:eastAsia="en-GB"/>
            </w:rPr>
          </w:pPr>
          <w:hyperlink w:anchor="_Toc237580524" w:history="1">
            <w:r w:rsidR="00130495" w:rsidRPr="00130495">
              <w:rPr>
                <w:rStyle w:val="Hyperlink"/>
                <w:rFonts w:ascii="Arial" w:hAnsi="Arial" w:cs="Arial"/>
                <w:b/>
                <w:noProof/>
              </w:rPr>
              <w:t>3. Macro-Environmental Appraisal and Market Attractiveness</w:t>
            </w:r>
            <w:r w:rsidR="00130495" w:rsidRPr="00130495">
              <w:rPr>
                <w:b/>
                <w:noProof/>
                <w:webHidden/>
              </w:rPr>
              <w:tab/>
            </w:r>
            <w:r w:rsidR="00130495" w:rsidRPr="00130495">
              <w:rPr>
                <w:b/>
                <w:noProof/>
                <w:webHidden/>
              </w:rPr>
              <w:fldChar w:fldCharType="begin"/>
            </w:r>
            <w:r w:rsidR="00130495" w:rsidRPr="00130495">
              <w:rPr>
                <w:b/>
                <w:noProof/>
                <w:webHidden/>
              </w:rPr>
              <w:instrText xml:space="preserve"> PAGEREF _Toc237580524 \h </w:instrText>
            </w:r>
            <w:r w:rsidR="00130495" w:rsidRPr="00130495">
              <w:rPr>
                <w:b/>
                <w:noProof/>
                <w:webHidden/>
              </w:rPr>
            </w:r>
            <w:r w:rsidR="00130495" w:rsidRPr="00130495">
              <w:rPr>
                <w:b/>
                <w:noProof/>
                <w:webHidden/>
              </w:rPr>
              <w:fldChar w:fldCharType="separate"/>
            </w:r>
            <w:r w:rsidR="00782DFB">
              <w:rPr>
                <w:b/>
                <w:noProof/>
                <w:webHidden/>
              </w:rPr>
              <w:t>3</w:t>
            </w:r>
            <w:r w:rsidR="00130495" w:rsidRPr="00130495">
              <w:rPr>
                <w:b/>
                <w:noProof/>
                <w:webHidden/>
              </w:rPr>
              <w:fldChar w:fldCharType="end"/>
            </w:r>
          </w:hyperlink>
        </w:p>
        <w:p w:rsidR="00130495" w:rsidRPr="00130495" w:rsidRDefault="006F4727">
          <w:pPr>
            <w:pStyle w:val="TOC2"/>
            <w:tabs>
              <w:tab w:val="right" w:leader="dot" w:pos="9017"/>
            </w:tabs>
            <w:rPr>
              <w:rFonts w:eastAsiaTheme="minorEastAsia"/>
              <w:b/>
              <w:noProof/>
              <w:lang w:eastAsia="en-GB"/>
            </w:rPr>
          </w:pPr>
          <w:hyperlink w:anchor="_Toc237580525" w:history="1">
            <w:r w:rsidR="00130495" w:rsidRPr="00130495">
              <w:rPr>
                <w:rStyle w:val="Hyperlink"/>
                <w:rFonts w:ascii="Arial" w:hAnsi="Arial" w:cs="Arial"/>
                <w:b/>
                <w:noProof/>
              </w:rPr>
              <w:t>3.1 Host Country Analysis: Canada</w:t>
            </w:r>
            <w:r w:rsidR="00130495" w:rsidRPr="00130495">
              <w:rPr>
                <w:b/>
                <w:noProof/>
                <w:webHidden/>
              </w:rPr>
              <w:tab/>
            </w:r>
            <w:r w:rsidR="00130495" w:rsidRPr="00130495">
              <w:rPr>
                <w:b/>
                <w:noProof/>
                <w:webHidden/>
              </w:rPr>
              <w:fldChar w:fldCharType="begin"/>
            </w:r>
            <w:r w:rsidR="00130495" w:rsidRPr="00130495">
              <w:rPr>
                <w:b/>
                <w:noProof/>
                <w:webHidden/>
              </w:rPr>
              <w:instrText xml:space="preserve"> PAGEREF _Toc237580525 \h </w:instrText>
            </w:r>
            <w:r w:rsidR="00130495" w:rsidRPr="00130495">
              <w:rPr>
                <w:b/>
                <w:noProof/>
                <w:webHidden/>
              </w:rPr>
            </w:r>
            <w:r w:rsidR="00130495" w:rsidRPr="00130495">
              <w:rPr>
                <w:b/>
                <w:noProof/>
                <w:webHidden/>
              </w:rPr>
              <w:fldChar w:fldCharType="separate"/>
            </w:r>
            <w:r w:rsidR="00782DFB">
              <w:rPr>
                <w:b/>
                <w:noProof/>
                <w:webHidden/>
              </w:rPr>
              <w:t>3</w:t>
            </w:r>
            <w:r w:rsidR="00130495" w:rsidRPr="00130495">
              <w:rPr>
                <w:b/>
                <w:noProof/>
                <w:webHidden/>
              </w:rPr>
              <w:fldChar w:fldCharType="end"/>
            </w:r>
          </w:hyperlink>
        </w:p>
        <w:p w:rsidR="00130495" w:rsidRPr="00130495" w:rsidRDefault="006F4727">
          <w:pPr>
            <w:pStyle w:val="TOC2"/>
            <w:tabs>
              <w:tab w:val="right" w:leader="dot" w:pos="9017"/>
            </w:tabs>
            <w:rPr>
              <w:rFonts w:eastAsiaTheme="minorEastAsia"/>
              <w:b/>
              <w:noProof/>
              <w:lang w:eastAsia="en-GB"/>
            </w:rPr>
          </w:pPr>
          <w:hyperlink w:anchor="_Toc237580526" w:history="1">
            <w:r w:rsidR="00130495" w:rsidRPr="00130495">
              <w:rPr>
                <w:rStyle w:val="Hyperlink"/>
                <w:rFonts w:ascii="Arial" w:hAnsi="Arial" w:cs="Arial"/>
                <w:b/>
                <w:noProof/>
              </w:rPr>
              <w:t>3.2 Market Entry: Dunning’s OLI Framework</w:t>
            </w:r>
            <w:r w:rsidR="00130495" w:rsidRPr="00130495">
              <w:rPr>
                <w:b/>
                <w:noProof/>
                <w:webHidden/>
              </w:rPr>
              <w:tab/>
            </w:r>
            <w:r w:rsidR="00130495" w:rsidRPr="00130495">
              <w:rPr>
                <w:b/>
                <w:noProof/>
                <w:webHidden/>
              </w:rPr>
              <w:fldChar w:fldCharType="begin"/>
            </w:r>
            <w:r w:rsidR="00130495" w:rsidRPr="00130495">
              <w:rPr>
                <w:b/>
                <w:noProof/>
                <w:webHidden/>
              </w:rPr>
              <w:instrText xml:space="preserve"> PAGEREF _Toc237580526 \h </w:instrText>
            </w:r>
            <w:r w:rsidR="00130495" w:rsidRPr="00130495">
              <w:rPr>
                <w:b/>
                <w:noProof/>
                <w:webHidden/>
              </w:rPr>
            </w:r>
            <w:r w:rsidR="00130495" w:rsidRPr="00130495">
              <w:rPr>
                <w:b/>
                <w:noProof/>
                <w:webHidden/>
              </w:rPr>
              <w:fldChar w:fldCharType="separate"/>
            </w:r>
            <w:r w:rsidR="00782DFB">
              <w:rPr>
                <w:b/>
                <w:noProof/>
                <w:webHidden/>
              </w:rPr>
              <w:t>8</w:t>
            </w:r>
            <w:r w:rsidR="00130495" w:rsidRPr="00130495">
              <w:rPr>
                <w:b/>
                <w:noProof/>
                <w:webHidden/>
              </w:rPr>
              <w:fldChar w:fldCharType="end"/>
            </w:r>
          </w:hyperlink>
        </w:p>
        <w:p w:rsidR="00130495" w:rsidRPr="00130495" w:rsidRDefault="006F4727">
          <w:pPr>
            <w:pStyle w:val="TOC1"/>
            <w:rPr>
              <w:rFonts w:eastAsiaTheme="minorEastAsia"/>
              <w:b/>
              <w:noProof/>
              <w:lang w:eastAsia="en-GB"/>
            </w:rPr>
          </w:pPr>
          <w:hyperlink w:anchor="_Toc237580527" w:history="1">
            <w:r w:rsidR="00130495" w:rsidRPr="00130495">
              <w:rPr>
                <w:rStyle w:val="Hyperlink"/>
                <w:rFonts w:ascii="Arial" w:hAnsi="Arial" w:cs="Arial"/>
                <w:b/>
                <w:noProof/>
              </w:rPr>
              <w:t>4. Entry Mode Strategy and Strategic Synthesis</w:t>
            </w:r>
            <w:r w:rsidR="00130495" w:rsidRPr="00130495">
              <w:rPr>
                <w:b/>
                <w:noProof/>
                <w:webHidden/>
              </w:rPr>
              <w:tab/>
            </w:r>
            <w:r w:rsidR="00130495" w:rsidRPr="00130495">
              <w:rPr>
                <w:b/>
                <w:noProof/>
                <w:webHidden/>
              </w:rPr>
              <w:fldChar w:fldCharType="begin"/>
            </w:r>
            <w:r w:rsidR="00130495" w:rsidRPr="00130495">
              <w:rPr>
                <w:b/>
                <w:noProof/>
                <w:webHidden/>
              </w:rPr>
              <w:instrText xml:space="preserve"> PAGEREF _Toc237580527 \h </w:instrText>
            </w:r>
            <w:r w:rsidR="00130495" w:rsidRPr="00130495">
              <w:rPr>
                <w:b/>
                <w:noProof/>
                <w:webHidden/>
              </w:rPr>
            </w:r>
            <w:r w:rsidR="00130495" w:rsidRPr="00130495">
              <w:rPr>
                <w:b/>
                <w:noProof/>
                <w:webHidden/>
              </w:rPr>
              <w:fldChar w:fldCharType="separate"/>
            </w:r>
            <w:r w:rsidR="00782DFB">
              <w:rPr>
                <w:b/>
                <w:noProof/>
                <w:webHidden/>
              </w:rPr>
              <w:t>11</w:t>
            </w:r>
            <w:r w:rsidR="00130495" w:rsidRPr="00130495">
              <w:rPr>
                <w:b/>
                <w:noProof/>
                <w:webHidden/>
              </w:rPr>
              <w:fldChar w:fldCharType="end"/>
            </w:r>
          </w:hyperlink>
        </w:p>
        <w:p w:rsidR="00130495" w:rsidRPr="00130495" w:rsidRDefault="006F4727">
          <w:pPr>
            <w:pStyle w:val="TOC2"/>
            <w:tabs>
              <w:tab w:val="right" w:leader="dot" w:pos="9017"/>
            </w:tabs>
            <w:rPr>
              <w:rFonts w:eastAsiaTheme="minorEastAsia"/>
              <w:b/>
              <w:noProof/>
              <w:lang w:eastAsia="en-GB"/>
            </w:rPr>
          </w:pPr>
          <w:hyperlink w:anchor="_Toc237580528" w:history="1">
            <w:r w:rsidR="00130495" w:rsidRPr="00130495">
              <w:rPr>
                <w:rStyle w:val="Hyperlink"/>
                <w:rFonts w:ascii="Arial" w:hAnsi="Arial" w:cs="Arial"/>
                <w:b/>
                <w:noProof/>
              </w:rPr>
              <w:t>4.1 Historical Pattern Recognition</w:t>
            </w:r>
            <w:r w:rsidR="00130495" w:rsidRPr="00130495">
              <w:rPr>
                <w:b/>
                <w:noProof/>
                <w:webHidden/>
              </w:rPr>
              <w:tab/>
            </w:r>
            <w:r w:rsidR="00130495" w:rsidRPr="00130495">
              <w:rPr>
                <w:b/>
                <w:noProof/>
                <w:webHidden/>
              </w:rPr>
              <w:fldChar w:fldCharType="begin"/>
            </w:r>
            <w:r w:rsidR="00130495" w:rsidRPr="00130495">
              <w:rPr>
                <w:b/>
                <w:noProof/>
                <w:webHidden/>
              </w:rPr>
              <w:instrText xml:space="preserve"> PAGEREF _Toc237580528 \h </w:instrText>
            </w:r>
            <w:r w:rsidR="00130495" w:rsidRPr="00130495">
              <w:rPr>
                <w:b/>
                <w:noProof/>
                <w:webHidden/>
              </w:rPr>
            </w:r>
            <w:r w:rsidR="00130495" w:rsidRPr="00130495">
              <w:rPr>
                <w:b/>
                <w:noProof/>
                <w:webHidden/>
              </w:rPr>
              <w:fldChar w:fldCharType="separate"/>
            </w:r>
            <w:r w:rsidR="00782DFB">
              <w:rPr>
                <w:b/>
                <w:noProof/>
                <w:webHidden/>
              </w:rPr>
              <w:t>11</w:t>
            </w:r>
            <w:r w:rsidR="00130495" w:rsidRPr="00130495">
              <w:rPr>
                <w:b/>
                <w:noProof/>
                <w:webHidden/>
              </w:rPr>
              <w:fldChar w:fldCharType="end"/>
            </w:r>
          </w:hyperlink>
        </w:p>
        <w:p w:rsidR="00130495" w:rsidRPr="00130495" w:rsidRDefault="006F4727">
          <w:pPr>
            <w:pStyle w:val="TOC2"/>
            <w:tabs>
              <w:tab w:val="right" w:leader="dot" w:pos="9017"/>
            </w:tabs>
            <w:rPr>
              <w:rFonts w:eastAsiaTheme="minorEastAsia"/>
              <w:b/>
              <w:noProof/>
              <w:lang w:eastAsia="en-GB"/>
            </w:rPr>
          </w:pPr>
          <w:hyperlink w:anchor="_Toc237580529" w:history="1">
            <w:r w:rsidR="00130495" w:rsidRPr="00130495">
              <w:rPr>
                <w:rStyle w:val="Hyperlink"/>
                <w:rFonts w:ascii="Arial" w:hAnsi="Arial" w:cs="Arial"/>
                <w:b/>
                <w:noProof/>
              </w:rPr>
              <w:t>4.2 Strategic Fit and Justification for Canada</w:t>
            </w:r>
            <w:r w:rsidR="00130495" w:rsidRPr="00130495">
              <w:rPr>
                <w:b/>
                <w:noProof/>
                <w:webHidden/>
              </w:rPr>
              <w:tab/>
            </w:r>
            <w:r w:rsidR="00130495" w:rsidRPr="00130495">
              <w:rPr>
                <w:b/>
                <w:noProof/>
                <w:webHidden/>
              </w:rPr>
              <w:fldChar w:fldCharType="begin"/>
            </w:r>
            <w:r w:rsidR="00130495" w:rsidRPr="00130495">
              <w:rPr>
                <w:b/>
                <w:noProof/>
                <w:webHidden/>
              </w:rPr>
              <w:instrText xml:space="preserve"> PAGEREF _Toc237580529 \h </w:instrText>
            </w:r>
            <w:r w:rsidR="00130495" w:rsidRPr="00130495">
              <w:rPr>
                <w:b/>
                <w:noProof/>
                <w:webHidden/>
              </w:rPr>
            </w:r>
            <w:r w:rsidR="00130495" w:rsidRPr="00130495">
              <w:rPr>
                <w:b/>
                <w:noProof/>
                <w:webHidden/>
              </w:rPr>
              <w:fldChar w:fldCharType="separate"/>
            </w:r>
            <w:r w:rsidR="00782DFB">
              <w:rPr>
                <w:b/>
                <w:noProof/>
                <w:webHidden/>
              </w:rPr>
              <w:t>12</w:t>
            </w:r>
            <w:r w:rsidR="00130495" w:rsidRPr="00130495">
              <w:rPr>
                <w:b/>
                <w:noProof/>
                <w:webHidden/>
              </w:rPr>
              <w:fldChar w:fldCharType="end"/>
            </w:r>
          </w:hyperlink>
        </w:p>
        <w:p w:rsidR="00130495" w:rsidRPr="00130495" w:rsidRDefault="006F4727">
          <w:pPr>
            <w:pStyle w:val="TOC2"/>
            <w:tabs>
              <w:tab w:val="right" w:leader="dot" w:pos="9017"/>
            </w:tabs>
            <w:rPr>
              <w:rFonts w:eastAsiaTheme="minorEastAsia"/>
              <w:b/>
              <w:noProof/>
              <w:lang w:eastAsia="en-GB"/>
            </w:rPr>
          </w:pPr>
          <w:hyperlink w:anchor="_Toc237580530" w:history="1">
            <w:r w:rsidR="00130495" w:rsidRPr="00130495">
              <w:rPr>
                <w:rStyle w:val="Hyperlink"/>
                <w:rFonts w:ascii="Arial" w:hAnsi="Arial" w:cs="Arial"/>
                <w:b/>
                <w:noProof/>
              </w:rPr>
              <w:t>4.3 Conclusion and Recommendations</w:t>
            </w:r>
            <w:r w:rsidR="00130495" w:rsidRPr="00130495">
              <w:rPr>
                <w:b/>
                <w:noProof/>
                <w:webHidden/>
              </w:rPr>
              <w:tab/>
            </w:r>
            <w:r w:rsidR="00130495" w:rsidRPr="00130495">
              <w:rPr>
                <w:b/>
                <w:noProof/>
                <w:webHidden/>
              </w:rPr>
              <w:fldChar w:fldCharType="begin"/>
            </w:r>
            <w:r w:rsidR="00130495" w:rsidRPr="00130495">
              <w:rPr>
                <w:b/>
                <w:noProof/>
                <w:webHidden/>
              </w:rPr>
              <w:instrText xml:space="preserve"> PAGEREF _Toc237580530 \h </w:instrText>
            </w:r>
            <w:r w:rsidR="00130495" w:rsidRPr="00130495">
              <w:rPr>
                <w:b/>
                <w:noProof/>
                <w:webHidden/>
              </w:rPr>
            </w:r>
            <w:r w:rsidR="00130495" w:rsidRPr="00130495">
              <w:rPr>
                <w:b/>
                <w:noProof/>
                <w:webHidden/>
              </w:rPr>
              <w:fldChar w:fldCharType="separate"/>
            </w:r>
            <w:r w:rsidR="00782DFB">
              <w:rPr>
                <w:b/>
                <w:noProof/>
                <w:webHidden/>
              </w:rPr>
              <w:t>13</w:t>
            </w:r>
            <w:r w:rsidR="00130495" w:rsidRPr="00130495">
              <w:rPr>
                <w:b/>
                <w:noProof/>
                <w:webHidden/>
              </w:rPr>
              <w:fldChar w:fldCharType="end"/>
            </w:r>
          </w:hyperlink>
        </w:p>
        <w:p w:rsidR="00130495" w:rsidRPr="00130495" w:rsidRDefault="006F4727">
          <w:pPr>
            <w:pStyle w:val="TOC1"/>
            <w:rPr>
              <w:rFonts w:eastAsiaTheme="minorEastAsia"/>
              <w:b/>
              <w:noProof/>
              <w:lang w:eastAsia="en-GB"/>
            </w:rPr>
          </w:pPr>
          <w:hyperlink w:anchor="_Toc237580531" w:history="1">
            <w:r w:rsidR="00130495" w:rsidRPr="00130495">
              <w:rPr>
                <w:rStyle w:val="Hyperlink"/>
                <w:rFonts w:ascii="Arial" w:hAnsi="Arial" w:cs="Arial"/>
                <w:b/>
                <w:noProof/>
              </w:rPr>
              <w:t>5. Reflective Account</w:t>
            </w:r>
            <w:r w:rsidR="00130495" w:rsidRPr="00130495">
              <w:rPr>
                <w:b/>
                <w:noProof/>
                <w:webHidden/>
              </w:rPr>
              <w:tab/>
            </w:r>
            <w:r w:rsidR="00130495" w:rsidRPr="00130495">
              <w:rPr>
                <w:b/>
                <w:noProof/>
                <w:webHidden/>
              </w:rPr>
              <w:fldChar w:fldCharType="begin"/>
            </w:r>
            <w:r w:rsidR="00130495" w:rsidRPr="00130495">
              <w:rPr>
                <w:b/>
                <w:noProof/>
                <w:webHidden/>
              </w:rPr>
              <w:instrText xml:space="preserve"> PAGEREF _Toc237580531 \h </w:instrText>
            </w:r>
            <w:r w:rsidR="00130495" w:rsidRPr="00130495">
              <w:rPr>
                <w:b/>
                <w:noProof/>
                <w:webHidden/>
              </w:rPr>
            </w:r>
            <w:r w:rsidR="00130495" w:rsidRPr="00130495">
              <w:rPr>
                <w:b/>
                <w:noProof/>
                <w:webHidden/>
              </w:rPr>
              <w:fldChar w:fldCharType="separate"/>
            </w:r>
            <w:r w:rsidR="00782DFB">
              <w:rPr>
                <w:b/>
                <w:noProof/>
                <w:webHidden/>
              </w:rPr>
              <w:t>14</w:t>
            </w:r>
            <w:r w:rsidR="00130495" w:rsidRPr="00130495">
              <w:rPr>
                <w:b/>
                <w:noProof/>
                <w:webHidden/>
              </w:rPr>
              <w:fldChar w:fldCharType="end"/>
            </w:r>
          </w:hyperlink>
        </w:p>
        <w:p w:rsidR="00130495" w:rsidRPr="00130495" w:rsidRDefault="006F4727">
          <w:pPr>
            <w:pStyle w:val="TOC1"/>
            <w:rPr>
              <w:rFonts w:eastAsiaTheme="minorEastAsia"/>
              <w:b/>
              <w:noProof/>
              <w:lang w:eastAsia="en-GB"/>
            </w:rPr>
          </w:pPr>
          <w:hyperlink w:anchor="_Toc237580532" w:history="1">
            <w:r w:rsidR="00130495" w:rsidRPr="00130495">
              <w:rPr>
                <w:rStyle w:val="Hyperlink"/>
                <w:rFonts w:ascii="Arial" w:hAnsi="Arial" w:cs="Arial"/>
                <w:b/>
                <w:noProof/>
              </w:rPr>
              <w:t>6. Conclusion</w:t>
            </w:r>
            <w:r w:rsidR="00130495" w:rsidRPr="00130495">
              <w:rPr>
                <w:b/>
                <w:noProof/>
                <w:webHidden/>
              </w:rPr>
              <w:tab/>
            </w:r>
            <w:r w:rsidR="00130495" w:rsidRPr="00130495">
              <w:rPr>
                <w:b/>
                <w:noProof/>
                <w:webHidden/>
              </w:rPr>
              <w:fldChar w:fldCharType="begin"/>
            </w:r>
            <w:r w:rsidR="00130495" w:rsidRPr="00130495">
              <w:rPr>
                <w:b/>
                <w:noProof/>
                <w:webHidden/>
              </w:rPr>
              <w:instrText xml:space="preserve"> PAGEREF _Toc237580532 \h </w:instrText>
            </w:r>
            <w:r w:rsidR="00130495" w:rsidRPr="00130495">
              <w:rPr>
                <w:b/>
                <w:noProof/>
                <w:webHidden/>
              </w:rPr>
            </w:r>
            <w:r w:rsidR="00130495" w:rsidRPr="00130495">
              <w:rPr>
                <w:b/>
                <w:noProof/>
                <w:webHidden/>
              </w:rPr>
              <w:fldChar w:fldCharType="separate"/>
            </w:r>
            <w:r w:rsidR="00782DFB">
              <w:rPr>
                <w:b/>
                <w:noProof/>
                <w:webHidden/>
              </w:rPr>
              <w:t>17</w:t>
            </w:r>
            <w:r w:rsidR="00130495" w:rsidRPr="00130495">
              <w:rPr>
                <w:b/>
                <w:noProof/>
                <w:webHidden/>
              </w:rPr>
              <w:fldChar w:fldCharType="end"/>
            </w:r>
          </w:hyperlink>
        </w:p>
        <w:p w:rsidR="00130495" w:rsidRPr="00130495" w:rsidRDefault="006F4727">
          <w:pPr>
            <w:pStyle w:val="TOC1"/>
            <w:rPr>
              <w:rFonts w:eastAsiaTheme="minorEastAsia"/>
              <w:b/>
              <w:noProof/>
              <w:lang w:eastAsia="en-GB"/>
            </w:rPr>
          </w:pPr>
          <w:hyperlink w:anchor="_Toc237580533" w:history="1">
            <w:r w:rsidR="00130495" w:rsidRPr="00130495">
              <w:rPr>
                <w:rStyle w:val="Hyperlink"/>
                <w:rFonts w:ascii="Arial" w:hAnsi="Arial" w:cs="Arial"/>
                <w:b/>
                <w:noProof/>
              </w:rPr>
              <w:t>7.  References</w:t>
            </w:r>
            <w:r w:rsidR="00130495" w:rsidRPr="00130495">
              <w:rPr>
                <w:b/>
                <w:noProof/>
                <w:webHidden/>
              </w:rPr>
              <w:tab/>
            </w:r>
            <w:r w:rsidR="00130495" w:rsidRPr="00130495">
              <w:rPr>
                <w:b/>
                <w:noProof/>
                <w:webHidden/>
              </w:rPr>
              <w:fldChar w:fldCharType="begin"/>
            </w:r>
            <w:r w:rsidR="00130495" w:rsidRPr="00130495">
              <w:rPr>
                <w:b/>
                <w:noProof/>
                <w:webHidden/>
              </w:rPr>
              <w:instrText xml:space="preserve"> PAGEREF _Toc237580533 \h </w:instrText>
            </w:r>
            <w:r w:rsidR="00130495" w:rsidRPr="00130495">
              <w:rPr>
                <w:b/>
                <w:noProof/>
                <w:webHidden/>
              </w:rPr>
            </w:r>
            <w:r w:rsidR="00130495" w:rsidRPr="00130495">
              <w:rPr>
                <w:b/>
                <w:noProof/>
                <w:webHidden/>
              </w:rPr>
              <w:fldChar w:fldCharType="separate"/>
            </w:r>
            <w:r w:rsidR="00782DFB">
              <w:rPr>
                <w:b/>
                <w:noProof/>
                <w:webHidden/>
              </w:rPr>
              <w:t>18</w:t>
            </w:r>
            <w:r w:rsidR="00130495" w:rsidRPr="00130495">
              <w:rPr>
                <w:b/>
                <w:noProof/>
                <w:webHidden/>
              </w:rPr>
              <w:fldChar w:fldCharType="end"/>
            </w:r>
          </w:hyperlink>
        </w:p>
        <w:p w:rsidR="00703082" w:rsidRDefault="00703082" w:rsidP="00703082">
          <w:pPr>
            <w:spacing w:line="360" w:lineRule="auto"/>
          </w:pPr>
          <w:r w:rsidRPr="00F83646">
            <w:rPr>
              <w:rFonts w:ascii="Arial" w:hAnsi="Arial" w:cs="Arial"/>
              <w:b/>
              <w:bCs/>
              <w:noProof/>
            </w:rPr>
            <w:fldChar w:fldCharType="end"/>
          </w:r>
        </w:p>
      </w:sdtContent>
    </w:sdt>
    <w:p w:rsidR="00A425C3" w:rsidRDefault="00A425C3" w:rsidP="00C66A12">
      <w:pPr>
        <w:spacing w:line="360" w:lineRule="auto"/>
        <w:jc w:val="both"/>
        <w:rPr>
          <w:rFonts w:ascii="Arial" w:hAnsi="Arial" w:cs="Arial"/>
          <w:sz w:val="24"/>
          <w:szCs w:val="24"/>
        </w:rPr>
        <w:sectPr w:rsidR="00A425C3" w:rsidSect="00696425">
          <w:pgSz w:w="11907" w:h="16839" w:code="9"/>
          <w:pgMar w:top="1440" w:right="1440" w:bottom="1440" w:left="1440" w:header="720" w:footer="720" w:gutter="0"/>
          <w:cols w:space="720"/>
          <w:docGrid w:linePitch="360"/>
        </w:sectPr>
      </w:pPr>
    </w:p>
    <w:p w:rsidR="00A425C3" w:rsidRPr="00696425" w:rsidRDefault="0050458A" w:rsidP="00696425">
      <w:pPr>
        <w:pStyle w:val="Heading1"/>
        <w:spacing w:after="240" w:line="360" w:lineRule="auto"/>
        <w:rPr>
          <w:rFonts w:ascii="Arial" w:hAnsi="Arial" w:cs="Arial"/>
          <w:color w:val="auto"/>
          <w:sz w:val="24"/>
          <w:szCs w:val="24"/>
        </w:rPr>
      </w:pPr>
      <w:bookmarkStart w:id="0" w:name="_Toc237580520"/>
      <w:bookmarkStart w:id="1" w:name="_GoBack"/>
      <w:r w:rsidRPr="00696425">
        <w:rPr>
          <w:rFonts w:ascii="Arial" w:hAnsi="Arial" w:cs="Arial"/>
          <w:color w:val="auto"/>
          <w:sz w:val="24"/>
          <w:szCs w:val="24"/>
        </w:rPr>
        <w:t xml:space="preserve">1. </w:t>
      </w:r>
      <w:r w:rsidR="00A425C3" w:rsidRPr="00696425">
        <w:rPr>
          <w:rFonts w:ascii="Arial" w:hAnsi="Arial" w:cs="Arial"/>
          <w:color w:val="auto"/>
          <w:sz w:val="24"/>
          <w:szCs w:val="24"/>
        </w:rPr>
        <w:t>Introduction</w:t>
      </w:r>
      <w:bookmarkEnd w:id="0"/>
    </w:p>
    <w:p w:rsidR="0050458A" w:rsidRPr="00696425" w:rsidRDefault="00940129" w:rsidP="00696425">
      <w:pPr>
        <w:spacing w:after="240" w:line="360" w:lineRule="auto"/>
        <w:jc w:val="both"/>
        <w:rPr>
          <w:rFonts w:ascii="Arial" w:hAnsi="Arial" w:cs="Arial"/>
          <w:sz w:val="24"/>
          <w:szCs w:val="24"/>
        </w:rPr>
      </w:pPr>
      <w:r w:rsidRPr="00696425">
        <w:rPr>
          <w:rFonts w:ascii="Arial" w:hAnsi="Arial" w:cs="Arial"/>
          <w:sz w:val="24"/>
          <w:szCs w:val="24"/>
        </w:rPr>
        <w:t>This report assesses the potential for Ahold Delhaize to expand its grocery business in Canada. The company's official portfolio and reporting for 2025 list operations in nine countries and 17 local brands in the United States, Europe and Indonesia but not any significant Canada stores, subsidiary or formal market operation (Ahold Delhaize, 2026). The analysis starts with the classification of the international strategy of Ahold Delhaize based on the framework presented by Bartlett and Ghoshal (1989). It then reviews the political, economic, legal and cultural factors that are most applicable to the grocery retailing industry in Canada. Ahold Delhaize's capabilities are linked to the level of control it needs for entry, and the location conditions in Canada, using the Dunning's OLI paradigm. The report then examines the historical trends of entries and other entry options, and then concludes and recommends. A reflective account uses a range of criteria to assess the research process, evidence used and the final judgement</w:t>
      </w:r>
      <w:r w:rsidR="0050458A" w:rsidRPr="00696425">
        <w:rPr>
          <w:rFonts w:ascii="Arial" w:hAnsi="Arial" w:cs="Arial"/>
          <w:sz w:val="24"/>
          <w:szCs w:val="24"/>
        </w:rPr>
        <w:t>.</w:t>
      </w:r>
    </w:p>
    <w:p w:rsidR="00940129" w:rsidRPr="00696425" w:rsidRDefault="00940129" w:rsidP="00696425">
      <w:pPr>
        <w:pStyle w:val="Heading1"/>
        <w:spacing w:after="240" w:line="360" w:lineRule="auto"/>
        <w:rPr>
          <w:rFonts w:ascii="Arial" w:hAnsi="Arial" w:cs="Arial"/>
          <w:color w:val="auto"/>
          <w:sz w:val="24"/>
          <w:szCs w:val="24"/>
        </w:rPr>
      </w:pPr>
      <w:bookmarkStart w:id="2" w:name="_Toc237580521"/>
      <w:r w:rsidRPr="00696425">
        <w:rPr>
          <w:rFonts w:ascii="Arial" w:hAnsi="Arial" w:cs="Arial"/>
          <w:color w:val="auto"/>
          <w:sz w:val="24"/>
          <w:szCs w:val="24"/>
        </w:rPr>
        <w:t>2. Organisational Classification and Global Strategy</w:t>
      </w:r>
      <w:bookmarkEnd w:id="2"/>
    </w:p>
    <w:p w:rsidR="00940129" w:rsidRPr="00696425" w:rsidRDefault="00940129" w:rsidP="00696425">
      <w:pPr>
        <w:pStyle w:val="Heading2"/>
        <w:spacing w:after="240" w:afterAutospacing="0" w:line="360" w:lineRule="auto"/>
        <w:rPr>
          <w:rFonts w:ascii="Arial" w:hAnsi="Arial" w:cs="Arial"/>
          <w:sz w:val="24"/>
          <w:szCs w:val="24"/>
        </w:rPr>
      </w:pPr>
      <w:bookmarkStart w:id="3" w:name="_Toc237580522"/>
      <w:r w:rsidRPr="00696425">
        <w:rPr>
          <w:rFonts w:ascii="Arial" w:hAnsi="Arial" w:cs="Arial"/>
          <w:sz w:val="24"/>
          <w:szCs w:val="24"/>
        </w:rPr>
        <w:t>2.1 Strategic Categorisation Using Bartlett and Ghoshal’s Model</w:t>
      </w:r>
      <w:bookmarkEnd w:id="3"/>
    </w:p>
    <w:p w:rsidR="00940129" w:rsidRPr="00696425" w:rsidRDefault="00940129" w:rsidP="00696425">
      <w:pPr>
        <w:pStyle w:val="NormalWeb"/>
        <w:spacing w:after="240" w:afterAutospacing="0" w:line="360" w:lineRule="auto"/>
        <w:jc w:val="both"/>
        <w:rPr>
          <w:rFonts w:ascii="Arial" w:hAnsi="Arial" w:cs="Arial"/>
        </w:rPr>
      </w:pPr>
      <w:r w:rsidRPr="00696425">
        <w:rPr>
          <w:rFonts w:ascii="Arial" w:hAnsi="Arial" w:cs="Arial"/>
        </w:rPr>
        <w:t xml:space="preserve">Bartlett and Ghoshal (1989) </w:t>
      </w:r>
      <w:r w:rsidR="00696425" w:rsidRPr="00696425">
        <w:rPr>
          <w:rFonts w:ascii="Arial" w:hAnsi="Arial" w:cs="Arial"/>
        </w:rPr>
        <w:t>describe</w:t>
      </w:r>
      <w:r w:rsidRPr="00696425">
        <w:rPr>
          <w:rFonts w:ascii="Arial" w:hAnsi="Arial" w:cs="Arial"/>
        </w:rPr>
        <w:t xml:space="preserve"> and categorizes multinational companies on the basis of two strategic pressures: 'global integration' and 'local responsiveness'. Global integration is based on the degree of coordination and standardization of activities across countries for economies of scale, synergies and the sharing of technology and capabilities. Local responsiveness indicates how operations are tailored to the national customer preferences, regulations, competition and market structure. The four strategies outlined below are included in the framework. An international strategy will have relatively low pressures for integration and adaptation and will lead to relatively low capabilities being transferred from the home country</w:t>
      </w:r>
      <w:r w:rsidR="00696425" w:rsidRPr="00696425">
        <w:rPr>
          <w:rFonts w:ascii="Arial" w:hAnsi="Arial" w:cs="Arial"/>
        </w:rPr>
        <w:t xml:space="preserve"> (Verbeke and Lee, 2021)</w:t>
      </w:r>
      <w:r w:rsidRPr="00696425">
        <w:rPr>
          <w:rFonts w:ascii="Arial" w:hAnsi="Arial" w:cs="Arial"/>
        </w:rPr>
        <w:t xml:space="preserve">. High integration and standardisation but low </w:t>
      </w:r>
      <w:r w:rsidR="003F6620" w:rsidRPr="00696425">
        <w:rPr>
          <w:rFonts w:ascii="Arial" w:hAnsi="Arial" w:cs="Arial"/>
        </w:rPr>
        <w:t>adaptations to local conditions are</w:t>
      </w:r>
      <w:r w:rsidRPr="00696425">
        <w:rPr>
          <w:rFonts w:ascii="Arial" w:hAnsi="Arial" w:cs="Arial"/>
        </w:rPr>
        <w:t xml:space="preserve"> the key components of a global strategy. A multidomestic strategy delegates high degree of autonomy to national subsidiaries to adjust their business to local market conditions. A transnational approach, on the other hand, focuses on high level of global integration and high level of local responsiveness, as well as sharing knowledge across borders (Bartlett and Ghoshal, 1989; Chen a</w:t>
      </w:r>
      <w:r w:rsidR="00696425" w:rsidRPr="00696425">
        <w:rPr>
          <w:rFonts w:ascii="Arial" w:hAnsi="Arial" w:cs="Arial"/>
        </w:rPr>
        <w:t>nd Bui, 2020</w:t>
      </w:r>
      <w:r w:rsidRPr="00696425">
        <w:rPr>
          <w:rFonts w:ascii="Arial" w:hAnsi="Arial" w:cs="Arial"/>
        </w:rPr>
        <w:t>).</w:t>
      </w:r>
    </w:p>
    <w:p w:rsidR="00940129" w:rsidRPr="00696425" w:rsidRDefault="00940129" w:rsidP="00696425">
      <w:pPr>
        <w:pStyle w:val="NormalWeb"/>
        <w:spacing w:after="240" w:afterAutospacing="0" w:line="360" w:lineRule="auto"/>
        <w:jc w:val="both"/>
        <w:rPr>
          <w:rFonts w:ascii="Arial" w:hAnsi="Arial" w:cs="Arial"/>
        </w:rPr>
      </w:pPr>
      <w:r w:rsidRPr="00696425">
        <w:rPr>
          <w:rFonts w:ascii="Arial" w:hAnsi="Arial" w:cs="Arial"/>
        </w:rPr>
        <w:t>In the framework, Ahold Delhaize can be described as a transnational organisation that has very multidomestic features. It has some local grocery banners that have significant responsibilities concerning assortment, pricing, promotions, and store formats, and thus can adhere to local customers and institutional conditions (Wei and Nguyen, 2020). The group also overhauls activities that include scale-intensive ones like capital allocation, international sourcing, private-label development, data, digital platforms, and operational improvement. It has recently focused on AI, automation and simplification to enhance the efficiency of the group (Mileo and Mandia, 2024). Thus, Ahold Delhaize is not solely based on local autonomy but on a mix of decentralised customer decision-making and centralized capabilities.</w:t>
      </w:r>
    </w:p>
    <w:p w:rsidR="00782DFB" w:rsidRPr="00782DFB" w:rsidRDefault="00940129" w:rsidP="00782DFB">
      <w:pPr>
        <w:pStyle w:val="Heading2"/>
        <w:spacing w:after="240" w:afterAutospacing="0" w:line="360" w:lineRule="auto"/>
        <w:rPr>
          <w:rFonts w:ascii="Arial" w:hAnsi="Arial" w:cs="Arial"/>
          <w:sz w:val="24"/>
          <w:szCs w:val="24"/>
        </w:rPr>
      </w:pPr>
      <w:bookmarkStart w:id="4" w:name="_Toc237580523"/>
      <w:r w:rsidRPr="00696425">
        <w:rPr>
          <w:rFonts w:ascii="Arial" w:hAnsi="Arial" w:cs="Arial"/>
          <w:sz w:val="24"/>
          <w:szCs w:val="24"/>
        </w:rPr>
        <w:t>2.2 Global Configuration and Competitive Advantage</w:t>
      </w:r>
      <w:bookmarkEnd w:id="4"/>
    </w:p>
    <w:p w:rsidR="00782DFB" w:rsidRPr="00782DFB" w:rsidRDefault="00782DFB" w:rsidP="00782DFB">
      <w:pPr>
        <w:pStyle w:val="NormalWeb"/>
        <w:spacing w:after="240" w:line="360" w:lineRule="auto"/>
        <w:jc w:val="both"/>
        <w:rPr>
          <w:rFonts w:ascii="Arial" w:hAnsi="Arial" w:cs="Arial"/>
        </w:rPr>
      </w:pPr>
      <w:r w:rsidRPr="00782DFB">
        <w:rPr>
          <w:rFonts w:ascii="Arial" w:hAnsi="Arial" w:cs="Arial"/>
        </w:rPr>
        <w:t>Ahold Delhaize has 17 local brands in nine countries, the bulk of which are in the United States and Europe, in addition to partnership roles, including Super Indo and Pingo Doce (Ahold Delhaize, 2025). This geographic arrangement is built on the value added chain of procurement scale, sharing of technology, forecasting, loyalty systems, digital infrastructure and private-label capabilities. Meanwhile, traditional local banners maintain trust amongst customers and help speed up the adaptation t</w:t>
      </w:r>
      <w:r>
        <w:rPr>
          <w:rFonts w:ascii="Arial" w:hAnsi="Arial" w:cs="Arial"/>
        </w:rPr>
        <w:t>o various consumer preferences.</w:t>
      </w:r>
    </w:p>
    <w:p w:rsidR="00940129" w:rsidRDefault="00782DFB" w:rsidP="00782DFB">
      <w:pPr>
        <w:pStyle w:val="NormalWeb"/>
        <w:spacing w:after="240" w:afterAutospacing="0" w:line="360" w:lineRule="auto"/>
        <w:jc w:val="both"/>
        <w:rPr>
          <w:rFonts w:ascii="Arial" w:hAnsi="Arial" w:cs="Arial"/>
        </w:rPr>
      </w:pPr>
      <w:r w:rsidRPr="00782DFB">
        <w:rPr>
          <w:rFonts w:ascii="Arial" w:hAnsi="Arial" w:cs="Arial"/>
        </w:rPr>
        <w:t xml:space="preserve">Nevertheless this model also produces coordination costs, coordination duplication, integration challenges and brings a lack of geographical diversification in the high concentration in developed markets. The competitive advantage of Ahold Delhaize is therefore based on selective centralisation, which is achieved by sharing capabilities based on scale across the globe whilst maintaining local market responsiveness. This means that entering the Canadian market should not be about taking a single global identity but rather an identity that is rooted </w:t>
      </w:r>
      <w:r>
        <w:rPr>
          <w:rFonts w:ascii="Arial" w:hAnsi="Arial" w:cs="Arial"/>
        </w:rPr>
        <w:t>in the local market</w:t>
      </w:r>
      <w:r w:rsidR="00940129" w:rsidRPr="00696425">
        <w:rPr>
          <w:rFonts w:ascii="Arial" w:hAnsi="Arial" w:cs="Arial"/>
        </w:rPr>
        <w:t>.</w:t>
      </w:r>
    </w:p>
    <w:p w:rsidR="00782DFB" w:rsidRPr="00696425" w:rsidRDefault="00782DFB" w:rsidP="00782DFB">
      <w:pPr>
        <w:pStyle w:val="NormalWeb"/>
        <w:spacing w:after="240" w:afterAutospacing="0" w:line="360" w:lineRule="auto"/>
        <w:jc w:val="both"/>
        <w:rPr>
          <w:rFonts w:ascii="Arial" w:hAnsi="Arial" w:cs="Arial"/>
        </w:rPr>
      </w:pPr>
    </w:p>
    <w:p w:rsidR="00940129" w:rsidRPr="00696425" w:rsidRDefault="00940129" w:rsidP="00696425">
      <w:pPr>
        <w:pStyle w:val="Heading1"/>
        <w:spacing w:after="240" w:line="360" w:lineRule="auto"/>
        <w:rPr>
          <w:rFonts w:ascii="Arial" w:hAnsi="Arial" w:cs="Arial"/>
          <w:color w:val="auto"/>
          <w:sz w:val="24"/>
          <w:szCs w:val="24"/>
        </w:rPr>
      </w:pPr>
      <w:bookmarkStart w:id="5" w:name="_Toc237580524"/>
      <w:r w:rsidRPr="00696425">
        <w:rPr>
          <w:rFonts w:ascii="Arial" w:hAnsi="Arial" w:cs="Arial"/>
          <w:color w:val="auto"/>
          <w:sz w:val="24"/>
          <w:szCs w:val="24"/>
        </w:rPr>
        <w:t>3. Macro-Environmental Appraisal and Market Attractiveness</w:t>
      </w:r>
      <w:bookmarkEnd w:id="5"/>
    </w:p>
    <w:p w:rsidR="00940129" w:rsidRPr="00696425" w:rsidRDefault="00940129" w:rsidP="00696425">
      <w:pPr>
        <w:pStyle w:val="Heading2"/>
        <w:spacing w:after="240" w:afterAutospacing="0" w:line="360" w:lineRule="auto"/>
        <w:rPr>
          <w:rFonts w:ascii="Arial" w:hAnsi="Arial" w:cs="Arial"/>
          <w:sz w:val="24"/>
          <w:szCs w:val="24"/>
        </w:rPr>
      </w:pPr>
      <w:bookmarkStart w:id="6" w:name="_Toc237580525"/>
      <w:r w:rsidRPr="00696425">
        <w:rPr>
          <w:rFonts w:ascii="Arial" w:hAnsi="Arial" w:cs="Arial"/>
          <w:sz w:val="24"/>
          <w:szCs w:val="24"/>
        </w:rPr>
        <w:t>3.1 Host Country Analysis: Canada</w:t>
      </w:r>
      <w:bookmarkEnd w:id="6"/>
    </w:p>
    <w:p w:rsidR="00940129" w:rsidRPr="00696425" w:rsidRDefault="00940129" w:rsidP="00696425">
      <w:pPr>
        <w:pStyle w:val="NormalWeb"/>
        <w:spacing w:after="240" w:afterAutospacing="0" w:line="360" w:lineRule="auto"/>
        <w:jc w:val="both"/>
        <w:rPr>
          <w:rFonts w:ascii="Arial" w:hAnsi="Arial" w:cs="Arial"/>
        </w:rPr>
      </w:pPr>
      <w:r w:rsidRPr="00696425">
        <w:rPr>
          <w:rFonts w:ascii="Arial" w:hAnsi="Arial" w:cs="Arial"/>
        </w:rPr>
        <w:t>The grocery market in Canada is a difficult but promising opportunity for Ahold Delhaize. It has established institutions, a big urban population, retail infrastructure and a close relationship with the United States offer opportunities. But fast national expansion comes with limitations due to strong incumbent retailers, high operating costs and regulatory complexity and regional differences. As a result, the political, economic, legal and cultural factors that have direct impact on Ahold Delhaize's entry and success in the market are analyzed.</w:t>
      </w:r>
    </w:p>
    <w:p w:rsidR="00940129" w:rsidRPr="00696425" w:rsidRDefault="00940129" w:rsidP="00696425">
      <w:pPr>
        <w:pStyle w:val="NormalWeb"/>
        <w:spacing w:after="240" w:afterAutospacing="0" w:line="360" w:lineRule="auto"/>
        <w:jc w:val="both"/>
        <w:rPr>
          <w:rFonts w:ascii="Arial" w:hAnsi="Arial" w:cs="Arial"/>
          <w:b/>
        </w:rPr>
      </w:pPr>
      <w:r w:rsidRPr="00696425">
        <w:rPr>
          <w:rFonts w:ascii="Arial" w:hAnsi="Arial" w:cs="Arial"/>
          <w:b/>
        </w:rPr>
        <w:t>Political Environment</w:t>
      </w:r>
    </w:p>
    <w:p w:rsidR="00940129" w:rsidRPr="00696425" w:rsidRDefault="00940129" w:rsidP="00696425">
      <w:pPr>
        <w:pStyle w:val="NormalWeb"/>
        <w:spacing w:after="240" w:afterAutospacing="0" w:line="360" w:lineRule="auto"/>
        <w:jc w:val="both"/>
        <w:rPr>
          <w:rFonts w:ascii="Arial" w:hAnsi="Arial" w:cs="Arial"/>
        </w:rPr>
      </w:pPr>
      <w:r w:rsidRPr="00696425">
        <w:rPr>
          <w:rFonts w:ascii="Arial" w:hAnsi="Arial" w:cs="Arial"/>
        </w:rPr>
        <w:t>Political and institutional conditions are relatively stable in Canada with respect to long-term foreign investment. This is crucial for grocery retail, as it takes a lot of investment to enter the market by opening stores, establishing distribution centres, logistics, technology and the network of suppliers. Predictable institutions can help to lower uncertainty related to long-term capital investments and thus to increase the appeal of foreign investment (Cavusgil, Knight and Riesenberger, 2020).</w:t>
      </w:r>
    </w:p>
    <w:p w:rsidR="00940129" w:rsidRPr="00696425" w:rsidRDefault="00940129" w:rsidP="00696425">
      <w:pPr>
        <w:pStyle w:val="NormalWeb"/>
        <w:spacing w:after="240" w:afterAutospacing="0" w:line="360" w:lineRule="auto"/>
        <w:jc w:val="both"/>
        <w:rPr>
          <w:rFonts w:ascii="Arial" w:hAnsi="Arial" w:cs="Arial"/>
        </w:rPr>
      </w:pPr>
      <w:r w:rsidRPr="00696425">
        <w:rPr>
          <w:rFonts w:ascii="Arial" w:hAnsi="Arial" w:cs="Arial"/>
        </w:rPr>
        <w:t>Political stability, however, does not imply a single business climate for Canada. Federal and Provincial governments share responsibility. Federal government plays an impact role in foreign investment, competition, international trade and national food regulation and provinces play a significant role regarding employment and consumer protection and commercial activity. This would require Ahold Delhaize to face varying conditions in different provinces. Having a single national operating model would then lead to unnecessary complexity.</w:t>
      </w:r>
    </w:p>
    <w:p w:rsidR="00940129" w:rsidRPr="00696425" w:rsidRDefault="00940129" w:rsidP="00696425">
      <w:pPr>
        <w:pStyle w:val="NormalWeb"/>
        <w:spacing w:after="240" w:afterAutospacing="0" w:line="360" w:lineRule="auto"/>
        <w:jc w:val="both"/>
        <w:rPr>
          <w:rFonts w:ascii="Arial" w:hAnsi="Arial" w:cs="Arial"/>
        </w:rPr>
      </w:pPr>
      <w:r w:rsidRPr="00696425">
        <w:rPr>
          <w:rFonts w:ascii="Arial" w:hAnsi="Arial" w:cs="Arial"/>
        </w:rPr>
        <w:t>Issues of food prices are also of political concern. The Competition Bureau Canada (2023) made this claim that Canada's grocery market must be more competitive. This opens up the possibility of a new international retailer who will provide greater choice for consumers, improve price competition and come with new retail functionality. Ahold Delhaize can help in this regard by developing a private label, by introducing loyalty schemes, through personalised promotions and by offering efficient omnichannel services.</w:t>
      </w:r>
    </w:p>
    <w:p w:rsidR="00940129" w:rsidRPr="00696425" w:rsidRDefault="00940129" w:rsidP="00696425">
      <w:pPr>
        <w:pStyle w:val="NormalWeb"/>
        <w:spacing w:after="240" w:afterAutospacing="0" w:line="360" w:lineRule="auto"/>
        <w:jc w:val="both"/>
        <w:rPr>
          <w:rFonts w:ascii="Arial" w:hAnsi="Arial" w:cs="Arial"/>
        </w:rPr>
      </w:pPr>
      <w:r w:rsidRPr="00696425">
        <w:rPr>
          <w:rFonts w:ascii="Arial" w:hAnsi="Arial" w:cs="Arial"/>
        </w:rPr>
        <w:t>But with more competition, it doesn't mean that any foreign acquisition would be welcomed. Political and regulatory issues may arise with regard to a large transaction with no increase in market competition. In this case, Ahold Delhaize would have to prove benefits to the investor (investment), to the job market (employment) and to the consumer (consumer value), among others.</w:t>
      </w:r>
    </w:p>
    <w:p w:rsidR="00940129" w:rsidRPr="00696425" w:rsidRDefault="00940129" w:rsidP="00696425">
      <w:pPr>
        <w:pStyle w:val="NormalWeb"/>
        <w:spacing w:after="240" w:afterAutospacing="0" w:line="360" w:lineRule="auto"/>
        <w:jc w:val="both"/>
        <w:rPr>
          <w:rFonts w:ascii="Arial" w:hAnsi="Arial" w:cs="Arial"/>
        </w:rPr>
      </w:pPr>
      <w:r w:rsidRPr="00696425">
        <w:rPr>
          <w:rFonts w:ascii="Arial" w:hAnsi="Arial" w:cs="Arial"/>
        </w:rPr>
        <w:t>Its existing operations in the U.S. presents another benefit as their expertise in sourcing, technology, logistics and grocery management may be able to be implemented in Canada (Ahold Delhaize, 2025). However, if this is reliant on the U.S. supply, it could present a risk of border disruption or shifting trade conditions. In general, the political climate in Canada is conducive to investment, but federal–provincial complexity and sensitivity to the grocery competition suggests a prudent approach at the regional level rather than a quick national move.</w:t>
      </w:r>
    </w:p>
    <w:p w:rsidR="00940129" w:rsidRPr="00696425" w:rsidRDefault="00940129" w:rsidP="00696425">
      <w:pPr>
        <w:pStyle w:val="NormalWeb"/>
        <w:spacing w:after="240" w:afterAutospacing="0" w:line="360" w:lineRule="auto"/>
        <w:jc w:val="both"/>
        <w:rPr>
          <w:rFonts w:ascii="Arial" w:hAnsi="Arial" w:cs="Arial"/>
          <w:b/>
        </w:rPr>
      </w:pPr>
      <w:r w:rsidRPr="00696425">
        <w:rPr>
          <w:rFonts w:ascii="Arial" w:hAnsi="Arial" w:cs="Arial"/>
          <w:b/>
        </w:rPr>
        <w:t>Economic Environment</w:t>
      </w:r>
    </w:p>
    <w:p w:rsidR="00940129" w:rsidRPr="00696425" w:rsidRDefault="00940129" w:rsidP="00696425">
      <w:pPr>
        <w:pStyle w:val="NormalWeb"/>
        <w:spacing w:after="240" w:afterAutospacing="0" w:line="360" w:lineRule="auto"/>
        <w:jc w:val="both"/>
        <w:rPr>
          <w:rFonts w:ascii="Arial" w:hAnsi="Arial" w:cs="Arial"/>
        </w:rPr>
      </w:pPr>
      <w:r w:rsidRPr="00696425">
        <w:rPr>
          <w:rFonts w:ascii="Arial" w:hAnsi="Arial" w:cs="Arial"/>
        </w:rPr>
        <w:t>Canada offers good market opportunity. The grocery market is a huge one about C$137 billion in 2024 (Statistics Canada, 2025). But size of the market is not necessarily an indicator of ease of entry. Canada is a well-developed grocery market with well-established retail chains with store networks, purchasing power, distribution networks, supplier relationships and strong loyalty programmes. The Competition Bureau Canada (2023) also lists barriers in terms of property access and supply chains. The national greenfield approach would thus demand a huge amount of investment to reach adequate scale for Ahold Delhaize.</w:t>
      </w:r>
    </w:p>
    <w:p w:rsidR="00940129" w:rsidRPr="00696425" w:rsidRDefault="00940129" w:rsidP="00696425">
      <w:pPr>
        <w:pStyle w:val="NormalWeb"/>
        <w:spacing w:after="240" w:afterAutospacing="0" w:line="360" w:lineRule="auto"/>
        <w:jc w:val="both"/>
        <w:rPr>
          <w:rFonts w:ascii="Arial" w:hAnsi="Arial" w:cs="Arial"/>
        </w:rPr>
      </w:pPr>
      <w:r w:rsidRPr="00696425">
        <w:rPr>
          <w:rFonts w:ascii="Arial" w:hAnsi="Arial" w:cs="Arial"/>
        </w:rPr>
        <w:t>The best chances of this will probably be in large urban centres. Like the nation, Canada's metros have diverse and large consumers. As seen by Statistics Canada (2022), immigrants are highly localized in major urban centres. This generates demand for foreign foods, ethnic lines, convenience foods and localised lines. That's the type of events Ahold Delhaize experienced by giving the local banners freedom to react to customers' needs. Additionally, research shows that the grocery-store formats and competitive environment is different for different local markets based on its characteristics (Bonfrer, Chintagunta and Dhar, 2022). Thus, the regional and city-level level of adaptations would be more suitable than the immediate nationwide standardisation.</w:t>
      </w:r>
    </w:p>
    <w:p w:rsidR="00940129" w:rsidRPr="00696425" w:rsidRDefault="00940129" w:rsidP="00696425">
      <w:pPr>
        <w:pStyle w:val="NormalWeb"/>
        <w:spacing w:after="240" w:afterAutospacing="0" w:line="360" w:lineRule="auto"/>
        <w:jc w:val="both"/>
        <w:rPr>
          <w:rFonts w:ascii="Arial" w:hAnsi="Arial" w:cs="Arial"/>
        </w:rPr>
      </w:pPr>
      <w:r w:rsidRPr="00696425">
        <w:rPr>
          <w:rFonts w:ascii="Arial" w:hAnsi="Arial" w:cs="Arial"/>
        </w:rPr>
        <w:t>Opportunity and risk are dependent on price sensitivity. While grocery price inflation eased in 2024, Canadian consumers' purchasing habits have been adapting to the earlier rise in food costs (Statistics Canada, 2025). Ahold Delhaize may be able to meet this pressure by leveraging its private-label know-how, value ranges and customised promotions. It already gives a great deal of importance to own-brand products, loyalty programs and to its integrated store and online experiences (Ahold Delhaize, 2025).</w:t>
      </w:r>
    </w:p>
    <w:p w:rsidR="00940129" w:rsidRPr="00696425" w:rsidRDefault="00940129" w:rsidP="00696425">
      <w:pPr>
        <w:pStyle w:val="NormalWeb"/>
        <w:spacing w:after="240" w:afterAutospacing="0" w:line="360" w:lineRule="auto"/>
        <w:jc w:val="both"/>
        <w:rPr>
          <w:rFonts w:ascii="Arial" w:hAnsi="Arial" w:cs="Arial"/>
        </w:rPr>
      </w:pPr>
      <w:r w:rsidRPr="00696425">
        <w:rPr>
          <w:rFonts w:ascii="Arial" w:hAnsi="Arial" w:cs="Arial"/>
        </w:rPr>
        <w:t>But these abilities don't necessarily give an edge in any context. Private-label brands, loyalty and digital services are already available with major Canadian grocery brands. Ahold Delhaize would then have to differentiate on the basis of price, locally relevant assortment, convenience and customer trust as well as technology.</w:t>
      </w:r>
    </w:p>
    <w:p w:rsidR="00940129" w:rsidRPr="00696425" w:rsidRDefault="00940129" w:rsidP="00696425">
      <w:pPr>
        <w:pStyle w:val="NormalWeb"/>
        <w:spacing w:after="240" w:afterAutospacing="0" w:line="360" w:lineRule="auto"/>
        <w:jc w:val="both"/>
        <w:rPr>
          <w:rFonts w:ascii="Arial" w:hAnsi="Arial" w:cs="Arial"/>
        </w:rPr>
      </w:pPr>
      <w:r w:rsidRPr="00696425">
        <w:rPr>
          <w:rFonts w:ascii="Arial" w:hAnsi="Arial" w:cs="Arial"/>
        </w:rPr>
        <w:t>There's another opportunity with digital grocery and a digital-only will be weak. There are age and income variations in the uptake of online grocery shopping, as well as variations related to household characteristics and consumer confidence in technology (Galushko and Riabchyk, 2024). Moreover, study indicates that convenience and attitude towards technology plays a role in the adoption of smart grocery services (Thomas-Francois and Somogyi, 2022). Physical stores would then continue to be significant as a shopping location, click-and-collect or fulfilment centres.</w:t>
      </w:r>
    </w:p>
    <w:p w:rsidR="00940129" w:rsidRPr="00696425" w:rsidRDefault="00940129" w:rsidP="00696425">
      <w:pPr>
        <w:pStyle w:val="NormalWeb"/>
        <w:spacing w:after="240" w:afterAutospacing="0" w:line="360" w:lineRule="auto"/>
        <w:jc w:val="both"/>
        <w:rPr>
          <w:rFonts w:ascii="Arial" w:hAnsi="Arial" w:cs="Arial"/>
        </w:rPr>
      </w:pPr>
      <w:r w:rsidRPr="00696425">
        <w:rPr>
          <w:rFonts w:ascii="Arial" w:hAnsi="Arial" w:cs="Arial"/>
        </w:rPr>
        <w:t>There is also an extra economic challenge arising because of Geography. Transportation, cold chain, warehousing and inventory costs are exacerbated by the great distances in Canada. The cost of labour and property also vary between the various provinces. This means that density is crucial for profit with this type of store. The market of Ontario is logical first step due to its population size and the fact that it is in proximity to Ahold Delhaize's eastern U.S. operations. In general, there is a good revenue opportunity in Canada, but profitability will be dictated more by density than by market size, and by disciplined investment and logistics</w:t>
      </w:r>
      <w:r w:rsidR="00653204">
        <w:rPr>
          <w:rFonts w:ascii="Arial" w:hAnsi="Arial" w:cs="Arial"/>
        </w:rPr>
        <w:t xml:space="preserve"> as they relate to each region.</w:t>
      </w:r>
    </w:p>
    <w:p w:rsidR="00940129" w:rsidRPr="00696425" w:rsidRDefault="00940129" w:rsidP="00696425">
      <w:pPr>
        <w:pStyle w:val="NormalWeb"/>
        <w:spacing w:after="240" w:afterAutospacing="0" w:line="360" w:lineRule="auto"/>
        <w:jc w:val="both"/>
        <w:rPr>
          <w:rFonts w:ascii="Arial" w:hAnsi="Arial" w:cs="Arial"/>
          <w:b/>
        </w:rPr>
      </w:pPr>
      <w:r w:rsidRPr="00696425">
        <w:rPr>
          <w:rFonts w:ascii="Arial" w:hAnsi="Arial" w:cs="Arial"/>
          <w:b/>
        </w:rPr>
        <w:t>Legal and Regulatory Environment</w:t>
      </w:r>
    </w:p>
    <w:p w:rsidR="00940129" w:rsidRPr="00696425" w:rsidRDefault="00940129" w:rsidP="00696425">
      <w:pPr>
        <w:pStyle w:val="NormalWeb"/>
        <w:spacing w:after="240" w:afterAutospacing="0" w:line="360" w:lineRule="auto"/>
        <w:jc w:val="both"/>
        <w:rPr>
          <w:rFonts w:ascii="Arial" w:hAnsi="Arial" w:cs="Arial"/>
        </w:rPr>
      </w:pPr>
      <w:r w:rsidRPr="00696425">
        <w:rPr>
          <w:rFonts w:ascii="Arial" w:hAnsi="Arial" w:cs="Arial"/>
        </w:rPr>
        <w:t>On the legal side, Canadian law is somewhat predictable; on the grocery retail side, there are challenging compliance requirements. It is especially significant that acquisition is a viable route for Ahold Delhaize to enter the market because of the competition law. Changes to the Competition Act were made to allow for a deeper examination of mergers that could result in an increase in competition.The Competition Act was amended to provide for a more in-depth review of mergers that may lead to an increase in competition (Competition Bureau Canada, 2024). A large national retailer, then, would be a thing that could cause a lengthy review process, divestment requirements or increased transaction uncertainty for an already highly concentrated grocery industry. It also may be possible to strike a balance between acquiring local assets and minimize regulatory risk in a smaller regional acquisition.</w:t>
      </w:r>
    </w:p>
    <w:p w:rsidR="00940129" w:rsidRPr="00696425" w:rsidRDefault="00940129" w:rsidP="00696425">
      <w:pPr>
        <w:pStyle w:val="NormalWeb"/>
        <w:spacing w:after="240" w:afterAutospacing="0" w:line="360" w:lineRule="auto"/>
        <w:jc w:val="both"/>
        <w:rPr>
          <w:rFonts w:ascii="Arial" w:hAnsi="Arial" w:cs="Arial"/>
        </w:rPr>
      </w:pPr>
      <w:r w:rsidRPr="00696425">
        <w:rPr>
          <w:rFonts w:ascii="Arial" w:hAnsi="Arial" w:cs="Arial"/>
        </w:rPr>
        <w:t>Food regulation also has an impact on Ahold Delhaize's private-label business. Specific information for pre-packaged foods is required by the Canadian Food Inspection Agency (2025) such as labelling in both English and French, nutrition information, ingredients and allergens. Products designed for the U.S. or European market can't, therefore, be moved into Canada without a review. Local compliance skills and possibly more connection with Canadian producers would be required by Ahold Delhaize.</w:t>
      </w:r>
    </w:p>
    <w:p w:rsidR="00940129" w:rsidRPr="00696425" w:rsidRDefault="00940129" w:rsidP="00696425">
      <w:pPr>
        <w:pStyle w:val="NormalWeb"/>
        <w:spacing w:after="240" w:afterAutospacing="0" w:line="360" w:lineRule="auto"/>
        <w:jc w:val="both"/>
        <w:rPr>
          <w:rFonts w:ascii="Arial" w:hAnsi="Arial" w:cs="Arial"/>
        </w:rPr>
      </w:pPr>
      <w:r w:rsidRPr="00696425">
        <w:rPr>
          <w:rFonts w:ascii="Arial" w:hAnsi="Arial" w:cs="Arial"/>
        </w:rPr>
        <w:t>Quebec adds to the difficulties due to French-language requirements, which impact packaging, trademark, advertising, and websites and customer communication (Office québécois de la langue française, 2025). This makes the Ontario-first approach more feasible as it would be easier for the company to first work out its operating model in Canada and then integrate the “extra” language, regulatory, and other requirements in Quebec.</w:t>
      </w:r>
    </w:p>
    <w:p w:rsidR="00940129" w:rsidRPr="00696425" w:rsidRDefault="00940129" w:rsidP="00696425">
      <w:pPr>
        <w:pStyle w:val="NormalWeb"/>
        <w:spacing w:after="240" w:afterAutospacing="0" w:line="360" w:lineRule="auto"/>
        <w:jc w:val="both"/>
        <w:rPr>
          <w:rFonts w:ascii="Arial" w:hAnsi="Arial" w:cs="Arial"/>
        </w:rPr>
      </w:pPr>
      <w:r w:rsidRPr="00696425">
        <w:rPr>
          <w:rFonts w:ascii="Arial" w:hAnsi="Arial" w:cs="Arial"/>
        </w:rPr>
        <w:t>However, privacy law is equally crucial as Ahold Delhaize also heavily depends on loyalty programmes, customer analysis and individualised promotions. According to the Office of the Privacy Commissioner of Canada (2023), identifiable purchasing information needs to be managed with care in Canada. Ahold Delhaize, then, would require systems that have built-in privacy, procedures to obtain consent, and internal controls of their data.</w:t>
      </w:r>
    </w:p>
    <w:p w:rsidR="00940129" w:rsidRPr="00696425" w:rsidRDefault="00940129" w:rsidP="00696425">
      <w:pPr>
        <w:pStyle w:val="NormalWeb"/>
        <w:spacing w:after="240" w:afterAutospacing="0" w:line="360" w:lineRule="auto"/>
        <w:jc w:val="both"/>
        <w:rPr>
          <w:rFonts w:ascii="Arial" w:hAnsi="Arial" w:cs="Arial"/>
        </w:rPr>
      </w:pPr>
      <w:r w:rsidRPr="00696425">
        <w:rPr>
          <w:rFonts w:ascii="Arial" w:hAnsi="Arial" w:cs="Arial"/>
        </w:rPr>
        <w:t>As these requirements come into play, operational control becomes even more critical. The disadvantages of a loose franchise structure are lower investment, but perhaps more challenging standards regarding quality of food, data protection and private labeling. The Canadian legal system thus enables a slowdown and gradual approach to entry, instead of a low-control expansion.</w:t>
      </w:r>
    </w:p>
    <w:p w:rsidR="00940129" w:rsidRPr="00696425" w:rsidRDefault="00940129" w:rsidP="00696425">
      <w:pPr>
        <w:pStyle w:val="NormalWeb"/>
        <w:spacing w:after="240" w:afterAutospacing="0" w:line="360" w:lineRule="auto"/>
        <w:jc w:val="both"/>
        <w:rPr>
          <w:rFonts w:ascii="Arial" w:hAnsi="Arial" w:cs="Arial"/>
          <w:b/>
        </w:rPr>
      </w:pPr>
      <w:r w:rsidRPr="00696425">
        <w:rPr>
          <w:rFonts w:ascii="Arial" w:hAnsi="Arial" w:cs="Arial"/>
          <w:b/>
        </w:rPr>
        <w:t>Cultural Environment</w:t>
      </w:r>
    </w:p>
    <w:p w:rsidR="006865CA" w:rsidRPr="006865CA" w:rsidRDefault="006865CA" w:rsidP="006865CA">
      <w:pPr>
        <w:pStyle w:val="NormalWeb"/>
        <w:spacing w:after="240" w:line="360" w:lineRule="auto"/>
        <w:jc w:val="both"/>
        <w:rPr>
          <w:rFonts w:ascii="Arial" w:hAnsi="Arial" w:cs="Arial"/>
        </w:rPr>
      </w:pPr>
      <w:r w:rsidRPr="006865CA">
        <w:rPr>
          <w:rFonts w:ascii="Arial" w:hAnsi="Arial" w:cs="Arial"/>
        </w:rPr>
        <w:t>The Canadian multicultural and bilingual context offers opportunities and challenges to Ahold Delhaize's entry into the market. Retail approaches may be fully standardised, but this approach may not be appropriate because grocery preferences vary across provincial, language and cultural group, and household type. Research on retailing internationally has shown that effective multinational retailers tend to blend the global with the local in order to meet varying consumer markets and needs (Burt and Sparks, 2022). However, the local-banner strategy is suitable for Ahold Delhaize because it ensures the decisions that are made by customers are locally relevant, but also have the be</w:t>
      </w:r>
      <w:r>
        <w:rPr>
          <w:rFonts w:ascii="Arial" w:hAnsi="Arial" w:cs="Arial"/>
        </w:rPr>
        <w:t>nefit of group-level resources.</w:t>
      </w:r>
    </w:p>
    <w:p w:rsidR="006865CA" w:rsidRPr="006865CA" w:rsidRDefault="006865CA" w:rsidP="006865CA">
      <w:pPr>
        <w:pStyle w:val="NormalWeb"/>
        <w:spacing w:after="240" w:line="360" w:lineRule="auto"/>
        <w:jc w:val="both"/>
        <w:rPr>
          <w:rFonts w:ascii="Arial" w:hAnsi="Arial" w:cs="Arial"/>
        </w:rPr>
      </w:pPr>
      <w:r w:rsidRPr="006865CA">
        <w:rPr>
          <w:rFonts w:ascii="Arial" w:hAnsi="Arial" w:cs="Arial"/>
        </w:rPr>
        <w:t>Affordability, convenience, health and product variety are top concerns for Canadian consumers. As food price worries escalate, there's been a surge in value-added grocery solutions. Ahold Delhaize can react by private label products, differentiated product ranges, and personalised promotions. These capabilities, however, need to be carefully adapted as Canadian retailers already have very strong customer relationships, supplier networks and their own established brands (Grewal,</w:t>
      </w:r>
      <w:r>
        <w:rPr>
          <w:rFonts w:ascii="Arial" w:hAnsi="Arial" w:cs="Arial"/>
        </w:rPr>
        <w:t xml:space="preserve"> Roggeveen and Nordfält, 2021).</w:t>
      </w:r>
    </w:p>
    <w:p w:rsidR="006865CA" w:rsidRPr="006865CA" w:rsidRDefault="006865CA" w:rsidP="006865CA">
      <w:pPr>
        <w:pStyle w:val="NormalWeb"/>
        <w:spacing w:after="240" w:line="360" w:lineRule="auto"/>
        <w:jc w:val="both"/>
        <w:rPr>
          <w:rFonts w:ascii="Arial" w:hAnsi="Arial" w:cs="Arial"/>
        </w:rPr>
      </w:pPr>
      <w:r w:rsidRPr="006865CA">
        <w:rPr>
          <w:rFonts w:ascii="Arial" w:hAnsi="Arial" w:cs="Arial"/>
        </w:rPr>
        <w:t>Cultural diversity is an especially important characteristic in large urban centers like Canada, where interest in overseas and ethnic food classifications has been growing. It would then become necessary to make local assortment decisions to satisfy community wants and preferences and to operate efficiently. This is in line with the idea of core transfer and local adaptation of the</w:t>
      </w:r>
      <w:r>
        <w:rPr>
          <w:rFonts w:ascii="Arial" w:hAnsi="Arial" w:cs="Arial"/>
        </w:rPr>
        <w:t xml:space="preserve"> market (Wang and Zhang, 2021).</w:t>
      </w:r>
    </w:p>
    <w:p w:rsidR="00940129" w:rsidRPr="00696425" w:rsidRDefault="006865CA" w:rsidP="006865CA">
      <w:pPr>
        <w:pStyle w:val="NormalWeb"/>
        <w:spacing w:after="240" w:afterAutospacing="0" w:line="360" w:lineRule="auto"/>
        <w:jc w:val="both"/>
        <w:rPr>
          <w:rFonts w:ascii="Arial" w:hAnsi="Arial" w:cs="Arial"/>
        </w:rPr>
      </w:pPr>
      <w:r w:rsidRPr="006865CA">
        <w:rPr>
          <w:rFonts w:ascii="Arial" w:hAnsi="Arial" w:cs="Arial"/>
        </w:rPr>
        <w:t>There are also differences in digital behaviour among Canadian consumers. Adoption of online grocery shopping is related to age, income and technology confidence. Consequently, Ahold Delhaize should continue with an omnichannel approach, where it has both physical stores and delivery and click-and-collect services. Having local brand name and management would help lower the liability of forei</w:t>
      </w:r>
      <w:r>
        <w:rPr>
          <w:rFonts w:ascii="Arial" w:hAnsi="Arial" w:cs="Arial"/>
        </w:rPr>
        <w:t>gnness and build customer trust</w:t>
      </w:r>
      <w:r w:rsidR="00940129" w:rsidRPr="00696425">
        <w:rPr>
          <w:rFonts w:ascii="Arial" w:hAnsi="Arial" w:cs="Arial"/>
        </w:rPr>
        <w:t>.</w:t>
      </w:r>
    </w:p>
    <w:p w:rsidR="00940129" w:rsidRPr="00696425" w:rsidRDefault="00940129" w:rsidP="00696425">
      <w:pPr>
        <w:pStyle w:val="NormalWeb"/>
        <w:spacing w:after="240" w:afterAutospacing="0" w:line="360" w:lineRule="auto"/>
        <w:jc w:val="both"/>
        <w:rPr>
          <w:rFonts w:ascii="Arial" w:hAnsi="Arial" w:cs="Arial"/>
          <w:b/>
        </w:rPr>
      </w:pPr>
      <w:r w:rsidRPr="00696425">
        <w:rPr>
          <w:rFonts w:ascii="Arial" w:hAnsi="Arial" w:cs="Arial"/>
          <w:b/>
        </w:rPr>
        <w:t>Overall Market Attractiveness</w:t>
      </w:r>
    </w:p>
    <w:p w:rsidR="00940129" w:rsidRPr="00696425" w:rsidRDefault="00940129" w:rsidP="00696425">
      <w:pPr>
        <w:pStyle w:val="NormalWeb"/>
        <w:spacing w:after="240" w:afterAutospacing="0" w:line="360" w:lineRule="auto"/>
        <w:jc w:val="both"/>
        <w:rPr>
          <w:rFonts w:ascii="Arial" w:hAnsi="Arial" w:cs="Arial"/>
        </w:rPr>
      </w:pPr>
      <w:r w:rsidRPr="00696425">
        <w:rPr>
          <w:rFonts w:ascii="Arial" w:hAnsi="Arial" w:cs="Arial"/>
        </w:rPr>
        <w:t>While Canada is appealing for Ahold, the opportunity is not spread evenly across the country, but regionally. Political stability, size of urban population, the level of infrastructure, the multicultural consumer base and the close proximity to U.S. operations are factors that make it easier for businesses to enter. The converse is that strong incumbents, high logistics costs, differences between provinces, bilingual requirements and scrutiny of mergers increase risk. These conditions make locally embedded, regionally phased entry strategy more attractive, and can now be examined more systematically based on Dunning's OLI framework.</w:t>
      </w:r>
    </w:p>
    <w:p w:rsidR="00940129" w:rsidRPr="00696425" w:rsidRDefault="00940129" w:rsidP="00696425">
      <w:pPr>
        <w:pStyle w:val="Heading2"/>
        <w:spacing w:after="240" w:afterAutospacing="0" w:line="360" w:lineRule="auto"/>
        <w:rPr>
          <w:rFonts w:ascii="Arial" w:hAnsi="Arial" w:cs="Arial"/>
          <w:sz w:val="24"/>
          <w:szCs w:val="24"/>
        </w:rPr>
      </w:pPr>
      <w:bookmarkStart w:id="7" w:name="_Toc237580526"/>
      <w:r w:rsidRPr="00696425">
        <w:rPr>
          <w:rFonts w:ascii="Arial" w:hAnsi="Arial" w:cs="Arial"/>
          <w:sz w:val="24"/>
          <w:szCs w:val="24"/>
        </w:rPr>
        <w:t>3.2 Market Entry: Dunning’s OLI Framework</w:t>
      </w:r>
      <w:bookmarkEnd w:id="7"/>
    </w:p>
    <w:p w:rsidR="00940129" w:rsidRPr="00696425" w:rsidRDefault="00940129" w:rsidP="00696425">
      <w:pPr>
        <w:pStyle w:val="NormalWeb"/>
        <w:spacing w:after="240" w:afterAutospacing="0" w:line="360" w:lineRule="auto"/>
        <w:jc w:val="both"/>
        <w:rPr>
          <w:rFonts w:ascii="Arial" w:hAnsi="Arial" w:cs="Arial"/>
        </w:rPr>
      </w:pPr>
      <w:r w:rsidRPr="00696425">
        <w:rPr>
          <w:rFonts w:ascii="Arial" w:hAnsi="Arial" w:cs="Arial"/>
        </w:rPr>
        <w:t>In 1977, an international-business scholar named John H. Dunning proposed the Eclectic Paradigm (also referred to as the OLI framework) to explain multinational activity, which later was developed into a framework for explaining why Multinational Corporations (MNCs) put in place operations overseas (Dunning, 1977; Dunning, 2000). It looks at three related conditions of foreign investment: Ownership advantages (O), Location advantages (L) and Internalisation advantages (I). Ownership reflects the transferability of the firm-specific strengths to the host market, Location reflects the commercial value of the firm's strengths in the host market, and Internalisation reflects the decision of whether key activities should be part of the firm's operations or simply contracted to others. For Ahold Delhaize, OLI is thus a test of the strategic alignment of its abilities with the conditions in Canada.</w:t>
      </w:r>
    </w:p>
    <w:p w:rsidR="00940129" w:rsidRPr="00696425" w:rsidRDefault="00940129" w:rsidP="00696425">
      <w:pPr>
        <w:spacing w:before="100" w:beforeAutospacing="1" w:after="240" w:line="360" w:lineRule="auto"/>
        <w:jc w:val="center"/>
        <w:rPr>
          <w:rFonts w:ascii="Arial" w:hAnsi="Arial" w:cs="Arial"/>
          <w:sz w:val="24"/>
          <w:szCs w:val="24"/>
        </w:rPr>
      </w:pPr>
      <w:r w:rsidRPr="00696425">
        <w:rPr>
          <w:rFonts w:ascii="Arial" w:hAnsi="Arial" w:cs="Arial"/>
          <w:noProof/>
          <w:sz w:val="24"/>
          <w:szCs w:val="24"/>
          <w:lang w:eastAsia="en-GB"/>
        </w:rPr>
        <w:drawing>
          <wp:inline distT="0" distB="0" distL="0" distR="0" wp14:anchorId="48056246" wp14:editId="1197F146">
            <wp:extent cx="4465320" cy="2511743"/>
            <wp:effectExtent l="0" t="0" r="0" b="3175"/>
            <wp:docPr id="4" name="Picture 4" descr="Does The Company Have an Advantage? | Electric Paradigm - Slid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oes The Company Have an Advantage? | Electric Paradigm - Slid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465320" cy="2511743"/>
                    </a:xfrm>
                    <a:prstGeom prst="rect">
                      <a:avLst/>
                    </a:prstGeom>
                    <a:noFill/>
                    <a:ln>
                      <a:noFill/>
                    </a:ln>
                  </pic:spPr>
                </pic:pic>
              </a:graphicData>
            </a:graphic>
          </wp:inline>
        </w:drawing>
      </w:r>
    </w:p>
    <w:p w:rsidR="00940129" w:rsidRPr="00696425" w:rsidRDefault="00940129" w:rsidP="00696425">
      <w:pPr>
        <w:spacing w:before="100" w:beforeAutospacing="1" w:after="240" w:line="360" w:lineRule="auto"/>
        <w:jc w:val="center"/>
        <w:rPr>
          <w:rFonts w:ascii="Arial" w:eastAsia="Times New Roman" w:hAnsi="Arial" w:cs="Arial"/>
          <w:i/>
          <w:sz w:val="24"/>
          <w:szCs w:val="24"/>
          <w:lang w:eastAsia="en-GB"/>
        </w:rPr>
      </w:pPr>
      <w:r w:rsidRPr="00696425">
        <w:rPr>
          <w:rFonts w:ascii="Arial" w:hAnsi="Arial" w:cs="Arial"/>
          <w:i/>
          <w:sz w:val="24"/>
          <w:szCs w:val="24"/>
        </w:rPr>
        <w:t>Figure 1: OLI Framework (Collidu, 2023)</w:t>
      </w:r>
    </w:p>
    <w:p w:rsidR="00940129" w:rsidRPr="00696425" w:rsidRDefault="00940129" w:rsidP="00696425">
      <w:pPr>
        <w:pStyle w:val="NormalWeb"/>
        <w:spacing w:after="240" w:afterAutospacing="0" w:line="360" w:lineRule="auto"/>
        <w:jc w:val="both"/>
        <w:rPr>
          <w:rFonts w:ascii="Arial" w:hAnsi="Arial" w:cs="Arial"/>
          <w:b/>
        </w:rPr>
      </w:pPr>
      <w:r w:rsidRPr="00696425">
        <w:rPr>
          <w:rFonts w:ascii="Arial" w:hAnsi="Arial" w:cs="Arial"/>
          <w:b/>
        </w:rPr>
        <w:t>Ownership Advantages (O)</w:t>
      </w:r>
    </w:p>
    <w:p w:rsidR="00940129" w:rsidRDefault="00940129" w:rsidP="00696425">
      <w:pPr>
        <w:pStyle w:val="NormalWeb"/>
        <w:spacing w:after="240" w:afterAutospacing="0" w:line="360" w:lineRule="auto"/>
        <w:jc w:val="both"/>
        <w:rPr>
          <w:rFonts w:ascii="Arial" w:hAnsi="Arial" w:cs="Arial"/>
        </w:rPr>
      </w:pPr>
      <w:r w:rsidRPr="00696425">
        <w:rPr>
          <w:rFonts w:ascii="Arial" w:hAnsi="Arial" w:cs="Arial"/>
        </w:rPr>
        <w:t>Ahold Delhaize has various strengths that can be transferred, such as grocery management, procurement, local-brand management, private label development, loyalty analytics and omnichannel retailing. The group's latest reporting indicates that it still manages to merge brands that are relevant to the local market with brands that are relevant to the group on a global scale, and that the development of own brands and growth in the omnichannel segment are still key strategic initiatives (Ahold Delhaize, 2026). In Canada, these capabilities could be used to make stores more cost efficient, get a better variety of products, offer customer value based on individual customer preferences, and make the store–online experience more convenient. It is only when ownership advantages engender value in the host market, however, that they become relevant. Ahold Delhaize's current Canadian brands portfolio is not comprised of a Canadian operating banner; and established Canadian grocery companies already have well-established networks and are well integrated into consumers shopping habits (Competition Bureau Canada, 2023). Thus, its benefits of ownership are considerable, but come with the demands of local expertise and resources and customer awareness. They are not a good enough reason for a national standardised rollout of greenfields.</w:t>
      </w:r>
    </w:p>
    <w:p w:rsidR="00696425" w:rsidRPr="00696425" w:rsidRDefault="00696425" w:rsidP="00696425">
      <w:pPr>
        <w:pStyle w:val="NormalWeb"/>
        <w:spacing w:after="240" w:afterAutospacing="0" w:line="360" w:lineRule="auto"/>
        <w:jc w:val="both"/>
        <w:rPr>
          <w:rFonts w:ascii="Arial" w:hAnsi="Arial" w:cs="Arial"/>
        </w:rPr>
      </w:pPr>
    </w:p>
    <w:p w:rsidR="00940129" w:rsidRPr="00696425" w:rsidRDefault="00940129" w:rsidP="00696425">
      <w:pPr>
        <w:pStyle w:val="NormalWeb"/>
        <w:spacing w:after="240" w:afterAutospacing="0" w:line="360" w:lineRule="auto"/>
        <w:jc w:val="both"/>
        <w:rPr>
          <w:rFonts w:ascii="Arial" w:hAnsi="Arial" w:cs="Arial"/>
          <w:b/>
        </w:rPr>
      </w:pPr>
      <w:r w:rsidRPr="00696425">
        <w:rPr>
          <w:rFonts w:ascii="Arial" w:hAnsi="Arial" w:cs="Arial"/>
          <w:b/>
        </w:rPr>
        <w:t>Location Advantages (L)</w:t>
      </w:r>
    </w:p>
    <w:p w:rsidR="00940129" w:rsidRPr="00696425" w:rsidRDefault="00940129" w:rsidP="00696425">
      <w:pPr>
        <w:pStyle w:val="NormalWeb"/>
        <w:spacing w:after="240" w:afterAutospacing="0" w:line="360" w:lineRule="auto"/>
        <w:jc w:val="both"/>
        <w:rPr>
          <w:rFonts w:ascii="Arial" w:hAnsi="Arial" w:cs="Arial"/>
        </w:rPr>
      </w:pPr>
      <w:r w:rsidRPr="00696425">
        <w:rPr>
          <w:rFonts w:ascii="Arial" w:hAnsi="Arial" w:cs="Arial"/>
        </w:rPr>
        <w:t>The benefits of locating in Canada are very appealing, however Canada has its own set of selection criteria. Selected sourcing, management and digital capabilities are transferred to the institutions due to the following factors: institutional stability, large metropolitan demand, developed retail infrastructure, multicultural consumers and proximity to Ahold Delhaize's U.S. operations. But, the organization of the grocery market diminishes attractiveness. The sector is considered concentrated and barriers to entry high as major retailers have established themselves and there is an expensive cost associated with opening a store in this sector (Competition Bureau Canada 2023). The size of Canada's territory exacerbates distribution problems and provincial differences and bilingualism reduce the efficiency of national standardisation. The location advantages of Canada, then, are greatest in the denser urban areas, where store and logistics density can be developed, than throughout the country equally. This reflects investment in stages, rather than all at once, on a regional level.</w:t>
      </w:r>
    </w:p>
    <w:p w:rsidR="00940129" w:rsidRPr="00696425" w:rsidRDefault="00940129" w:rsidP="00696425">
      <w:pPr>
        <w:pStyle w:val="NormalWeb"/>
        <w:spacing w:after="240" w:afterAutospacing="0" w:line="360" w:lineRule="auto"/>
        <w:jc w:val="both"/>
        <w:rPr>
          <w:rFonts w:ascii="Arial" w:hAnsi="Arial" w:cs="Arial"/>
          <w:b/>
        </w:rPr>
      </w:pPr>
      <w:r w:rsidRPr="00696425">
        <w:rPr>
          <w:rFonts w:ascii="Arial" w:hAnsi="Arial" w:cs="Arial"/>
          <w:b/>
        </w:rPr>
        <w:t>Internalisation Advantages (I)</w:t>
      </w:r>
    </w:p>
    <w:p w:rsidR="00940129" w:rsidRPr="00696425" w:rsidRDefault="00940129" w:rsidP="00696425">
      <w:pPr>
        <w:pStyle w:val="NormalWeb"/>
        <w:spacing w:after="240" w:afterAutospacing="0" w:line="360" w:lineRule="auto"/>
        <w:jc w:val="both"/>
        <w:rPr>
          <w:rFonts w:ascii="Arial" w:hAnsi="Arial" w:cs="Arial"/>
        </w:rPr>
      </w:pPr>
      <w:r w:rsidRPr="00696425">
        <w:rPr>
          <w:rFonts w:ascii="Arial" w:hAnsi="Arial" w:cs="Arial"/>
        </w:rPr>
        <w:t>Importance of internalisation is elemental due to Ahold Delhaize's competitive model, which relies on tight management of customer information, loyalty programs, pricing, procurement, private label quality, technology, food safety and operational quality. A franchise or loose alliance would decrease capital commitment but might lead to less control over customer knowledge, quality, digital integration. Greenfield investment would offer the greatest amount of control, but would come at the cost of having to establish stores, suppliers, logistics capacity and develop management and customer trust from scratch. Recent research on entry mode reveals that a variety of ownership and partnership structures can be employed to manage the extent of control, commitment, and local embeddedness (Brouthers et al., 2022). A regional acquisition or majority stake in a partnership therefore gives a more solid balance as it brings existing stores, suppliers, logistics, management and customer-relation together with a chance to keep some strategically important capacities under Ahold Delhaize's control.</w:t>
      </w:r>
    </w:p>
    <w:p w:rsidR="00940129" w:rsidRPr="00696425" w:rsidRDefault="00940129" w:rsidP="00696425">
      <w:pPr>
        <w:pStyle w:val="NormalWeb"/>
        <w:spacing w:after="240" w:afterAutospacing="0" w:line="360" w:lineRule="auto"/>
        <w:jc w:val="both"/>
        <w:rPr>
          <w:rFonts w:ascii="Arial" w:hAnsi="Arial" w:cs="Arial"/>
        </w:rPr>
      </w:pPr>
      <w:r w:rsidRPr="00696425">
        <w:rPr>
          <w:rFonts w:ascii="Arial" w:hAnsi="Arial" w:cs="Arial"/>
        </w:rPr>
        <w:t>OLI believes that the overall outlook is a controlled, acquisition-based entry to the region. Ahold Delhaize has strengths of transferable ownership, some location strengths in Canada and internal control of core strengths. However, the problems of market concentration and regulatory complexity, not to mention the price of building a new national network, mitigate the case for greenfield entry; meanwhile, low-control franchising may erode the advantages that are causing competitive advantages.</w:t>
      </w:r>
    </w:p>
    <w:p w:rsidR="00940129" w:rsidRPr="00696425" w:rsidRDefault="00940129" w:rsidP="00696425">
      <w:pPr>
        <w:pStyle w:val="Heading1"/>
        <w:spacing w:after="240" w:line="360" w:lineRule="auto"/>
        <w:rPr>
          <w:rFonts w:ascii="Arial" w:hAnsi="Arial" w:cs="Arial"/>
          <w:color w:val="auto"/>
          <w:sz w:val="24"/>
          <w:szCs w:val="24"/>
        </w:rPr>
      </w:pPr>
      <w:bookmarkStart w:id="8" w:name="_Toc237580527"/>
      <w:r w:rsidRPr="00696425">
        <w:rPr>
          <w:rFonts w:ascii="Arial" w:hAnsi="Arial" w:cs="Arial"/>
          <w:color w:val="auto"/>
          <w:sz w:val="24"/>
          <w:szCs w:val="24"/>
        </w:rPr>
        <w:t>4. Entry Mode Strategy and Strategic Synthesis</w:t>
      </w:r>
      <w:bookmarkEnd w:id="8"/>
    </w:p>
    <w:p w:rsidR="00940129" w:rsidRPr="00696425" w:rsidRDefault="00940129" w:rsidP="00696425">
      <w:pPr>
        <w:pStyle w:val="Heading2"/>
        <w:spacing w:after="240" w:afterAutospacing="0" w:line="360" w:lineRule="auto"/>
        <w:rPr>
          <w:rFonts w:ascii="Arial" w:hAnsi="Arial" w:cs="Arial"/>
          <w:sz w:val="24"/>
          <w:szCs w:val="24"/>
        </w:rPr>
      </w:pPr>
      <w:bookmarkStart w:id="9" w:name="_Toc237580528"/>
      <w:r w:rsidRPr="00696425">
        <w:rPr>
          <w:rFonts w:ascii="Arial" w:hAnsi="Arial" w:cs="Arial"/>
          <w:sz w:val="24"/>
          <w:szCs w:val="24"/>
        </w:rPr>
        <w:t>4.1 Historical Pattern Recognition</w:t>
      </w:r>
      <w:bookmarkEnd w:id="9"/>
    </w:p>
    <w:p w:rsidR="00940129" w:rsidRPr="00696425" w:rsidRDefault="00940129" w:rsidP="00696425">
      <w:pPr>
        <w:pStyle w:val="NormalWeb"/>
        <w:spacing w:after="240" w:afterAutospacing="0" w:line="360" w:lineRule="auto"/>
        <w:jc w:val="both"/>
        <w:rPr>
          <w:rFonts w:ascii="Arial" w:hAnsi="Arial" w:cs="Arial"/>
        </w:rPr>
      </w:pPr>
      <w:r w:rsidRPr="00696425">
        <w:rPr>
          <w:rFonts w:ascii="Arial" w:hAnsi="Arial" w:cs="Arial"/>
        </w:rPr>
        <w:t>The international expansion of Ahold Delhaize seems to indicate a preference for an ownership approach with the retention of local market identity. The group typically retains its existing local brands and combines local selected capabilities to the group. This enables the company to gain strategic advantage while retaining local knowledge, which is crucial in the grocery retail business.</w:t>
      </w:r>
    </w:p>
    <w:p w:rsidR="00940129" w:rsidRPr="00696425" w:rsidRDefault="00940129" w:rsidP="00696425">
      <w:pPr>
        <w:pStyle w:val="NormalWeb"/>
        <w:spacing w:after="240" w:afterAutospacing="0" w:line="360" w:lineRule="auto"/>
        <w:jc w:val="both"/>
        <w:rPr>
          <w:rFonts w:ascii="Arial" w:hAnsi="Arial" w:cs="Arial"/>
        </w:rPr>
      </w:pPr>
      <w:r w:rsidRPr="00696425">
        <w:rPr>
          <w:rFonts w:ascii="Arial" w:hAnsi="Arial" w:cs="Arial"/>
        </w:rPr>
        <w:t>This is the case with Profi's acquisition in Romania. It provided Ahold Delhaize with an existing store network, staff, suppliers and distribution network, which enabled the company to grow quickly compared to building greenfie</w:t>
      </w:r>
      <w:r w:rsidR="00B65C71">
        <w:rPr>
          <w:rFonts w:ascii="Arial" w:hAnsi="Arial" w:cs="Arial"/>
        </w:rPr>
        <w:t>ld stores (Ahold Delhaize, 2025</w:t>
      </w:r>
      <w:r w:rsidRPr="00696425">
        <w:rPr>
          <w:rFonts w:ascii="Arial" w:hAnsi="Arial" w:cs="Arial"/>
        </w:rPr>
        <w:t>). But, there is also a regulatory and integration risk involved with acquisition. The closing of 87 stores was among post-closing changes, demonstrating that the ownership-based approach can result in decreased flexibility when there is a problem of co</w:t>
      </w:r>
      <w:r w:rsidR="00B65C71">
        <w:rPr>
          <w:rFonts w:ascii="Arial" w:hAnsi="Arial" w:cs="Arial"/>
        </w:rPr>
        <w:t>mpetition (Ahold Delhaize, 2025</w:t>
      </w:r>
      <w:r w:rsidRPr="00696425">
        <w:rPr>
          <w:rFonts w:ascii="Arial" w:hAnsi="Arial" w:cs="Arial"/>
        </w:rPr>
        <w:t>).</w:t>
      </w:r>
    </w:p>
    <w:p w:rsidR="00940129" w:rsidRDefault="00940129" w:rsidP="00696425">
      <w:pPr>
        <w:pStyle w:val="NormalWeb"/>
        <w:spacing w:after="240" w:afterAutospacing="0" w:line="360" w:lineRule="auto"/>
        <w:jc w:val="both"/>
        <w:rPr>
          <w:rFonts w:ascii="Arial" w:hAnsi="Arial" w:cs="Arial"/>
        </w:rPr>
      </w:pPr>
      <w:r w:rsidRPr="00696425">
        <w:rPr>
          <w:rFonts w:ascii="Arial" w:hAnsi="Arial" w:cs="Arial"/>
        </w:rPr>
        <w:t>It also employs shared ownership when there is a need for local capacities. Pingo Doce in Portugal and Super Indo in Indonesia demonstrate that joint ownership is possible where market knowledge and local connections is added value (Ahold Delhaize, 2026). It thus has a predominant historical pattern of strategic control and local-banner autonomy. This is important to Canada because Ahold Delhaize must have control over the procurement process, data, private label governance and technology, and local customer knowledge and relationships.</w:t>
      </w:r>
    </w:p>
    <w:p w:rsidR="00696425" w:rsidRPr="00696425" w:rsidRDefault="00696425" w:rsidP="00696425">
      <w:pPr>
        <w:pStyle w:val="NormalWeb"/>
        <w:spacing w:after="240" w:afterAutospacing="0" w:line="360" w:lineRule="auto"/>
        <w:jc w:val="both"/>
        <w:rPr>
          <w:rFonts w:ascii="Arial" w:hAnsi="Arial" w:cs="Arial"/>
        </w:rPr>
      </w:pPr>
    </w:p>
    <w:p w:rsidR="00940129" w:rsidRPr="00696425" w:rsidRDefault="00940129" w:rsidP="00696425">
      <w:pPr>
        <w:pStyle w:val="Heading2"/>
        <w:spacing w:after="240" w:afterAutospacing="0" w:line="360" w:lineRule="auto"/>
        <w:rPr>
          <w:rFonts w:ascii="Arial" w:hAnsi="Arial" w:cs="Arial"/>
          <w:sz w:val="24"/>
          <w:szCs w:val="24"/>
        </w:rPr>
      </w:pPr>
      <w:bookmarkStart w:id="10" w:name="_Toc237580529"/>
      <w:r w:rsidRPr="00696425">
        <w:rPr>
          <w:rFonts w:ascii="Arial" w:hAnsi="Arial" w:cs="Arial"/>
          <w:sz w:val="24"/>
          <w:szCs w:val="24"/>
        </w:rPr>
        <w:t>4.2 Strategic Fit and Justification for Canada</w:t>
      </w:r>
      <w:bookmarkEnd w:id="10"/>
    </w:p>
    <w:p w:rsidR="00782DFB" w:rsidRPr="00782DFB" w:rsidRDefault="00782DFB" w:rsidP="00782DFB">
      <w:pPr>
        <w:pStyle w:val="NormalWeb"/>
        <w:spacing w:after="240" w:line="360" w:lineRule="auto"/>
        <w:jc w:val="both"/>
        <w:rPr>
          <w:rFonts w:ascii="Arial" w:hAnsi="Arial" w:cs="Arial"/>
        </w:rPr>
      </w:pPr>
      <w:r w:rsidRPr="00782DFB">
        <w:rPr>
          <w:rFonts w:ascii="Arial" w:hAnsi="Arial" w:cs="Arial"/>
        </w:rPr>
        <w:t>A national solution by the greenfield would mean most control over stores, technology, the customer's data, pricing and standards of operation. But it would need a very high capital commitment. The stores, distribution centres, suppliers, employees as well as brand awareness would have to be built from scratch. In a stable grocery market, it would put the company at significant risk both in terms of finances and operations prior to reaching scale. As a result, the costs of greenfield entry are initially high, and it is not particularly flexible, which means that the control benefits do not justify t</w:t>
      </w:r>
      <w:r>
        <w:rPr>
          <w:rFonts w:ascii="Arial" w:hAnsi="Arial" w:cs="Arial"/>
        </w:rPr>
        <w:t>he entry costs (Hill, 2023).</w:t>
      </w:r>
    </w:p>
    <w:p w:rsidR="00782DFB" w:rsidRPr="00782DFB" w:rsidRDefault="00782DFB" w:rsidP="00782DFB">
      <w:pPr>
        <w:pStyle w:val="NormalWeb"/>
        <w:spacing w:after="240" w:line="360" w:lineRule="auto"/>
        <w:jc w:val="both"/>
        <w:rPr>
          <w:rFonts w:ascii="Arial" w:hAnsi="Arial" w:cs="Arial"/>
        </w:rPr>
      </w:pPr>
      <w:r w:rsidRPr="00782DFB">
        <w:rPr>
          <w:rFonts w:ascii="Arial" w:hAnsi="Arial" w:cs="Arial"/>
        </w:rPr>
        <w:t>A regional acquisition will provide a more balanced approach. A loyal customer base, distribution capability, staff, suppliers, leases and stores from an established store in Ontario may be available from an Ontario retailer. This would not only cut down the learning time but also make it easier to construct a local legitimacy. However, not all acquisitions are low risk. Under Canada's new, tougher merger control regime, the volume of transactions that could have a material adverse effect on concentration has grown, making the size of the target company and its market share key considerations in selecting transactions for investigation (Competition Bureau Canada, 2024). It is possible that a major national buyback could thus cause delays in approval, divestment and a high price to be paid for the buyback. A medium size regional target would minimise risks and still give a good scale and operating density to test the Canadian mar</w:t>
      </w:r>
      <w:r>
        <w:rPr>
          <w:rFonts w:ascii="Arial" w:hAnsi="Arial" w:cs="Arial"/>
        </w:rPr>
        <w:t>ket prior to broader expansion.</w:t>
      </w:r>
    </w:p>
    <w:p w:rsidR="00782DFB" w:rsidRPr="00782DFB" w:rsidRDefault="00782DFB" w:rsidP="00782DFB">
      <w:pPr>
        <w:pStyle w:val="NormalWeb"/>
        <w:spacing w:after="240" w:line="360" w:lineRule="auto"/>
        <w:jc w:val="both"/>
        <w:rPr>
          <w:rFonts w:ascii="Arial" w:hAnsi="Arial" w:cs="Arial"/>
        </w:rPr>
      </w:pPr>
      <w:r w:rsidRPr="00782DFB">
        <w:rPr>
          <w:rFonts w:ascii="Arial" w:hAnsi="Arial" w:cs="Arial"/>
        </w:rPr>
        <w:t>If a suitable acquisition target cannot be found an alternative is a majority joint venture or strategic partnership. It would also involve less investment and help to gain local knowledge, property relationships and suppliers in a faster way. But there can be disagreements on pricing, sourcing, technology investment and expansion in the process of shared governance. Based on the study, it is found that the fit between the resources and the host-market conditions, in addition to the extent of control is the key determinant for entry mode of the companies and not one superior entry mode (Wan et al., 2023). Ahold Delhaize would thus prefer to be majority owned, since its key competencies such as having the right decisions taken at the right time depend on co-ordinated decision m</w:t>
      </w:r>
      <w:r>
        <w:rPr>
          <w:rFonts w:ascii="Arial" w:hAnsi="Arial" w:cs="Arial"/>
        </w:rPr>
        <w:t>aking.</w:t>
      </w:r>
    </w:p>
    <w:p w:rsidR="00940129" w:rsidRPr="00696425" w:rsidRDefault="00782DFB" w:rsidP="00782DFB">
      <w:pPr>
        <w:pStyle w:val="NormalWeb"/>
        <w:spacing w:after="240" w:afterAutospacing="0" w:line="360" w:lineRule="auto"/>
        <w:jc w:val="both"/>
        <w:rPr>
          <w:rFonts w:ascii="Arial" w:hAnsi="Arial" w:cs="Arial"/>
          <w:b/>
          <w:bCs/>
        </w:rPr>
      </w:pPr>
      <w:r w:rsidRPr="00782DFB">
        <w:rPr>
          <w:rFonts w:ascii="Arial" w:hAnsi="Arial" w:cs="Arial"/>
        </w:rPr>
        <w:t>Cautious equity-based approach is also facilitated by institutional conditions. The appropriateness of the equity entry modes, as well as the need for greater or lesser control in foreign markets could be affected by institutional distance (Moreira da Silva, Ogasavara and Pereira, 2024). Canada is a country with institutional stability, however, there is more value in embeddedness at the provincial level, where provincial operating differences and provincial provincial regulation, combined with competition review, makes a difference. Overall, the region approach of acquisition offers the best fit due to the control, market understanding, flexibility and qui</w:t>
      </w:r>
      <w:r>
        <w:rPr>
          <w:rFonts w:ascii="Arial" w:hAnsi="Arial" w:cs="Arial"/>
        </w:rPr>
        <w:t>cker access to operating assets</w:t>
      </w:r>
      <w:r w:rsidR="00B65C71" w:rsidRPr="00B65C71">
        <w:rPr>
          <w:rFonts w:ascii="Arial" w:hAnsi="Arial" w:cs="Arial"/>
        </w:rPr>
        <w:t>.</w:t>
      </w:r>
    </w:p>
    <w:p w:rsidR="00940129" w:rsidRPr="00696425" w:rsidRDefault="00940129" w:rsidP="00696425">
      <w:pPr>
        <w:pStyle w:val="Heading2"/>
        <w:spacing w:after="240" w:afterAutospacing="0" w:line="360" w:lineRule="auto"/>
        <w:rPr>
          <w:rFonts w:ascii="Arial" w:hAnsi="Arial" w:cs="Arial"/>
          <w:sz w:val="24"/>
          <w:szCs w:val="24"/>
        </w:rPr>
      </w:pPr>
      <w:bookmarkStart w:id="11" w:name="_Toc237580530"/>
      <w:r w:rsidRPr="00696425">
        <w:rPr>
          <w:rFonts w:ascii="Arial" w:hAnsi="Arial" w:cs="Arial"/>
          <w:sz w:val="24"/>
          <w:szCs w:val="24"/>
        </w:rPr>
        <w:t xml:space="preserve">4.3 </w:t>
      </w:r>
      <w:r w:rsidR="003F6620" w:rsidRPr="00696425">
        <w:rPr>
          <w:rFonts w:ascii="Arial" w:hAnsi="Arial" w:cs="Arial"/>
          <w:sz w:val="24"/>
          <w:szCs w:val="24"/>
        </w:rPr>
        <w:t>Conclusion and Recommendations</w:t>
      </w:r>
      <w:bookmarkEnd w:id="11"/>
    </w:p>
    <w:p w:rsidR="00940129" w:rsidRPr="00696425" w:rsidRDefault="00940129" w:rsidP="00696425">
      <w:pPr>
        <w:pStyle w:val="NormalWeb"/>
        <w:spacing w:after="240" w:afterAutospacing="0" w:line="360" w:lineRule="auto"/>
        <w:jc w:val="both"/>
        <w:rPr>
          <w:rFonts w:ascii="Arial" w:hAnsi="Arial" w:cs="Arial"/>
          <w:b/>
        </w:rPr>
      </w:pPr>
      <w:r w:rsidRPr="00696425">
        <w:rPr>
          <w:rFonts w:ascii="Arial" w:hAnsi="Arial" w:cs="Arial"/>
          <w:b/>
        </w:rPr>
        <w:t>Recommendations</w:t>
      </w:r>
    </w:p>
    <w:p w:rsidR="00940129" w:rsidRPr="00696425" w:rsidRDefault="00940129" w:rsidP="00696425">
      <w:pPr>
        <w:pStyle w:val="NormalWeb"/>
        <w:spacing w:after="240" w:afterAutospacing="0" w:line="360" w:lineRule="auto"/>
        <w:jc w:val="both"/>
        <w:rPr>
          <w:rFonts w:ascii="Arial" w:hAnsi="Arial" w:cs="Arial"/>
        </w:rPr>
      </w:pPr>
      <w:r w:rsidRPr="00696425">
        <w:rPr>
          <w:rFonts w:ascii="Arial" w:hAnsi="Arial" w:cs="Arial"/>
        </w:rPr>
        <w:t>Growth outside Ontario should be based on tangible metrics like margins, customer retention, fulfilment efficiency, store density and integration performance metrics. Quebec should be put on the back burner, after the company has built up the necessary French-language, regulatory and operational skills. This staged approach is in line with research that has indicated that international entry can involve more than one governance model, a local embeddedness and an ownership (Brouthers et al., 2022).</w:t>
      </w:r>
    </w:p>
    <w:p w:rsidR="00940129" w:rsidRPr="00696425" w:rsidRDefault="003F6620" w:rsidP="00696425">
      <w:pPr>
        <w:spacing w:after="240" w:line="360" w:lineRule="auto"/>
        <w:jc w:val="both"/>
        <w:rPr>
          <w:rFonts w:ascii="Arial" w:hAnsi="Arial" w:cs="Arial"/>
          <w:b/>
          <w:sz w:val="24"/>
          <w:szCs w:val="24"/>
        </w:rPr>
      </w:pPr>
      <w:r w:rsidRPr="00696425">
        <w:rPr>
          <w:rFonts w:ascii="Arial" w:hAnsi="Arial" w:cs="Arial"/>
          <w:b/>
          <w:sz w:val="24"/>
          <w:szCs w:val="24"/>
        </w:rPr>
        <w:t>Conclusion</w:t>
      </w:r>
    </w:p>
    <w:p w:rsidR="007E19C3" w:rsidRPr="00696425" w:rsidRDefault="003F6620" w:rsidP="00696425">
      <w:pPr>
        <w:spacing w:after="240" w:line="360" w:lineRule="auto"/>
        <w:jc w:val="both"/>
        <w:rPr>
          <w:rFonts w:ascii="Arial" w:hAnsi="Arial" w:cs="Arial"/>
          <w:sz w:val="24"/>
          <w:szCs w:val="24"/>
        </w:rPr>
      </w:pPr>
      <w:r w:rsidRPr="00696425">
        <w:rPr>
          <w:rFonts w:ascii="Arial" w:hAnsi="Arial" w:cs="Arial"/>
          <w:sz w:val="24"/>
          <w:szCs w:val="24"/>
        </w:rPr>
        <w:t>While Ahold Delhaize would like to expand across Canada, there is significant national risk in doing so, both from a regulatory and operational perspective. The company's traditional approach of taking over is still appropriate, but needs to be tailored to Canada. More strategic control and local responsiveness can be achieved by a regional approach rather than a national approach. At least one of the available options is acquisition, which give access to existing customers and suppliers, to existing stores and to a management system, all of which helps to keep the control of the capability that create long-term value.</w:t>
      </w:r>
    </w:p>
    <w:p w:rsidR="00A425C3" w:rsidRPr="00696425" w:rsidRDefault="00FF64FE" w:rsidP="00696425">
      <w:pPr>
        <w:pStyle w:val="Heading1"/>
        <w:spacing w:after="240" w:line="360" w:lineRule="auto"/>
        <w:rPr>
          <w:rFonts w:ascii="Arial" w:hAnsi="Arial" w:cs="Arial"/>
          <w:color w:val="auto"/>
          <w:sz w:val="24"/>
          <w:szCs w:val="24"/>
        </w:rPr>
      </w:pPr>
      <w:bookmarkStart w:id="12" w:name="_Toc237580531"/>
      <w:r w:rsidRPr="00696425">
        <w:rPr>
          <w:rFonts w:ascii="Arial" w:hAnsi="Arial" w:cs="Arial"/>
          <w:color w:val="auto"/>
          <w:sz w:val="24"/>
          <w:szCs w:val="24"/>
        </w:rPr>
        <w:t xml:space="preserve">5. </w:t>
      </w:r>
      <w:r w:rsidR="00A425C3" w:rsidRPr="00696425">
        <w:rPr>
          <w:rFonts w:ascii="Arial" w:hAnsi="Arial" w:cs="Arial"/>
          <w:color w:val="auto"/>
          <w:sz w:val="24"/>
          <w:szCs w:val="24"/>
        </w:rPr>
        <w:t>Reflective Account</w:t>
      </w:r>
      <w:bookmarkEnd w:id="12"/>
    </w:p>
    <w:p w:rsidR="00A425C3" w:rsidRPr="00696425" w:rsidRDefault="00940129" w:rsidP="00696425">
      <w:pPr>
        <w:pStyle w:val="NormalWeb"/>
        <w:spacing w:after="240" w:afterAutospacing="0" w:line="360" w:lineRule="auto"/>
        <w:jc w:val="both"/>
        <w:rPr>
          <w:rFonts w:ascii="Arial" w:hAnsi="Arial" w:cs="Arial"/>
        </w:rPr>
      </w:pPr>
      <w:r w:rsidRPr="00696425">
        <w:rPr>
          <w:rFonts w:ascii="Arial" w:hAnsi="Arial" w:cs="Arial"/>
        </w:rPr>
        <w:t>The Reflective Cycle developed by Gibbs (1988) is a structured approach to reflecting on something that has happened by describing it, feeling about it, evaluating it, analyzing it, concluding about it and planning next steps (action). In this Model, I examined what I learned and how I developed the Ahold Delhaize market entry analysis in Canada</w:t>
      </w:r>
      <w:r w:rsidR="00A425C3" w:rsidRPr="00696425">
        <w:rPr>
          <w:rFonts w:ascii="Arial" w:hAnsi="Arial" w:cs="Arial"/>
        </w:rPr>
        <w:t>.</w:t>
      </w:r>
    </w:p>
    <w:p w:rsidR="007E19C3" w:rsidRPr="00696425" w:rsidRDefault="007E19C3" w:rsidP="00696425">
      <w:pPr>
        <w:pStyle w:val="NormalWeb"/>
        <w:spacing w:after="240" w:afterAutospacing="0" w:line="360" w:lineRule="auto"/>
        <w:jc w:val="center"/>
        <w:rPr>
          <w:rFonts w:ascii="Arial" w:hAnsi="Arial" w:cs="Arial"/>
        </w:rPr>
      </w:pPr>
      <w:r w:rsidRPr="00696425">
        <w:rPr>
          <w:rFonts w:ascii="Arial" w:hAnsi="Arial" w:cs="Arial"/>
          <w:noProof/>
        </w:rPr>
        <w:drawing>
          <wp:inline distT="0" distB="0" distL="0" distR="0" wp14:anchorId="0D0FB5BE" wp14:editId="2EBBED0D">
            <wp:extent cx="3099692" cy="2780330"/>
            <wp:effectExtent l="0" t="0" r="5715" b="1270"/>
            <wp:docPr id="7" name="Picture 7" descr="https://communitymedicine4asses.wordpress.com/wp-content/uploads/2025/01/gibbs-cycle-1-1024x959-1.png?w=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communitymedicine4asses.wordpress.com/wp-content/uploads/2025/01/gibbs-cycle-1-1024x959-1.png?w=624"/>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r="1394" b="5496"/>
                    <a:stretch/>
                  </pic:blipFill>
                  <pic:spPr bwMode="auto">
                    <a:xfrm>
                      <a:off x="0" y="0"/>
                      <a:ext cx="3101137" cy="2781626"/>
                    </a:xfrm>
                    <a:prstGeom prst="rect">
                      <a:avLst/>
                    </a:prstGeom>
                    <a:noFill/>
                    <a:ln>
                      <a:noFill/>
                    </a:ln>
                    <a:extLst>
                      <a:ext uri="{53640926-AAD7-44D8-BBD7-CCE9431645EC}">
                        <a14:shadowObscured xmlns:a14="http://schemas.microsoft.com/office/drawing/2010/main"/>
                      </a:ext>
                    </a:extLst>
                  </pic:spPr>
                </pic:pic>
              </a:graphicData>
            </a:graphic>
          </wp:inline>
        </w:drawing>
      </w:r>
    </w:p>
    <w:p w:rsidR="007E19C3" w:rsidRPr="00696425" w:rsidRDefault="003F6620" w:rsidP="00696425">
      <w:pPr>
        <w:pStyle w:val="NormalWeb"/>
        <w:spacing w:after="240" w:afterAutospacing="0" w:line="360" w:lineRule="auto"/>
        <w:jc w:val="center"/>
        <w:rPr>
          <w:rFonts w:ascii="Arial" w:hAnsi="Arial" w:cs="Arial"/>
          <w:i/>
        </w:rPr>
      </w:pPr>
      <w:r w:rsidRPr="00696425">
        <w:rPr>
          <w:rFonts w:ascii="Arial" w:hAnsi="Arial" w:cs="Arial"/>
          <w:i/>
        </w:rPr>
        <w:t>Figure 2</w:t>
      </w:r>
      <w:r w:rsidR="007E19C3" w:rsidRPr="00696425">
        <w:rPr>
          <w:rFonts w:ascii="Arial" w:hAnsi="Arial" w:cs="Arial"/>
          <w:i/>
        </w:rPr>
        <w:t>: Gibbs' Reflective Cycle (drroopesh, 2025)</w:t>
      </w:r>
    </w:p>
    <w:p w:rsidR="00940129" w:rsidRPr="00696425" w:rsidRDefault="00A425C3" w:rsidP="00696425">
      <w:pPr>
        <w:pStyle w:val="NormalWeb"/>
        <w:spacing w:after="240" w:afterAutospacing="0" w:line="360" w:lineRule="auto"/>
        <w:jc w:val="both"/>
        <w:rPr>
          <w:rFonts w:ascii="Arial" w:hAnsi="Arial" w:cs="Arial"/>
          <w:b/>
        </w:rPr>
      </w:pPr>
      <w:r w:rsidRPr="00696425">
        <w:rPr>
          <w:rFonts w:ascii="Arial" w:hAnsi="Arial" w:cs="Arial"/>
          <w:b/>
        </w:rPr>
        <w:t>Description</w:t>
      </w:r>
      <w:r w:rsidR="00940129" w:rsidRPr="00696425">
        <w:rPr>
          <w:rFonts w:ascii="Arial" w:hAnsi="Arial" w:cs="Arial"/>
          <w:b/>
        </w:rPr>
        <w:t xml:space="preserve">: </w:t>
      </w:r>
      <w:r w:rsidR="00940129" w:rsidRPr="00696425">
        <w:rPr>
          <w:rFonts w:ascii="Arial" w:hAnsi="Arial" w:cs="Arial"/>
        </w:rPr>
        <w:t>I knew that at the outset that the evaluation would go beyond a mere survey of Canada. I had to align Ahold Delhaize's international strategy with the Canadian business environment, understand and use the OLI framework and provide a rationale for an appropriate mode of entry. Given the nature of the study, I chose Ahold Delhaize because they operate internationally with a mixture of strong local brands and centralised competencies and this would allow me to explore and discuss integration at the global level with a focus on local responsiveness. Canada was chosen because it is a large developed grocery market, it is geographically close to Ahold Delhaize's U.S. operations and is not a part of the company's formal country operating portfolio.</w:t>
      </w:r>
    </w:p>
    <w:p w:rsidR="00940129" w:rsidRPr="00696425" w:rsidRDefault="00940129" w:rsidP="00696425">
      <w:pPr>
        <w:pStyle w:val="NormalWeb"/>
        <w:spacing w:after="240" w:afterAutospacing="0" w:line="360" w:lineRule="auto"/>
        <w:jc w:val="both"/>
        <w:rPr>
          <w:rFonts w:ascii="Arial" w:hAnsi="Arial" w:cs="Arial"/>
        </w:rPr>
      </w:pPr>
      <w:r w:rsidRPr="00696425">
        <w:rPr>
          <w:rFonts w:ascii="Arial" w:hAnsi="Arial" w:cs="Arial"/>
        </w:rPr>
        <w:t>I initially reviewed the company's annual reports, brand portfolio and corporate information, to ensure that there was no significant Canadian operational footprint for the company. Next, I gathered data from company reports, Canadian government reports, peer reviewed journals and international-business books. Multiple resource types were useful in relating the information from the companies to independent information (Saunders, Lewis and Thornhill, 2023).</w:t>
      </w:r>
    </w:p>
    <w:p w:rsidR="00940129" w:rsidRPr="00696425" w:rsidRDefault="00940129" w:rsidP="00696425">
      <w:pPr>
        <w:pStyle w:val="NormalWeb"/>
        <w:spacing w:after="240" w:afterAutospacing="0" w:line="360" w:lineRule="auto"/>
        <w:jc w:val="both"/>
        <w:rPr>
          <w:rFonts w:ascii="Arial" w:hAnsi="Arial" w:cs="Arial"/>
          <w:b/>
        </w:rPr>
      </w:pPr>
      <w:r w:rsidRPr="00696425">
        <w:rPr>
          <w:rFonts w:ascii="Arial" w:hAnsi="Arial" w:cs="Arial"/>
          <w:b/>
        </w:rPr>
        <w:t xml:space="preserve">Feelings: </w:t>
      </w:r>
      <w:r w:rsidRPr="00696425">
        <w:rPr>
          <w:rFonts w:ascii="Arial" w:hAnsi="Arial" w:cs="Arial"/>
        </w:rPr>
        <w:t>I was optimistic at first as there were a lot of information about Canada and Ahold Delhaize that was reliable. But I was not sure if I could find any analysis at all. The challenge of Bartlett and Ghoshal's model was that Ahold Delhaize did not easily fall into one of the two classifications. It demonstrated both delegated leadership and good responsiveness at local level. I also thought that the OLI section might be descriptive if I just went over the list of ownership, location factors and internalisation factors. The contradictory information about Canada added to the uncertainty as it provided stability and high demand, competition, regulation and operating costs provided clear risks.</w:t>
      </w:r>
    </w:p>
    <w:p w:rsidR="00940129" w:rsidRPr="00696425" w:rsidRDefault="00940129" w:rsidP="00696425">
      <w:pPr>
        <w:pStyle w:val="NormalWeb"/>
        <w:spacing w:after="240" w:afterAutospacing="0" w:line="360" w:lineRule="auto"/>
        <w:jc w:val="both"/>
        <w:rPr>
          <w:rFonts w:ascii="Arial" w:hAnsi="Arial" w:cs="Arial"/>
          <w:b/>
        </w:rPr>
      </w:pPr>
      <w:r w:rsidRPr="00696425">
        <w:rPr>
          <w:rFonts w:ascii="Arial" w:hAnsi="Arial" w:cs="Arial"/>
          <w:b/>
        </w:rPr>
        <w:t xml:space="preserve">Evaluation: </w:t>
      </w:r>
      <w:r w:rsidRPr="00696425">
        <w:rPr>
          <w:rFonts w:ascii="Arial" w:hAnsi="Arial" w:cs="Arial"/>
        </w:rPr>
        <w:t>There were a number of components of my research that went well. Ahold Delhaize's annual reports were useful for me to gain a better understanding of the brands this grocery chain acquired locally and the extent of their digital initiatives. Canadian government sources were helpful with the competition policy, food regulation, privacy and grocery-market conditions. Academic studies were able to help me to understand the evidence rather than just to report the facts. This helped to build the credibility of my analysis as the quality of sources and relevance of sources are important when creating business research (Saunders, Lewis and Thornhill, 2023).</w:t>
      </w:r>
    </w:p>
    <w:p w:rsidR="00940129" w:rsidRPr="00696425" w:rsidRDefault="00940129" w:rsidP="00696425">
      <w:pPr>
        <w:pStyle w:val="NormalWeb"/>
        <w:spacing w:after="240" w:afterAutospacing="0" w:line="360" w:lineRule="auto"/>
        <w:jc w:val="both"/>
        <w:rPr>
          <w:rFonts w:ascii="Arial" w:hAnsi="Arial" w:cs="Arial"/>
        </w:rPr>
      </w:pPr>
      <w:r w:rsidRPr="00696425">
        <w:rPr>
          <w:rFonts w:ascii="Arial" w:hAnsi="Arial" w:cs="Arial"/>
        </w:rPr>
        <w:t>I was researching too broadly into my past work though. The information I collected was general information that did not pertain to the grocery retail industry or market entry. In some early writing, too, I was descriptive, which means that I explained facts but didn't show their strategic importance. I took this one step further to ensure that I only included any evidence that had a positive or negative impact on opportunity, risk, cost, control, flexibility or long term fit.</w:t>
      </w:r>
    </w:p>
    <w:p w:rsidR="00940129" w:rsidRPr="00696425" w:rsidRDefault="00940129" w:rsidP="00696425">
      <w:pPr>
        <w:pStyle w:val="NormalWeb"/>
        <w:spacing w:after="240" w:afterAutospacing="0" w:line="360" w:lineRule="auto"/>
        <w:jc w:val="both"/>
        <w:rPr>
          <w:rFonts w:ascii="Arial" w:hAnsi="Arial" w:cs="Arial"/>
          <w:b/>
        </w:rPr>
      </w:pPr>
      <w:r w:rsidRPr="00696425">
        <w:rPr>
          <w:rFonts w:ascii="Arial" w:hAnsi="Arial" w:cs="Arial"/>
          <w:b/>
        </w:rPr>
        <w:t xml:space="preserve"> Analysis: </w:t>
      </w:r>
      <w:r w:rsidRPr="00696425">
        <w:rPr>
          <w:rFonts w:ascii="Arial" w:hAnsi="Arial" w:cs="Arial"/>
        </w:rPr>
        <w:t>The key learning was that international-business frameworks can be helpful only if they help to improve strategic judgement. Bartlett and Ghoshal's model enabled me to grasp the possibility of dealing with both centralised and localised decision-making when it comes to customers. This is why it might be better to keep local grocery banners, rather than a single corporate one.</w:t>
      </w:r>
    </w:p>
    <w:p w:rsidR="00940129" w:rsidRPr="00696425" w:rsidRDefault="00940129" w:rsidP="00696425">
      <w:pPr>
        <w:pStyle w:val="NormalWeb"/>
        <w:spacing w:after="240" w:afterAutospacing="0" w:line="360" w:lineRule="auto"/>
        <w:jc w:val="both"/>
        <w:rPr>
          <w:rFonts w:ascii="Arial" w:hAnsi="Arial" w:cs="Arial"/>
        </w:rPr>
      </w:pPr>
      <w:r w:rsidRPr="00696425">
        <w:rPr>
          <w:rFonts w:ascii="Arial" w:hAnsi="Arial" w:cs="Arial"/>
        </w:rPr>
        <w:t>Another thing that the OLI framework did was change my approach. At first I thought of ownership, location and internalisation as being distinct categories. As I was analyzing them, I realised that they were to be analysed as a unit. Scale, private label knowledge and digitalisation are some important assets for Ahold Delhaize, but only if they play a role in the context of the market in Canada. Political stability and market demand make Canada a desirable option, but expediency is not as appealing due to market concentration, regulation concerns and logistics expenses.</w:t>
      </w:r>
    </w:p>
    <w:p w:rsidR="00940129" w:rsidRPr="00696425" w:rsidRDefault="00940129" w:rsidP="00696425">
      <w:pPr>
        <w:pStyle w:val="NormalWeb"/>
        <w:spacing w:after="240" w:afterAutospacing="0" w:line="360" w:lineRule="auto"/>
        <w:jc w:val="both"/>
        <w:rPr>
          <w:rFonts w:ascii="Arial" w:hAnsi="Arial" w:cs="Arial"/>
        </w:rPr>
      </w:pPr>
      <w:r w:rsidRPr="00696425">
        <w:rPr>
          <w:rFonts w:ascii="Arial" w:hAnsi="Arial" w:cs="Arial"/>
        </w:rPr>
        <w:t>I got to thinking about how I would enter into the situation. Initially I thought that it must be better to have more control. But greenfield entry offers a lot of control, involves a lot of investment and slower “local learning. In a regional acquisition, strategic control and existing stores and suppliers is supplemented by the existing relationships with management and customers, making for a better balance. This enabled me to consider every option from a cost, risk, control, flexibility and long term strategic fit perspective. In critical reflection, it was good to see that it made me think about my initial concepts, instead of just standing up for them (Bassot, 2023).</w:t>
      </w:r>
    </w:p>
    <w:p w:rsidR="003B41BA" w:rsidRPr="00696425" w:rsidRDefault="00940129" w:rsidP="00696425">
      <w:pPr>
        <w:pStyle w:val="NormalWeb"/>
        <w:spacing w:after="240" w:afterAutospacing="0" w:line="360" w:lineRule="auto"/>
        <w:jc w:val="both"/>
        <w:rPr>
          <w:rFonts w:ascii="Arial" w:hAnsi="Arial" w:cs="Arial"/>
        </w:rPr>
      </w:pPr>
      <w:r w:rsidRPr="00696425">
        <w:rPr>
          <w:rFonts w:ascii="Arial" w:hAnsi="Arial" w:cs="Arial"/>
          <w:b/>
        </w:rPr>
        <w:t>Conclusion</w:t>
      </w:r>
      <w:r w:rsidRPr="00696425">
        <w:rPr>
          <w:rFonts w:ascii="Arial" w:hAnsi="Arial" w:cs="Arial"/>
        </w:rPr>
        <w:t>: The assessment helped me to develop my skills in assessing sources, using theory and linking evidence to strategic decisions. I came to understand that analysing the capabilities of the company and the conditions in the host country, and the entry mode options, separately is not possible. They are required to be one continuous paragraph. Not only was I surprised by the difference in academic quality with the more information I collected, but I also learned that more information does not necessarily mean better academic work. Using relevant and reliable evidence enabled me to critically judge what I was reading.</w:t>
      </w:r>
    </w:p>
    <w:p w:rsidR="00F83646" w:rsidRPr="00696425" w:rsidRDefault="00A425C3" w:rsidP="00696425">
      <w:pPr>
        <w:pStyle w:val="NormalWeb"/>
        <w:spacing w:after="240" w:afterAutospacing="0" w:line="360" w:lineRule="auto"/>
        <w:jc w:val="both"/>
        <w:rPr>
          <w:rFonts w:ascii="Arial" w:hAnsi="Arial" w:cs="Arial"/>
          <w:b/>
        </w:rPr>
      </w:pPr>
      <w:r w:rsidRPr="00696425">
        <w:rPr>
          <w:rFonts w:ascii="Arial" w:hAnsi="Arial" w:cs="Arial"/>
          <w:b/>
        </w:rPr>
        <w:t>Action Plan</w:t>
      </w:r>
      <w:r w:rsidR="00940129" w:rsidRPr="00696425">
        <w:rPr>
          <w:rFonts w:ascii="Arial" w:hAnsi="Arial" w:cs="Arial"/>
          <w:b/>
        </w:rPr>
        <w:t xml:space="preserve">: </w:t>
      </w:r>
      <w:r w:rsidRPr="00696425">
        <w:rPr>
          <w:rFonts w:ascii="Arial" w:hAnsi="Arial" w:cs="Arial"/>
        </w:rPr>
        <w:t>Going forward, I will outline learning outcomes prior to research, and will have criteria for including sources and prioritize primary sources. I will incorporate theory and supporting evidence in the same notes; will adopt a claim–evidence–evaluation–implication paragraph structure and do the referencing along with the work of drafting. I will also set up earlier deadlines internally for research, analysis and revision to give myself more time for experimentation of alternate interpretations, discussion of conflicting evidence and development of clarity in my academic writing.</w:t>
      </w:r>
    </w:p>
    <w:p w:rsidR="00A425C3" w:rsidRPr="00696425" w:rsidRDefault="003F6620" w:rsidP="00696425">
      <w:pPr>
        <w:pStyle w:val="Heading1"/>
        <w:spacing w:after="240" w:line="360" w:lineRule="auto"/>
        <w:rPr>
          <w:rFonts w:ascii="Arial" w:hAnsi="Arial" w:cs="Arial"/>
          <w:color w:val="auto"/>
          <w:sz w:val="24"/>
          <w:szCs w:val="24"/>
        </w:rPr>
      </w:pPr>
      <w:bookmarkStart w:id="13" w:name="_Toc237580532"/>
      <w:r w:rsidRPr="00696425">
        <w:rPr>
          <w:rFonts w:ascii="Arial" w:hAnsi="Arial" w:cs="Arial"/>
          <w:color w:val="auto"/>
          <w:sz w:val="24"/>
          <w:szCs w:val="24"/>
        </w:rPr>
        <w:t>6</w:t>
      </w:r>
      <w:r w:rsidR="00FF64FE" w:rsidRPr="00696425">
        <w:rPr>
          <w:rFonts w:ascii="Arial" w:hAnsi="Arial" w:cs="Arial"/>
          <w:color w:val="auto"/>
          <w:sz w:val="24"/>
          <w:szCs w:val="24"/>
        </w:rPr>
        <w:t xml:space="preserve">. </w:t>
      </w:r>
      <w:r w:rsidR="0050458A" w:rsidRPr="00696425">
        <w:rPr>
          <w:rFonts w:ascii="Arial" w:hAnsi="Arial" w:cs="Arial"/>
          <w:color w:val="auto"/>
          <w:sz w:val="24"/>
          <w:szCs w:val="24"/>
        </w:rPr>
        <w:t>Conclusion</w:t>
      </w:r>
      <w:bookmarkEnd w:id="13"/>
    </w:p>
    <w:p w:rsidR="0050458A" w:rsidRPr="00696425" w:rsidRDefault="00696425" w:rsidP="00696425">
      <w:pPr>
        <w:spacing w:after="240" w:line="360" w:lineRule="auto"/>
        <w:jc w:val="both"/>
        <w:rPr>
          <w:rFonts w:ascii="Arial" w:hAnsi="Arial" w:cs="Arial"/>
          <w:sz w:val="24"/>
          <w:szCs w:val="24"/>
        </w:rPr>
      </w:pPr>
      <w:r w:rsidRPr="00696425">
        <w:rPr>
          <w:rFonts w:ascii="Arial" w:hAnsi="Arial" w:cs="Arial"/>
          <w:sz w:val="24"/>
          <w:szCs w:val="24"/>
        </w:rPr>
        <w:t>This report evaluated the possibility of Ahold Delhaize expanding into Canada and combined Ahold Delhaize's international strategy, their own capabilities, conditions in host countries and alternatives to entry. Canada provides good institutional, urban demand and digital opportunities, but this is tempered by market concentration, regulatory complexity, high operating costs and regional diversity. While the scale, private-label capabilities, local-brand approach and multichannel functionality are all good reasons for Ahold Delhaize to enter, they should not be exported as is. All the evidence, on balance, suggests a gradual approach with a solid foundation in the Ontario market, through acquisition. This is in line with the firm's transnational strategy, the OLI analysis and its past opting for ownership coupled with market responsiveness.</w:t>
      </w:r>
    </w:p>
    <w:p w:rsidR="00703082" w:rsidRDefault="00703082" w:rsidP="00703082">
      <w:pPr>
        <w:spacing w:line="360" w:lineRule="auto"/>
        <w:jc w:val="both"/>
        <w:rPr>
          <w:rFonts w:ascii="Arial" w:hAnsi="Arial" w:cs="Arial"/>
          <w:sz w:val="24"/>
          <w:szCs w:val="24"/>
        </w:rPr>
      </w:pPr>
    </w:p>
    <w:p w:rsidR="00703082" w:rsidRDefault="00703082" w:rsidP="00703082">
      <w:pPr>
        <w:spacing w:line="360" w:lineRule="auto"/>
        <w:jc w:val="both"/>
        <w:rPr>
          <w:rFonts w:ascii="Arial" w:hAnsi="Arial" w:cs="Arial"/>
          <w:sz w:val="24"/>
          <w:szCs w:val="24"/>
        </w:rPr>
      </w:pPr>
    </w:p>
    <w:p w:rsidR="00703082" w:rsidRDefault="00703082" w:rsidP="00703082">
      <w:pPr>
        <w:spacing w:line="360" w:lineRule="auto"/>
        <w:jc w:val="both"/>
        <w:rPr>
          <w:rFonts w:ascii="Arial" w:hAnsi="Arial" w:cs="Arial"/>
          <w:sz w:val="24"/>
          <w:szCs w:val="24"/>
        </w:rPr>
      </w:pPr>
    </w:p>
    <w:p w:rsidR="00703082" w:rsidRDefault="00703082" w:rsidP="00703082">
      <w:pPr>
        <w:spacing w:line="360" w:lineRule="auto"/>
        <w:jc w:val="both"/>
        <w:rPr>
          <w:rFonts w:ascii="Arial" w:hAnsi="Arial" w:cs="Arial"/>
          <w:sz w:val="24"/>
          <w:szCs w:val="24"/>
        </w:rPr>
      </w:pPr>
    </w:p>
    <w:p w:rsidR="00696425" w:rsidRDefault="00696425" w:rsidP="00703082">
      <w:pPr>
        <w:spacing w:line="360" w:lineRule="auto"/>
        <w:jc w:val="both"/>
        <w:rPr>
          <w:rFonts w:ascii="Arial" w:hAnsi="Arial" w:cs="Arial"/>
          <w:sz w:val="24"/>
          <w:szCs w:val="24"/>
        </w:rPr>
      </w:pPr>
    </w:p>
    <w:p w:rsidR="00703082" w:rsidRDefault="00703082" w:rsidP="00703082">
      <w:pPr>
        <w:spacing w:line="360" w:lineRule="auto"/>
        <w:jc w:val="both"/>
        <w:rPr>
          <w:rFonts w:ascii="Arial" w:hAnsi="Arial" w:cs="Arial"/>
          <w:sz w:val="24"/>
          <w:szCs w:val="24"/>
        </w:rPr>
      </w:pPr>
    </w:p>
    <w:p w:rsidR="00696425" w:rsidRDefault="00696425" w:rsidP="00703082">
      <w:pPr>
        <w:spacing w:line="360" w:lineRule="auto"/>
        <w:jc w:val="both"/>
        <w:rPr>
          <w:rFonts w:ascii="Arial" w:hAnsi="Arial" w:cs="Arial"/>
          <w:sz w:val="24"/>
          <w:szCs w:val="24"/>
        </w:rPr>
      </w:pPr>
    </w:p>
    <w:p w:rsidR="00696425" w:rsidRDefault="00696425" w:rsidP="00703082">
      <w:pPr>
        <w:spacing w:line="360" w:lineRule="auto"/>
        <w:jc w:val="both"/>
        <w:rPr>
          <w:rFonts w:ascii="Arial" w:hAnsi="Arial" w:cs="Arial"/>
          <w:sz w:val="24"/>
          <w:szCs w:val="24"/>
        </w:rPr>
      </w:pPr>
    </w:p>
    <w:p w:rsidR="00696425" w:rsidRDefault="00696425" w:rsidP="00703082">
      <w:pPr>
        <w:spacing w:line="360" w:lineRule="auto"/>
        <w:jc w:val="both"/>
        <w:rPr>
          <w:rFonts w:ascii="Arial" w:hAnsi="Arial" w:cs="Arial"/>
          <w:sz w:val="24"/>
          <w:szCs w:val="24"/>
        </w:rPr>
      </w:pPr>
    </w:p>
    <w:bookmarkEnd w:id="1"/>
    <w:p w:rsidR="00696425" w:rsidRDefault="00696425" w:rsidP="00703082">
      <w:pPr>
        <w:spacing w:line="360" w:lineRule="auto"/>
        <w:jc w:val="both"/>
        <w:rPr>
          <w:rFonts w:ascii="Arial" w:hAnsi="Arial" w:cs="Arial"/>
          <w:sz w:val="24"/>
          <w:szCs w:val="24"/>
        </w:rPr>
      </w:pPr>
    </w:p>
    <w:p w:rsidR="00696425" w:rsidRDefault="00696425" w:rsidP="00703082">
      <w:pPr>
        <w:spacing w:line="360" w:lineRule="auto"/>
        <w:jc w:val="both"/>
        <w:rPr>
          <w:rFonts w:ascii="Arial" w:hAnsi="Arial" w:cs="Arial"/>
          <w:sz w:val="24"/>
          <w:szCs w:val="24"/>
        </w:rPr>
      </w:pPr>
    </w:p>
    <w:p w:rsidR="00FF64FE" w:rsidRDefault="003F6620" w:rsidP="007E19C3">
      <w:pPr>
        <w:pStyle w:val="Heading1"/>
        <w:rPr>
          <w:rFonts w:ascii="Arial" w:hAnsi="Arial" w:cs="Arial"/>
          <w:color w:val="auto"/>
          <w:sz w:val="24"/>
          <w:szCs w:val="24"/>
        </w:rPr>
      </w:pPr>
      <w:bookmarkStart w:id="14" w:name="_Toc237580533"/>
      <w:r>
        <w:rPr>
          <w:rFonts w:ascii="Arial" w:eastAsiaTheme="minorHAnsi" w:hAnsi="Arial" w:cs="Arial"/>
          <w:b w:val="0"/>
          <w:bCs w:val="0"/>
          <w:color w:val="auto"/>
          <w:sz w:val="24"/>
          <w:szCs w:val="24"/>
        </w:rPr>
        <w:t xml:space="preserve">7. </w:t>
      </w:r>
      <w:r w:rsidR="00FF64FE" w:rsidRPr="00AF2DA4">
        <w:rPr>
          <w:rFonts w:ascii="Arial" w:hAnsi="Arial" w:cs="Arial"/>
          <w:color w:val="auto"/>
          <w:sz w:val="24"/>
          <w:szCs w:val="24"/>
        </w:rPr>
        <w:t xml:space="preserve"> References</w:t>
      </w:r>
      <w:bookmarkEnd w:id="14"/>
    </w:p>
    <w:p w:rsidR="006865CA" w:rsidRPr="006865CA" w:rsidRDefault="006865CA" w:rsidP="006865CA">
      <w:pPr>
        <w:pStyle w:val="NormalWeb"/>
        <w:spacing w:line="360" w:lineRule="auto"/>
        <w:jc w:val="both"/>
        <w:rPr>
          <w:rFonts w:ascii="Arial" w:hAnsi="Arial" w:cs="Arial"/>
        </w:rPr>
      </w:pPr>
      <w:r w:rsidRPr="006865CA">
        <w:rPr>
          <w:rFonts w:ascii="Arial" w:hAnsi="Arial" w:cs="Arial"/>
        </w:rPr>
        <w:t xml:space="preserve">Ahold Delhaize (2025) </w:t>
      </w:r>
      <w:r w:rsidRPr="006865CA">
        <w:rPr>
          <w:rStyle w:val="Emphasis"/>
          <w:rFonts w:ascii="Arial" w:hAnsi="Arial" w:cs="Arial"/>
        </w:rPr>
        <w:t>Annual Report 2024</w:t>
      </w:r>
      <w:r w:rsidRPr="006865CA">
        <w:rPr>
          <w:rFonts w:ascii="Arial" w:hAnsi="Arial" w:cs="Arial"/>
        </w:rPr>
        <w:t xml:space="preserve">. Zaandam: Koninklijke Ahold Delhaize N.V. Available at: </w:t>
      </w:r>
      <w:hyperlink r:id="rId17" w:tgtFrame="_new" w:history="1">
        <w:r w:rsidRPr="006865CA">
          <w:rPr>
            <w:rStyle w:val="Hyperlink"/>
            <w:rFonts w:ascii="Arial" w:hAnsi="Arial" w:cs="Arial"/>
          </w:rPr>
          <w:t>https://aholddelhaize.com/investors/annual-reports/2024/</w:t>
        </w:r>
      </w:hyperlink>
      <w:r w:rsidRPr="006865CA">
        <w:rPr>
          <w:rFonts w:ascii="Arial" w:hAnsi="Arial" w:cs="Arial"/>
        </w:rPr>
        <w:t xml:space="preserve"> (Accessed: 10 August 2026). </w:t>
      </w:r>
    </w:p>
    <w:p w:rsidR="006865CA" w:rsidRPr="006865CA" w:rsidRDefault="006865CA" w:rsidP="006865CA">
      <w:pPr>
        <w:pStyle w:val="NormalWeb"/>
        <w:spacing w:line="360" w:lineRule="auto"/>
        <w:jc w:val="both"/>
        <w:rPr>
          <w:rFonts w:ascii="Arial" w:hAnsi="Arial" w:cs="Arial"/>
        </w:rPr>
      </w:pPr>
      <w:r w:rsidRPr="006865CA">
        <w:rPr>
          <w:rFonts w:ascii="Arial" w:hAnsi="Arial" w:cs="Arial"/>
        </w:rPr>
        <w:t xml:space="preserve">Ahold Delhaize (2026) </w:t>
      </w:r>
      <w:r w:rsidRPr="006865CA">
        <w:rPr>
          <w:rStyle w:val="Emphasis"/>
          <w:rFonts w:ascii="Arial" w:hAnsi="Arial" w:cs="Arial"/>
        </w:rPr>
        <w:t>Annual Report 2025</w:t>
      </w:r>
      <w:r w:rsidRPr="006865CA">
        <w:rPr>
          <w:rFonts w:ascii="Arial" w:hAnsi="Arial" w:cs="Arial"/>
        </w:rPr>
        <w:t xml:space="preserve">. Zaandam: Koninklijke Ahold Delhaize N.V. Available at: </w:t>
      </w:r>
      <w:hyperlink r:id="rId18" w:tgtFrame="_new" w:history="1">
        <w:r w:rsidRPr="006865CA">
          <w:rPr>
            <w:rStyle w:val="Hyperlink"/>
            <w:rFonts w:ascii="Arial" w:hAnsi="Arial" w:cs="Arial"/>
          </w:rPr>
          <w:t>https://aholddelhaize.com/investors/annual-reports/2025/</w:t>
        </w:r>
      </w:hyperlink>
      <w:r w:rsidRPr="006865CA">
        <w:rPr>
          <w:rFonts w:ascii="Arial" w:hAnsi="Arial" w:cs="Arial"/>
        </w:rPr>
        <w:t xml:space="preserve"> (Accessed: 10 August 2026). </w:t>
      </w:r>
    </w:p>
    <w:p w:rsidR="006865CA" w:rsidRPr="006865CA" w:rsidRDefault="006865CA" w:rsidP="006865CA">
      <w:pPr>
        <w:pStyle w:val="NormalWeb"/>
        <w:spacing w:line="360" w:lineRule="auto"/>
        <w:jc w:val="both"/>
        <w:rPr>
          <w:rFonts w:ascii="Arial" w:hAnsi="Arial" w:cs="Arial"/>
        </w:rPr>
      </w:pPr>
      <w:r w:rsidRPr="006865CA">
        <w:rPr>
          <w:rFonts w:ascii="Arial" w:hAnsi="Arial" w:cs="Arial"/>
        </w:rPr>
        <w:t xml:space="preserve">Bartlett, C.A. and Ghoshal, S. (1989) </w:t>
      </w:r>
      <w:r w:rsidRPr="006865CA">
        <w:rPr>
          <w:rStyle w:val="Emphasis"/>
          <w:rFonts w:ascii="Arial" w:hAnsi="Arial" w:cs="Arial"/>
        </w:rPr>
        <w:t>Managing Across Borders: The Transnational Solution</w:t>
      </w:r>
      <w:r w:rsidRPr="006865CA">
        <w:rPr>
          <w:rFonts w:ascii="Arial" w:hAnsi="Arial" w:cs="Arial"/>
        </w:rPr>
        <w:t>. Boston, MA: Harvard Business School Press.</w:t>
      </w:r>
    </w:p>
    <w:p w:rsidR="006865CA" w:rsidRPr="006865CA" w:rsidRDefault="006865CA" w:rsidP="006865CA">
      <w:pPr>
        <w:pStyle w:val="pdq2pgselectionanchorcontainer"/>
        <w:spacing w:line="360" w:lineRule="auto"/>
        <w:jc w:val="both"/>
        <w:rPr>
          <w:rFonts w:ascii="Arial" w:hAnsi="Arial" w:cs="Arial"/>
        </w:rPr>
      </w:pPr>
      <w:r w:rsidRPr="006865CA">
        <w:rPr>
          <w:rFonts w:ascii="Arial" w:hAnsi="Arial" w:cs="Arial"/>
        </w:rPr>
        <w:t xml:space="preserve">Bassot, B. (2023) </w:t>
      </w:r>
      <w:r w:rsidRPr="006865CA">
        <w:rPr>
          <w:rStyle w:val="Emphasis"/>
          <w:rFonts w:ascii="Arial" w:hAnsi="Arial" w:cs="Arial"/>
        </w:rPr>
        <w:t>The Reflective Practice Guide: An Interdisciplinary Approach to Critical Reflection</w:t>
      </w:r>
      <w:r w:rsidRPr="006865CA">
        <w:rPr>
          <w:rFonts w:ascii="Arial" w:hAnsi="Arial" w:cs="Arial"/>
        </w:rPr>
        <w:t xml:space="preserve">. 2nd edn. Abingdon: Routledge. </w:t>
      </w:r>
    </w:p>
    <w:p w:rsidR="006865CA" w:rsidRPr="006865CA" w:rsidRDefault="006865CA" w:rsidP="006865CA">
      <w:pPr>
        <w:pStyle w:val="NormalWeb"/>
        <w:spacing w:line="360" w:lineRule="auto"/>
        <w:jc w:val="both"/>
        <w:rPr>
          <w:rFonts w:ascii="Arial" w:hAnsi="Arial" w:cs="Arial"/>
        </w:rPr>
      </w:pPr>
      <w:r w:rsidRPr="006865CA">
        <w:rPr>
          <w:rFonts w:ascii="Arial" w:hAnsi="Arial" w:cs="Arial"/>
        </w:rPr>
        <w:t xml:space="preserve">Bonfrer, A., Chintagunta, P. and Dhar, S. (2022) ‘Retail store formats, competition and shopper behavior: A systematic review’, </w:t>
      </w:r>
      <w:r w:rsidRPr="006865CA">
        <w:rPr>
          <w:rStyle w:val="Emphasis"/>
          <w:rFonts w:ascii="Arial" w:hAnsi="Arial" w:cs="Arial"/>
        </w:rPr>
        <w:t>Journal of Retailing</w:t>
      </w:r>
      <w:r w:rsidRPr="006865CA">
        <w:rPr>
          <w:rFonts w:ascii="Arial" w:hAnsi="Arial" w:cs="Arial"/>
        </w:rPr>
        <w:t xml:space="preserve">, 98(1), pp. 71–91. </w:t>
      </w:r>
    </w:p>
    <w:p w:rsidR="006865CA" w:rsidRPr="006865CA" w:rsidRDefault="006865CA" w:rsidP="006865CA">
      <w:pPr>
        <w:pStyle w:val="NormalWeb"/>
        <w:spacing w:line="360" w:lineRule="auto"/>
        <w:jc w:val="both"/>
        <w:rPr>
          <w:rFonts w:ascii="Arial" w:hAnsi="Arial" w:cs="Arial"/>
        </w:rPr>
      </w:pPr>
      <w:r w:rsidRPr="006865CA">
        <w:rPr>
          <w:rFonts w:ascii="Arial" w:hAnsi="Arial" w:cs="Arial"/>
        </w:rPr>
        <w:t xml:space="preserve">Brouthers, K.D., Chen, L., Li, S. and Shaheer, N. (2022) ‘Charting new courses to enter foreign markets: Conceptualization, theoretical framework, and research directions on non-traditional entry modes’, </w:t>
      </w:r>
      <w:r w:rsidRPr="006865CA">
        <w:rPr>
          <w:rStyle w:val="Emphasis"/>
          <w:rFonts w:ascii="Arial" w:hAnsi="Arial" w:cs="Arial"/>
        </w:rPr>
        <w:t>Journal of International Business Studies</w:t>
      </w:r>
      <w:r w:rsidRPr="006865CA">
        <w:rPr>
          <w:rFonts w:ascii="Arial" w:hAnsi="Arial" w:cs="Arial"/>
        </w:rPr>
        <w:t xml:space="preserve">, 53, pp. 2088–2115. </w:t>
      </w:r>
    </w:p>
    <w:p w:rsidR="006865CA" w:rsidRPr="006865CA" w:rsidRDefault="006865CA" w:rsidP="006865CA">
      <w:pPr>
        <w:pStyle w:val="pdq2pgselectionanchorcontainer"/>
        <w:spacing w:line="360" w:lineRule="auto"/>
        <w:jc w:val="both"/>
        <w:rPr>
          <w:rFonts w:ascii="Arial" w:hAnsi="Arial" w:cs="Arial"/>
        </w:rPr>
      </w:pPr>
      <w:r w:rsidRPr="006865CA">
        <w:rPr>
          <w:rFonts w:ascii="Arial" w:hAnsi="Arial" w:cs="Arial"/>
        </w:rPr>
        <w:t xml:space="preserve">Burt, S. and Sparks, L. (2022) ‘Retail internationalisation and the importance of local adaptation’, </w:t>
      </w:r>
      <w:r w:rsidRPr="006865CA">
        <w:rPr>
          <w:rStyle w:val="Emphasis"/>
          <w:rFonts w:ascii="Arial" w:hAnsi="Arial" w:cs="Arial"/>
        </w:rPr>
        <w:t>International Review of Retail, Distribution and Consumer Research</w:t>
      </w:r>
      <w:r w:rsidRPr="006865CA">
        <w:rPr>
          <w:rFonts w:ascii="Arial" w:hAnsi="Arial" w:cs="Arial"/>
        </w:rPr>
        <w:t xml:space="preserve">, 32(4), pp. 389–405. </w:t>
      </w:r>
    </w:p>
    <w:p w:rsidR="006865CA" w:rsidRPr="006865CA" w:rsidRDefault="006865CA" w:rsidP="006865CA">
      <w:pPr>
        <w:pStyle w:val="NormalWeb"/>
        <w:spacing w:line="360" w:lineRule="auto"/>
        <w:jc w:val="both"/>
        <w:rPr>
          <w:rFonts w:ascii="Arial" w:hAnsi="Arial" w:cs="Arial"/>
        </w:rPr>
      </w:pPr>
      <w:r w:rsidRPr="006865CA">
        <w:rPr>
          <w:rFonts w:ascii="Arial" w:hAnsi="Arial" w:cs="Arial"/>
        </w:rPr>
        <w:t xml:space="preserve">Canadian Food Inspection Agency (2025) </w:t>
      </w:r>
      <w:r w:rsidRPr="006865CA">
        <w:rPr>
          <w:rStyle w:val="Emphasis"/>
          <w:rFonts w:ascii="Arial" w:hAnsi="Arial" w:cs="Arial"/>
        </w:rPr>
        <w:t>Bilingual food labelling</w:t>
      </w:r>
      <w:r w:rsidRPr="006865CA">
        <w:rPr>
          <w:rFonts w:ascii="Arial" w:hAnsi="Arial" w:cs="Arial"/>
        </w:rPr>
        <w:t xml:space="preserve">. Government of Canada. Available at: </w:t>
      </w:r>
      <w:hyperlink r:id="rId19" w:tgtFrame="_new" w:history="1">
        <w:r w:rsidRPr="006865CA">
          <w:rPr>
            <w:rStyle w:val="Hyperlink"/>
            <w:rFonts w:ascii="Arial" w:hAnsi="Arial" w:cs="Arial"/>
          </w:rPr>
          <w:t>https://inspection.canada.ca/en/food-labels/labelling/industry/bilingual-food-labelling</w:t>
        </w:r>
      </w:hyperlink>
      <w:r w:rsidRPr="006865CA">
        <w:rPr>
          <w:rFonts w:ascii="Arial" w:hAnsi="Arial" w:cs="Arial"/>
        </w:rPr>
        <w:t xml:space="preserve"> (Accessed: 10 August 2026). </w:t>
      </w:r>
    </w:p>
    <w:p w:rsidR="006865CA" w:rsidRPr="006865CA" w:rsidRDefault="006865CA" w:rsidP="006865CA">
      <w:pPr>
        <w:pStyle w:val="NormalWeb"/>
        <w:spacing w:line="360" w:lineRule="auto"/>
        <w:jc w:val="both"/>
        <w:rPr>
          <w:rFonts w:ascii="Arial" w:hAnsi="Arial" w:cs="Arial"/>
        </w:rPr>
      </w:pPr>
      <w:r w:rsidRPr="006865CA">
        <w:rPr>
          <w:rFonts w:ascii="Arial" w:hAnsi="Arial" w:cs="Arial"/>
        </w:rPr>
        <w:t xml:space="preserve">Cavusgil, S.T., Knight, G. and Riesenberger, J.R. (2020) </w:t>
      </w:r>
      <w:r w:rsidRPr="006865CA">
        <w:rPr>
          <w:rStyle w:val="Emphasis"/>
          <w:rFonts w:ascii="Arial" w:hAnsi="Arial" w:cs="Arial"/>
        </w:rPr>
        <w:t>International Business: The New Realities</w:t>
      </w:r>
      <w:r w:rsidRPr="006865CA">
        <w:rPr>
          <w:rFonts w:ascii="Arial" w:hAnsi="Arial" w:cs="Arial"/>
        </w:rPr>
        <w:t xml:space="preserve">. 5th edn. Harlow: Pearson Education. </w:t>
      </w:r>
    </w:p>
    <w:p w:rsidR="006865CA" w:rsidRPr="006865CA" w:rsidRDefault="006865CA" w:rsidP="006865CA">
      <w:pPr>
        <w:pStyle w:val="NormalWeb"/>
        <w:spacing w:line="360" w:lineRule="auto"/>
        <w:jc w:val="both"/>
        <w:rPr>
          <w:rFonts w:ascii="Arial" w:hAnsi="Arial" w:cs="Arial"/>
        </w:rPr>
      </w:pPr>
      <w:r w:rsidRPr="006865CA">
        <w:rPr>
          <w:rFonts w:ascii="Arial" w:hAnsi="Arial" w:cs="Arial"/>
        </w:rPr>
        <w:t xml:space="preserve">Chen, P.-C. and Bui, K. (2020) ‘Global integration or local responsiveness? Insights from the case of Chinese MNEs in India’, in Kim, Y.-C. (ed.) </w:t>
      </w:r>
      <w:r w:rsidRPr="006865CA">
        <w:rPr>
          <w:rStyle w:val="Emphasis"/>
          <w:rFonts w:ascii="Arial" w:hAnsi="Arial" w:cs="Arial"/>
        </w:rPr>
        <w:t>China-India Relations: Geo-political Competition, Economic Cooperation, Cultural Exchange and Business Ties</w:t>
      </w:r>
      <w:r w:rsidRPr="006865CA">
        <w:rPr>
          <w:rFonts w:ascii="Arial" w:hAnsi="Arial" w:cs="Arial"/>
        </w:rPr>
        <w:t xml:space="preserve">. Cham: Springer International Publishing, pp. 119–138. </w:t>
      </w:r>
    </w:p>
    <w:p w:rsidR="006865CA" w:rsidRPr="006865CA" w:rsidRDefault="006865CA" w:rsidP="006865CA">
      <w:pPr>
        <w:pStyle w:val="NormalWeb"/>
        <w:spacing w:before="0" w:beforeAutospacing="0" w:after="240" w:afterAutospacing="0" w:line="360" w:lineRule="auto"/>
        <w:jc w:val="both"/>
        <w:rPr>
          <w:rFonts w:ascii="Arial" w:hAnsi="Arial" w:cs="Arial"/>
        </w:rPr>
      </w:pPr>
      <w:r w:rsidRPr="006865CA">
        <w:rPr>
          <w:rFonts w:ascii="Arial" w:hAnsi="Arial" w:cs="Arial"/>
        </w:rPr>
        <w:t xml:space="preserve">Collidu (2023). </w:t>
      </w:r>
      <w:r w:rsidRPr="006865CA">
        <w:rPr>
          <w:rFonts w:ascii="Arial" w:hAnsi="Arial" w:cs="Arial"/>
          <w:i/>
          <w:iCs/>
        </w:rPr>
        <w:t>Eclectic paradigm</w:t>
      </w:r>
      <w:r w:rsidRPr="006865CA">
        <w:rPr>
          <w:rFonts w:ascii="Arial" w:hAnsi="Arial" w:cs="Arial"/>
        </w:rPr>
        <w:t xml:space="preserve">. [online] </w:t>
      </w:r>
      <w:r w:rsidRPr="006865CA">
        <w:rPr>
          <w:rFonts w:ascii="Arial" w:hAnsi="Arial" w:cs="Arial"/>
          <w:i/>
          <w:iCs/>
        </w:rPr>
        <w:t>Collidu.com</w:t>
      </w:r>
      <w:r w:rsidRPr="006865CA">
        <w:rPr>
          <w:rFonts w:ascii="Arial" w:hAnsi="Arial" w:cs="Arial"/>
        </w:rPr>
        <w:t>. Available at: https://www.collidu.com/presentation-eclectic-paradigm (Accessed 10 Aug. 2026).</w:t>
      </w:r>
    </w:p>
    <w:p w:rsidR="006865CA" w:rsidRPr="006865CA" w:rsidRDefault="006865CA" w:rsidP="006865CA">
      <w:pPr>
        <w:pStyle w:val="NormalWeb"/>
        <w:spacing w:line="360" w:lineRule="auto"/>
        <w:jc w:val="both"/>
        <w:rPr>
          <w:rFonts w:ascii="Arial" w:hAnsi="Arial" w:cs="Arial"/>
        </w:rPr>
      </w:pPr>
      <w:r w:rsidRPr="006865CA">
        <w:rPr>
          <w:rFonts w:ascii="Arial" w:hAnsi="Arial" w:cs="Arial"/>
        </w:rPr>
        <w:t xml:space="preserve">Competition Bureau Canada (2023) </w:t>
      </w:r>
      <w:r w:rsidRPr="006865CA">
        <w:rPr>
          <w:rStyle w:val="Emphasis"/>
          <w:rFonts w:ascii="Arial" w:hAnsi="Arial" w:cs="Arial"/>
        </w:rPr>
        <w:t>Canada Needs More Grocery Competition: Competition Bureau Retail Grocery Market Study Report</w:t>
      </w:r>
      <w:r w:rsidRPr="006865CA">
        <w:rPr>
          <w:rFonts w:ascii="Arial" w:hAnsi="Arial" w:cs="Arial"/>
        </w:rPr>
        <w:t xml:space="preserve">. Gatineau: Competition Bureau Canada. Available at: </w:t>
      </w:r>
      <w:r w:rsidRPr="006865CA">
        <w:rPr>
          <w:rStyle w:val="HTMLCode"/>
          <w:rFonts w:ascii="Arial" w:hAnsi="Arial" w:cs="Arial"/>
          <w:sz w:val="24"/>
          <w:szCs w:val="24"/>
        </w:rPr>
        <w:t>https://competition-bureau.canada.ca/en/how-we-foster-competition/education-and-outreach/canada-needs-more-grocery-competition</w:t>
      </w:r>
      <w:r w:rsidRPr="006865CA">
        <w:rPr>
          <w:rFonts w:ascii="Arial" w:hAnsi="Arial" w:cs="Arial"/>
        </w:rPr>
        <w:t xml:space="preserve"> (Accessed: 10 August 2026).  </w:t>
      </w:r>
    </w:p>
    <w:p w:rsidR="006865CA" w:rsidRPr="006865CA" w:rsidRDefault="006865CA" w:rsidP="006865CA">
      <w:pPr>
        <w:pStyle w:val="NormalWeb"/>
        <w:spacing w:line="360" w:lineRule="auto"/>
        <w:jc w:val="both"/>
        <w:rPr>
          <w:rFonts w:ascii="Arial" w:hAnsi="Arial" w:cs="Arial"/>
        </w:rPr>
      </w:pPr>
      <w:r w:rsidRPr="006865CA">
        <w:rPr>
          <w:rFonts w:ascii="Arial" w:hAnsi="Arial" w:cs="Arial"/>
        </w:rPr>
        <w:t xml:space="preserve">Competition Bureau Canada (2024) </w:t>
      </w:r>
      <w:r w:rsidRPr="006865CA">
        <w:rPr>
          <w:rStyle w:val="Emphasis"/>
          <w:rFonts w:ascii="Arial" w:hAnsi="Arial" w:cs="Arial"/>
        </w:rPr>
        <w:t>Guide to the June 2024 Amendments to the Competition Act</w:t>
      </w:r>
      <w:r w:rsidRPr="006865CA">
        <w:rPr>
          <w:rFonts w:ascii="Arial" w:hAnsi="Arial" w:cs="Arial"/>
        </w:rPr>
        <w:t xml:space="preserve">. Gatineau: Competition Bureau Canada. Available at: </w:t>
      </w:r>
      <w:hyperlink r:id="rId20" w:tgtFrame="_new" w:history="1">
        <w:r w:rsidRPr="006865CA">
          <w:rPr>
            <w:rStyle w:val="Hyperlink"/>
            <w:rFonts w:ascii="Arial" w:hAnsi="Arial" w:cs="Arial"/>
          </w:rPr>
          <w:t>https://competition-bureau.canada.ca/en/how-we-foster-competition/education-and-outreach/guide-june-2024-amendments-competition-act</w:t>
        </w:r>
      </w:hyperlink>
      <w:r w:rsidRPr="006865CA">
        <w:rPr>
          <w:rFonts w:ascii="Arial" w:hAnsi="Arial" w:cs="Arial"/>
        </w:rPr>
        <w:t xml:space="preserve"> (Accessed: 10  August 2026). </w:t>
      </w:r>
    </w:p>
    <w:p w:rsidR="006865CA" w:rsidRPr="006865CA" w:rsidRDefault="006865CA" w:rsidP="006865CA">
      <w:pPr>
        <w:pStyle w:val="NormalWeb"/>
        <w:spacing w:before="0" w:beforeAutospacing="0" w:after="240" w:afterAutospacing="0" w:line="360" w:lineRule="auto"/>
        <w:jc w:val="both"/>
        <w:rPr>
          <w:rFonts w:ascii="Arial" w:hAnsi="Arial" w:cs="Arial"/>
        </w:rPr>
      </w:pPr>
      <w:r w:rsidRPr="006865CA">
        <w:rPr>
          <w:rFonts w:ascii="Arial" w:hAnsi="Arial" w:cs="Arial"/>
        </w:rPr>
        <w:t xml:space="preserve">drroopesh (2025). </w:t>
      </w:r>
      <w:r w:rsidRPr="006865CA">
        <w:rPr>
          <w:rFonts w:ascii="Arial" w:hAnsi="Arial" w:cs="Arial"/>
          <w:i/>
          <w:iCs/>
        </w:rPr>
        <w:t>Reflection: A basic guide</w:t>
      </w:r>
      <w:r w:rsidRPr="006865CA">
        <w:rPr>
          <w:rFonts w:ascii="Arial" w:hAnsi="Arial" w:cs="Arial"/>
        </w:rPr>
        <w:t xml:space="preserve">. [online] </w:t>
      </w:r>
      <w:r w:rsidRPr="006865CA">
        <w:rPr>
          <w:rFonts w:ascii="Arial" w:hAnsi="Arial" w:cs="Arial"/>
          <w:i/>
          <w:iCs/>
        </w:rPr>
        <w:t>communitymedicine4all</w:t>
      </w:r>
      <w:r w:rsidRPr="006865CA">
        <w:rPr>
          <w:rFonts w:ascii="Arial" w:hAnsi="Arial" w:cs="Arial"/>
        </w:rPr>
        <w:t>. Available at: https://communitymedicine4asses.wordpress.com/2025/01/10/reflection-a-basic-guide/ (Accessed 10 Aug. 2026).</w:t>
      </w:r>
    </w:p>
    <w:p w:rsidR="006865CA" w:rsidRPr="006865CA" w:rsidRDefault="006865CA" w:rsidP="006865CA">
      <w:pPr>
        <w:pStyle w:val="NormalWeb"/>
        <w:spacing w:line="360" w:lineRule="auto"/>
        <w:jc w:val="both"/>
        <w:rPr>
          <w:rFonts w:ascii="Arial" w:hAnsi="Arial" w:cs="Arial"/>
        </w:rPr>
      </w:pPr>
      <w:r w:rsidRPr="006865CA">
        <w:rPr>
          <w:rFonts w:ascii="Arial" w:hAnsi="Arial" w:cs="Arial"/>
        </w:rPr>
        <w:t xml:space="preserve">Dunning, J.H. (1977) ‘Trade, location of economic activity and the MNE: A search for an eclectic approach’, in Ohlin, B., Hesselborn, P.-O. and Wijkman, P.M. (eds.) </w:t>
      </w:r>
      <w:r w:rsidRPr="006865CA">
        <w:rPr>
          <w:rStyle w:val="Emphasis"/>
          <w:rFonts w:ascii="Arial" w:hAnsi="Arial" w:cs="Arial"/>
        </w:rPr>
        <w:t>The International Allocation of Economic Activity</w:t>
      </w:r>
      <w:r w:rsidRPr="006865CA">
        <w:rPr>
          <w:rFonts w:ascii="Arial" w:hAnsi="Arial" w:cs="Arial"/>
        </w:rPr>
        <w:t xml:space="preserve">. London: Palgrave Macmillan, pp. 395–418. </w:t>
      </w:r>
    </w:p>
    <w:p w:rsidR="006865CA" w:rsidRPr="006865CA" w:rsidRDefault="006865CA" w:rsidP="006865CA">
      <w:pPr>
        <w:pStyle w:val="NormalWeb"/>
        <w:spacing w:line="360" w:lineRule="auto"/>
        <w:jc w:val="both"/>
        <w:rPr>
          <w:rFonts w:ascii="Arial" w:hAnsi="Arial" w:cs="Arial"/>
        </w:rPr>
      </w:pPr>
      <w:r w:rsidRPr="006865CA">
        <w:rPr>
          <w:rFonts w:ascii="Arial" w:hAnsi="Arial" w:cs="Arial"/>
        </w:rPr>
        <w:t xml:space="preserve">Dunning, J.H. (2000) ‘The eclectic paradigm as an envelope for economic and business theories of MNE activity’, </w:t>
      </w:r>
      <w:r w:rsidRPr="006865CA">
        <w:rPr>
          <w:rStyle w:val="Emphasis"/>
          <w:rFonts w:ascii="Arial" w:hAnsi="Arial" w:cs="Arial"/>
        </w:rPr>
        <w:t>International Business Review</w:t>
      </w:r>
      <w:r w:rsidRPr="006865CA">
        <w:rPr>
          <w:rFonts w:ascii="Arial" w:hAnsi="Arial" w:cs="Arial"/>
        </w:rPr>
        <w:t xml:space="preserve">, 9(2), pp. 163–190. </w:t>
      </w:r>
    </w:p>
    <w:p w:rsidR="006865CA" w:rsidRPr="006865CA" w:rsidRDefault="006865CA" w:rsidP="006865CA">
      <w:pPr>
        <w:pStyle w:val="NormalWeb"/>
        <w:spacing w:line="360" w:lineRule="auto"/>
        <w:jc w:val="both"/>
        <w:rPr>
          <w:rFonts w:ascii="Arial" w:hAnsi="Arial" w:cs="Arial"/>
        </w:rPr>
      </w:pPr>
      <w:r w:rsidRPr="006865CA">
        <w:rPr>
          <w:rFonts w:ascii="Arial" w:hAnsi="Arial" w:cs="Arial"/>
        </w:rPr>
        <w:t xml:space="preserve">Galushko, V. and Riabchyk, A. (2024) ‘The demand for online grocery shopping: COVID-induced changes in grocery shopping behavior of Canadian consumers’, </w:t>
      </w:r>
      <w:r w:rsidRPr="006865CA">
        <w:rPr>
          <w:rStyle w:val="Emphasis"/>
          <w:rFonts w:ascii="Arial" w:hAnsi="Arial" w:cs="Arial"/>
        </w:rPr>
        <w:t>PLOS ONE</w:t>
      </w:r>
      <w:r w:rsidRPr="006865CA">
        <w:rPr>
          <w:rFonts w:ascii="Arial" w:hAnsi="Arial" w:cs="Arial"/>
        </w:rPr>
        <w:t>, 19(2), e0295538.</w:t>
      </w:r>
    </w:p>
    <w:p w:rsidR="006865CA" w:rsidRPr="006865CA" w:rsidRDefault="006865CA" w:rsidP="006865CA">
      <w:pPr>
        <w:pStyle w:val="NormalWeb"/>
        <w:spacing w:line="360" w:lineRule="auto"/>
        <w:jc w:val="both"/>
        <w:rPr>
          <w:rFonts w:ascii="Arial" w:hAnsi="Arial" w:cs="Arial"/>
        </w:rPr>
      </w:pPr>
      <w:r w:rsidRPr="006865CA">
        <w:rPr>
          <w:rFonts w:ascii="Arial" w:hAnsi="Arial" w:cs="Arial"/>
        </w:rPr>
        <w:t xml:space="preserve">Gibbs, G. (1988) </w:t>
      </w:r>
      <w:r w:rsidRPr="006865CA">
        <w:rPr>
          <w:rStyle w:val="Emphasis"/>
          <w:rFonts w:ascii="Arial" w:hAnsi="Arial" w:cs="Arial"/>
        </w:rPr>
        <w:t>Learning by Doing: A Guide to Teaching and Learning Methods</w:t>
      </w:r>
      <w:r w:rsidRPr="006865CA">
        <w:rPr>
          <w:rFonts w:ascii="Arial" w:hAnsi="Arial" w:cs="Arial"/>
        </w:rPr>
        <w:t xml:space="preserve">. London: Further Education Unit. Available at: </w:t>
      </w:r>
      <w:r w:rsidRPr="006865CA">
        <w:rPr>
          <w:rStyle w:val="HTMLCode"/>
          <w:rFonts w:ascii="Arial" w:hAnsi="Arial" w:cs="Arial"/>
          <w:sz w:val="24"/>
          <w:szCs w:val="24"/>
        </w:rPr>
        <w:t>https://books.google.com/books/about/Learning_by_Doing.html?id=z2CxAAAACAAJ</w:t>
      </w:r>
      <w:r w:rsidRPr="006865CA">
        <w:rPr>
          <w:rFonts w:ascii="Arial" w:hAnsi="Arial" w:cs="Arial"/>
        </w:rPr>
        <w:t xml:space="preserve"> (Accessed: 14 August 2026). </w:t>
      </w:r>
    </w:p>
    <w:p w:rsidR="006865CA" w:rsidRPr="006865CA" w:rsidRDefault="006865CA" w:rsidP="006865CA">
      <w:pPr>
        <w:pStyle w:val="NormalWeb"/>
        <w:spacing w:line="360" w:lineRule="auto"/>
        <w:jc w:val="both"/>
        <w:rPr>
          <w:rFonts w:ascii="Arial" w:hAnsi="Arial" w:cs="Arial"/>
        </w:rPr>
      </w:pPr>
      <w:r w:rsidRPr="006865CA">
        <w:rPr>
          <w:rFonts w:ascii="Arial" w:hAnsi="Arial" w:cs="Arial"/>
        </w:rPr>
        <w:t xml:space="preserve">Grewal, D., Roggeveen, A.L. and Nordfält, J. (2021) ‘The future of retailing’, </w:t>
      </w:r>
      <w:r w:rsidRPr="006865CA">
        <w:rPr>
          <w:rStyle w:val="Emphasis"/>
          <w:rFonts w:ascii="Arial" w:hAnsi="Arial" w:cs="Arial"/>
        </w:rPr>
        <w:t>Journal of Retailing</w:t>
      </w:r>
      <w:r w:rsidRPr="006865CA">
        <w:rPr>
          <w:rFonts w:ascii="Arial" w:hAnsi="Arial" w:cs="Arial"/>
        </w:rPr>
        <w:t>, 97(1), pp. 1–6..</w:t>
      </w:r>
    </w:p>
    <w:p w:rsidR="006865CA" w:rsidRPr="006865CA" w:rsidRDefault="006865CA" w:rsidP="006865CA">
      <w:pPr>
        <w:pStyle w:val="NormalWeb"/>
        <w:spacing w:line="360" w:lineRule="auto"/>
        <w:jc w:val="both"/>
        <w:rPr>
          <w:rFonts w:ascii="Arial" w:hAnsi="Arial" w:cs="Arial"/>
        </w:rPr>
      </w:pPr>
      <w:r w:rsidRPr="006865CA">
        <w:rPr>
          <w:rFonts w:ascii="Arial" w:hAnsi="Arial" w:cs="Arial"/>
        </w:rPr>
        <w:t xml:space="preserve">Hill, C.W.L. (2023) </w:t>
      </w:r>
      <w:r w:rsidRPr="006865CA">
        <w:rPr>
          <w:rStyle w:val="Emphasis"/>
          <w:rFonts w:ascii="Arial" w:hAnsi="Arial" w:cs="Arial"/>
        </w:rPr>
        <w:t>International Business: Competing in the Global Marketplace</w:t>
      </w:r>
      <w:r w:rsidRPr="006865CA">
        <w:rPr>
          <w:rFonts w:ascii="Arial" w:hAnsi="Arial" w:cs="Arial"/>
        </w:rPr>
        <w:t xml:space="preserve">. 14th edn. New York: McGraw Hill. </w:t>
      </w:r>
    </w:p>
    <w:p w:rsidR="006865CA" w:rsidRPr="006865CA" w:rsidRDefault="006865CA" w:rsidP="006865CA">
      <w:pPr>
        <w:pStyle w:val="NormalWeb"/>
        <w:spacing w:line="360" w:lineRule="auto"/>
        <w:jc w:val="both"/>
        <w:rPr>
          <w:rFonts w:ascii="Arial" w:hAnsi="Arial" w:cs="Arial"/>
        </w:rPr>
      </w:pPr>
      <w:r w:rsidRPr="006865CA">
        <w:rPr>
          <w:rFonts w:ascii="Arial" w:hAnsi="Arial" w:cs="Arial"/>
        </w:rPr>
        <w:t xml:space="preserve">Mileo, F. and Mandia, D. (2024) ‘Ahold Delhaize bets on AI and digital to boost earnings and savings’, </w:t>
      </w:r>
      <w:r w:rsidRPr="006865CA">
        <w:rPr>
          <w:rStyle w:val="Emphasis"/>
          <w:rFonts w:ascii="Arial" w:hAnsi="Arial" w:cs="Arial"/>
        </w:rPr>
        <w:t>Reuters</w:t>
      </w:r>
      <w:r w:rsidRPr="006865CA">
        <w:rPr>
          <w:rFonts w:ascii="Arial" w:hAnsi="Arial" w:cs="Arial"/>
        </w:rPr>
        <w:t xml:space="preserve">, 23 May. Available at: Reuters (Accessed: 10 August 2026). </w:t>
      </w:r>
    </w:p>
    <w:p w:rsidR="006865CA" w:rsidRPr="006865CA" w:rsidRDefault="006865CA" w:rsidP="006865CA">
      <w:pPr>
        <w:pStyle w:val="NormalWeb"/>
        <w:spacing w:line="360" w:lineRule="auto"/>
        <w:jc w:val="both"/>
        <w:rPr>
          <w:rFonts w:ascii="Arial" w:hAnsi="Arial" w:cs="Arial"/>
        </w:rPr>
      </w:pPr>
      <w:r w:rsidRPr="006865CA">
        <w:rPr>
          <w:rFonts w:ascii="Arial" w:hAnsi="Arial" w:cs="Arial"/>
        </w:rPr>
        <w:t xml:space="preserve">Moreira da Silva, F., Ogasavara, M.H. and Pereira, R. (2024) ‘Institutional distances and equity-based entry modes: A systematic literature review’, </w:t>
      </w:r>
      <w:r w:rsidRPr="006865CA">
        <w:rPr>
          <w:rStyle w:val="Emphasis"/>
          <w:rFonts w:ascii="Arial" w:hAnsi="Arial" w:cs="Arial"/>
        </w:rPr>
        <w:t>Management Review Quarterly</w:t>
      </w:r>
      <w:r w:rsidRPr="006865CA">
        <w:rPr>
          <w:rFonts w:ascii="Arial" w:hAnsi="Arial" w:cs="Arial"/>
        </w:rPr>
        <w:t xml:space="preserve">, 74(3), pp. 1723–1790. </w:t>
      </w:r>
    </w:p>
    <w:p w:rsidR="006865CA" w:rsidRPr="006865CA" w:rsidRDefault="006865CA" w:rsidP="006865CA">
      <w:pPr>
        <w:pStyle w:val="NormalWeb"/>
        <w:spacing w:line="360" w:lineRule="auto"/>
        <w:jc w:val="both"/>
        <w:rPr>
          <w:rFonts w:ascii="Arial" w:hAnsi="Arial" w:cs="Arial"/>
        </w:rPr>
      </w:pPr>
      <w:r w:rsidRPr="006865CA">
        <w:rPr>
          <w:rFonts w:ascii="Arial" w:hAnsi="Arial" w:cs="Arial"/>
        </w:rPr>
        <w:t xml:space="preserve">Office de la langue française du Québec (2025) </w:t>
      </w:r>
      <w:r w:rsidRPr="006865CA">
        <w:rPr>
          <w:rStyle w:val="Emphasis"/>
          <w:rFonts w:ascii="Arial" w:hAnsi="Arial" w:cs="Arial"/>
        </w:rPr>
        <w:t>Entreprises : marque de commerce sur les produits</w:t>
      </w:r>
      <w:r w:rsidRPr="006865CA">
        <w:rPr>
          <w:rFonts w:ascii="Arial" w:hAnsi="Arial" w:cs="Arial"/>
        </w:rPr>
        <w:t xml:space="preserve">. Available at: </w:t>
      </w:r>
      <w:hyperlink r:id="rId21" w:tgtFrame="_new" w:history="1">
        <w:r w:rsidRPr="006865CA">
          <w:rPr>
            <w:rStyle w:val="Hyperlink"/>
            <w:rFonts w:ascii="Arial" w:hAnsi="Arial" w:cs="Arial"/>
          </w:rPr>
          <w:t>https://www.oqlf.gouv.qc.ca/francisation/entreprises/marque-commerce-produits.html</w:t>
        </w:r>
      </w:hyperlink>
      <w:r w:rsidRPr="006865CA">
        <w:rPr>
          <w:rFonts w:ascii="Arial" w:hAnsi="Arial" w:cs="Arial"/>
        </w:rPr>
        <w:t xml:space="preserve"> (Accessed: 10 August 2026). </w:t>
      </w:r>
    </w:p>
    <w:p w:rsidR="006865CA" w:rsidRPr="006865CA" w:rsidRDefault="006865CA" w:rsidP="006865CA">
      <w:pPr>
        <w:pStyle w:val="NormalWeb"/>
        <w:spacing w:line="360" w:lineRule="auto"/>
        <w:jc w:val="both"/>
        <w:rPr>
          <w:rFonts w:ascii="Arial" w:hAnsi="Arial" w:cs="Arial"/>
        </w:rPr>
      </w:pPr>
      <w:r w:rsidRPr="006865CA">
        <w:rPr>
          <w:rFonts w:ascii="Arial" w:hAnsi="Arial" w:cs="Arial"/>
        </w:rPr>
        <w:t xml:space="preserve">Office of the Privacy Commissioner of Canada (2023) </w:t>
      </w:r>
      <w:r w:rsidRPr="006865CA">
        <w:rPr>
          <w:rStyle w:val="Emphasis"/>
          <w:rFonts w:ascii="Arial" w:hAnsi="Arial" w:cs="Arial"/>
        </w:rPr>
        <w:t>Investigation into Home Depot of Canada Inc.’s compliance with PIPEDA: PIPEDA Findings #2023-001</w:t>
      </w:r>
      <w:r w:rsidRPr="006865CA">
        <w:rPr>
          <w:rFonts w:ascii="Arial" w:hAnsi="Arial" w:cs="Arial"/>
        </w:rPr>
        <w:t xml:space="preserve">. Ottawa: Office of the Privacy Commissioner of Canada. Available at: </w:t>
      </w:r>
      <w:hyperlink r:id="rId22" w:tgtFrame="_new" w:history="1">
        <w:r w:rsidRPr="006865CA">
          <w:rPr>
            <w:rStyle w:val="Hyperlink"/>
            <w:rFonts w:ascii="Arial" w:hAnsi="Arial" w:cs="Arial"/>
          </w:rPr>
          <w:t>https://www.priv.gc.ca/en/opc-actions-and-decisions/investigations/investigations-into-businesses/2023/pipeda-2023-001/</w:t>
        </w:r>
      </w:hyperlink>
      <w:r w:rsidRPr="006865CA">
        <w:rPr>
          <w:rFonts w:ascii="Arial" w:hAnsi="Arial" w:cs="Arial"/>
        </w:rPr>
        <w:t xml:space="preserve"> (Accessed: 10 August 2026). </w:t>
      </w:r>
    </w:p>
    <w:p w:rsidR="006865CA" w:rsidRPr="006865CA" w:rsidRDefault="006865CA" w:rsidP="006865CA">
      <w:pPr>
        <w:pStyle w:val="NormalWeb"/>
        <w:spacing w:line="360" w:lineRule="auto"/>
        <w:jc w:val="both"/>
        <w:rPr>
          <w:rFonts w:ascii="Arial" w:hAnsi="Arial" w:cs="Arial"/>
        </w:rPr>
      </w:pPr>
      <w:r w:rsidRPr="006865CA">
        <w:rPr>
          <w:rFonts w:ascii="Arial" w:hAnsi="Arial" w:cs="Arial"/>
        </w:rPr>
        <w:t xml:space="preserve">Saunders, M.N.K., Lewis, P. and Thornhill, A. (2023) </w:t>
      </w:r>
      <w:r w:rsidRPr="006865CA">
        <w:rPr>
          <w:rStyle w:val="Emphasis"/>
          <w:rFonts w:ascii="Arial" w:hAnsi="Arial" w:cs="Arial"/>
        </w:rPr>
        <w:t>Research Methods for Business Students</w:t>
      </w:r>
      <w:r w:rsidRPr="006865CA">
        <w:rPr>
          <w:rFonts w:ascii="Arial" w:hAnsi="Arial" w:cs="Arial"/>
        </w:rPr>
        <w:t xml:space="preserve">. 9th edn. Harlow: Pearson. </w:t>
      </w:r>
    </w:p>
    <w:p w:rsidR="006865CA" w:rsidRPr="006865CA" w:rsidRDefault="006865CA" w:rsidP="006865CA">
      <w:pPr>
        <w:pStyle w:val="NormalWeb"/>
        <w:spacing w:line="360" w:lineRule="auto"/>
        <w:jc w:val="both"/>
        <w:rPr>
          <w:rFonts w:ascii="Arial" w:hAnsi="Arial" w:cs="Arial"/>
        </w:rPr>
      </w:pPr>
      <w:r w:rsidRPr="006865CA">
        <w:rPr>
          <w:rFonts w:ascii="Arial" w:hAnsi="Arial" w:cs="Arial"/>
        </w:rPr>
        <w:t xml:space="preserve">Statistics Canada (2022) </w:t>
      </w:r>
      <w:r w:rsidRPr="006865CA">
        <w:rPr>
          <w:rStyle w:val="Emphasis"/>
          <w:rFonts w:ascii="Arial" w:hAnsi="Arial" w:cs="Arial"/>
        </w:rPr>
        <w:t>Immigrants make up the largest share of the population in over 150 years and continue to shape who we are as Canadians</w:t>
      </w:r>
      <w:r w:rsidRPr="006865CA">
        <w:rPr>
          <w:rFonts w:ascii="Arial" w:hAnsi="Arial" w:cs="Arial"/>
        </w:rPr>
        <w:t xml:space="preserve">. Ottawa: Statistics Canada. Available at: </w:t>
      </w:r>
      <w:hyperlink r:id="rId23" w:tgtFrame="_new" w:history="1">
        <w:r w:rsidRPr="006865CA">
          <w:rPr>
            <w:rStyle w:val="Hyperlink"/>
            <w:rFonts w:ascii="Arial" w:hAnsi="Arial" w:cs="Arial"/>
          </w:rPr>
          <w:t>https://www150.statcan.gc.ca/n1/daily-quotidien/221026/dq221026a-eng.htm</w:t>
        </w:r>
      </w:hyperlink>
      <w:r w:rsidRPr="006865CA">
        <w:rPr>
          <w:rFonts w:ascii="Arial" w:hAnsi="Arial" w:cs="Arial"/>
        </w:rPr>
        <w:t xml:space="preserve"> (Accessed: 10 August 2026). </w:t>
      </w:r>
    </w:p>
    <w:p w:rsidR="006865CA" w:rsidRPr="006865CA" w:rsidRDefault="006865CA" w:rsidP="006865CA">
      <w:pPr>
        <w:pStyle w:val="NormalWeb"/>
        <w:spacing w:line="360" w:lineRule="auto"/>
        <w:jc w:val="both"/>
        <w:rPr>
          <w:rFonts w:ascii="Arial" w:hAnsi="Arial" w:cs="Arial"/>
        </w:rPr>
      </w:pPr>
      <w:r w:rsidRPr="006865CA">
        <w:rPr>
          <w:rFonts w:ascii="Arial" w:hAnsi="Arial" w:cs="Arial"/>
        </w:rPr>
        <w:t xml:space="preserve">Statistics Canada (2025) </w:t>
      </w:r>
      <w:r w:rsidRPr="006865CA">
        <w:rPr>
          <w:rStyle w:val="Emphasis"/>
          <w:rFonts w:ascii="Arial" w:hAnsi="Arial" w:cs="Arial"/>
        </w:rPr>
        <w:t>Inflation slowed in 2024, but Canadians continued to shift their grocery shopping habits</w:t>
      </w:r>
      <w:r w:rsidRPr="006865CA">
        <w:rPr>
          <w:rFonts w:ascii="Arial" w:hAnsi="Arial" w:cs="Arial"/>
        </w:rPr>
        <w:t xml:space="preserve">. Ottawa: Statistics Canada. Available at: </w:t>
      </w:r>
      <w:hyperlink r:id="rId24" w:tgtFrame="_new" w:history="1">
        <w:r w:rsidRPr="006865CA">
          <w:rPr>
            <w:rStyle w:val="Hyperlink"/>
            <w:rFonts w:ascii="Arial" w:hAnsi="Arial" w:cs="Arial"/>
          </w:rPr>
          <w:t>https://www.statcan.gc.ca/o1/en/plus/8187-inflation-slowed-2024-canadians-continued-shift-their-grocery-shopping-habits</w:t>
        </w:r>
      </w:hyperlink>
      <w:r w:rsidRPr="006865CA">
        <w:rPr>
          <w:rFonts w:ascii="Arial" w:hAnsi="Arial" w:cs="Arial"/>
        </w:rPr>
        <w:t xml:space="preserve"> (Accessed: 10 August 2026). </w:t>
      </w:r>
    </w:p>
    <w:p w:rsidR="006865CA" w:rsidRPr="006865CA" w:rsidRDefault="006865CA" w:rsidP="006865CA">
      <w:pPr>
        <w:pStyle w:val="NormalWeb"/>
        <w:spacing w:line="360" w:lineRule="auto"/>
        <w:jc w:val="both"/>
        <w:rPr>
          <w:rFonts w:ascii="Arial" w:hAnsi="Arial" w:cs="Arial"/>
        </w:rPr>
      </w:pPr>
      <w:r w:rsidRPr="006865CA">
        <w:rPr>
          <w:rFonts w:ascii="Arial" w:hAnsi="Arial" w:cs="Arial"/>
        </w:rPr>
        <w:t xml:space="preserve">Thomas-Francois, K. and Somogyi, S. (2022) ‘Self-checkout behaviours at supermarkets: Does the technology acceptance model (TAM) predict smart grocery shopping adoption?’, </w:t>
      </w:r>
      <w:r w:rsidRPr="006865CA">
        <w:rPr>
          <w:rStyle w:val="Emphasis"/>
          <w:rFonts w:ascii="Arial" w:hAnsi="Arial" w:cs="Arial"/>
        </w:rPr>
        <w:t>The International Review of Retail, Distribution and Consumer Research</w:t>
      </w:r>
      <w:r w:rsidRPr="006865CA">
        <w:rPr>
          <w:rFonts w:ascii="Arial" w:hAnsi="Arial" w:cs="Arial"/>
        </w:rPr>
        <w:t xml:space="preserve">, 33(1), pp. 44–66. </w:t>
      </w:r>
    </w:p>
    <w:p w:rsidR="006865CA" w:rsidRPr="006865CA" w:rsidRDefault="006865CA" w:rsidP="006865CA">
      <w:pPr>
        <w:pStyle w:val="NormalWeb"/>
        <w:spacing w:line="360" w:lineRule="auto"/>
        <w:jc w:val="both"/>
        <w:rPr>
          <w:rFonts w:ascii="Arial" w:hAnsi="Arial" w:cs="Arial"/>
        </w:rPr>
      </w:pPr>
      <w:r w:rsidRPr="006865CA">
        <w:rPr>
          <w:rFonts w:ascii="Arial" w:hAnsi="Arial" w:cs="Arial"/>
        </w:rPr>
        <w:t xml:space="preserve">Verbeke, A. and Lee, I.H.I. (2021) </w:t>
      </w:r>
      <w:r w:rsidRPr="006865CA">
        <w:rPr>
          <w:rStyle w:val="Emphasis"/>
          <w:rFonts w:ascii="Arial" w:hAnsi="Arial" w:cs="Arial"/>
        </w:rPr>
        <w:t>International Business Strategy: Rethinking the Foundations of Global Corporate Success</w:t>
      </w:r>
      <w:r w:rsidRPr="006865CA">
        <w:rPr>
          <w:rFonts w:ascii="Arial" w:hAnsi="Arial" w:cs="Arial"/>
        </w:rPr>
        <w:t xml:space="preserve">. 3rd edn. Cambridge: Cambridge University Press. </w:t>
      </w:r>
    </w:p>
    <w:p w:rsidR="006865CA" w:rsidRPr="006865CA" w:rsidRDefault="006865CA" w:rsidP="006865CA">
      <w:pPr>
        <w:pStyle w:val="NormalWeb"/>
        <w:spacing w:line="360" w:lineRule="auto"/>
        <w:jc w:val="both"/>
        <w:rPr>
          <w:rFonts w:ascii="Arial" w:hAnsi="Arial" w:cs="Arial"/>
        </w:rPr>
      </w:pPr>
      <w:r w:rsidRPr="006865CA">
        <w:rPr>
          <w:rFonts w:ascii="Arial" w:hAnsi="Arial" w:cs="Arial"/>
        </w:rPr>
        <w:t xml:space="preserve">Wan, C., Sousa, C.M.P., Lengler, J. and Tan, Q. (2023) ‘Entry mode choice: A meta-analysis of antecedents and outcomes’, </w:t>
      </w:r>
      <w:r w:rsidRPr="006865CA">
        <w:rPr>
          <w:rStyle w:val="Emphasis"/>
          <w:rFonts w:ascii="Arial" w:hAnsi="Arial" w:cs="Arial"/>
        </w:rPr>
        <w:t>Management International Review</w:t>
      </w:r>
      <w:r w:rsidRPr="006865CA">
        <w:rPr>
          <w:rFonts w:ascii="Arial" w:hAnsi="Arial" w:cs="Arial"/>
        </w:rPr>
        <w:t xml:space="preserve">, 63(2), pp. 193–246. </w:t>
      </w:r>
    </w:p>
    <w:p w:rsidR="006865CA" w:rsidRPr="006865CA" w:rsidRDefault="006865CA" w:rsidP="006865CA">
      <w:pPr>
        <w:pStyle w:val="NormalWeb"/>
        <w:spacing w:line="360" w:lineRule="auto"/>
        <w:jc w:val="both"/>
        <w:rPr>
          <w:rFonts w:ascii="Arial" w:hAnsi="Arial" w:cs="Arial"/>
        </w:rPr>
      </w:pPr>
      <w:r w:rsidRPr="006865CA">
        <w:rPr>
          <w:rFonts w:ascii="Arial" w:hAnsi="Arial" w:cs="Arial"/>
        </w:rPr>
        <w:t xml:space="preserve">Wang, Y. and Zhang, J. (2021) ‘International strategy’s effects on retailers’ local implementation and performance’, </w:t>
      </w:r>
      <w:r w:rsidRPr="006865CA">
        <w:rPr>
          <w:rStyle w:val="Emphasis"/>
          <w:rFonts w:ascii="Arial" w:hAnsi="Arial" w:cs="Arial"/>
        </w:rPr>
        <w:t>International Business Review</w:t>
      </w:r>
      <w:r w:rsidRPr="006865CA">
        <w:rPr>
          <w:rFonts w:ascii="Arial" w:hAnsi="Arial" w:cs="Arial"/>
        </w:rPr>
        <w:t>, 30(1), Article 101773. Available at: https://doi.org/10.1016/j.ibusrev.2020.101773 (Accessed: 10 August 2026).</w:t>
      </w:r>
    </w:p>
    <w:p w:rsidR="006865CA" w:rsidRPr="006865CA" w:rsidRDefault="006865CA" w:rsidP="006865CA">
      <w:pPr>
        <w:pStyle w:val="NormalWeb"/>
        <w:spacing w:line="360" w:lineRule="auto"/>
        <w:jc w:val="both"/>
        <w:rPr>
          <w:rFonts w:ascii="Arial" w:hAnsi="Arial" w:cs="Arial"/>
        </w:rPr>
      </w:pPr>
      <w:r w:rsidRPr="006865CA">
        <w:rPr>
          <w:rFonts w:ascii="Arial" w:hAnsi="Arial" w:cs="Arial"/>
        </w:rPr>
        <w:t xml:space="preserve">Wei, Z. and Nguyen, Q.T.K. (2020) ‘Local responsiveness strategy of foreign subsidiaries of Chinese multinationals: The impacts of relational-assets, market-seeking FDI, and host-country institutional environments’, </w:t>
      </w:r>
      <w:r w:rsidRPr="006865CA">
        <w:rPr>
          <w:rStyle w:val="Emphasis"/>
          <w:rFonts w:ascii="Arial" w:hAnsi="Arial" w:cs="Arial"/>
        </w:rPr>
        <w:t>Asia Pacific Journal of Management</w:t>
      </w:r>
      <w:r w:rsidRPr="006865CA">
        <w:rPr>
          <w:rFonts w:ascii="Arial" w:hAnsi="Arial" w:cs="Arial"/>
        </w:rPr>
        <w:t xml:space="preserve">, 37(3), pp. 661–692. </w:t>
      </w:r>
    </w:p>
    <w:sectPr w:rsidR="006865CA" w:rsidRPr="006865CA" w:rsidSect="00696425">
      <w:footerReference w:type="default" r:id="rId25"/>
      <w:pgSz w:w="11907" w:h="16839" w:code="9"/>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4727" w:rsidRDefault="006F4727" w:rsidP="00706099">
      <w:pPr>
        <w:spacing w:after="0" w:line="240" w:lineRule="auto"/>
      </w:pPr>
      <w:r>
        <w:separator/>
      </w:r>
    </w:p>
  </w:endnote>
  <w:endnote w:type="continuationSeparator" w:id="0">
    <w:p w:rsidR="006F4727" w:rsidRDefault="006F4727" w:rsidP="007060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21C8" w:rsidRDefault="009221C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6099" w:rsidRDefault="00706099">
    <w:pPr>
      <w:pStyle w:val="Footer"/>
      <w:jc w:val="center"/>
    </w:pPr>
  </w:p>
  <w:p w:rsidR="00706099" w:rsidRDefault="0070609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21C8" w:rsidRDefault="009221C8">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10083342"/>
      <w:docPartObj>
        <w:docPartGallery w:val="Page Numbers (Bottom of Page)"/>
        <w:docPartUnique/>
      </w:docPartObj>
    </w:sdtPr>
    <w:sdtEndPr>
      <w:rPr>
        <w:noProof/>
      </w:rPr>
    </w:sdtEndPr>
    <w:sdtContent>
      <w:p w:rsidR="00706099" w:rsidRDefault="00706099">
        <w:pPr>
          <w:pStyle w:val="Footer"/>
          <w:jc w:val="center"/>
        </w:pPr>
        <w:r>
          <w:fldChar w:fldCharType="begin"/>
        </w:r>
        <w:r>
          <w:instrText xml:space="preserve"> PAGE   \* MERGEFORMAT </w:instrText>
        </w:r>
        <w:r>
          <w:fldChar w:fldCharType="separate"/>
        </w:r>
        <w:r w:rsidR="002B473F">
          <w:rPr>
            <w:noProof/>
          </w:rPr>
          <w:t>18</w:t>
        </w:r>
        <w:r>
          <w:rPr>
            <w:noProof/>
          </w:rPr>
          <w:fldChar w:fldCharType="end"/>
        </w:r>
      </w:p>
    </w:sdtContent>
  </w:sdt>
  <w:p w:rsidR="00706099" w:rsidRDefault="0070609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4727" w:rsidRDefault="006F4727" w:rsidP="00706099">
      <w:pPr>
        <w:spacing w:after="0" w:line="240" w:lineRule="auto"/>
      </w:pPr>
      <w:r>
        <w:separator/>
      </w:r>
    </w:p>
  </w:footnote>
  <w:footnote w:type="continuationSeparator" w:id="0">
    <w:p w:rsidR="006F4727" w:rsidRDefault="006F4727" w:rsidP="0070609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21C8" w:rsidRDefault="009221C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21C8" w:rsidRDefault="009221C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21C8" w:rsidRDefault="009221C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6A12"/>
    <w:rsid w:val="000326BE"/>
    <w:rsid w:val="000822A0"/>
    <w:rsid w:val="000B44C5"/>
    <w:rsid w:val="00130495"/>
    <w:rsid w:val="001C7F2D"/>
    <w:rsid w:val="00223964"/>
    <w:rsid w:val="00241A9C"/>
    <w:rsid w:val="002479B5"/>
    <w:rsid w:val="002568BA"/>
    <w:rsid w:val="002B473F"/>
    <w:rsid w:val="00305E3A"/>
    <w:rsid w:val="00331EE6"/>
    <w:rsid w:val="003B41BA"/>
    <w:rsid w:val="003C14E6"/>
    <w:rsid w:val="003F6620"/>
    <w:rsid w:val="0050458A"/>
    <w:rsid w:val="005263D9"/>
    <w:rsid w:val="00577652"/>
    <w:rsid w:val="005C06BA"/>
    <w:rsid w:val="00653204"/>
    <w:rsid w:val="006865CA"/>
    <w:rsid w:val="0069260F"/>
    <w:rsid w:val="006941F2"/>
    <w:rsid w:val="00696425"/>
    <w:rsid w:val="006F4727"/>
    <w:rsid w:val="00703082"/>
    <w:rsid w:val="00706099"/>
    <w:rsid w:val="00737829"/>
    <w:rsid w:val="00763352"/>
    <w:rsid w:val="00782DFB"/>
    <w:rsid w:val="00797FDC"/>
    <w:rsid w:val="007C0CEF"/>
    <w:rsid w:val="007C264A"/>
    <w:rsid w:val="007E19C3"/>
    <w:rsid w:val="00825997"/>
    <w:rsid w:val="008520BC"/>
    <w:rsid w:val="009063AC"/>
    <w:rsid w:val="009221C8"/>
    <w:rsid w:val="00940129"/>
    <w:rsid w:val="00943F82"/>
    <w:rsid w:val="00967C42"/>
    <w:rsid w:val="00A2523C"/>
    <w:rsid w:val="00A425C3"/>
    <w:rsid w:val="00AD7911"/>
    <w:rsid w:val="00AF2DA4"/>
    <w:rsid w:val="00B65C71"/>
    <w:rsid w:val="00C55E16"/>
    <w:rsid w:val="00C66A12"/>
    <w:rsid w:val="00CA0237"/>
    <w:rsid w:val="00D0421E"/>
    <w:rsid w:val="00E22D85"/>
    <w:rsid w:val="00EA63CB"/>
    <w:rsid w:val="00EC5298"/>
    <w:rsid w:val="00ED161A"/>
    <w:rsid w:val="00F83646"/>
    <w:rsid w:val="00FF523F"/>
    <w:rsid w:val="00FF64FE"/>
    <w:rsid w:val="00FF65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F64F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A425C3"/>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A425C3"/>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425C3"/>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A425C3"/>
    <w:rPr>
      <w:rFonts w:ascii="Times New Roman" w:eastAsia="Times New Roman" w:hAnsi="Times New Roman" w:cs="Times New Roman"/>
      <w:b/>
      <w:bCs/>
      <w:sz w:val="27"/>
      <w:szCs w:val="27"/>
      <w:lang w:eastAsia="en-GB"/>
    </w:rPr>
  </w:style>
  <w:style w:type="paragraph" w:styleId="NormalWeb">
    <w:name w:val="Normal (Web)"/>
    <w:basedOn w:val="Normal"/>
    <w:uiPriority w:val="99"/>
    <w:unhideWhenUsed/>
    <w:rsid w:val="00A425C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A425C3"/>
    <w:rPr>
      <w:b/>
      <w:bCs/>
    </w:rPr>
  </w:style>
  <w:style w:type="character" w:customStyle="1" w:styleId="Heading1Char">
    <w:name w:val="Heading 1 Char"/>
    <w:basedOn w:val="DefaultParagraphFont"/>
    <w:link w:val="Heading1"/>
    <w:uiPriority w:val="9"/>
    <w:rsid w:val="00FF64FE"/>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703082"/>
    <w:pPr>
      <w:outlineLvl w:val="9"/>
    </w:pPr>
    <w:rPr>
      <w:lang w:val="en-US" w:eastAsia="ja-JP"/>
    </w:rPr>
  </w:style>
  <w:style w:type="paragraph" w:styleId="TOC1">
    <w:name w:val="toc 1"/>
    <w:basedOn w:val="Normal"/>
    <w:next w:val="Normal"/>
    <w:autoRedefine/>
    <w:uiPriority w:val="39"/>
    <w:unhideWhenUsed/>
    <w:rsid w:val="00696425"/>
    <w:pPr>
      <w:tabs>
        <w:tab w:val="right" w:leader="dot" w:pos="9017"/>
      </w:tabs>
      <w:spacing w:after="100"/>
    </w:pPr>
  </w:style>
  <w:style w:type="paragraph" w:styleId="TOC2">
    <w:name w:val="toc 2"/>
    <w:basedOn w:val="Normal"/>
    <w:next w:val="Normal"/>
    <w:autoRedefine/>
    <w:uiPriority w:val="39"/>
    <w:unhideWhenUsed/>
    <w:rsid w:val="00703082"/>
    <w:pPr>
      <w:spacing w:after="100"/>
      <w:ind w:left="220"/>
    </w:pPr>
  </w:style>
  <w:style w:type="character" w:styleId="Hyperlink">
    <w:name w:val="Hyperlink"/>
    <w:basedOn w:val="DefaultParagraphFont"/>
    <w:uiPriority w:val="99"/>
    <w:unhideWhenUsed/>
    <w:rsid w:val="00703082"/>
    <w:rPr>
      <w:color w:val="0000FF" w:themeColor="hyperlink"/>
      <w:u w:val="single"/>
    </w:rPr>
  </w:style>
  <w:style w:type="paragraph" w:styleId="BalloonText">
    <w:name w:val="Balloon Text"/>
    <w:basedOn w:val="Normal"/>
    <w:link w:val="BalloonTextChar"/>
    <w:uiPriority w:val="99"/>
    <w:semiHidden/>
    <w:unhideWhenUsed/>
    <w:rsid w:val="0070308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03082"/>
    <w:rPr>
      <w:rFonts w:ascii="Tahoma" w:hAnsi="Tahoma" w:cs="Tahoma"/>
      <w:sz w:val="16"/>
      <w:szCs w:val="16"/>
    </w:rPr>
  </w:style>
  <w:style w:type="paragraph" w:customStyle="1" w:styleId="pdq2pgselectionanchorcontainer">
    <w:name w:val="pdq2pg_selectionanchorcontainer"/>
    <w:basedOn w:val="Normal"/>
    <w:rsid w:val="007E19C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7E19C3"/>
    <w:rPr>
      <w:i/>
      <w:iCs/>
    </w:rPr>
  </w:style>
  <w:style w:type="paragraph" w:styleId="Header">
    <w:name w:val="header"/>
    <w:basedOn w:val="Normal"/>
    <w:link w:val="HeaderChar"/>
    <w:uiPriority w:val="99"/>
    <w:unhideWhenUsed/>
    <w:rsid w:val="00706099"/>
    <w:pPr>
      <w:tabs>
        <w:tab w:val="center" w:pos="4680"/>
        <w:tab w:val="right" w:pos="9360"/>
      </w:tabs>
      <w:spacing w:after="0" w:line="240" w:lineRule="auto"/>
    </w:pPr>
  </w:style>
  <w:style w:type="character" w:customStyle="1" w:styleId="HeaderChar">
    <w:name w:val="Header Char"/>
    <w:basedOn w:val="DefaultParagraphFont"/>
    <w:link w:val="Header"/>
    <w:uiPriority w:val="99"/>
    <w:rsid w:val="00706099"/>
  </w:style>
  <w:style w:type="paragraph" w:styleId="Footer">
    <w:name w:val="footer"/>
    <w:basedOn w:val="Normal"/>
    <w:link w:val="FooterChar"/>
    <w:uiPriority w:val="99"/>
    <w:unhideWhenUsed/>
    <w:rsid w:val="00706099"/>
    <w:pPr>
      <w:tabs>
        <w:tab w:val="center" w:pos="4680"/>
        <w:tab w:val="right" w:pos="9360"/>
      </w:tabs>
      <w:spacing w:after="0" w:line="240" w:lineRule="auto"/>
    </w:pPr>
  </w:style>
  <w:style w:type="character" w:customStyle="1" w:styleId="FooterChar">
    <w:name w:val="Footer Char"/>
    <w:basedOn w:val="DefaultParagraphFont"/>
    <w:link w:val="Footer"/>
    <w:uiPriority w:val="99"/>
    <w:rsid w:val="00706099"/>
  </w:style>
  <w:style w:type="character" w:styleId="HTMLCode">
    <w:name w:val="HTML Code"/>
    <w:basedOn w:val="DefaultParagraphFont"/>
    <w:uiPriority w:val="99"/>
    <w:semiHidden/>
    <w:unhideWhenUsed/>
    <w:rsid w:val="00696425"/>
    <w:rPr>
      <w:rFonts w:ascii="Courier New" w:eastAsia="Times New Roman" w:hAnsi="Courier New" w:cs="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F64F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A425C3"/>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A425C3"/>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425C3"/>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A425C3"/>
    <w:rPr>
      <w:rFonts w:ascii="Times New Roman" w:eastAsia="Times New Roman" w:hAnsi="Times New Roman" w:cs="Times New Roman"/>
      <w:b/>
      <w:bCs/>
      <w:sz w:val="27"/>
      <w:szCs w:val="27"/>
      <w:lang w:eastAsia="en-GB"/>
    </w:rPr>
  </w:style>
  <w:style w:type="paragraph" w:styleId="NormalWeb">
    <w:name w:val="Normal (Web)"/>
    <w:basedOn w:val="Normal"/>
    <w:uiPriority w:val="99"/>
    <w:unhideWhenUsed/>
    <w:rsid w:val="00A425C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A425C3"/>
    <w:rPr>
      <w:b/>
      <w:bCs/>
    </w:rPr>
  </w:style>
  <w:style w:type="character" w:customStyle="1" w:styleId="Heading1Char">
    <w:name w:val="Heading 1 Char"/>
    <w:basedOn w:val="DefaultParagraphFont"/>
    <w:link w:val="Heading1"/>
    <w:uiPriority w:val="9"/>
    <w:rsid w:val="00FF64FE"/>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703082"/>
    <w:pPr>
      <w:outlineLvl w:val="9"/>
    </w:pPr>
    <w:rPr>
      <w:lang w:val="en-US" w:eastAsia="ja-JP"/>
    </w:rPr>
  </w:style>
  <w:style w:type="paragraph" w:styleId="TOC1">
    <w:name w:val="toc 1"/>
    <w:basedOn w:val="Normal"/>
    <w:next w:val="Normal"/>
    <w:autoRedefine/>
    <w:uiPriority w:val="39"/>
    <w:unhideWhenUsed/>
    <w:rsid w:val="00696425"/>
    <w:pPr>
      <w:tabs>
        <w:tab w:val="right" w:leader="dot" w:pos="9017"/>
      </w:tabs>
      <w:spacing w:after="100"/>
    </w:pPr>
  </w:style>
  <w:style w:type="paragraph" w:styleId="TOC2">
    <w:name w:val="toc 2"/>
    <w:basedOn w:val="Normal"/>
    <w:next w:val="Normal"/>
    <w:autoRedefine/>
    <w:uiPriority w:val="39"/>
    <w:unhideWhenUsed/>
    <w:rsid w:val="00703082"/>
    <w:pPr>
      <w:spacing w:after="100"/>
      <w:ind w:left="220"/>
    </w:pPr>
  </w:style>
  <w:style w:type="character" w:styleId="Hyperlink">
    <w:name w:val="Hyperlink"/>
    <w:basedOn w:val="DefaultParagraphFont"/>
    <w:uiPriority w:val="99"/>
    <w:unhideWhenUsed/>
    <w:rsid w:val="00703082"/>
    <w:rPr>
      <w:color w:val="0000FF" w:themeColor="hyperlink"/>
      <w:u w:val="single"/>
    </w:rPr>
  </w:style>
  <w:style w:type="paragraph" w:styleId="BalloonText">
    <w:name w:val="Balloon Text"/>
    <w:basedOn w:val="Normal"/>
    <w:link w:val="BalloonTextChar"/>
    <w:uiPriority w:val="99"/>
    <w:semiHidden/>
    <w:unhideWhenUsed/>
    <w:rsid w:val="0070308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03082"/>
    <w:rPr>
      <w:rFonts w:ascii="Tahoma" w:hAnsi="Tahoma" w:cs="Tahoma"/>
      <w:sz w:val="16"/>
      <w:szCs w:val="16"/>
    </w:rPr>
  </w:style>
  <w:style w:type="paragraph" w:customStyle="1" w:styleId="pdq2pgselectionanchorcontainer">
    <w:name w:val="pdq2pg_selectionanchorcontainer"/>
    <w:basedOn w:val="Normal"/>
    <w:rsid w:val="007E19C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7E19C3"/>
    <w:rPr>
      <w:i/>
      <w:iCs/>
    </w:rPr>
  </w:style>
  <w:style w:type="paragraph" w:styleId="Header">
    <w:name w:val="header"/>
    <w:basedOn w:val="Normal"/>
    <w:link w:val="HeaderChar"/>
    <w:uiPriority w:val="99"/>
    <w:unhideWhenUsed/>
    <w:rsid w:val="00706099"/>
    <w:pPr>
      <w:tabs>
        <w:tab w:val="center" w:pos="4680"/>
        <w:tab w:val="right" w:pos="9360"/>
      </w:tabs>
      <w:spacing w:after="0" w:line="240" w:lineRule="auto"/>
    </w:pPr>
  </w:style>
  <w:style w:type="character" w:customStyle="1" w:styleId="HeaderChar">
    <w:name w:val="Header Char"/>
    <w:basedOn w:val="DefaultParagraphFont"/>
    <w:link w:val="Header"/>
    <w:uiPriority w:val="99"/>
    <w:rsid w:val="00706099"/>
  </w:style>
  <w:style w:type="paragraph" w:styleId="Footer">
    <w:name w:val="footer"/>
    <w:basedOn w:val="Normal"/>
    <w:link w:val="FooterChar"/>
    <w:uiPriority w:val="99"/>
    <w:unhideWhenUsed/>
    <w:rsid w:val="00706099"/>
    <w:pPr>
      <w:tabs>
        <w:tab w:val="center" w:pos="4680"/>
        <w:tab w:val="right" w:pos="9360"/>
      </w:tabs>
      <w:spacing w:after="0" w:line="240" w:lineRule="auto"/>
    </w:pPr>
  </w:style>
  <w:style w:type="character" w:customStyle="1" w:styleId="FooterChar">
    <w:name w:val="Footer Char"/>
    <w:basedOn w:val="DefaultParagraphFont"/>
    <w:link w:val="Footer"/>
    <w:uiPriority w:val="99"/>
    <w:rsid w:val="00706099"/>
  </w:style>
  <w:style w:type="character" w:styleId="HTMLCode">
    <w:name w:val="HTML Code"/>
    <w:basedOn w:val="DefaultParagraphFont"/>
    <w:uiPriority w:val="99"/>
    <w:semiHidden/>
    <w:unhideWhenUsed/>
    <w:rsid w:val="00696425"/>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2859849">
      <w:bodyDiv w:val="1"/>
      <w:marLeft w:val="0"/>
      <w:marRight w:val="0"/>
      <w:marTop w:val="0"/>
      <w:marBottom w:val="0"/>
      <w:divBdr>
        <w:top w:val="none" w:sz="0" w:space="0" w:color="auto"/>
        <w:left w:val="none" w:sz="0" w:space="0" w:color="auto"/>
        <w:bottom w:val="none" w:sz="0" w:space="0" w:color="auto"/>
        <w:right w:val="none" w:sz="0" w:space="0" w:color="auto"/>
      </w:divBdr>
    </w:div>
    <w:div w:id="1223909941">
      <w:bodyDiv w:val="1"/>
      <w:marLeft w:val="0"/>
      <w:marRight w:val="0"/>
      <w:marTop w:val="0"/>
      <w:marBottom w:val="0"/>
      <w:divBdr>
        <w:top w:val="none" w:sz="0" w:space="0" w:color="auto"/>
        <w:left w:val="none" w:sz="0" w:space="0" w:color="auto"/>
        <w:bottom w:val="none" w:sz="0" w:space="0" w:color="auto"/>
        <w:right w:val="none" w:sz="0" w:space="0" w:color="auto"/>
      </w:divBdr>
      <w:divsChild>
        <w:div w:id="849369887">
          <w:marLeft w:val="0"/>
          <w:marRight w:val="0"/>
          <w:marTop w:val="0"/>
          <w:marBottom w:val="0"/>
          <w:divBdr>
            <w:top w:val="none" w:sz="0" w:space="0" w:color="auto"/>
            <w:left w:val="none" w:sz="0" w:space="0" w:color="auto"/>
            <w:bottom w:val="none" w:sz="0" w:space="0" w:color="auto"/>
            <w:right w:val="none" w:sz="0" w:space="0" w:color="auto"/>
          </w:divBdr>
          <w:divsChild>
            <w:div w:id="803618211">
              <w:marLeft w:val="0"/>
              <w:marRight w:val="0"/>
              <w:marTop w:val="0"/>
              <w:marBottom w:val="0"/>
              <w:divBdr>
                <w:top w:val="none" w:sz="0" w:space="0" w:color="auto"/>
                <w:left w:val="none" w:sz="0" w:space="0" w:color="auto"/>
                <w:bottom w:val="none" w:sz="0" w:space="0" w:color="auto"/>
                <w:right w:val="none" w:sz="0" w:space="0" w:color="auto"/>
              </w:divBdr>
              <w:divsChild>
                <w:div w:id="701369406">
                  <w:marLeft w:val="0"/>
                  <w:marRight w:val="0"/>
                  <w:marTop w:val="0"/>
                  <w:marBottom w:val="0"/>
                  <w:divBdr>
                    <w:top w:val="none" w:sz="0" w:space="0" w:color="auto"/>
                    <w:left w:val="none" w:sz="0" w:space="0" w:color="auto"/>
                    <w:bottom w:val="none" w:sz="0" w:space="0" w:color="auto"/>
                    <w:right w:val="none" w:sz="0" w:space="0" w:color="auto"/>
                  </w:divBdr>
                  <w:divsChild>
                    <w:div w:id="1367869869">
                      <w:marLeft w:val="0"/>
                      <w:marRight w:val="0"/>
                      <w:marTop w:val="0"/>
                      <w:marBottom w:val="0"/>
                      <w:divBdr>
                        <w:top w:val="none" w:sz="0" w:space="0" w:color="auto"/>
                        <w:left w:val="none" w:sz="0" w:space="0" w:color="auto"/>
                        <w:bottom w:val="none" w:sz="0" w:space="0" w:color="auto"/>
                        <w:right w:val="none" w:sz="0" w:space="0" w:color="auto"/>
                      </w:divBdr>
                      <w:divsChild>
                        <w:div w:id="1388718986">
                          <w:marLeft w:val="0"/>
                          <w:marRight w:val="0"/>
                          <w:marTop w:val="0"/>
                          <w:marBottom w:val="0"/>
                          <w:divBdr>
                            <w:top w:val="none" w:sz="0" w:space="0" w:color="auto"/>
                            <w:left w:val="none" w:sz="0" w:space="0" w:color="auto"/>
                            <w:bottom w:val="none" w:sz="0" w:space="0" w:color="auto"/>
                            <w:right w:val="none" w:sz="0" w:space="0" w:color="auto"/>
                          </w:divBdr>
                          <w:divsChild>
                            <w:div w:id="1789620147">
                              <w:marLeft w:val="0"/>
                              <w:marRight w:val="0"/>
                              <w:marTop w:val="0"/>
                              <w:marBottom w:val="0"/>
                              <w:divBdr>
                                <w:top w:val="none" w:sz="0" w:space="0" w:color="auto"/>
                                <w:left w:val="none" w:sz="0" w:space="0" w:color="auto"/>
                                <w:bottom w:val="none" w:sz="0" w:space="0" w:color="auto"/>
                                <w:right w:val="none" w:sz="0" w:space="0" w:color="auto"/>
                              </w:divBdr>
                              <w:divsChild>
                                <w:div w:id="1679039226">
                                  <w:marLeft w:val="0"/>
                                  <w:marRight w:val="0"/>
                                  <w:marTop w:val="0"/>
                                  <w:marBottom w:val="0"/>
                                  <w:divBdr>
                                    <w:top w:val="none" w:sz="0" w:space="0" w:color="auto"/>
                                    <w:left w:val="none" w:sz="0" w:space="0" w:color="auto"/>
                                    <w:bottom w:val="none" w:sz="0" w:space="0" w:color="auto"/>
                                    <w:right w:val="none" w:sz="0" w:space="0" w:color="auto"/>
                                  </w:divBdr>
                                  <w:divsChild>
                                    <w:div w:id="912740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hyperlink" Target="https://aholddelhaize.com/investors/annual-reports/2025/?utm_source=chat5.toolnestit.com" TargetMode="External"/><Relationship Id="rId26"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hyperlink" Target="https://www.oqlf.gouv.qc.ca/francisation/entreprises/marque-commerce-produits.html" TargetMode="Externa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s://aholddelhaize.com/investors/annual-reports/2024/?utm_source=chat5.toolnestit.com" TargetMode="External"/><Relationship Id="rId25" Type="http://schemas.openxmlformats.org/officeDocument/2006/relationships/footer" Target="footer4.xml"/><Relationship Id="rId2" Type="http://schemas.openxmlformats.org/officeDocument/2006/relationships/styles" Target="styles.xml"/><Relationship Id="rId16" Type="http://schemas.openxmlformats.org/officeDocument/2006/relationships/image" Target="media/image3.png"/><Relationship Id="rId20" Type="http://schemas.openxmlformats.org/officeDocument/2006/relationships/hyperlink" Target="https://competition-bureau.canada.ca/en/how-we-foster-competition/education-and-outreach/guide-june-2024-amendments-competition-act?utm_source=chat5.toolnestit.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s://www.statcan.gc.ca/o1/en/plus/8187-inflation-slowed-2024-canadians-continued-shift-their-grocery-shopping-habits" TargetMode="Externa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hyperlink" Target="https://www150.statcan.gc.ca/n1/daily-quotidien/221026/dq221026a-eng.htm" TargetMode="External"/><Relationship Id="rId10" Type="http://schemas.openxmlformats.org/officeDocument/2006/relationships/header" Target="header2.xml"/><Relationship Id="rId19" Type="http://schemas.openxmlformats.org/officeDocument/2006/relationships/hyperlink" Target="https://inspection.canada.ca/en/food-labels/labelling/industry/bilingual-food-labelling"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s://www.priv.gc.ca/en/opc-actions-and-decisions/investigations/investigations-into-businesses/2023/pipeda-2023-001/"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318B43-A64D-4EE4-A418-0E434D6F23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6680</Words>
  <Characters>38080</Characters>
  <Application>Microsoft Office Word</Application>
  <DocSecurity>0</DocSecurity>
  <Lines>317</Lines>
  <Paragraphs>89</Paragraphs>
  <ScaleCrop>false</ScaleCrop>
  <Company/>
  <LinksUpToDate>false</LinksUpToDate>
  <CharactersWithSpaces>44671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2026-08-14T03:19:00Z</dcterms:created>
  <dcterms:modified xsi:type="dcterms:W3CDTF">2026-08-14T03:19:00Z</dcterms:modified>
</cp:coreProperties>
</file>