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4088C" w14:textId="5F86CDB1" w:rsidR="00E33468" w:rsidRDefault="00086157" w:rsidP="00086157">
      <w:pPr>
        <w:jc w:val="center"/>
        <w:rPr>
          <w:sz w:val="24"/>
          <w:szCs w:val="24"/>
          <w:u w:val="single"/>
        </w:rPr>
      </w:pPr>
      <w:r w:rsidRPr="00086157">
        <w:rPr>
          <w:sz w:val="24"/>
          <w:szCs w:val="24"/>
          <w:u w:val="single"/>
        </w:rPr>
        <w:t>‘“Black peril” scares reveal more about colonial anxieties than about the realities of sexual violence’. Discuss.</w:t>
      </w:r>
    </w:p>
    <w:p w14:paraId="064B8B72" w14:textId="77777777" w:rsidR="00086157" w:rsidRDefault="00086157" w:rsidP="00086157">
      <w:pPr>
        <w:jc w:val="center"/>
        <w:rPr>
          <w:sz w:val="24"/>
          <w:szCs w:val="24"/>
          <w:u w:val="single"/>
        </w:rPr>
      </w:pPr>
    </w:p>
    <w:p w14:paraId="63F0C0C4" w14:textId="77777777" w:rsidR="00FB55B6" w:rsidRPr="00FB55B6" w:rsidRDefault="00FB55B6" w:rsidP="00FB55B6">
      <w:pPr>
        <w:rPr>
          <w:sz w:val="24"/>
          <w:szCs w:val="24"/>
        </w:rPr>
      </w:pPr>
      <w:r w:rsidRPr="00FB55B6">
        <w:rPr>
          <w:sz w:val="24"/>
          <w:szCs w:val="24"/>
        </w:rPr>
        <w:t>“Black peril” scares were episodes of racial and sexual panic in settler colonies, in which white communities claimed that white women were under threat from Black men. These panics appeared in several colonial contexts, including Natal, the Cape Colony, Southern Rhodesia and Kenya, and they often produced demands for harsher policing, racial registration, domestic surveillance and capital punishment. The phrase itself reveals the racial logic of the scare: the alleged danger was not simply rape, but Black male sexuality imagined as a threat to white womanhood, white domesticity and white colonial rule. The claim that these scares reveal more about colonial anxieties than about the realities of sexual violence is therefore broadly persuasive. However, it requires qualification. Sexual violence was real in colonial societies, and historians should not reduce rape only to metaphor. Yet “Black peril” discourse distorted that violence by exaggerating the threat of Black men to white women while obscuring other forms of sexual coercion, especially the abuse of colonised women by white men. The panics reveal most clearly the fears of settler societies: fear of racial boundary-crossing, fear of labour dependence, fear of white women’s sexuality, and fear that colonial authority was less secure than settlers wished to believe.</w:t>
      </w:r>
    </w:p>
    <w:p w14:paraId="26201571" w14:textId="77777777" w:rsidR="00FB55B6" w:rsidRPr="00FB55B6" w:rsidRDefault="00FB55B6" w:rsidP="00FB55B6">
      <w:pPr>
        <w:rPr>
          <w:sz w:val="24"/>
          <w:szCs w:val="24"/>
        </w:rPr>
      </w:pPr>
    </w:p>
    <w:p w14:paraId="39A080DC" w14:textId="77777777" w:rsidR="00FB55B6" w:rsidRDefault="00FB55B6" w:rsidP="00FB55B6">
      <w:pPr>
        <w:rPr>
          <w:sz w:val="24"/>
          <w:szCs w:val="24"/>
        </w:rPr>
      </w:pPr>
      <w:r w:rsidRPr="00FB55B6">
        <w:rPr>
          <w:sz w:val="24"/>
          <w:szCs w:val="24"/>
        </w:rPr>
        <w:t>Gender was central to these anxieties. Philippa Levine argues that empire cannot be understood without analysing gender, because imperial power was shaped by assumptions about sexual difference, race and social hierarchy.</w:t>
      </w:r>
      <w:r>
        <w:rPr>
          <w:rStyle w:val="FootnoteReference"/>
          <w:sz w:val="24"/>
          <w:szCs w:val="24"/>
        </w:rPr>
        <w:footnoteReference w:id="1"/>
      </w:r>
      <w:r w:rsidRPr="00FB55B6">
        <w:rPr>
          <w:sz w:val="24"/>
          <w:szCs w:val="24"/>
        </w:rPr>
        <w:t xml:space="preserve"> “Black peril” scares fit this framework precisely. They were not merely reactions to individual crimes, but moments when the treatment and protection of women became a measure of colonial order. </w:t>
      </w:r>
      <w:proofErr w:type="spellStart"/>
      <w:r w:rsidRPr="00FB55B6">
        <w:rPr>
          <w:sz w:val="24"/>
          <w:szCs w:val="24"/>
        </w:rPr>
        <w:t>Vron</w:t>
      </w:r>
      <w:proofErr w:type="spellEnd"/>
      <w:r w:rsidRPr="00FB55B6">
        <w:rPr>
          <w:sz w:val="24"/>
          <w:szCs w:val="24"/>
        </w:rPr>
        <w:t xml:space="preserve"> Ware’s work on white womanhood is also useful here. Ware argues that white femininity is not a neutral category of gender, but a historically constructed and racialised identity.</w:t>
      </w:r>
      <w:r>
        <w:rPr>
          <w:rStyle w:val="FootnoteReference"/>
          <w:sz w:val="24"/>
          <w:szCs w:val="24"/>
        </w:rPr>
        <w:footnoteReference w:id="2"/>
      </w:r>
      <w:r w:rsidRPr="00FB55B6">
        <w:rPr>
          <w:sz w:val="24"/>
          <w:szCs w:val="24"/>
        </w:rPr>
        <w:t xml:space="preserve"> In “Black peril” panics, white women were made to symbolise racial purity, domestic respectability and the future of settler society. Their supposed vulnerability gave white men a language through which they could defend racial domination as protection.</w:t>
      </w:r>
      <w:r>
        <w:rPr>
          <w:sz w:val="24"/>
          <w:szCs w:val="24"/>
        </w:rPr>
        <w:t xml:space="preserve"> </w:t>
      </w:r>
    </w:p>
    <w:p w14:paraId="39696DAA" w14:textId="6FA575AE" w:rsidR="00FB55B6" w:rsidRPr="00FB55B6" w:rsidRDefault="00FB55B6" w:rsidP="00FB55B6">
      <w:pPr>
        <w:rPr>
          <w:sz w:val="24"/>
          <w:szCs w:val="24"/>
        </w:rPr>
      </w:pPr>
      <w:r w:rsidRPr="00FB55B6">
        <w:rPr>
          <w:sz w:val="24"/>
          <w:szCs w:val="24"/>
        </w:rPr>
        <w:t>Ann Laura Stoler’s work on sexuality and colonial rule helps explain why such panics mattered so much to imperial authorities. Stoler argues that colonial rule was deeply concerned with intimacy, domestic arrangements and sexual boundaries, because the distinction between ruler and ruled had to be maintained not only in law and politics, but also in households, families and sexual relations.</w:t>
      </w:r>
      <w:r>
        <w:rPr>
          <w:rStyle w:val="FootnoteReference"/>
          <w:sz w:val="24"/>
          <w:szCs w:val="24"/>
        </w:rPr>
        <w:footnoteReference w:id="3"/>
      </w:r>
      <w:r w:rsidRPr="00FB55B6">
        <w:rPr>
          <w:sz w:val="24"/>
          <w:szCs w:val="24"/>
        </w:rPr>
        <w:t xml:space="preserve"> In this sense, “Black peril” scares were not marginal episodes of hysteria. They exposed a central feature of colonial rule: the fear that racial hierarchy could be undermined through intimate contact. The settler </w:t>
      </w:r>
      <w:r w:rsidRPr="00FB55B6">
        <w:rPr>
          <w:sz w:val="24"/>
          <w:szCs w:val="24"/>
        </w:rPr>
        <w:lastRenderedPageBreak/>
        <w:t>home, supposedly a private space, became a political space where racial order had to be guarded.</w:t>
      </w:r>
    </w:p>
    <w:p w14:paraId="63B8A5BA" w14:textId="794A18C9" w:rsidR="00FB55B6" w:rsidRPr="00FB55B6" w:rsidRDefault="00FB55B6" w:rsidP="00FB55B6">
      <w:pPr>
        <w:rPr>
          <w:sz w:val="24"/>
          <w:szCs w:val="24"/>
        </w:rPr>
      </w:pPr>
      <w:r w:rsidRPr="00FB55B6">
        <w:rPr>
          <w:sz w:val="24"/>
          <w:szCs w:val="24"/>
        </w:rPr>
        <w:t>Norman Etherington’s study of Natal in the 1870s provides one of the clearest examples of a panic whose scale exceeded the evidence. Etherington argues that for around four years the white population of Natal was gripped by fear of Black rape, yet this fear was not caused by any identifiable event and did not result in a marked increase in rape prosecutions.</w:t>
      </w:r>
      <w:r>
        <w:rPr>
          <w:rStyle w:val="FootnoteReference"/>
          <w:sz w:val="24"/>
          <w:szCs w:val="24"/>
        </w:rPr>
        <w:footnoteReference w:id="4"/>
      </w:r>
      <w:r w:rsidRPr="00FB55B6">
        <w:rPr>
          <w:sz w:val="24"/>
          <w:szCs w:val="24"/>
        </w:rPr>
        <w:t xml:space="preserve"> This is crucial because it suggests that the scare cannot be explained simply as a response to rising sexual violence. Rather, it emerged from the insecurity of a settler minority living among a much larger African population. Etherington compares the rape scare to earlier Zulu invasion scares: in both cases, white </w:t>
      </w:r>
      <w:proofErr w:type="spellStart"/>
      <w:r w:rsidRPr="00FB55B6">
        <w:rPr>
          <w:sz w:val="24"/>
          <w:szCs w:val="24"/>
        </w:rPr>
        <w:t>Natalians</w:t>
      </w:r>
      <w:proofErr w:type="spellEnd"/>
      <w:r w:rsidRPr="00FB55B6">
        <w:rPr>
          <w:sz w:val="24"/>
          <w:szCs w:val="24"/>
        </w:rPr>
        <w:t xml:space="preserve"> feared a Black threat that largely failed to materialise.</w:t>
      </w:r>
      <w:r>
        <w:rPr>
          <w:rStyle w:val="FootnoteReference"/>
          <w:sz w:val="24"/>
          <w:szCs w:val="24"/>
        </w:rPr>
        <w:footnoteReference w:id="5"/>
      </w:r>
      <w:r w:rsidRPr="00FB55B6">
        <w:rPr>
          <w:sz w:val="24"/>
          <w:szCs w:val="24"/>
        </w:rPr>
        <w:t xml:space="preserve"> The panic therefore functioned less as a record of sexual crime than as evidence of settler vulnerability.</w:t>
      </w:r>
    </w:p>
    <w:p w14:paraId="411F022A" w14:textId="7E9E43D3" w:rsidR="00FB55B6" w:rsidRPr="00FB55B6" w:rsidRDefault="00FB55B6" w:rsidP="00FB55B6">
      <w:pPr>
        <w:rPr>
          <w:sz w:val="24"/>
          <w:szCs w:val="24"/>
        </w:rPr>
      </w:pPr>
      <w:r w:rsidRPr="00FB55B6">
        <w:rPr>
          <w:sz w:val="24"/>
          <w:szCs w:val="24"/>
        </w:rPr>
        <w:t>Etherington’s central argument is that rape scares must be studied differently from rape itself. He suggests that Natal’s panic reflected “male concerns about gender, property and politics.”</w:t>
      </w:r>
      <w:r>
        <w:rPr>
          <w:rStyle w:val="FootnoteReference"/>
          <w:sz w:val="24"/>
          <w:szCs w:val="24"/>
        </w:rPr>
        <w:footnoteReference w:id="6"/>
      </w:r>
      <w:r w:rsidRPr="00FB55B6">
        <w:rPr>
          <w:sz w:val="24"/>
          <w:szCs w:val="24"/>
        </w:rPr>
        <w:t xml:space="preserve"> White women were treated not merely as individuals who might suffer violence, but as part of a domestic and racial order that white men believed they had to defend. In a patriarchal settler society, an alleged attack on a white woman symbolised more than personal violation. It could be interpreted as an attack on white male authority and the security of the colonial household. This explains why even ambiguous incidents could produce extreme reactions. The fear was not just that women might be harmed, but that the settler order itself might be exposed as fragile.</w:t>
      </w:r>
    </w:p>
    <w:p w14:paraId="5DA2E1B8" w14:textId="77777777" w:rsidR="00FB55B6" w:rsidRPr="00FB55B6" w:rsidRDefault="00FB55B6" w:rsidP="00FB55B6">
      <w:pPr>
        <w:rPr>
          <w:sz w:val="24"/>
          <w:szCs w:val="24"/>
        </w:rPr>
      </w:pPr>
    </w:p>
    <w:p w14:paraId="69B1162F" w14:textId="641895F9" w:rsidR="00FB55B6" w:rsidRPr="00FB55B6" w:rsidRDefault="00FB55B6" w:rsidP="00FB55B6">
      <w:pPr>
        <w:rPr>
          <w:sz w:val="24"/>
          <w:szCs w:val="24"/>
        </w:rPr>
      </w:pPr>
      <w:r w:rsidRPr="00FB55B6">
        <w:rPr>
          <w:sz w:val="24"/>
          <w:szCs w:val="24"/>
        </w:rPr>
        <w:t>The evidence behind the Natal scare was often weak. Etherington shows that complaints frequently involved vague sightings, suspected intruders or attempted assaults rather than proven rape. Women in Pietermaritzburg reported “dark figures lurking about,” while another case involved a storekeeper who believed he saw a nude Black man running from his daughter’s bedroom. Such incidents mattered because they show how suspicion became evidence. Charges described in newspapers as “Kaffir Outrages” often appeared in court as vagrancy, attempted housebreaking, or breaking and entering.</w:t>
      </w:r>
      <w:r>
        <w:rPr>
          <w:rStyle w:val="FootnoteReference"/>
          <w:sz w:val="24"/>
          <w:szCs w:val="24"/>
        </w:rPr>
        <w:footnoteReference w:id="7"/>
      </w:r>
      <w:r w:rsidRPr="00FB55B6">
        <w:rPr>
          <w:sz w:val="24"/>
          <w:szCs w:val="24"/>
        </w:rPr>
        <w:t xml:space="preserve"> The legal reality was therefore less dramatic than the public rhetoric. The scare depended on reading ambiguous events through a pre-existing racial assumption: that Black men were sexually dangerous and white women </w:t>
      </w:r>
      <w:proofErr w:type="gramStart"/>
      <w:r w:rsidRPr="00FB55B6">
        <w:rPr>
          <w:sz w:val="24"/>
          <w:szCs w:val="24"/>
        </w:rPr>
        <w:t>were in need of</w:t>
      </w:r>
      <w:proofErr w:type="gramEnd"/>
      <w:r w:rsidRPr="00FB55B6">
        <w:rPr>
          <w:sz w:val="24"/>
          <w:szCs w:val="24"/>
        </w:rPr>
        <w:t xml:space="preserve"> white male protection.</w:t>
      </w:r>
      <w:r>
        <w:rPr>
          <w:sz w:val="24"/>
          <w:szCs w:val="24"/>
        </w:rPr>
        <w:t xml:space="preserve"> </w:t>
      </w:r>
      <w:r w:rsidRPr="00FB55B6">
        <w:rPr>
          <w:sz w:val="24"/>
          <w:szCs w:val="24"/>
        </w:rPr>
        <w:t>Pamela Scully’s work helps prevent this argument from becoming too simplistic. Scully criticises historians who treat rape in colonial societies primarily as metaphor or as an index of social tension, rather than also analysing rape as violence.</w:t>
      </w:r>
      <w:r>
        <w:rPr>
          <w:rStyle w:val="FootnoteReference"/>
          <w:sz w:val="24"/>
          <w:szCs w:val="24"/>
        </w:rPr>
        <w:footnoteReference w:id="8"/>
      </w:r>
      <w:r w:rsidRPr="00FB55B6">
        <w:rPr>
          <w:sz w:val="24"/>
          <w:szCs w:val="24"/>
        </w:rPr>
        <w:t xml:space="preserve"> Her point is important. If “Black peril” scares exaggerated certain dangers, that does not mean sexual violence was imaginary. Rather, colonial societies produced </w:t>
      </w:r>
      <w:r w:rsidRPr="00FB55B6">
        <w:rPr>
          <w:sz w:val="24"/>
          <w:szCs w:val="24"/>
        </w:rPr>
        <w:lastRenderedPageBreak/>
        <w:t>deeply unequal conditions in which some forms of sexual violence were made visible and others were obscured. Scully notes that historians have often focused on myths of Black men raping white women while paying less attention to the conditions that authorised the rape of Black women by white men</w:t>
      </w:r>
      <w:r>
        <w:rPr>
          <w:sz w:val="24"/>
          <w:szCs w:val="24"/>
        </w:rPr>
        <w:t>.</w:t>
      </w:r>
      <w:r w:rsidRPr="00FB55B6">
        <w:rPr>
          <w:sz w:val="24"/>
          <w:szCs w:val="24"/>
        </w:rPr>
        <w:t xml:space="preserve"> This is essential to the essay’s argument: “Black peril” scares reveal colonial anxieties not because sexual violence was unreal, but because colonial discourse selected which violence mattered.</w:t>
      </w:r>
    </w:p>
    <w:p w14:paraId="0AF400E1" w14:textId="3150287A" w:rsidR="00FB55B6" w:rsidRPr="00FB55B6" w:rsidRDefault="00FB55B6" w:rsidP="00FB55B6">
      <w:pPr>
        <w:rPr>
          <w:sz w:val="24"/>
          <w:szCs w:val="24"/>
        </w:rPr>
      </w:pPr>
      <w:r w:rsidRPr="00FB55B6">
        <w:rPr>
          <w:sz w:val="24"/>
          <w:szCs w:val="24"/>
        </w:rPr>
        <w:t>Jeremy Martens’ study of Natal’s rape scare of 1886 develops this argument by linking panic to domestic space, economic insecurity and white masculinity. The 1886 scare was shorter and more intense than the earlier panic. It began after an alleged attack on a white woman in Durban and rapidly produced vigilante meetings, mob violence and demands for harsher law.</w:t>
      </w:r>
      <w:r w:rsidR="00CE2409">
        <w:rPr>
          <w:rStyle w:val="FootnoteReference"/>
          <w:sz w:val="24"/>
          <w:szCs w:val="24"/>
        </w:rPr>
        <w:footnoteReference w:id="9"/>
      </w:r>
      <w:r w:rsidRPr="00FB55B6">
        <w:rPr>
          <w:sz w:val="24"/>
          <w:szCs w:val="24"/>
        </w:rPr>
        <w:t xml:space="preserve"> Martens argues that the panic occurred during an economic depression that heightened tensions between white settlers and Black </w:t>
      </w:r>
      <w:proofErr w:type="gramStart"/>
      <w:r w:rsidRPr="00FB55B6">
        <w:rPr>
          <w:sz w:val="24"/>
          <w:szCs w:val="24"/>
        </w:rPr>
        <w:t>competitors, and</w:t>
      </w:r>
      <w:proofErr w:type="gramEnd"/>
      <w:r w:rsidRPr="00FB55B6">
        <w:rPr>
          <w:sz w:val="24"/>
          <w:szCs w:val="24"/>
        </w:rPr>
        <w:t xml:space="preserve"> also unsettled relations between white men and white women.</w:t>
      </w:r>
      <w:r w:rsidR="00CE2409" w:rsidRPr="00FB55B6">
        <w:rPr>
          <w:sz w:val="24"/>
          <w:szCs w:val="24"/>
        </w:rPr>
        <w:t xml:space="preserve"> </w:t>
      </w:r>
      <w:r w:rsidRPr="00FB55B6">
        <w:rPr>
          <w:sz w:val="24"/>
          <w:szCs w:val="24"/>
        </w:rPr>
        <w:t>This context is important because it shows that “Black peril” scares were not simply caused by sexual incidents. They emerged at moments when white male control felt vulnerable.</w:t>
      </w:r>
    </w:p>
    <w:p w14:paraId="1BC9D5C5" w14:textId="5B722898" w:rsidR="00FB55B6" w:rsidRPr="00FB55B6" w:rsidRDefault="00FB55B6" w:rsidP="00FB55B6">
      <w:pPr>
        <w:rPr>
          <w:sz w:val="24"/>
          <w:szCs w:val="24"/>
        </w:rPr>
      </w:pPr>
      <w:r w:rsidRPr="00FB55B6">
        <w:rPr>
          <w:sz w:val="24"/>
          <w:szCs w:val="24"/>
        </w:rPr>
        <w:t>Martens’ most useful contribution is his analysis of Black male domestic servants, often called “houseboys.” White settlers feared these men because they worked inside white homes, performed “women’s work,” and entered intimate spaces normally associated with husbands, sons and family privacy.</w:t>
      </w:r>
      <w:r w:rsidR="00CE2409">
        <w:rPr>
          <w:rStyle w:val="FootnoteReference"/>
          <w:sz w:val="24"/>
          <w:szCs w:val="24"/>
        </w:rPr>
        <w:footnoteReference w:id="10"/>
      </w:r>
      <w:r w:rsidRPr="00FB55B6">
        <w:rPr>
          <w:sz w:val="24"/>
          <w:szCs w:val="24"/>
        </w:rPr>
        <w:t xml:space="preserve"> This reveals why the scare was so emotionally powerful. The figure of the Black houseboy threatened the division between public and private, Black and white, servant and household member. White homes depended on African labour, yet that dependence unsettled the fantasy of racial separation. The panic therefore exposed a contradiction at the heart of settler domesticity: white households required Black </w:t>
      </w:r>
      <w:proofErr w:type="gramStart"/>
      <w:r w:rsidRPr="00FB55B6">
        <w:rPr>
          <w:sz w:val="24"/>
          <w:szCs w:val="24"/>
        </w:rPr>
        <w:t>labour, but</w:t>
      </w:r>
      <w:proofErr w:type="gramEnd"/>
      <w:r w:rsidRPr="00FB55B6">
        <w:rPr>
          <w:sz w:val="24"/>
          <w:szCs w:val="24"/>
        </w:rPr>
        <w:t xml:space="preserve"> also feared the intimacy that such labour created.</w:t>
      </w:r>
    </w:p>
    <w:p w14:paraId="291A9613" w14:textId="77777777" w:rsidR="00FB55B6" w:rsidRPr="00FB55B6" w:rsidRDefault="00FB55B6" w:rsidP="00FB55B6">
      <w:pPr>
        <w:rPr>
          <w:sz w:val="24"/>
          <w:szCs w:val="24"/>
        </w:rPr>
      </w:pPr>
    </w:p>
    <w:p w14:paraId="384F3B12" w14:textId="17A238EE" w:rsidR="00FB55B6" w:rsidRPr="00FB55B6" w:rsidRDefault="00FB55B6" w:rsidP="00FB55B6">
      <w:pPr>
        <w:rPr>
          <w:sz w:val="24"/>
          <w:szCs w:val="24"/>
        </w:rPr>
      </w:pPr>
      <w:r w:rsidRPr="00FB55B6">
        <w:rPr>
          <w:sz w:val="24"/>
          <w:szCs w:val="24"/>
        </w:rPr>
        <w:t>The 1886 panic also demonstrates how sexual fear could be translated into racial legislation. Martens shows that public meetings demanded capital punishment for rape, public flogging and branding for indecent assault, and “Native Registration” for Africans working in towns.</w:t>
      </w:r>
      <w:r w:rsidR="00CE2409">
        <w:rPr>
          <w:rStyle w:val="FootnoteReference"/>
          <w:sz w:val="24"/>
          <w:szCs w:val="24"/>
        </w:rPr>
        <w:footnoteReference w:id="11"/>
      </w:r>
      <w:r w:rsidRPr="00FB55B6">
        <w:rPr>
          <w:sz w:val="24"/>
          <w:szCs w:val="24"/>
        </w:rPr>
        <w:t xml:space="preserve"> These demands reveal that settlers understood “Black peril” not only as a sexual problem, but as a problem of surveillance, labour and movement. Registration would allow the state to monitor African workers more closely, especially those employed in urban and domestic settings. Sexual panic therefore created an opportunity to expand racial control. This supports the view that “Black peril” scares reveal more about colonial anxieties than about sexual violence itself, because the proposed remedies often went far beyond rape law into the general policing of African life.</w:t>
      </w:r>
      <w:r w:rsidR="00CE2409">
        <w:rPr>
          <w:sz w:val="24"/>
          <w:szCs w:val="24"/>
        </w:rPr>
        <w:t xml:space="preserve"> </w:t>
      </w:r>
      <w:r w:rsidRPr="00FB55B6">
        <w:rPr>
          <w:sz w:val="24"/>
          <w:szCs w:val="24"/>
        </w:rPr>
        <w:t xml:space="preserve">David Anderson’s work on Kenya’s flogging scandals is not directly about “Black peril,” but it strengthens this point by showing how settler </w:t>
      </w:r>
      <w:r w:rsidRPr="00FB55B6">
        <w:rPr>
          <w:sz w:val="24"/>
          <w:szCs w:val="24"/>
        </w:rPr>
        <w:lastRenderedPageBreak/>
        <w:t>societies justified racial punishment through claims about African “primitiveness.” Anderson argues that Kenya’s white settlers defended their right to inflict “rough justice” on African workers, often claiming that physical punishment suited the supposedly “raw native.”</w:t>
      </w:r>
      <w:r w:rsidR="00CE2409">
        <w:rPr>
          <w:rStyle w:val="FootnoteReference"/>
          <w:sz w:val="24"/>
          <w:szCs w:val="24"/>
        </w:rPr>
        <w:footnoteReference w:id="12"/>
      </w:r>
      <w:r w:rsidRPr="00FB55B6">
        <w:rPr>
          <w:sz w:val="24"/>
          <w:szCs w:val="24"/>
        </w:rPr>
        <w:t xml:space="preserve"> This is relevant because “Black peril” scares similarly relied on the idea that Black men required exceptional forms of discipline. Whether through flogging, registration, execution or vigilante violence, settler societies used racialised fears to demand coercive authority over colonised men. Anderson therefore helps place sexual panic within a wider culture of settler punishment and racial domination.</w:t>
      </w:r>
    </w:p>
    <w:p w14:paraId="5299E81F" w14:textId="77777777" w:rsidR="00FB55B6" w:rsidRPr="00FB55B6" w:rsidRDefault="00FB55B6" w:rsidP="00FB55B6">
      <w:pPr>
        <w:rPr>
          <w:sz w:val="24"/>
          <w:szCs w:val="24"/>
        </w:rPr>
      </w:pPr>
    </w:p>
    <w:p w14:paraId="4E8B5162" w14:textId="740CD265" w:rsidR="00086157" w:rsidRDefault="00FB55B6" w:rsidP="00FB55B6">
      <w:pPr>
        <w:rPr>
          <w:sz w:val="24"/>
          <w:szCs w:val="24"/>
        </w:rPr>
      </w:pPr>
      <w:r w:rsidRPr="00FB55B6">
        <w:rPr>
          <w:sz w:val="24"/>
          <w:szCs w:val="24"/>
        </w:rPr>
        <w:t>John Pape’s study of colonial Zimbabwe gives the essay a stronger comparative dimension. Pape argues that “Black peril” in colonial Zimbabwe became a “fully hysterical obsession” among the white population, producing legislation that prohibited sexual relations between white women and Black men and leading to the legal and extra-legal execution of Black men for alleged offences.¹⁶ Yet Pape insists that “Black peril” was largely manufactured, with the number of actual cases being extremely small. By contrast, what he calls “white peril</w:t>
      </w:r>
      <w:r w:rsidR="00CE2409">
        <w:rPr>
          <w:sz w:val="24"/>
          <w:szCs w:val="24"/>
        </w:rPr>
        <w:t>,</w:t>
      </w:r>
      <w:r w:rsidRPr="00FB55B6">
        <w:rPr>
          <w:sz w:val="24"/>
          <w:szCs w:val="24"/>
        </w:rPr>
        <w:t>” the sexual abuse of Black women by white men</w:t>
      </w:r>
      <w:r w:rsidR="00CE2409">
        <w:rPr>
          <w:sz w:val="24"/>
          <w:szCs w:val="24"/>
        </w:rPr>
        <w:t>,</w:t>
      </w:r>
      <w:r w:rsidRPr="00FB55B6">
        <w:rPr>
          <w:sz w:val="24"/>
          <w:szCs w:val="24"/>
        </w:rPr>
        <w:t xml:space="preserve"> was far more frequent but rarely acknowledged in colonial newspapers or official </w:t>
      </w:r>
      <w:proofErr w:type="gramStart"/>
      <w:r w:rsidRPr="00FB55B6">
        <w:rPr>
          <w:sz w:val="24"/>
          <w:szCs w:val="24"/>
        </w:rPr>
        <w:t>histories.¹</w:t>
      </w:r>
      <w:proofErr w:type="gramEnd"/>
      <w:r w:rsidRPr="00FB55B6">
        <w:rPr>
          <w:sz w:val="24"/>
          <w:szCs w:val="24"/>
        </w:rPr>
        <w:t>⁷ This comparison is vital. It shows that colonial anxieties did not reflect sexual violence neutrally; they organised sexual violence according to race and power. The imagined violation of white women became a crisis of civilisation, while the abuse of Black women was normalised or ignored.</w:t>
      </w:r>
      <w:r w:rsidR="00CE2409">
        <w:rPr>
          <w:sz w:val="24"/>
          <w:szCs w:val="24"/>
        </w:rPr>
        <w:t xml:space="preserve"> </w:t>
      </w:r>
      <w:r w:rsidRPr="00FB55B6">
        <w:rPr>
          <w:sz w:val="24"/>
          <w:szCs w:val="24"/>
        </w:rPr>
        <w:t xml:space="preserve">Pape’s argument also shows that sexual relations were central to the construction of racial and gender hierarchy. He writes that the “black” and “white” perils were necessary to solidify racial and gender differences and construct a white and male supremacist </w:t>
      </w:r>
      <w:r w:rsidR="00CE2409" w:rsidRPr="00FB55B6">
        <w:rPr>
          <w:sz w:val="24"/>
          <w:szCs w:val="24"/>
        </w:rPr>
        <w:t>order.</w:t>
      </w:r>
      <w:r w:rsidR="00CE2409">
        <w:rPr>
          <w:sz w:val="24"/>
          <w:szCs w:val="24"/>
        </w:rPr>
        <w:t xml:space="preserve"> </w:t>
      </w:r>
      <w:r w:rsidRPr="00FB55B6">
        <w:rPr>
          <w:sz w:val="24"/>
          <w:szCs w:val="24"/>
        </w:rPr>
        <w:t>This directly supports the essay’s thesis. The point of “Black peril” discourse was not only to punish alleged offenders, but to define who could desire whom, who could be believed, whose bodies required protection, and whose suffering could be overlooked. In that sense, “Black peril” scares tell historians less about the true incidence of rape than about the racial imagination of settler colonialism.</w:t>
      </w:r>
      <w:r>
        <w:rPr>
          <w:rStyle w:val="FootnoteReference"/>
          <w:sz w:val="24"/>
          <w:szCs w:val="24"/>
        </w:rPr>
        <w:footnoteReference w:id="13"/>
      </w:r>
    </w:p>
    <w:p w14:paraId="692C35E0" w14:textId="77777777" w:rsidR="00C94B72" w:rsidRDefault="00C94B72" w:rsidP="00FB55B6">
      <w:pPr>
        <w:rPr>
          <w:sz w:val="24"/>
          <w:szCs w:val="24"/>
        </w:rPr>
      </w:pPr>
    </w:p>
    <w:p w14:paraId="3C11C5A4" w14:textId="7CEE5069" w:rsidR="00C94B72" w:rsidRDefault="00C94B72" w:rsidP="00C94B72">
      <w:pPr>
        <w:rPr>
          <w:sz w:val="24"/>
          <w:szCs w:val="24"/>
        </w:rPr>
      </w:pPr>
      <w:r w:rsidRPr="00C94B72">
        <w:rPr>
          <w:sz w:val="24"/>
          <w:szCs w:val="24"/>
        </w:rPr>
        <w:t>The contrast between “Black peril” and “white peril” is therefore central to evaluating the quotation. Pape's distinction is useful because it shows that colonial sexual discourse wasn't focused on preventing sexual violence. It was organised to protect white racial authority. Black men allegedly threatening white women sexually was treated as a public emergency, while white men coercing Black women was often dismissed as ordinary, invisible, or unimportant.</w:t>
      </w:r>
      <w:r>
        <w:rPr>
          <w:rStyle w:val="FootnoteReference"/>
          <w:sz w:val="24"/>
          <w:szCs w:val="24"/>
        </w:rPr>
        <w:footnoteReference w:id="14"/>
      </w:r>
      <w:r w:rsidRPr="00C94B72">
        <w:rPr>
          <w:sz w:val="24"/>
          <w:szCs w:val="24"/>
        </w:rPr>
        <w:t xml:space="preserve"> This shows colonial morality's bias. Only when sexual violence threatened whiteness was it politically urgent.</w:t>
      </w:r>
      <w:r>
        <w:rPr>
          <w:sz w:val="24"/>
          <w:szCs w:val="24"/>
        </w:rPr>
        <w:t xml:space="preserve"> </w:t>
      </w:r>
      <w:r w:rsidRPr="00C94B72">
        <w:rPr>
          <w:sz w:val="24"/>
          <w:szCs w:val="24"/>
        </w:rPr>
        <w:t xml:space="preserve">An important warning comes from Scully's analysis of rape in the nineteenth-century Cape Colony. </w:t>
      </w:r>
      <w:r w:rsidRPr="00C94B72">
        <w:rPr>
          <w:sz w:val="24"/>
          <w:szCs w:val="24"/>
        </w:rPr>
        <w:lastRenderedPageBreak/>
        <w:t>She claims that historians should not use rape as a metaphor for colonial tension because men physically assaulted women.</w:t>
      </w:r>
      <w:r>
        <w:rPr>
          <w:rStyle w:val="FootnoteReference"/>
          <w:sz w:val="24"/>
          <w:szCs w:val="24"/>
        </w:rPr>
        <w:footnoteReference w:id="15"/>
      </w:r>
      <w:r w:rsidRPr="00C94B72">
        <w:rPr>
          <w:sz w:val="24"/>
          <w:szCs w:val="24"/>
        </w:rPr>
        <w:t xml:space="preserve"> This point prevents the essay from simply dismissing “Black peril” as fantasy. Sexual violence existed, but colonial society interpreted it through racial hierarchy. Scully's Cape case studies show that rape's meaning varied by victim and accused's race, class, and social status.</w:t>
      </w:r>
      <w:r>
        <w:rPr>
          <w:rStyle w:val="FootnoteReference"/>
          <w:sz w:val="24"/>
          <w:szCs w:val="24"/>
        </w:rPr>
        <w:footnoteReference w:id="16"/>
      </w:r>
      <w:r w:rsidRPr="00C94B72">
        <w:rPr>
          <w:sz w:val="24"/>
          <w:szCs w:val="24"/>
        </w:rPr>
        <w:t xml:space="preserve"> A white woman's accusation could symbolise racial crisis in colonial courts and public discourse, while a Black or “coloured” woman's sexual violation was less likely to spark moral outrage. Thus, colonial power filtered sexual violence "reality".</w:t>
      </w:r>
      <w:r w:rsidRPr="00C94B72">
        <w:rPr>
          <w:sz w:val="24"/>
          <w:szCs w:val="24"/>
        </w:rPr>
        <w:br/>
      </w:r>
      <w:r w:rsidRPr="00C94B72">
        <w:rPr>
          <w:sz w:val="24"/>
          <w:szCs w:val="24"/>
        </w:rPr>
        <w:br/>
        <w:t>The logic of “Black peril” relied on silence or reshaping women's testimony. While white women were symbols of the panic, they were not always treated as autonomous subjects. West's review of McCulloch found that Southern Rhodesia's “Black peril” laws often regulated white women's sexuality rather than punishing Black men.</w:t>
      </w:r>
      <w:r>
        <w:rPr>
          <w:rStyle w:val="FootnoteReference"/>
          <w:sz w:val="24"/>
          <w:szCs w:val="24"/>
        </w:rPr>
        <w:footnoteReference w:id="17"/>
      </w:r>
      <w:r w:rsidRPr="00C94B72">
        <w:rPr>
          <w:sz w:val="24"/>
          <w:szCs w:val="24"/>
        </w:rPr>
        <w:t xml:space="preserve"> The colonial state rejected consensual sexual relations between white women and African men because consent threatened the racial order. A relationship like this could be interpreted as assault, seduction, or racial degradation. Thus, “Black peril” scares reflect white male anxiety about white women as well as Black men. The panic was based on the fear that white women might fail to maintain racial purity. Still, white women were more than symbols. Ware's larger study of white womanhood and racism shows that white femininity was historically constructed within racial power.</w:t>
      </w:r>
      <w:r>
        <w:rPr>
          <w:rStyle w:val="FootnoteReference"/>
          <w:sz w:val="24"/>
          <w:szCs w:val="24"/>
        </w:rPr>
        <w:footnoteReference w:id="18"/>
      </w:r>
      <w:r w:rsidRPr="00C94B72">
        <w:rPr>
          <w:sz w:val="24"/>
          <w:szCs w:val="24"/>
        </w:rPr>
        <w:t xml:space="preserve"> Some white women in settler communities fought for racial boundaries, domestic control, and interracial sex policing. This complicates the idea that white men manipulate white women. The structure of “Black peril” discourse still considered white women's bodies racial property. Their sexuality influenced colonial law, medical debate, public meetings, and male vigilantism.</w:t>
      </w:r>
      <w:r w:rsidRPr="00C94B72">
        <w:rPr>
          <w:sz w:val="24"/>
          <w:szCs w:val="24"/>
        </w:rPr>
        <w:br/>
      </w:r>
      <w:r w:rsidRPr="00C94B72">
        <w:rPr>
          <w:sz w:val="24"/>
          <w:szCs w:val="24"/>
        </w:rPr>
        <w:br/>
        <w:t>These fears became state power through law and punishment. Anderson's research on Kenya's flogging scandals shows that settler societies justified violent punishment with racial notions of African “primitiveness” and the need for rough discipline.</w:t>
      </w:r>
      <w:r>
        <w:rPr>
          <w:rStyle w:val="FootnoteReference"/>
          <w:sz w:val="24"/>
          <w:szCs w:val="24"/>
        </w:rPr>
        <w:footnoteReference w:id="19"/>
      </w:r>
      <w:r w:rsidRPr="00C94B72">
        <w:rPr>
          <w:sz w:val="24"/>
          <w:szCs w:val="24"/>
        </w:rPr>
        <w:t xml:space="preserve"> Anderson does not directly discuss "Black peril," but his argument places these scares in a culture of settler authority. Settlers in Natal, Southern Rhodesia, and Kenya demanded flogging, registration, surveillance, execution, and special legal treatment for African men. Sexual panic justified these measures by portraying Black men as threats who could not be governed by law.</w:t>
      </w:r>
      <w:r>
        <w:rPr>
          <w:sz w:val="24"/>
          <w:szCs w:val="24"/>
        </w:rPr>
        <w:t xml:space="preserve"> </w:t>
      </w:r>
      <w:r w:rsidRPr="00C94B72">
        <w:rPr>
          <w:sz w:val="24"/>
          <w:szCs w:val="24"/>
        </w:rPr>
        <w:t>The Rhodesian example is particularly severe. According to West's review, McCulloch found 20 executions and 200 imprisonments or floggings for sexual assault, all of which involved white women and Black men.</w:t>
      </w:r>
      <w:r>
        <w:rPr>
          <w:rStyle w:val="FootnoteReference"/>
          <w:sz w:val="24"/>
          <w:szCs w:val="24"/>
        </w:rPr>
        <w:footnoteReference w:id="20"/>
      </w:r>
      <w:r w:rsidRPr="00C94B72">
        <w:rPr>
          <w:sz w:val="24"/>
          <w:szCs w:val="24"/>
        </w:rPr>
        <w:t xml:space="preserve"> The issue is that the legal response was disproportionate, racially structured, and often unsupported by evidence. West notes McCulloch’s argument that many convictions were not warranted and that </w:t>
      </w:r>
      <w:r w:rsidRPr="00C94B72">
        <w:rPr>
          <w:sz w:val="24"/>
          <w:szCs w:val="24"/>
        </w:rPr>
        <w:lastRenderedPageBreak/>
        <w:t>accused men often faced trials in a foreign language, under degrading names, with little chance to defend themselves properly.</w:t>
      </w:r>
      <w:r>
        <w:rPr>
          <w:rStyle w:val="FootnoteReference"/>
          <w:sz w:val="24"/>
          <w:szCs w:val="24"/>
        </w:rPr>
        <w:footnoteReference w:id="21"/>
      </w:r>
      <w:r w:rsidRPr="00C94B72">
        <w:rPr>
          <w:sz w:val="24"/>
          <w:szCs w:val="24"/>
        </w:rPr>
        <w:t xml:space="preserve"> “Black peril” therefore reveals the operation of colonial justice as much as it reveals colonial fear. The accused Black male body helped settler society regain control.</w:t>
      </w:r>
      <w:r>
        <w:rPr>
          <w:sz w:val="24"/>
          <w:szCs w:val="24"/>
        </w:rPr>
        <w:t xml:space="preserve"> </w:t>
      </w:r>
      <w:r w:rsidRPr="00C94B72">
        <w:rPr>
          <w:sz w:val="24"/>
          <w:szCs w:val="24"/>
        </w:rPr>
        <w:t>This explains why the quotation is persuasive. “Black peril” scares reveal colonial anxieties more than sexual violence distribution. They reveal concerns about racial boundary-crossing, white women's sexuality, Black domestic labour, economic insecurity, urbanisation, and settler authority. Fear spread in Natal despite little evidence of rape. Black peril was exaggerated while white peril was downplayed in Zimbabwe. In Kenya, settler insistence on forceful discipline of African bodies included racial punishment. These examples show how settlers used sexual fear to discuss dominance. Nevertheless, the quotation should not be accepted without qualification. The fact that “Black peril” scares reflect colonial anxieties does not negate sexual violence. Scully’s warning is essential: rape must be analysed as violence as well as metaphor.</w:t>
      </w:r>
      <w:r>
        <w:rPr>
          <w:rStyle w:val="FootnoteReference"/>
          <w:sz w:val="24"/>
          <w:szCs w:val="24"/>
        </w:rPr>
        <w:footnoteReference w:id="22"/>
      </w:r>
      <w:r w:rsidRPr="00C94B72">
        <w:rPr>
          <w:sz w:val="24"/>
          <w:szCs w:val="24"/>
        </w:rPr>
        <w:t xml:space="preserve"> The real issue is that colonial societies accepted some sexual violence but not others. Black men were portrayed as a threat to white women, while colonised women were ignored. Racial politics of credibility, victimhood, and protection are revealed by the distinction between “Black peril” and “white peril”.</w:t>
      </w:r>
      <w:r w:rsidRPr="00C94B72">
        <w:rPr>
          <w:sz w:val="24"/>
          <w:szCs w:val="24"/>
        </w:rPr>
        <w:br/>
      </w:r>
      <w:r w:rsidRPr="00C94B72">
        <w:rPr>
          <w:sz w:val="24"/>
          <w:szCs w:val="24"/>
        </w:rPr>
        <w:br/>
        <w:t>In conclusion, “Black peril” scares reveal more about colonial anxieties than about the realities of sexual violence, but only if “realities” is understood carefully. These scares were not accurate reflections of rape patterns; they were racialised interpretations of danger produced by settler societies fearful of losing control. They show how gender and sexuality were central to colonial rule, because the boundaries of empire were defended not only through territory, labour and law, but also through the imagined protection of white women and the regulation of intimacy. Yet the panics also reveal something about sexual violence itself: namely, that colonial power determined whose suffering became visible. “Black peril” was therefore less a neutral response to crime than a political mythology of white vulnerability and Black danger. Its greatest historical significance lies in how it exposed the insecurities of colonial</w:t>
      </w:r>
      <w:r>
        <w:rPr>
          <w:sz w:val="24"/>
          <w:szCs w:val="24"/>
        </w:rPr>
        <w:t>.</w:t>
      </w:r>
    </w:p>
    <w:p w14:paraId="7145FC93" w14:textId="77777777" w:rsidR="00C94B72" w:rsidRDefault="00C94B72" w:rsidP="00C94B72">
      <w:pPr>
        <w:rPr>
          <w:sz w:val="24"/>
          <w:szCs w:val="24"/>
        </w:rPr>
      </w:pPr>
    </w:p>
    <w:p w14:paraId="488D56FD" w14:textId="25B900AD" w:rsidR="00C94B72" w:rsidRDefault="00C94B72" w:rsidP="00C94B72">
      <w:pPr>
        <w:rPr>
          <w:sz w:val="28"/>
          <w:szCs w:val="28"/>
          <w:u w:val="single"/>
        </w:rPr>
      </w:pPr>
      <w:r>
        <w:rPr>
          <w:sz w:val="28"/>
          <w:szCs w:val="28"/>
          <w:u w:val="single"/>
        </w:rPr>
        <w:t>Bibliography</w:t>
      </w:r>
    </w:p>
    <w:p w14:paraId="6C77C464" w14:textId="77777777" w:rsidR="00C94B72" w:rsidRDefault="00C94B72" w:rsidP="00C94B72">
      <w:pPr>
        <w:rPr>
          <w:sz w:val="28"/>
          <w:szCs w:val="28"/>
          <w:u w:val="single"/>
        </w:rPr>
      </w:pPr>
    </w:p>
    <w:p w14:paraId="25497373" w14:textId="77777777" w:rsidR="00C94B72" w:rsidRPr="00C94B72" w:rsidRDefault="00C94B72" w:rsidP="00C94B72">
      <w:pPr>
        <w:rPr>
          <w:sz w:val="24"/>
          <w:szCs w:val="24"/>
        </w:rPr>
      </w:pPr>
      <w:r w:rsidRPr="00C94B72">
        <w:rPr>
          <w:sz w:val="24"/>
          <w:szCs w:val="24"/>
        </w:rPr>
        <w:t xml:space="preserve">Anderson, David M., ‘Punishment, Race and “The Raw Native”: Settler Society and Kenya’s Flogging Scandals, 1895–1930’, 2011, </w:t>
      </w:r>
      <w:r w:rsidRPr="00C94B72">
        <w:rPr>
          <w:i/>
          <w:iCs/>
          <w:sz w:val="24"/>
          <w:szCs w:val="24"/>
        </w:rPr>
        <w:t>Journal of Southern African Studies</w:t>
      </w:r>
      <w:r w:rsidRPr="00C94B72">
        <w:rPr>
          <w:sz w:val="24"/>
          <w:szCs w:val="24"/>
        </w:rPr>
        <w:t>.</w:t>
      </w:r>
    </w:p>
    <w:p w14:paraId="0DDECF5C" w14:textId="77777777" w:rsidR="00C94B72" w:rsidRPr="00C94B72" w:rsidRDefault="00C94B72" w:rsidP="00C94B72">
      <w:pPr>
        <w:rPr>
          <w:sz w:val="24"/>
          <w:szCs w:val="24"/>
        </w:rPr>
      </w:pPr>
      <w:r w:rsidRPr="00C94B72">
        <w:rPr>
          <w:sz w:val="24"/>
          <w:szCs w:val="24"/>
        </w:rPr>
        <w:t xml:space="preserve">Etherington, Norman, ‘Natal’s Black Rape Scare of the 1870s’, 1988, </w:t>
      </w:r>
      <w:r w:rsidRPr="00C94B72">
        <w:rPr>
          <w:i/>
          <w:iCs/>
          <w:sz w:val="24"/>
          <w:szCs w:val="24"/>
        </w:rPr>
        <w:t>Journal of Southern African Studies</w:t>
      </w:r>
      <w:r w:rsidRPr="00C94B72">
        <w:rPr>
          <w:sz w:val="24"/>
          <w:szCs w:val="24"/>
        </w:rPr>
        <w:t>.</w:t>
      </w:r>
    </w:p>
    <w:p w14:paraId="37C5A1F6" w14:textId="77777777" w:rsidR="00C94B72" w:rsidRPr="00C94B72" w:rsidRDefault="00C94B72" w:rsidP="00C94B72">
      <w:pPr>
        <w:rPr>
          <w:sz w:val="24"/>
          <w:szCs w:val="24"/>
        </w:rPr>
      </w:pPr>
      <w:r w:rsidRPr="00C94B72">
        <w:rPr>
          <w:sz w:val="24"/>
          <w:szCs w:val="24"/>
        </w:rPr>
        <w:t xml:space="preserve">Levine, Philippa, </w:t>
      </w:r>
      <w:r w:rsidRPr="00C94B72">
        <w:rPr>
          <w:i/>
          <w:iCs/>
          <w:sz w:val="24"/>
          <w:szCs w:val="24"/>
        </w:rPr>
        <w:t>Gender and Empire</w:t>
      </w:r>
      <w:r w:rsidRPr="00C94B72">
        <w:rPr>
          <w:sz w:val="24"/>
          <w:szCs w:val="24"/>
        </w:rPr>
        <w:t>, 2007, Oxford University Press.</w:t>
      </w:r>
    </w:p>
    <w:p w14:paraId="33E33448" w14:textId="77777777" w:rsidR="00C94B72" w:rsidRPr="00C94B72" w:rsidRDefault="00C94B72" w:rsidP="00C94B72">
      <w:pPr>
        <w:rPr>
          <w:sz w:val="24"/>
          <w:szCs w:val="24"/>
        </w:rPr>
      </w:pPr>
      <w:r w:rsidRPr="00C94B72">
        <w:rPr>
          <w:sz w:val="24"/>
          <w:szCs w:val="24"/>
        </w:rPr>
        <w:lastRenderedPageBreak/>
        <w:t xml:space="preserve">Martens, Jeremy C., ‘Settler Homes, Manhood and “Houseboys”: An Analysis of Natal’s Rape Scare of 1886’, 2002, </w:t>
      </w:r>
      <w:r w:rsidRPr="00C94B72">
        <w:rPr>
          <w:i/>
          <w:iCs/>
          <w:sz w:val="24"/>
          <w:szCs w:val="24"/>
        </w:rPr>
        <w:t>Journal of Southern African Studies</w:t>
      </w:r>
      <w:r w:rsidRPr="00C94B72">
        <w:rPr>
          <w:sz w:val="24"/>
          <w:szCs w:val="24"/>
        </w:rPr>
        <w:t>.</w:t>
      </w:r>
    </w:p>
    <w:p w14:paraId="2E5986CC" w14:textId="77777777" w:rsidR="00C94B72" w:rsidRPr="00C94B72" w:rsidRDefault="00C94B72" w:rsidP="00C94B72">
      <w:pPr>
        <w:rPr>
          <w:sz w:val="24"/>
          <w:szCs w:val="24"/>
        </w:rPr>
      </w:pPr>
      <w:r w:rsidRPr="00C94B72">
        <w:rPr>
          <w:sz w:val="24"/>
          <w:szCs w:val="24"/>
        </w:rPr>
        <w:t xml:space="preserve">Pape, John, ‘Black and White: The “Perils of Sex” in Colonial Zimbabwe’, 1990, </w:t>
      </w:r>
      <w:r w:rsidRPr="00C94B72">
        <w:rPr>
          <w:i/>
          <w:iCs/>
          <w:sz w:val="24"/>
          <w:szCs w:val="24"/>
        </w:rPr>
        <w:t>Journal of Southern African Studies</w:t>
      </w:r>
      <w:r w:rsidRPr="00C94B72">
        <w:rPr>
          <w:sz w:val="24"/>
          <w:szCs w:val="24"/>
        </w:rPr>
        <w:t>.</w:t>
      </w:r>
    </w:p>
    <w:p w14:paraId="3B951561" w14:textId="77777777" w:rsidR="00C94B72" w:rsidRPr="00C94B72" w:rsidRDefault="00C94B72" w:rsidP="00C94B72">
      <w:pPr>
        <w:rPr>
          <w:sz w:val="24"/>
          <w:szCs w:val="24"/>
        </w:rPr>
      </w:pPr>
      <w:r w:rsidRPr="00C94B72">
        <w:rPr>
          <w:sz w:val="24"/>
          <w:szCs w:val="24"/>
        </w:rPr>
        <w:t xml:space="preserve">Scully, Pamela, ‘Rape, Race, and Colonial Culture: The Sexual Politics of Identity in the Nineteenth-Century Cape Colony, South Africa’, 1995, </w:t>
      </w:r>
      <w:r w:rsidRPr="00C94B72">
        <w:rPr>
          <w:i/>
          <w:iCs/>
          <w:sz w:val="24"/>
          <w:szCs w:val="24"/>
        </w:rPr>
        <w:t>The American Historical Review</w:t>
      </w:r>
      <w:r w:rsidRPr="00C94B72">
        <w:rPr>
          <w:sz w:val="24"/>
          <w:szCs w:val="24"/>
        </w:rPr>
        <w:t>.</w:t>
      </w:r>
    </w:p>
    <w:p w14:paraId="6161F8D6" w14:textId="77777777" w:rsidR="00C94B72" w:rsidRPr="00C94B72" w:rsidRDefault="00C94B72" w:rsidP="00C94B72">
      <w:pPr>
        <w:rPr>
          <w:sz w:val="24"/>
          <w:szCs w:val="24"/>
        </w:rPr>
      </w:pPr>
      <w:r w:rsidRPr="00C94B72">
        <w:rPr>
          <w:sz w:val="24"/>
          <w:szCs w:val="24"/>
        </w:rPr>
        <w:t xml:space="preserve">Stoler, Ann Laura, </w:t>
      </w:r>
      <w:r w:rsidRPr="00C94B72">
        <w:rPr>
          <w:i/>
          <w:iCs/>
          <w:sz w:val="24"/>
          <w:szCs w:val="24"/>
        </w:rPr>
        <w:t>Carnal Knowledge and Imperial Power: Race and the Intimate in Colonial Rule</w:t>
      </w:r>
      <w:r w:rsidRPr="00C94B72">
        <w:rPr>
          <w:sz w:val="24"/>
          <w:szCs w:val="24"/>
        </w:rPr>
        <w:t>, 2002, University of California Press.</w:t>
      </w:r>
    </w:p>
    <w:p w14:paraId="06941857" w14:textId="77777777" w:rsidR="00C94B72" w:rsidRPr="00C94B72" w:rsidRDefault="00C94B72" w:rsidP="00C94B72">
      <w:pPr>
        <w:rPr>
          <w:sz w:val="24"/>
          <w:szCs w:val="24"/>
        </w:rPr>
      </w:pPr>
      <w:r w:rsidRPr="00C94B72">
        <w:rPr>
          <w:sz w:val="24"/>
          <w:szCs w:val="24"/>
        </w:rPr>
        <w:t xml:space="preserve">Ware, </w:t>
      </w:r>
      <w:proofErr w:type="spellStart"/>
      <w:r w:rsidRPr="00C94B72">
        <w:rPr>
          <w:sz w:val="24"/>
          <w:szCs w:val="24"/>
        </w:rPr>
        <w:t>Vron</w:t>
      </w:r>
      <w:proofErr w:type="spellEnd"/>
      <w:r w:rsidRPr="00C94B72">
        <w:rPr>
          <w:sz w:val="24"/>
          <w:szCs w:val="24"/>
        </w:rPr>
        <w:t xml:space="preserve">, </w:t>
      </w:r>
      <w:r w:rsidRPr="00C94B72">
        <w:rPr>
          <w:i/>
          <w:iCs/>
          <w:sz w:val="24"/>
          <w:szCs w:val="24"/>
        </w:rPr>
        <w:t>Beyond the Pale: White Women, Racism and History</w:t>
      </w:r>
      <w:r w:rsidRPr="00C94B72">
        <w:rPr>
          <w:sz w:val="24"/>
          <w:szCs w:val="24"/>
        </w:rPr>
        <w:t>, 1992, Verso.</w:t>
      </w:r>
    </w:p>
    <w:p w14:paraId="7A7678F9" w14:textId="77777777" w:rsidR="00C94B72" w:rsidRPr="00C94B72" w:rsidRDefault="00C94B72" w:rsidP="00C94B72">
      <w:pPr>
        <w:rPr>
          <w:sz w:val="24"/>
          <w:szCs w:val="24"/>
        </w:rPr>
      </w:pPr>
      <w:r w:rsidRPr="00C94B72">
        <w:rPr>
          <w:sz w:val="24"/>
          <w:szCs w:val="24"/>
        </w:rPr>
        <w:t xml:space="preserve">West, Michael O., ‘Review of Jock McCulloch, </w:t>
      </w:r>
      <w:r w:rsidRPr="00C94B72">
        <w:rPr>
          <w:i/>
          <w:iCs/>
          <w:sz w:val="24"/>
          <w:szCs w:val="24"/>
        </w:rPr>
        <w:t>Black Peril, White Virtue: Sexual Crime in Southern Rhodesia, 1902–1935</w:t>
      </w:r>
      <w:r w:rsidRPr="00C94B72">
        <w:rPr>
          <w:sz w:val="24"/>
          <w:szCs w:val="24"/>
        </w:rPr>
        <w:t xml:space="preserve">’, 2003, </w:t>
      </w:r>
      <w:r w:rsidRPr="00C94B72">
        <w:rPr>
          <w:i/>
          <w:iCs/>
          <w:sz w:val="24"/>
          <w:szCs w:val="24"/>
        </w:rPr>
        <w:t>Journal of Social History</w:t>
      </w:r>
      <w:r w:rsidRPr="00C94B72">
        <w:rPr>
          <w:sz w:val="24"/>
          <w:szCs w:val="24"/>
        </w:rPr>
        <w:t>.</w:t>
      </w:r>
    </w:p>
    <w:p w14:paraId="6D3A0588" w14:textId="77777777" w:rsidR="00C94B72" w:rsidRPr="00C94B72" w:rsidRDefault="00C94B72" w:rsidP="00C94B72">
      <w:pPr>
        <w:rPr>
          <w:sz w:val="24"/>
          <w:szCs w:val="24"/>
        </w:rPr>
      </w:pPr>
    </w:p>
    <w:p w14:paraId="228A960F" w14:textId="77777777" w:rsidR="00C94B72" w:rsidRPr="00C94B72" w:rsidRDefault="00C94B72" w:rsidP="00FB55B6"/>
    <w:sectPr w:rsidR="00C94B72" w:rsidRPr="00C94B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93E08" w14:textId="77777777" w:rsidR="0045165A" w:rsidRDefault="0045165A" w:rsidP="00FB55B6">
      <w:pPr>
        <w:spacing w:after="0" w:line="240" w:lineRule="auto"/>
      </w:pPr>
      <w:r>
        <w:separator/>
      </w:r>
    </w:p>
  </w:endnote>
  <w:endnote w:type="continuationSeparator" w:id="0">
    <w:p w14:paraId="17FE9D5F" w14:textId="77777777" w:rsidR="0045165A" w:rsidRDefault="0045165A" w:rsidP="00FB5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9FE3F" w14:textId="77777777" w:rsidR="0045165A" w:rsidRDefault="0045165A" w:rsidP="00FB55B6">
      <w:pPr>
        <w:spacing w:after="0" w:line="240" w:lineRule="auto"/>
      </w:pPr>
      <w:r>
        <w:separator/>
      </w:r>
    </w:p>
  </w:footnote>
  <w:footnote w:type="continuationSeparator" w:id="0">
    <w:p w14:paraId="1E9DD7CE" w14:textId="77777777" w:rsidR="0045165A" w:rsidRDefault="0045165A" w:rsidP="00FB55B6">
      <w:pPr>
        <w:spacing w:after="0" w:line="240" w:lineRule="auto"/>
      </w:pPr>
      <w:r>
        <w:continuationSeparator/>
      </w:r>
    </w:p>
  </w:footnote>
  <w:footnote w:id="1">
    <w:p w14:paraId="762A58F4" w14:textId="292CED28" w:rsidR="00FB55B6" w:rsidRDefault="00FB55B6">
      <w:pPr>
        <w:pStyle w:val="FootnoteText"/>
      </w:pPr>
      <w:r>
        <w:rPr>
          <w:rStyle w:val="FootnoteReference"/>
        </w:rPr>
        <w:footnoteRef/>
      </w:r>
      <w:r>
        <w:t xml:space="preserve"> </w:t>
      </w:r>
      <w:r w:rsidRPr="00FB55B6">
        <w:t xml:space="preserve">Levine, </w:t>
      </w:r>
      <w:r w:rsidRPr="00FB55B6">
        <w:rPr>
          <w:i/>
          <w:iCs/>
        </w:rPr>
        <w:t>Gender and Empire</w:t>
      </w:r>
      <w:r w:rsidRPr="00FB55B6">
        <w:t>, pp. 1-3.</w:t>
      </w:r>
    </w:p>
  </w:footnote>
  <w:footnote w:id="2">
    <w:p w14:paraId="3F1169B8" w14:textId="6EEB795C" w:rsidR="00FB55B6" w:rsidRDefault="00FB55B6">
      <w:pPr>
        <w:pStyle w:val="FootnoteText"/>
      </w:pPr>
      <w:r>
        <w:rPr>
          <w:rStyle w:val="FootnoteReference"/>
        </w:rPr>
        <w:footnoteRef/>
      </w:r>
      <w:r>
        <w:t xml:space="preserve"> </w:t>
      </w:r>
      <w:r w:rsidRPr="00FB55B6">
        <w:t xml:space="preserve">Ware, </w:t>
      </w:r>
      <w:r w:rsidRPr="00FB55B6">
        <w:rPr>
          <w:i/>
          <w:iCs/>
        </w:rPr>
        <w:t>Beyond the Pale</w:t>
      </w:r>
      <w:r w:rsidRPr="00FB55B6">
        <w:t>, pp. xi-xiii.</w:t>
      </w:r>
    </w:p>
  </w:footnote>
  <w:footnote w:id="3">
    <w:p w14:paraId="5CAB4C28" w14:textId="053F1F3C" w:rsidR="00FB55B6" w:rsidRDefault="00FB55B6">
      <w:pPr>
        <w:pStyle w:val="FootnoteText"/>
      </w:pPr>
      <w:r>
        <w:rPr>
          <w:rStyle w:val="FootnoteReference"/>
        </w:rPr>
        <w:footnoteRef/>
      </w:r>
      <w:r>
        <w:t xml:space="preserve"> </w:t>
      </w:r>
      <w:r w:rsidRPr="00FB55B6">
        <w:t xml:space="preserve">Stoler, </w:t>
      </w:r>
      <w:r w:rsidRPr="00FB55B6">
        <w:rPr>
          <w:i/>
          <w:iCs/>
        </w:rPr>
        <w:t>Carnal Knowledge and Imperial Power</w:t>
      </w:r>
      <w:r w:rsidRPr="00FB55B6">
        <w:t>, pp. 1-8.</w:t>
      </w:r>
    </w:p>
  </w:footnote>
  <w:footnote w:id="4">
    <w:p w14:paraId="35600088" w14:textId="6BA83C3E" w:rsidR="00FB55B6" w:rsidRDefault="00FB55B6">
      <w:pPr>
        <w:pStyle w:val="FootnoteText"/>
      </w:pPr>
      <w:r>
        <w:rPr>
          <w:rStyle w:val="FootnoteReference"/>
        </w:rPr>
        <w:footnoteRef/>
      </w:r>
      <w:r>
        <w:t xml:space="preserve"> </w:t>
      </w:r>
      <w:r w:rsidRPr="00FB55B6">
        <w:t>Etherington, ‘Natal’s Black Rape Scare of the 1870s’, p. 36.</w:t>
      </w:r>
    </w:p>
  </w:footnote>
  <w:footnote w:id="5">
    <w:p w14:paraId="2AA5DD98" w14:textId="2F6429F1" w:rsidR="00FB55B6" w:rsidRDefault="00FB55B6">
      <w:pPr>
        <w:pStyle w:val="FootnoteText"/>
      </w:pPr>
      <w:r>
        <w:rPr>
          <w:rStyle w:val="FootnoteReference"/>
        </w:rPr>
        <w:footnoteRef/>
      </w:r>
      <w:r>
        <w:t xml:space="preserve"> Ibid</w:t>
      </w:r>
    </w:p>
  </w:footnote>
  <w:footnote w:id="6">
    <w:p w14:paraId="189CFBB4" w14:textId="2268C997" w:rsidR="00FB55B6" w:rsidRDefault="00FB55B6">
      <w:pPr>
        <w:pStyle w:val="FootnoteText"/>
      </w:pPr>
      <w:r>
        <w:rPr>
          <w:rStyle w:val="FootnoteReference"/>
        </w:rPr>
        <w:footnoteRef/>
      </w:r>
      <w:r>
        <w:t xml:space="preserve"> Ibid</w:t>
      </w:r>
    </w:p>
  </w:footnote>
  <w:footnote w:id="7">
    <w:p w14:paraId="0EEBED9E" w14:textId="1618544D" w:rsidR="00FB55B6" w:rsidRDefault="00FB55B6">
      <w:pPr>
        <w:pStyle w:val="FootnoteText"/>
      </w:pPr>
      <w:r>
        <w:rPr>
          <w:rStyle w:val="FootnoteReference"/>
        </w:rPr>
        <w:footnoteRef/>
      </w:r>
      <w:r>
        <w:t xml:space="preserve"> Ibid, </w:t>
      </w:r>
      <w:r w:rsidRPr="00FB55B6">
        <w:t>p. 38.</w:t>
      </w:r>
    </w:p>
  </w:footnote>
  <w:footnote w:id="8">
    <w:p w14:paraId="356DC23B" w14:textId="229E733F" w:rsidR="00FB55B6" w:rsidRDefault="00FB55B6">
      <w:pPr>
        <w:pStyle w:val="FootnoteText"/>
      </w:pPr>
      <w:r>
        <w:rPr>
          <w:rStyle w:val="FootnoteReference"/>
        </w:rPr>
        <w:footnoteRef/>
      </w:r>
      <w:r>
        <w:t xml:space="preserve"> </w:t>
      </w:r>
      <w:r w:rsidRPr="00FB55B6">
        <w:t>Scully, ‘Rape, Race, and Colonial Culture’, pp. 336-337.</w:t>
      </w:r>
    </w:p>
  </w:footnote>
  <w:footnote w:id="9">
    <w:p w14:paraId="17D74691" w14:textId="22CCF949" w:rsidR="00CE2409" w:rsidRDefault="00CE2409">
      <w:pPr>
        <w:pStyle w:val="FootnoteText"/>
      </w:pPr>
      <w:r>
        <w:rPr>
          <w:rStyle w:val="FootnoteReference"/>
        </w:rPr>
        <w:footnoteRef/>
      </w:r>
      <w:r>
        <w:t xml:space="preserve"> </w:t>
      </w:r>
      <w:r w:rsidRPr="00CE2409">
        <w:t>Martens, ‘Settler Homes, Manhood and “Houseboys”’, pp. 379-380.</w:t>
      </w:r>
    </w:p>
  </w:footnote>
  <w:footnote w:id="10">
    <w:p w14:paraId="458C2696" w14:textId="1801A3E3" w:rsidR="00CE2409" w:rsidRDefault="00CE2409">
      <w:pPr>
        <w:pStyle w:val="FootnoteText"/>
      </w:pPr>
      <w:r>
        <w:rPr>
          <w:rStyle w:val="FootnoteReference"/>
        </w:rPr>
        <w:footnoteRef/>
      </w:r>
      <w:r>
        <w:t xml:space="preserve"> Ibid, </w:t>
      </w:r>
      <w:r w:rsidRPr="00CE2409">
        <w:t>pp. 380-381.</w:t>
      </w:r>
    </w:p>
  </w:footnote>
  <w:footnote w:id="11">
    <w:p w14:paraId="63F1FCCB" w14:textId="3E40E3E2" w:rsidR="00CE2409" w:rsidRDefault="00CE2409">
      <w:pPr>
        <w:pStyle w:val="FootnoteText"/>
      </w:pPr>
      <w:r>
        <w:rPr>
          <w:rStyle w:val="FootnoteReference"/>
        </w:rPr>
        <w:footnoteRef/>
      </w:r>
      <w:r>
        <w:t xml:space="preserve"> Ibid</w:t>
      </w:r>
    </w:p>
  </w:footnote>
  <w:footnote w:id="12">
    <w:p w14:paraId="6B1374B8" w14:textId="7E70F1B0" w:rsidR="00CE2409" w:rsidRDefault="00CE2409">
      <w:pPr>
        <w:pStyle w:val="FootnoteText"/>
      </w:pPr>
      <w:r>
        <w:rPr>
          <w:rStyle w:val="FootnoteReference"/>
        </w:rPr>
        <w:footnoteRef/>
      </w:r>
      <w:r>
        <w:t xml:space="preserve"> </w:t>
      </w:r>
      <w:r w:rsidRPr="00CE2409">
        <w:t>Anderson, ‘Punishment, Race and “The Raw Native”’, pp. 479-481.</w:t>
      </w:r>
    </w:p>
  </w:footnote>
  <w:footnote w:id="13">
    <w:p w14:paraId="25A71C2E" w14:textId="69C7911E" w:rsidR="00FB55B6" w:rsidRDefault="00FB55B6">
      <w:pPr>
        <w:pStyle w:val="FootnoteText"/>
      </w:pPr>
      <w:r>
        <w:rPr>
          <w:rStyle w:val="FootnoteReference"/>
        </w:rPr>
        <w:footnoteRef/>
      </w:r>
      <w:r>
        <w:t xml:space="preserve"> </w:t>
      </w:r>
      <w:r w:rsidR="00CE2409" w:rsidRPr="00CE2409">
        <w:t>Pape, ‘Black and White’, p. 699.</w:t>
      </w:r>
    </w:p>
  </w:footnote>
  <w:footnote w:id="14">
    <w:p w14:paraId="767BB80C" w14:textId="0AF419F7" w:rsidR="00C94B72" w:rsidRDefault="00C94B72">
      <w:pPr>
        <w:pStyle w:val="FootnoteText"/>
      </w:pPr>
      <w:r>
        <w:rPr>
          <w:rStyle w:val="FootnoteReference"/>
        </w:rPr>
        <w:footnoteRef/>
      </w:r>
      <w:r>
        <w:t xml:space="preserve"> Ibid</w:t>
      </w:r>
      <w:r w:rsidRPr="00C94B72">
        <w:t>, pp. 699-701.</w:t>
      </w:r>
    </w:p>
  </w:footnote>
  <w:footnote w:id="15">
    <w:p w14:paraId="41DC8519" w14:textId="27497136" w:rsidR="00C94B72" w:rsidRDefault="00C94B72">
      <w:pPr>
        <w:pStyle w:val="FootnoteText"/>
      </w:pPr>
      <w:r>
        <w:rPr>
          <w:rStyle w:val="FootnoteReference"/>
        </w:rPr>
        <w:footnoteRef/>
      </w:r>
      <w:r>
        <w:t xml:space="preserve"> </w:t>
      </w:r>
      <w:r w:rsidRPr="00C94B72">
        <w:t>Scully, ‘Rape, Race, and Colonial Culture’, pp. 336-337.</w:t>
      </w:r>
    </w:p>
  </w:footnote>
  <w:footnote w:id="16">
    <w:p w14:paraId="32F000F8" w14:textId="5476CC1B" w:rsidR="00C94B72" w:rsidRDefault="00C94B72">
      <w:pPr>
        <w:pStyle w:val="FootnoteText"/>
      </w:pPr>
      <w:r>
        <w:rPr>
          <w:rStyle w:val="FootnoteReference"/>
        </w:rPr>
        <w:footnoteRef/>
      </w:r>
      <w:r>
        <w:t xml:space="preserve"> Ibid, </w:t>
      </w:r>
      <w:r w:rsidRPr="00C94B72">
        <w:t>pp. 335-338</w:t>
      </w:r>
      <w:r>
        <w:t>.</w:t>
      </w:r>
    </w:p>
  </w:footnote>
  <w:footnote w:id="17">
    <w:p w14:paraId="3A3FF127" w14:textId="2F34FEA4" w:rsidR="00C94B72" w:rsidRDefault="00C94B72">
      <w:pPr>
        <w:pStyle w:val="FootnoteText"/>
      </w:pPr>
      <w:r>
        <w:rPr>
          <w:rStyle w:val="FootnoteReference"/>
        </w:rPr>
        <w:footnoteRef/>
      </w:r>
      <w:r>
        <w:t xml:space="preserve"> </w:t>
      </w:r>
      <w:r w:rsidRPr="00C94B72">
        <w:t xml:space="preserve">West, review of </w:t>
      </w:r>
      <w:r w:rsidRPr="00C94B72">
        <w:rPr>
          <w:i/>
          <w:iCs/>
        </w:rPr>
        <w:t>Black Peril, White Virtue</w:t>
      </w:r>
      <w:r w:rsidRPr="00C94B72">
        <w:t>, pp. 816-817.</w:t>
      </w:r>
    </w:p>
  </w:footnote>
  <w:footnote w:id="18">
    <w:p w14:paraId="5E2F2DB2" w14:textId="3E09E0C4" w:rsidR="00C94B72" w:rsidRDefault="00C94B72">
      <w:pPr>
        <w:pStyle w:val="FootnoteText"/>
      </w:pPr>
      <w:r>
        <w:rPr>
          <w:rStyle w:val="FootnoteReference"/>
        </w:rPr>
        <w:footnoteRef/>
      </w:r>
      <w:r>
        <w:t xml:space="preserve"> </w:t>
      </w:r>
      <w:r w:rsidRPr="00C94B72">
        <w:t xml:space="preserve">Ware, </w:t>
      </w:r>
      <w:r w:rsidRPr="00C94B72">
        <w:rPr>
          <w:i/>
          <w:iCs/>
        </w:rPr>
        <w:t>Beyond the Pale</w:t>
      </w:r>
      <w:r w:rsidRPr="00C94B72">
        <w:t>, pp. xi-xiv.</w:t>
      </w:r>
    </w:p>
  </w:footnote>
  <w:footnote w:id="19">
    <w:p w14:paraId="2E2CEBD4" w14:textId="6BA87A21" w:rsidR="00C94B72" w:rsidRDefault="00C94B72">
      <w:pPr>
        <w:pStyle w:val="FootnoteText"/>
      </w:pPr>
      <w:r>
        <w:rPr>
          <w:rStyle w:val="FootnoteReference"/>
        </w:rPr>
        <w:footnoteRef/>
      </w:r>
      <w:r>
        <w:t xml:space="preserve"> </w:t>
      </w:r>
      <w:r w:rsidRPr="00C94B72">
        <w:t>Anderson, ‘Punishment, Race and “The Raw Native”’, pp. 479-481.</w:t>
      </w:r>
    </w:p>
  </w:footnote>
  <w:footnote w:id="20">
    <w:p w14:paraId="2185C9C9" w14:textId="0D761FE4" w:rsidR="00C94B72" w:rsidRDefault="00C94B72">
      <w:pPr>
        <w:pStyle w:val="FootnoteText"/>
      </w:pPr>
      <w:r>
        <w:rPr>
          <w:rStyle w:val="FootnoteReference"/>
        </w:rPr>
        <w:footnoteRef/>
      </w:r>
      <w:r>
        <w:t xml:space="preserve"> </w:t>
      </w:r>
      <w:r w:rsidRPr="00C94B72">
        <w:t xml:space="preserve">West, review of </w:t>
      </w:r>
      <w:r w:rsidRPr="00C94B72">
        <w:rPr>
          <w:i/>
          <w:iCs/>
        </w:rPr>
        <w:t>Black Peril, White Virtue</w:t>
      </w:r>
      <w:r w:rsidRPr="00C94B72">
        <w:t>, p. 816.</w:t>
      </w:r>
    </w:p>
  </w:footnote>
  <w:footnote w:id="21">
    <w:p w14:paraId="48783B0D" w14:textId="5FA415EF" w:rsidR="00C94B72" w:rsidRDefault="00C94B72">
      <w:pPr>
        <w:pStyle w:val="FootnoteText"/>
      </w:pPr>
      <w:r>
        <w:rPr>
          <w:rStyle w:val="FootnoteReference"/>
        </w:rPr>
        <w:footnoteRef/>
      </w:r>
      <w:r>
        <w:t xml:space="preserve"> </w:t>
      </w:r>
      <w:r w:rsidRPr="00C94B72">
        <w:t xml:space="preserve">West, review of </w:t>
      </w:r>
      <w:r w:rsidRPr="00C94B72">
        <w:rPr>
          <w:i/>
          <w:iCs/>
        </w:rPr>
        <w:t>Black Peril, White Virtue</w:t>
      </w:r>
      <w:r w:rsidRPr="00C94B72">
        <w:t>, pp. 816-817.</w:t>
      </w:r>
    </w:p>
  </w:footnote>
  <w:footnote w:id="22">
    <w:p w14:paraId="24F5F8F1" w14:textId="7C9A0981" w:rsidR="00C94B72" w:rsidRDefault="00C94B72">
      <w:pPr>
        <w:pStyle w:val="FootnoteText"/>
      </w:pPr>
      <w:r>
        <w:rPr>
          <w:rStyle w:val="FootnoteReference"/>
        </w:rPr>
        <w:footnoteRef/>
      </w:r>
      <w:r>
        <w:t xml:space="preserve"> </w:t>
      </w:r>
      <w:r w:rsidRPr="00C94B72">
        <w:t>Scully, ‘Rape, Race, and Colonial Culture’, p. 337.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157"/>
    <w:rsid w:val="00086157"/>
    <w:rsid w:val="002A3EA5"/>
    <w:rsid w:val="0045165A"/>
    <w:rsid w:val="00577A5B"/>
    <w:rsid w:val="00A26598"/>
    <w:rsid w:val="00C94B72"/>
    <w:rsid w:val="00CE2409"/>
    <w:rsid w:val="00E33468"/>
    <w:rsid w:val="00EE4B9C"/>
    <w:rsid w:val="00F640BA"/>
    <w:rsid w:val="00FB5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B417A"/>
  <w15:chartTrackingRefBased/>
  <w15:docId w15:val="{5832203D-575F-45EE-B5F5-198DFA305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61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61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61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61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61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61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61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61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61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1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61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61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61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61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61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61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61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6157"/>
    <w:rPr>
      <w:rFonts w:eastAsiaTheme="majorEastAsia" w:cstheme="majorBidi"/>
      <w:color w:val="272727" w:themeColor="text1" w:themeTint="D8"/>
    </w:rPr>
  </w:style>
  <w:style w:type="paragraph" w:styleId="Title">
    <w:name w:val="Title"/>
    <w:basedOn w:val="Normal"/>
    <w:next w:val="Normal"/>
    <w:link w:val="TitleChar"/>
    <w:uiPriority w:val="10"/>
    <w:qFormat/>
    <w:rsid w:val="000861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61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61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61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6157"/>
    <w:pPr>
      <w:spacing w:before="160"/>
      <w:jc w:val="center"/>
    </w:pPr>
    <w:rPr>
      <w:i/>
      <w:iCs/>
      <w:color w:val="404040" w:themeColor="text1" w:themeTint="BF"/>
    </w:rPr>
  </w:style>
  <w:style w:type="character" w:customStyle="1" w:styleId="QuoteChar">
    <w:name w:val="Quote Char"/>
    <w:basedOn w:val="DefaultParagraphFont"/>
    <w:link w:val="Quote"/>
    <w:uiPriority w:val="29"/>
    <w:rsid w:val="00086157"/>
    <w:rPr>
      <w:i/>
      <w:iCs/>
      <w:color w:val="404040" w:themeColor="text1" w:themeTint="BF"/>
    </w:rPr>
  </w:style>
  <w:style w:type="paragraph" w:styleId="ListParagraph">
    <w:name w:val="List Paragraph"/>
    <w:basedOn w:val="Normal"/>
    <w:uiPriority w:val="34"/>
    <w:qFormat/>
    <w:rsid w:val="00086157"/>
    <w:pPr>
      <w:ind w:left="720"/>
      <w:contextualSpacing/>
    </w:pPr>
  </w:style>
  <w:style w:type="character" w:styleId="IntenseEmphasis">
    <w:name w:val="Intense Emphasis"/>
    <w:basedOn w:val="DefaultParagraphFont"/>
    <w:uiPriority w:val="21"/>
    <w:qFormat/>
    <w:rsid w:val="00086157"/>
    <w:rPr>
      <w:i/>
      <w:iCs/>
      <w:color w:val="0F4761" w:themeColor="accent1" w:themeShade="BF"/>
    </w:rPr>
  </w:style>
  <w:style w:type="paragraph" w:styleId="IntenseQuote">
    <w:name w:val="Intense Quote"/>
    <w:basedOn w:val="Normal"/>
    <w:next w:val="Normal"/>
    <w:link w:val="IntenseQuoteChar"/>
    <w:uiPriority w:val="30"/>
    <w:qFormat/>
    <w:rsid w:val="000861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6157"/>
    <w:rPr>
      <w:i/>
      <w:iCs/>
      <w:color w:val="0F4761" w:themeColor="accent1" w:themeShade="BF"/>
    </w:rPr>
  </w:style>
  <w:style w:type="character" w:styleId="IntenseReference">
    <w:name w:val="Intense Reference"/>
    <w:basedOn w:val="DefaultParagraphFont"/>
    <w:uiPriority w:val="32"/>
    <w:qFormat/>
    <w:rsid w:val="00086157"/>
    <w:rPr>
      <w:b/>
      <w:bCs/>
      <w:smallCaps/>
      <w:color w:val="0F4761" w:themeColor="accent1" w:themeShade="BF"/>
      <w:spacing w:val="5"/>
    </w:rPr>
  </w:style>
  <w:style w:type="paragraph" w:styleId="FootnoteText">
    <w:name w:val="footnote text"/>
    <w:basedOn w:val="Normal"/>
    <w:link w:val="FootnoteTextChar"/>
    <w:uiPriority w:val="99"/>
    <w:semiHidden/>
    <w:unhideWhenUsed/>
    <w:rsid w:val="00FB55B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55B6"/>
    <w:rPr>
      <w:sz w:val="20"/>
      <w:szCs w:val="20"/>
    </w:rPr>
  </w:style>
  <w:style w:type="character" w:styleId="FootnoteReference">
    <w:name w:val="footnote reference"/>
    <w:basedOn w:val="DefaultParagraphFont"/>
    <w:uiPriority w:val="99"/>
    <w:semiHidden/>
    <w:unhideWhenUsed/>
    <w:rsid w:val="00FB55B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7</Pages>
  <Words>2746</Words>
  <Characters>15657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Morgan</dc:creator>
  <cp:keywords/>
  <dc:description/>
  <cp:lastModifiedBy>Broc Morgan</cp:lastModifiedBy>
  <cp:revision>1</cp:revision>
  <dcterms:created xsi:type="dcterms:W3CDTF">2026-05-24T15:10:00Z</dcterms:created>
  <dcterms:modified xsi:type="dcterms:W3CDTF">2026-05-24T19:38:00Z</dcterms:modified>
</cp:coreProperties>
</file>