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549B3" w14:textId="77777777" w:rsidR="00F91133" w:rsidRPr="00A211BD" w:rsidRDefault="00F91133" w:rsidP="00F91133">
      <w:pPr>
        <w:pStyle w:val="Heading1"/>
        <w:ind w:left="1440" w:firstLine="720"/>
        <w:rPr>
          <w:rFonts w:ascii="Arial" w:hAnsi="Arial" w:cs="Arial"/>
          <w:b/>
          <w:bCs/>
          <w:color w:val="auto"/>
          <w:sz w:val="36"/>
          <w:szCs w:val="36"/>
          <w:lang w:val="en-US"/>
        </w:rPr>
      </w:pPr>
      <w:bookmarkStart w:id="0" w:name="_Toc102773542"/>
      <w:r w:rsidRPr="00A211BD">
        <w:rPr>
          <w:rFonts w:ascii="Arial" w:hAnsi="Arial" w:cs="Arial"/>
          <w:b/>
          <w:bCs/>
          <w:color w:val="auto"/>
          <w:sz w:val="36"/>
          <w:szCs w:val="36"/>
          <w:lang w:val="en-US"/>
        </w:rPr>
        <w:t>Chapter One: Introduction</w:t>
      </w:r>
      <w:bookmarkEnd w:id="0"/>
    </w:p>
    <w:p w14:paraId="39891E3C" w14:textId="77777777" w:rsidR="00F91133" w:rsidRDefault="00F91133" w:rsidP="00F91133">
      <w:pPr>
        <w:spacing w:line="480" w:lineRule="auto"/>
        <w:jc w:val="both"/>
        <w:rPr>
          <w:rFonts w:ascii="Arial" w:hAnsi="Arial" w:cs="Arial"/>
          <w:b/>
          <w:bCs/>
          <w:color w:val="000000" w:themeColor="text1"/>
          <w:sz w:val="24"/>
          <w:szCs w:val="24"/>
          <w:lang w:val="en-US"/>
        </w:rPr>
      </w:pPr>
    </w:p>
    <w:p w14:paraId="5C59C534" w14:textId="77777777" w:rsidR="00F91133" w:rsidRPr="00327649" w:rsidRDefault="00F91133" w:rsidP="00F91133">
      <w:pPr>
        <w:pStyle w:val="Heading1"/>
        <w:rPr>
          <w:rFonts w:ascii="Arial" w:hAnsi="Arial" w:cs="Arial"/>
          <w:b/>
          <w:bCs/>
          <w:color w:val="auto"/>
          <w:sz w:val="24"/>
          <w:szCs w:val="24"/>
          <w:lang w:val="en-US"/>
        </w:rPr>
      </w:pPr>
      <w:bookmarkStart w:id="1" w:name="_Toc102773543"/>
      <w:r w:rsidRPr="00327649">
        <w:rPr>
          <w:rFonts w:ascii="Arial" w:hAnsi="Arial" w:cs="Arial"/>
          <w:b/>
          <w:bCs/>
          <w:color w:val="auto"/>
          <w:sz w:val="24"/>
          <w:szCs w:val="24"/>
          <w:lang w:val="en-US"/>
        </w:rPr>
        <w:t>1.1 Background and Rationale</w:t>
      </w:r>
      <w:bookmarkEnd w:id="1"/>
    </w:p>
    <w:p w14:paraId="7AEF3AD2" w14:textId="77777777" w:rsidR="00F91133" w:rsidRPr="00C55AC5" w:rsidRDefault="00F91133" w:rsidP="00F91133">
      <w:pPr>
        <w:tabs>
          <w:tab w:val="left" w:pos="6480"/>
        </w:tabs>
        <w:spacing w:line="48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ab/>
      </w:r>
    </w:p>
    <w:p w14:paraId="46B08FD0" w14:textId="77777777" w:rsidR="00F91133" w:rsidRPr="005A38F2" w:rsidRDefault="00F91133" w:rsidP="00F91133">
      <w:pPr>
        <w:pStyle w:val="NormalWeb"/>
        <w:spacing w:before="0" w:beforeAutospacing="0" w:after="0" w:afterAutospacing="0" w:line="480" w:lineRule="auto"/>
        <w:jc w:val="both"/>
      </w:pPr>
      <w:r w:rsidRPr="00842C6A">
        <w:rPr>
          <w:rFonts w:ascii="Arial" w:hAnsi="Arial" w:cs="Arial"/>
          <w:color w:val="000000"/>
        </w:rPr>
        <w:t xml:space="preserve">There is currently a rise in the public utilising their rights to demonstrate how they feel their human rights are being infringed by </w:t>
      </w:r>
      <w:r>
        <w:rPr>
          <w:rFonts w:ascii="Arial" w:hAnsi="Arial" w:cs="Arial"/>
          <w:color w:val="000000"/>
        </w:rPr>
        <w:t>police (Equality and Human Rights Commission, 2018)</w:t>
      </w:r>
      <w:r w:rsidRPr="00842C6A">
        <w:rPr>
          <w:rFonts w:ascii="Arial" w:hAnsi="Arial" w:cs="Arial"/>
          <w:color w:val="000000"/>
        </w:rPr>
        <w:t xml:space="preserve">. Attributable factors include Covid-19, terrorism, the aftermath of both Sarah Everard and George Floyd’s death </w:t>
      </w:r>
      <w:r>
        <w:rPr>
          <w:rFonts w:ascii="Arial" w:hAnsi="Arial" w:cs="Arial"/>
          <w:color w:val="000000"/>
        </w:rPr>
        <w:t>as well as the</w:t>
      </w:r>
      <w:r w:rsidRPr="00842C6A">
        <w:rPr>
          <w:rFonts w:ascii="Arial" w:hAnsi="Arial" w:cs="Arial"/>
          <w:color w:val="000000"/>
        </w:rPr>
        <w:t xml:space="preserve"> recent protests which have been seen in the media</w:t>
      </w:r>
      <w:r>
        <w:rPr>
          <w:rFonts w:ascii="Arial" w:hAnsi="Arial" w:cs="Arial"/>
          <w:color w:val="000000"/>
        </w:rPr>
        <w:t>.</w:t>
      </w:r>
      <w:r w:rsidRPr="00842C6A">
        <w:rPr>
          <w:rFonts w:ascii="Arial" w:hAnsi="Arial" w:cs="Arial"/>
          <w:color w:val="000000"/>
        </w:rPr>
        <w:t xml:space="preserve"> </w:t>
      </w:r>
    </w:p>
    <w:p w14:paraId="7E89EC69" w14:textId="77777777" w:rsidR="00F91133" w:rsidRPr="00842C6A" w:rsidRDefault="00F91133" w:rsidP="00F91133">
      <w:pPr>
        <w:pStyle w:val="NormalWeb"/>
        <w:spacing w:before="0" w:beforeAutospacing="0" w:after="0" w:afterAutospacing="0" w:line="480" w:lineRule="auto"/>
        <w:jc w:val="both"/>
      </w:pPr>
      <w:r w:rsidRPr="00842C6A">
        <w:rPr>
          <w:rFonts w:ascii="Arial" w:hAnsi="Arial" w:cs="Arial"/>
          <w:color w:val="000000"/>
        </w:rPr>
        <w:t xml:space="preserve">The police have a duty to maintain public order and safety, whilst ensuring that they protect human rights. However, it has been argued that the Human Rights Act </w:t>
      </w:r>
      <w:r>
        <w:rPr>
          <w:rFonts w:ascii="Arial" w:hAnsi="Arial" w:cs="Arial"/>
          <w:color w:val="000000"/>
        </w:rPr>
        <w:t>(HRA) (</w:t>
      </w:r>
      <w:r w:rsidRPr="00842C6A">
        <w:rPr>
          <w:rFonts w:ascii="Arial" w:hAnsi="Arial" w:cs="Arial"/>
          <w:color w:val="000000"/>
        </w:rPr>
        <w:t>1998</w:t>
      </w:r>
      <w:r>
        <w:rPr>
          <w:rFonts w:ascii="Arial" w:hAnsi="Arial" w:cs="Arial"/>
          <w:color w:val="000000"/>
        </w:rPr>
        <w:t>)</w:t>
      </w:r>
      <w:r w:rsidRPr="00842C6A">
        <w:rPr>
          <w:rFonts w:ascii="Arial" w:hAnsi="Arial" w:cs="Arial"/>
          <w:color w:val="000000"/>
        </w:rPr>
        <w:t xml:space="preserve"> has become an obstacle, obstructing the police, and restricting their power</w:t>
      </w:r>
      <w:r>
        <w:rPr>
          <w:rFonts w:ascii="Arial" w:hAnsi="Arial" w:cs="Arial"/>
          <w:color w:val="000000"/>
        </w:rPr>
        <w:t>s (Europa, 2013)</w:t>
      </w:r>
      <w:r w:rsidRPr="00842C6A">
        <w:rPr>
          <w:rFonts w:ascii="Arial" w:hAnsi="Arial" w:cs="Arial"/>
          <w:color w:val="000000"/>
        </w:rPr>
        <w:t>. That said, counterarguments suggest that police often violate human rights, using excessive force</w:t>
      </w:r>
      <w:r>
        <w:rPr>
          <w:rFonts w:ascii="Arial" w:hAnsi="Arial" w:cs="Arial"/>
          <w:color w:val="000000"/>
        </w:rPr>
        <w:t xml:space="preserve"> to</w:t>
      </w:r>
      <w:r w:rsidRPr="00842C6A">
        <w:rPr>
          <w:rFonts w:ascii="Arial" w:hAnsi="Arial" w:cs="Arial"/>
          <w:color w:val="000000"/>
        </w:rPr>
        <w:t xml:space="preserve"> abus</w:t>
      </w:r>
      <w:r>
        <w:rPr>
          <w:rFonts w:ascii="Arial" w:hAnsi="Arial" w:cs="Arial"/>
          <w:color w:val="000000"/>
        </w:rPr>
        <w:t>e</w:t>
      </w:r>
      <w:r w:rsidRPr="00842C6A">
        <w:rPr>
          <w:rFonts w:ascii="Arial" w:hAnsi="Arial" w:cs="Arial"/>
          <w:color w:val="000000"/>
        </w:rPr>
        <w:t xml:space="preserve"> their position of power</w:t>
      </w:r>
      <w:r>
        <w:rPr>
          <w:rFonts w:ascii="Arial" w:hAnsi="Arial" w:cs="Arial"/>
          <w:color w:val="000000"/>
        </w:rPr>
        <w:t xml:space="preserve"> (Amnesty International, 2022)</w:t>
      </w:r>
      <w:r w:rsidRPr="00842C6A">
        <w:rPr>
          <w:rFonts w:ascii="Arial" w:hAnsi="Arial" w:cs="Arial"/>
          <w:color w:val="000000"/>
        </w:rPr>
        <w:t>. Considering these opposing viewpoints, further examination is needed to establish whether police powers are negatively or positively affected by the legislation and if a balance has been achieved, is possible, or indeed completely conflicted.  </w:t>
      </w:r>
    </w:p>
    <w:p w14:paraId="0C3F6DC9" w14:textId="77777777" w:rsidR="00F91133" w:rsidRDefault="00F91133" w:rsidP="00F91133">
      <w:pPr>
        <w:spacing w:line="480" w:lineRule="auto"/>
        <w:jc w:val="both"/>
        <w:rPr>
          <w:rFonts w:ascii="Arial" w:hAnsi="Arial" w:cs="Arial"/>
          <w:b/>
          <w:bCs/>
          <w:color w:val="FF0000"/>
          <w:sz w:val="24"/>
          <w:szCs w:val="24"/>
          <w:lang w:val="en-US"/>
        </w:rPr>
      </w:pPr>
    </w:p>
    <w:p w14:paraId="78637263" w14:textId="77777777" w:rsidR="00F91133" w:rsidRDefault="00F91133" w:rsidP="00F91133">
      <w:pPr>
        <w:spacing w:line="480" w:lineRule="auto"/>
        <w:jc w:val="both"/>
        <w:rPr>
          <w:rFonts w:ascii="Arial" w:hAnsi="Arial" w:cs="Arial"/>
          <w:color w:val="000000" w:themeColor="text1"/>
          <w:sz w:val="24"/>
          <w:szCs w:val="24"/>
          <w:lang w:val="en-US"/>
        </w:rPr>
      </w:pPr>
      <w:r w:rsidRPr="001160DD">
        <w:rPr>
          <w:rFonts w:ascii="Arial" w:hAnsi="Arial" w:cs="Arial"/>
          <w:color w:val="000000" w:themeColor="text1"/>
          <w:sz w:val="24"/>
          <w:szCs w:val="24"/>
          <w:lang w:val="en-US"/>
        </w:rPr>
        <w:t>The creation of human rights law is one of the greatest achievements of the United Nations</w:t>
      </w:r>
      <w:r>
        <w:rPr>
          <w:rFonts w:ascii="Arial" w:hAnsi="Arial" w:cs="Arial"/>
          <w:color w:val="000000" w:themeColor="text1"/>
          <w:sz w:val="24"/>
          <w:szCs w:val="24"/>
          <w:lang w:val="en-US"/>
        </w:rPr>
        <w:t xml:space="preserve"> (UN)</w:t>
      </w:r>
      <w:r w:rsidRPr="001160DD">
        <w:rPr>
          <w:rFonts w:ascii="Arial" w:hAnsi="Arial" w:cs="Arial"/>
          <w:color w:val="000000" w:themeColor="text1"/>
          <w:sz w:val="24"/>
          <w:szCs w:val="24"/>
          <w:lang w:val="en-US"/>
        </w:rPr>
        <w:t xml:space="preserve"> and one which is universally and internationally protected (United Nations, 2022). Based on the UN Declaration of Human Rights, a movement in Europe saw a c</w:t>
      </w:r>
      <w:r>
        <w:rPr>
          <w:rFonts w:ascii="Arial" w:hAnsi="Arial" w:cs="Arial"/>
          <w:color w:val="000000" w:themeColor="text1"/>
          <w:sz w:val="24"/>
          <w:szCs w:val="24"/>
          <w:lang w:val="en-US"/>
        </w:rPr>
        <w:t>h</w:t>
      </w:r>
      <w:r w:rsidRPr="001160DD">
        <w:rPr>
          <w:rFonts w:ascii="Arial" w:hAnsi="Arial" w:cs="Arial"/>
          <w:color w:val="000000" w:themeColor="text1"/>
          <w:sz w:val="24"/>
          <w:szCs w:val="24"/>
          <w:lang w:val="en-US"/>
        </w:rPr>
        <w:t>arter of fundamental rights and freedoms emerge which was adopted as the European Convention of Human Rights (ECHR) by the Council of Europe in 1950</w:t>
      </w:r>
      <w:r>
        <w:rPr>
          <w:rFonts w:ascii="Arial" w:hAnsi="Arial" w:cs="Arial"/>
          <w:color w:val="000000" w:themeColor="text1"/>
          <w:sz w:val="24"/>
          <w:szCs w:val="24"/>
          <w:lang w:val="en-US"/>
        </w:rPr>
        <w:t xml:space="preserve"> (</w:t>
      </w:r>
      <w:proofErr w:type="spellStart"/>
      <w:r>
        <w:rPr>
          <w:rFonts w:ascii="Arial" w:hAnsi="Arial" w:cs="Arial"/>
          <w:color w:val="000000" w:themeColor="text1"/>
          <w:sz w:val="24"/>
          <w:szCs w:val="24"/>
          <w:lang w:val="en-US"/>
        </w:rPr>
        <w:t>O’Cinneide</w:t>
      </w:r>
      <w:proofErr w:type="spellEnd"/>
      <w:r>
        <w:rPr>
          <w:rFonts w:ascii="Arial" w:hAnsi="Arial" w:cs="Arial"/>
          <w:color w:val="000000" w:themeColor="text1"/>
          <w:sz w:val="24"/>
          <w:szCs w:val="24"/>
          <w:lang w:val="en-US"/>
        </w:rPr>
        <w:t>, 2018)</w:t>
      </w:r>
      <w:r w:rsidRPr="001160DD">
        <w:rPr>
          <w:rFonts w:ascii="Arial" w:hAnsi="Arial" w:cs="Arial"/>
          <w:color w:val="000000" w:themeColor="text1"/>
          <w:sz w:val="24"/>
          <w:szCs w:val="24"/>
          <w:lang w:val="en-US"/>
        </w:rPr>
        <w:t>. Subsequently, the increasing awareness and growth of a rights</w:t>
      </w:r>
      <w:r>
        <w:rPr>
          <w:rFonts w:ascii="Arial" w:hAnsi="Arial" w:cs="Arial"/>
          <w:color w:val="000000" w:themeColor="text1"/>
          <w:sz w:val="24"/>
          <w:szCs w:val="24"/>
          <w:lang w:val="en-US"/>
        </w:rPr>
        <w:t>-</w:t>
      </w:r>
      <w:r>
        <w:rPr>
          <w:rFonts w:ascii="Arial" w:hAnsi="Arial" w:cs="Arial"/>
          <w:color w:val="000000" w:themeColor="text1"/>
          <w:sz w:val="24"/>
          <w:szCs w:val="24"/>
          <w:lang w:val="en-US"/>
        </w:rPr>
        <w:lastRenderedPageBreak/>
        <w:t>based</w:t>
      </w:r>
      <w:r w:rsidRPr="001160DD">
        <w:rPr>
          <w:rFonts w:ascii="Arial" w:hAnsi="Arial" w:cs="Arial"/>
          <w:color w:val="000000" w:themeColor="text1"/>
          <w:sz w:val="24"/>
          <w:szCs w:val="24"/>
          <w:lang w:val="en-US"/>
        </w:rPr>
        <w:t xml:space="preserve"> culture resulted in a movement whereby UK citizens called for the incorporation of the ECHR into domestic law</w:t>
      </w:r>
      <w:r>
        <w:rPr>
          <w:rFonts w:ascii="Arial" w:hAnsi="Arial" w:cs="Arial"/>
          <w:color w:val="000000" w:themeColor="text1"/>
          <w:sz w:val="24"/>
          <w:szCs w:val="24"/>
          <w:lang w:val="en-US"/>
        </w:rPr>
        <w:t xml:space="preserve"> </w:t>
      </w:r>
      <w:r w:rsidRPr="001160DD">
        <w:rPr>
          <w:rFonts w:ascii="Arial" w:hAnsi="Arial" w:cs="Arial"/>
          <w:color w:val="000000" w:themeColor="text1"/>
          <w:sz w:val="24"/>
          <w:szCs w:val="24"/>
          <w:lang w:val="en-US"/>
        </w:rPr>
        <w:t>(</w:t>
      </w:r>
      <w:proofErr w:type="spellStart"/>
      <w:r>
        <w:rPr>
          <w:rFonts w:ascii="Arial" w:hAnsi="Arial" w:cs="Arial"/>
          <w:color w:val="000000" w:themeColor="text1"/>
          <w:sz w:val="24"/>
          <w:szCs w:val="24"/>
          <w:lang w:val="en-US"/>
        </w:rPr>
        <w:t>O’Cinneide</w:t>
      </w:r>
      <w:proofErr w:type="spellEnd"/>
      <w:r w:rsidRPr="001160DD">
        <w:rPr>
          <w:rFonts w:ascii="Arial" w:hAnsi="Arial" w:cs="Arial"/>
          <w:color w:val="000000" w:themeColor="text1"/>
          <w:sz w:val="24"/>
          <w:szCs w:val="24"/>
          <w:lang w:val="en-US"/>
        </w:rPr>
        <w:t xml:space="preserve">, 2018). As a </w:t>
      </w:r>
      <w:r>
        <w:rPr>
          <w:rFonts w:ascii="Arial" w:hAnsi="Arial" w:cs="Arial"/>
          <w:color w:val="000000" w:themeColor="text1"/>
          <w:sz w:val="24"/>
          <w:szCs w:val="24"/>
          <w:lang w:val="en-US"/>
        </w:rPr>
        <w:t>result</w:t>
      </w:r>
      <w:r w:rsidRPr="001160DD">
        <w:rPr>
          <w:rFonts w:ascii="Arial" w:hAnsi="Arial" w:cs="Arial"/>
          <w:color w:val="000000" w:themeColor="text1"/>
          <w:sz w:val="24"/>
          <w:szCs w:val="24"/>
          <w:lang w:val="en-US"/>
        </w:rPr>
        <w:t>, the HRA (1998) was passed</w:t>
      </w:r>
      <w:r>
        <w:rPr>
          <w:rFonts w:ascii="Arial" w:hAnsi="Arial" w:cs="Arial"/>
          <w:color w:val="000000" w:themeColor="text1"/>
          <w:sz w:val="24"/>
          <w:szCs w:val="24"/>
          <w:lang w:val="en-US"/>
        </w:rPr>
        <w:t>,</w:t>
      </w:r>
      <w:r w:rsidRPr="001160DD">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imposing duties on public authorities to act in a way that is compatible, incorporating the key rights set out in the ECHR to strike a delicate constitutional balance (Paterson and Pollock, 2011, pp.116). </w:t>
      </w:r>
    </w:p>
    <w:p w14:paraId="1A282CEA" w14:textId="77777777" w:rsidR="00F91133" w:rsidRDefault="00F91133" w:rsidP="00F91133">
      <w:pPr>
        <w:spacing w:line="480" w:lineRule="auto"/>
        <w:jc w:val="both"/>
        <w:rPr>
          <w:rFonts w:ascii="Arial" w:hAnsi="Arial" w:cs="Arial"/>
          <w:color w:val="000000" w:themeColor="text1"/>
          <w:sz w:val="24"/>
          <w:szCs w:val="24"/>
          <w:lang w:val="en-US"/>
        </w:rPr>
      </w:pPr>
    </w:p>
    <w:p w14:paraId="124FC4AF" w14:textId="77777777" w:rsidR="00F91133" w:rsidRDefault="00F91133" w:rsidP="00F91133">
      <w:pPr>
        <w:spacing w:line="480" w:lineRule="auto"/>
        <w:jc w:val="both"/>
        <w:rPr>
          <w:rFonts w:ascii="Arial" w:hAnsi="Arial" w:cs="Arial"/>
          <w:color w:val="000000" w:themeColor="text1"/>
          <w:sz w:val="24"/>
          <w:szCs w:val="24"/>
          <w:lang w:val="en-US"/>
        </w:rPr>
      </w:pPr>
      <w:r w:rsidRPr="00F540E3">
        <w:rPr>
          <w:rFonts w:ascii="Arial" w:hAnsi="Arial" w:cs="Arial"/>
          <w:color w:val="000000" w:themeColor="text1"/>
          <w:sz w:val="24"/>
          <w:szCs w:val="24"/>
          <w:lang w:val="en-US"/>
        </w:rPr>
        <w:t xml:space="preserve">This comprehensive framework </w:t>
      </w:r>
      <w:r>
        <w:rPr>
          <w:rFonts w:ascii="Arial" w:hAnsi="Arial" w:cs="Arial"/>
          <w:color w:val="000000" w:themeColor="text1"/>
          <w:sz w:val="24"/>
          <w:szCs w:val="24"/>
          <w:lang w:val="en-US"/>
        </w:rPr>
        <w:t xml:space="preserve">of rights </w:t>
      </w:r>
      <w:r w:rsidRPr="00F540E3">
        <w:rPr>
          <w:rFonts w:ascii="Arial" w:hAnsi="Arial" w:cs="Arial"/>
          <w:color w:val="000000" w:themeColor="text1"/>
          <w:sz w:val="24"/>
          <w:szCs w:val="24"/>
          <w:lang w:val="en-US"/>
        </w:rPr>
        <w:t xml:space="preserve">governs the operational work of police services and </w:t>
      </w:r>
      <w:r>
        <w:rPr>
          <w:rFonts w:ascii="Arial" w:hAnsi="Arial" w:cs="Arial"/>
          <w:color w:val="000000" w:themeColor="text1"/>
          <w:sz w:val="24"/>
          <w:szCs w:val="24"/>
          <w:lang w:val="en-US"/>
        </w:rPr>
        <w:t xml:space="preserve">operates a system of ‘moderated precedent’, signifying that it </w:t>
      </w:r>
      <w:r w:rsidRPr="00F540E3">
        <w:rPr>
          <w:rFonts w:ascii="Arial" w:hAnsi="Arial" w:cs="Arial"/>
          <w:color w:val="000000" w:themeColor="text1"/>
          <w:sz w:val="24"/>
          <w:szCs w:val="24"/>
          <w:lang w:val="en-US"/>
        </w:rPr>
        <w:t>can be used in practice</w:t>
      </w:r>
      <w:r>
        <w:rPr>
          <w:rFonts w:ascii="Arial" w:hAnsi="Arial" w:cs="Arial"/>
          <w:color w:val="000000" w:themeColor="text1"/>
          <w:sz w:val="24"/>
          <w:szCs w:val="24"/>
          <w:lang w:val="en-US"/>
        </w:rPr>
        <w:t>,</w:t>
      </w:r>
      <w:r w:rsidRPr="00F540E3">
        <w:rPr>
          <w:rFonts w:ascii="Arial" w:hAnsi="Arial" w:cs="Arial"/>
          <w:color w:val="000000" w:themeColor="text1"/>
          <w:sz w:val="24"/>
          <w:szCs w:val="24"/>
          <w:lang w:val="en-US"/>
        </w:rPr>
        <w:t xml:space="preserve"> directed by case law to improve human rights protection (Murdoch and Roche, 2013).</w:t>
      </w:r>
      <w:r w:rsidRPr="00983DB3">
        <w:rPr>
          <w:rFonts w:ascii="Arial" w:hAnsi="Arial" w:cs="Arial"/>
          <w:color w:val="000000" w:themeColor="text1"/>
          <w:sz w:val="24"/>
          <w:szCs w:val="24"/>
          <w:lang w:val="en-US"/>
        </w:rPr>
        <w:t xml:space="preserve"> At its essence, it places proportionality in police decision-making, thus policing in a human rights-compliant way</w:t>
      </w:r>
      <w:r>
        <w:rPr>
          <w:rFonts w:ascii="Arial" w:hAnsi="Arial" w:cs="Arial"/>
          <w:color w:val="000000" w:themeColor="text1"/>
          <w:sz w:val="24"/>
          <w:szCs w:val="24"/>
          <w:lang w:val="en-US"/>
        </w:rPr>
        <w:t xml:space="preserve"> (Greene, 2010)</w:t>
      </w:r>
      <w:r w:rsidRPr="00983DB3">
        <w:rPr>
          <w:rFonts w:ascii="Arial" w:hAnsi="Arial" w:cs="Arial"/>
          <w:color w:val="000000" w:themeColor="text1"/>
          <w:sz w:val="24"/>
          <w:szCs w:val="24"/>
          <w:lang w:val="en-US"/>
        </w:rPr>
        <w:t xml:space="preserve">. </w:t>
      </w:r>
      <w:r w:rsidRPr="00FA1F31">
        <w:rPr>
          <w:rFonts w:ascii="Arial" w:hAnsi="Arial" w:cs="Arial"/>
          <w:color w:val="000000" w:themeColor="text1"/>
          <w:sz w:val="24"/>
          <w:szCs w:val="24"/>
          <w:lang w:val="en-US"/>
        </w:rPr>
        <w:t xml:space="preserve">Even in the most challenging </w:t>
      </w:r>
      <w:r w:rsidRPr="00A60676">
        <w:rPr>
          <w:rFonts w:ascii="Arial" w:hAnsi="Arial" w:cs="Arial"/>
          <w:color w:val="000000" w:themeColor="text1"/>
          <w:sz w:val="24"/>
          <w:szCs w:val="24"/>
          <w:lang w:val="en-US"/>
        </w:rPr>
        <w:t xml:space="preserve">of circumstances, adherence to the rule of law and conventional rights apply (Patel, 2020). That said, not </w:t>
      </w:r>
      <w:r w:rsidRPr="00CB3F54">
        <w:rPr>
          <w:rFonts w:ascii="Arial" w:hAnsi="Arial" w:cs="Arial"/>
          <w:color w:val="000000" w:themeColor="text1"/>
          <w:sz w:val="24"/>
          <w:szCs w:val="24"/>
          <w:lang w:val="en-US"/>
        </w:rPr>
        <w:t xml:space="preserve">all convention rights have the same status, rights can be grouped into three categories; ‘absolute’ </w:t>
      </w:r>
      <w:r>
        <w:rPr>
          <w:rFonts w:ascii="Arial" w:hAnsi="Arial" w:cs="Arial"/>
          <w:color w:val="000000" w:themeColor="text1"/>
          <w:sz w:val="24"/>
          <w:szCs w:val="24"/>
          <w:lang w:val="en-US"/>
        </w:rPr>
        <w:t xml:space="preserve">rights </w:t>
      </w:r>
      <w:r w:rsidRPr="00CB3F54">
        <w:rPr>
          <w:rFonts w:ascii="Arial" w:hAnsi="Arial" w:cs="Arial"/>
          <w:color w:val="000000" w:themeColor="text1"/>
          <w:sz w:val="24"/>
          <w:szCs w:val="24"/>
          <w:lang w:val="en-US"/>
        </w:rPr>
        <w:t>which are guaranteed and cannot be interfered with, ‘limited’</w:t>
      </w:r>
      <w:r>
        <w:rPr>
          <w:rFonts w:ascii="Arial" w:hAnsi="Arial" w:cs="Arial"/>
          <w:color w:val="000000" w:themeColor="text1"/>
          <w:sz w:val="24"/>
          <w:szCs w:val="24"/>
          <w:lang w:val="en-US"/>
        </w:rPr>
        <w:t>,</w:t>
      </w:r>
      <w:r w:rsidRPr="00CB3F54">
        <w:rPr>
          <w:rFonts w:ascii="Arial" w:hAnsi="Arial" w:cs="Arial"/>
          <w:color w:val="000000" w:themeColor="text1"/>
          <w:sz w:val="24"/>
          <w:szCs w:val="24"/>
          <w:lang w:val="en-US"/>
        </w:rPr>
        <w:t xml:space="preserve"> which may be restricted in specific situations </w:t>
      </w:r>
      <w:r>
        <w:rPr>
          <w:rFonts w:ascii="Arial" w:hAnsi="Arial" w:cs="Arial"/>
          <w:color w:val="000000" w:themeColor="text1"/>
          <w:sz w:val="24"/>
          <w:szCs w:val="24"/>
          <w:lang w:val="en-US"/>
        </w:rPr>
        <w:t>and</w:t>
      </w:r>
      <w:r w:rsidRPr="00CB3F54">
        <w:rPr>
          <w:rFonts w:ascii="Arial" w:hAnsi="Arial" w:cs="Arial"/>
          <w:color w:val="000000" w:themeColor="text1"/>
          <w:sz w:val="24"/>
          <w:szCs w:val="24"/>
          <w:lang w:val="en-US"/>
        </w:rPr>
        <w:t xml:space="preserve"> ‘qualified’</w:t>
      </w:r>
      <w:r>
        <w:rPr>
          <w:rFonts w:ascii="Arial" w:hAnsi="Arial" w:cs="Arial"/>
          <w:color w:val="000000" w:themeColor="text1"/>
          <w:sz w:val="24"/>
          <w:szCs w:val="24"/>
          <w:lang w:val="en-US"/>
        </w:rPr>
        <w:t>,</w:t>
      </w:r>
      <w:r w:rsidRPr="00CB3F54">
        <w:rPr>
          <w:rFonts w:ascii="Arial" w:hAnsi="Arial" w:cs="Arial"/>
          <w:color w:val="000000" w:themeColor="text1"/>
          <w:sz w:val="24"/>
          <w:szCs w:val="24"/>
          <w:lang w:val="en-US"/>
        </w:rPr>
        <w:t xml:space="preserve"> which may be restricted to protect the rights of another or the wider interests of society </w:t>
      </w:r>
      <w:r>
        <w:rPr>
          <w:rFonts w:ascii="Arial" w:hAnsi="Arial" w:cs="Arial"/>
          <w:color w:val="000000" w:themeColor="text1"/>
          <w:sz w:val="24"/>
          <w:szCs w:val="24"/>
          <w:lang w:val="en-US"/>
        </w:rPr>
        <w:t xml:space="preserve">(See </w:t>
      </w:r>
      <w:r w:rsidRPr="007746BF">
        <w:rPr>
          <w:rFonts w:ascii="Arial" w:hAnsi="Arial" w:cs="Arial"/>
          <w:i/>
          <w:iCs/>
          <w:color w:val="000000" w:themeColor="text1"/>
          <w:sz w:val="24"/>
          <w:szCs w:val="24"/>
          <w:lang w:val="en-US"/>
        </w:rPr>
        <w:t>Appendix 3</w:t>
      </w:r>
      <w:r>
        <w:rPr>
          <w:rFonts w:ascii="Arial" w:hAnsi="Arial" w:cs="Arial"/>
          <w:color w:val="000000" w:themeColor="text1"/>
          <w:sz w:val="24"/>
          <w:szCs w:val="24"/>
          <w:lang w:val="en-US"/>
        </w:rPr>
        <w:t xml:space="preserve">) </w:t>
      </w:r>
      <w:r w:rsidRPr="00CB3F54">
        <w:rPr>
          <w:rFonts w:ascii="Arial" w:hAnsi="Arial" w:cs="Arial"/>
          <w:color w:val="000000" w:themeColor="text1"/>
          <w:sz w:val="24"/>
          <w:szCs w:val="24"/>
          <w:lang w:val="en-US"/>
        </w:rPr>
        <w:t xml:space="preserve">(Equality and Human Rights Commission, 2019). </w:t>
      </w:r>
    </w:p>
    <w:p w14:paraId="19391F7B" w14:textId="77777777" w:rsidR="00F91133" w:rsidRDefault="00F91133" w:rsidP="00F91133">
      <w:pPr>
        <w:spacing w:line="480" w:lineRule="auto"/>
        <w:jc w:val="both"/>
        <w:rPr>
          <w:rFonts w:ascii="Arial" w:hAnsi="Arial" w:cs="Arial"/>
          <w:color w:val="000000" w:themeColor="text1"/>
          <w:sz w:val="24"/>
          <w:szCs w:val="24"/>
          <w:lang w:val="en-US"/>
        </w:rPr>
      </w:pPr>
    </w:p>
    <w:p w14:paraId="3F79641C" w14:textId="77777777" w:rsidR="00F91133" w:rsidRDefault="00F91133" w:rsidP="00F91133">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upholding the ‘rule of law’, police officers themselves are subject to accountability (Rowe, 2018, pp.70). The Code of Ethics which was introduced by the College of Policing in 2014, comprises the ‘Standards of Professional </w:t>
      </w:r>
      <w:proofErr w:type="spellStart"/>
      <w:r>
        <w:rPr>
          <w:rFonts w:ascii="Arial" w:hAnsi="Arial" w:cs="Arial"/>
          <w:color w:val="000000" w:themeColor="text1"/>
          <w:sz w:val="24"/>
          <w:szCs w:val="24"/>
          <w:lang w:val="en-US"/>
        </w:rPr>
        <w:t>Behaviour</w:t>
      </w:r>
      <w:proofErr w:type="spellEnd"/>
      <w:r>
        <w:rPr>
          <w:rFonts w:ascii="Arial" w:hAnsi="Arial" w:cs="Arial"/>
          <w:color w:val="000000" w:themeColor="text1"/>
          <w:sz w:val="24"/>
          <w:szCs w:val="24"/>
          <w:lang w:val="en-US"/>
        </w:rPr>
        <w:t xml:space="preserve">’ and the ‘Policing Principles’ which are central to the </w:t>
      </w:r>
      <w:proofErr w:type="spellStart"/>
      <w:r>
        <w:rPr>
          <w:rFonts w:ascii="Arial" w:hAnsi="Arial" w:cs="Arial"/>
          <w:color w:val="000000" w:themeColor="text1"/>
          <w:sz w:val="24"/>
          <w:szCs w:val="24"/>
          <w:lang w:val="en-US"/>
        </w:rPr>
        <w:t>professionalisation</w:t>
      </w:r>
      <w:proofErr w:type="spellEnd"/>
      <w:r>
        <w:rPr>
          <w:rFonts w:ascii="Arial" w:hAnsi="Arial" w:cs="Arial"/>
          <w:color w:val="000000" w:themeColor="text1"/>
          <w:sz w:val="24"/>
          <w:szCs w:val="24"/>
          <w:lang w:val="en-US"/>
        </w:rPr>
        <w:t xml:space="preserve"> of the police service (See </w:t>
      </w:r>
      <w:r w:rsidRPr="001B513B">
        <w:rPr>
          <w:rFonts w:ascii="Arial" w:hAnsi="Arial" w:cs="Arial"/>
          <w:i/>
          <w:iCs/>
          <w:color w:val="000000" w:themeColor="text1"/>
          <w:sz w:val="24"/>
          <w:szCs w:val="24"/>
          <w:lang w:val="en-US"/>
        </w:rPr>
        <w:t xml:space="preserve">Appendix </w:t>
      </w:r>
      <w:r>
        <w:rPr>
          <w:rFonts w:ascii="Arial" w:hAnsi="Arial" w:cs="Arial"/>
          <w:i/>
          <w:iCs/>
          <w:color w:val="000000" w:themeColor="text1"/>
          <w:sz w:val="24"/>
          <w:szCs w:val="24"/>
          <w:lang w:val="en-US"/>
        </w:rPr>
        <w:t>4</w:t>
      </w:r>
      <w:r>
        <w:rPr>
          <w:rFonts w:ascii="Arial" w:hAnsi="Arial" w:cs="Arial"/>
          <w:color w:val="000000" w:themeColor="text1"/>
          <w:sz w:val="24"/>
          <w:szCs w:val="24"/>
          <w:lang w:val="en-US"/>
        </w:rPr>
        <w:t xml:space="preserve">) (College of Policing, 2014b). The police are expected to exercise their powers and procedures fairly and without bias, in accordance with the HRA </w:t>
      </w:r>
      <w:r>
        <w:rPr>
          <w:rFonts w:ascii="Arial" w:hAnsi="Arial" w:cs="Arial"/>
          <w:color w:val="000000" w:themeColor="text1"/>
          <w:sz w:val="24"/>
          <w:szCs w:val="24"/>
          <w:lang w:val="en-US"/>
        </w:rPr>
        <w:lastRenderedPageBreak/>
        <w:t>(1998), the Equality Act (2010), and the Police and Criminal Evidence Act (PACE) (1984) (Bryant and Bryant, 2020, pp.62).</w:t>
      </w:r>
    </w:p>
    <w:p w14:paraId="2F026961" w14:textId="77777777" w:rsidR="00F91133" w:rsidRDefault="00F91133" w:rsidP="00F91133">
      <w:pPr>
        <w:spacing w:line="480" w:lineRule="auto"/>
        <w:jc w:val="both"/>
        <w:rPr>
          <w:rFonts w:ascii="Arial" w:hAnsi="Arial" w:cs="Arial"/>
          <w:color w:val="000000" w:themeColor="text1"/>
          <w:sz w:val="24"/>
          <w:szCs w:val="24"/>
          <w:lang w:val="en-US"/>
        </w:rPr>
      </w:pPr>
    </w:p>
    <w:p w14:paraId="0A917499" w14:textId="77777777" w:rsidR="00F91133" w:rsidRDefault="00F91133" w:rsidP="00F91133">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Police powers and restrictions on their use are provided in PACE (1984) in addition to the Codes of Practice that provide a guide on how the investigative process should be conducted to strike the right balance between the powers of the police and the rights and freedoms of the public (See </w:t>
      </w:r>
      <w:r>
        <w:rPr>
          <w:rFonts w:ascii="Arial" w:hAnsi="Arial" w:cs="Arial"/>
          <w:i/>
          <w:iCs/>
          <w:color w:val="000000" w:themeColor="text1"/>
          <w:sz w:val="24"/>
          <w:szCs w:val="24"/>
          <w:lang w:val="en-US"/>
        </w:rPr>
        <w:t>Appendix 5</w:t>
      </w:r>
      <w:r>
        <w:rPr>
          <w:rFonts w:ascii="Arial" w:hAnsi="Arial" w:cs="Arial"/>
          <w:color w:val="000000" w:themeColor="text1"/>
          <w:sz w:val="24"/>
          <w:szCs w:val="24"/>
          <w:lang w:val="en-US"/>
        </w:rPr>
        <w:t xml:space="preserve">) (Rowe, 2018, pp.78-80). This is of relevance when considering instant resolution and disposal, a power afforded to police officers giving them the responsibility of being the investigator, prosecutor, jury and judge (Harfield, 2013, pp.3). </w:t>
      </w:r>
    </w:p>
    <w:p w14:paraId="0932DA91" w14:textId="77777777" w:rsidR="00F91133" w:rsidRDefault="00F91133" w:rsidP="00F91133">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To that end, given the potential use of force and removal of an individual’s right to liberty under Article 5 HRA (1998), this is a service that the public are not eager to encounter (Alang </w:t>
      </w:r>
      <w:r>
        <w:rPr>
          <w:rFonts w:ascii="Arial" w:hAnsi="Arial" w:cs="Arial"/>
          <w:i/>
          <w:iCs/>
          <w:color w:val="000000" w:themeColor="text1"/>
          <w:sz w:val="24"/>
          <w:szCs w:val="24"/>
          <w:lang w:val="en-US"/>
        </w:rPr>
        <w:t xml:space="preserve">et al. </w:t>
      </w:r>
      <w:r>
        <w:rPr>
          <w:rFonts w:ascii="Arial" w:hAnsi="Arial" w:cs="Arial"/>
          <w:color w:val="000000" w:themeColor="text1"/>
          <w:sz w:val="24"/>
          <w:szCs w:val="24"/>
          <w:lang w:val="en-US"/>
        </w:rPr>
        <w:t xml:space="preserve">2021, pp.1-2). As a result, police are required to justify their course of action and decision-making, an often-enduring issue for police officers when faced with ethical dilemmas (College of Policing, 2014b). Consequently, this has led to negative media coverage focused on incompetent, inefficient policing and police misconduct, rarely focusing on how the police protect the human and civil rights of the accused (Paterson and Pollock, 2011, pp.113-114). </w:t>
      </w:r>
    </w:p>
    <w:p w14:paraId="7EF79D00" w14:textId="77777777" w:rsidR="00F91133" w:rsidRDefault="00F91133" w:rsidP="00F91133">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Such powers have been reported to have divided the public’s perception and relationship with police, a prerequisite for effective policing (Europa, 2013). Public confidence in the police is closely related to the reaffirming of fundamental rights and freedoms to assure the dignity of individuals. Hence, herein lies the paradox of democratic policing; the delicate balance in assuring social control but not at the expense on an individual’s liberty and human rights (Greene, 2010).  </w:t>
      </w:r>
    </w:p>
    <w:p w14:paraId="7C4F0F45" w14:textId="77777777" w:rsidR="00F91133" w:rsidRPr="004761E9" w:rsidRDefault="00F91133" w:rsidP="00F91133">
      <w:pPr>
        <w:spacing w:line="480" w:lineRule="auto"/>
        <w:jc w:val="both"/>
        <w:rPr>
          <w:rFonts w:ascii="Arial" w:hAnsi="Arial" w:cs="Arial"/>
          <w:b/>
          <w:bCs/>
          <w:color w:val="002060"/>
          <w:sz w:val="24"/>
          <w:szCs w:val="24"/>
          <w:lang w:val="en-US"/>
        </w:rPr>
      </w:pPr>
    </w:p>
    <w:p w14:paraId="0009B717" w14:textId="77777777" w:rsidR="00F91133" w:rsidRPr="00F41C5F" w:rsidRDefault="00F91133" w:rsidP="00F91133">
      <w:pPr>
        <w:pStyle w:val="Heading1"/>
        <w:numPr>
          <w:ilvl w:val="1"/>
          <w:numId w:val="2"/>
        </w:numPr>
        <w:tabs>
          <w:tab w:val="num" w:pos="360"/>
        </w:tabs>
        <w:ind w:left="0" w:firstLine="0"/>
        <w:rPr>
          <w:rFonts w:ascii="Arial" w:hAnsi="Arial" w:cs="Arial"/>
          <w:b/>
          <w:bCs/>
          <w:color w:val="auto"/>
          <w:sz w:val="24"/>
          <w:szCs w:val="24"/>
          <w:lang w:val="en-US"/>
        </w:rPr>
      </w:pPr>
      <w:r>
        <w:rPr>
          <w:rFonts w:ascii="Arial" w:hAnsi="Arial" w:cs="Arial"/>
          <w:b/>
          <w:bCs/>
          <w:color w:val="auto"/>
          <w:sz w:val="24"/>
          <w:szCs w:val="24"/>
          <w:lang w:val="en-US"/>
        </w:rPr>
        <w:t xml:space="preserve"> </w:t>
      </w:r>
      <w:bookmarkStart w:id="2" w:name="_Toc102773544"/>
      <w:r w:rsidRPr="00F41C5F">
        <w:rPr>
          <w:rFonts w:ascii="Arial" w:hAnsi="Arial" w:cs="Arial"/>
          <w:b/>
          <w:bCs/>
          <w:color w:val="auto"/>
          <w:sz w:val="24"/>
          <w:szCs w:val="24"/>
          <w:lang w:val="en-US"/>
        </w:rPr>
        <w:t>Aims and Objectives</w:t>
      </w:r>
      <w:bookmarkEnd w:id="2"/>
    </w:p>
    <w:p w14:paraId="0FC1ABED" w14:textId="77777777" w:rsidR="00F91133" w:rsidRDefault="00F91133" w:rsidP="00F91133">
      <w:pPr>
        <w:pStyle w:val="Heading1"/>
        <w:ind w:left="360"/>
        <w:rPr>
          <w:rFonts w:ascii="Arial" w:hAnsi="Arial" w:cs="Arial"/>
          <w:b/>
          <w:bCs/>
          <w:color w:val="auto"/>
          <w:sz w:val="24"/>
          <w:szCs w:val="24"/>
          <w:lang w:val="en-US"/>
        </w:rPr>
      </w:pPr>
      <w:bookmarkStart w:id="3" w:name="_Toc102773545"/>
      <w:r w:rsidRPr="00F41C5F">
        <w:rPr>
          <w:rFonts w:ascii="Arial" w:hAnsi="Arial" w:cs="Arial"/>
          <w:b/>
          <w:bCs/>
          <w:color w:val="auto"/>
          <w:sz w:val="24"/>
          <w:szCs w:val="24"/>
          <w:lang w:val="en-US"/>
        </w:rPr>
        <w:t>1.2.1 Aim</w:t>
      </w:r>
      <w:bookmarkEnd w:id="3"/>
    </w:p>
    <w:p w14:paraId="13ED49EA" w14:textId="77777777" w:rsidR="00F91133" w:rsidRPr="00F41C5F" w:rsidRDefault="00F91133" w:rsidP="00F91133">
      <w:pPr>
        <w:rPr>
          <w:lang w:val="en-US"/>
        </w:rPr>
      </w:pPr>
    </w:p>
    <w:p w14:paraId="11395A97" w14:textId="77777777" w:rsidR="00F91133" w:rsidRDefault="00F91133" w:rsidP="00F91133">
      <w:pPr>
        <w:spacing w:line="480" w:lineRule="auto"/>
        <w:jc w:val="center"/>
        <w:rPr>
          <w:rFonts w:ascii="Arial" w:hAnsi="Arial" w:cs="Arial"/>
          <w:i/>
          <w:iCs/>
          <w:sz w:val="24"/>
          <w:szCs w:val="24"/>
          <w:lang w:val="en-US"/>
        </w:rPr>
      </w:pPr>
      <w:r>
        <w:rPr>
          <w:rFonts w:ascii="Arial" w:hAnsi="Arial" w:cs="Arial"/>
          <w:color w:val="002060"/>
          <w:sz w:val="24"/>
          <w:szCs w:val="24"/>
          <w:lang w:val="en-US"/>
        </w:rPr>
        <w:t>-</w:t>
      </w:r>
      <w:r w:rsidRPr="00936E94">
        <w:rPr>
          <w:rFonts w:ascii="Arial" w:hAnsi="Arial" w:cs="Arial"/>
          <w:i/>
          <w:iCs/>
          <w:sz w:val="24"/>
          <w:szCs w:val="24"/>
          <w:lang w:val="en-US"/>
        </w:rPr>
        <w:t xml:space="preserve"> “To explore public perception regarding human rights and police powers in order to determine how police attempt to protect an individual’s human rights and the subsequent effects that the Human Rights Act (1998) has on police powers in the line of duty.”</w:t>
      </w:r>
    </w:p>
    <w:p w14:paraId="60550633" w14:textId="77777777" w:rsidR="00F91133" w:rsidRPr="00711C70" w:rsidRDefault="00F91133" w:rsidP="00F91133">
      <w:pPr>
        <w:spacing w:line="480" w:lineRule="auto"/>
        <w:jc w:val="both"/>
        <w:rPr>
          <w:rFonts w:ascii="Arial" w:hAnsi="Arial" w:cs="Arial"/>
          <w:i/>
          <w:iCs/>
          <w:sz w:val="24"/>
          <w:szCs w:val="24"/>
          <w:lang w:val="en-US"/>
        </w:rPr>
      </w:pPr>
    </w:p>
    <w:p w14:paraId="38DBB4C7" w14:textId="77777777" w:rsidR="00F91133" w:rsidRDefault="00F91133" w:rsidP="00F91133">
      <w:pPr>
        <w:pStyle w:val="Heading1"/>
        <w:ind w:firstLine="360"/>
        <w:rPr>
          <w:rFonts w:ascii="Arial" w:hAnsi="Arial" w:cs="Arial"/>
          <w:b/>
          <w:bCs/>
          <w:color w:val="auto"/>
          <w:sz w:val="24"/>
          <w:szCs w:val="24"/>
          <w:lang w:val="en-US"/>
        </w:rPr>
      </w:pPr>
      <w:bookmarkStart w:id="4" w:name="_Toc102773546"/>
      <w:r w:rsidRPr="00F41C5F">
        <w:rPr>
          <w:rFonts w:ascii="Arial" w:hAnsi="Arial" w:cs="Arial"/>
          <w:b/>
          <w:bCs/>
          <w:color w:val="auto"/>
          <w:sz w:val="24"/>
          <w:szCs w:val="24"/>
          <w:lang w:val="en-US"/>
        </w:rPr>
        <w:t>1.2.2 Objectives</w:t>
      </w:r>
      <w:bookmarkEnd w:id="4"/>
    </w:p>
    <w:p w14:paraId="5FB30D48" w14:textId="77777777" w:rsidR="00F91133" w:rsidRPr="00086836" w:rsidRDefault="00F91133" w:rsidP="00F91133">
      <w:pPr>
        <w:rPr>
          <w:lang w:val="en-US"/>
        </w:rPr>
      </w:pPr>
    </w:p>
    <w:p w14:paraId="73117EEF" w14:textId="77777777" w:rsidR="00F91133" w:rsidRPr="00086836" w:rsidRDefault="00F91133" w:rsidP="00F91133">
      <w:pPr>
        <w:pStyle w:val="ListParagraph"/>
        <w:numPr>
          <w:ilvl w:val="0"/>
          <w:numId w:val="1"/>
        </w:numPr>
        <w:spacing w:line="480" w:lineRule="auto"/>
        <w:jc w:val="both"/>
        <w:rPr>
          <w:rFonts w:ascii="Arial" w:hAnsi="Arial" w:cs="Arial"/>
          <w:bCs/>
          <w:i/>
          <w:iCs/>
          <w:color w:val="000000" w:themeColor="text1"/>
          <w:sz w:val="24"/>
          <w:szCs w:val="24"/>
          <w:lang w:val="en-US"/>
        </w:rPr>
      </w:pPr>
      <w:r w:rsidRPr="00086836">
        <w:rPr>
          <w:rFonts w:ascii="Arial" w:hAnsi="Arial" w:cs="Arial"/>
          <w:bCs/>
          <w:i/>
          <w:iCs/>
          <w:color w:val="000000" w:themeColor="text1"/>
          <w:sz w:val="24"/>
          <w:szCs w:val="24"/>
          <w:lang w:val="en-US"/>
        </w:rPr>
        <w:t>“</w:t>
      </w:r>
      <w:r>
        <w:rPr>
          <w:rFonts w:ascii="Arial" w:hAnsi="Arial" w:cs="Arial"/>
          <w:bCs/>
          <w:i/>
          <w:iCs/>
          <w:color w:val="000000" w:themeColor="text1"/>
          <w:sz w:val="24"/>
          <w:szCs w:val="24"/>
          <w:lang w:val="en-US"/>
        </w:rPr>
        <w:t>C</w:t>
      </w:r>
      <w:r w:rsidRPr="00086836">
        <w:rPr>
          <w:rFonts w:ascii="Arial" w:hAnsi="Arial" w:cs="Arial"/>
          <w:bCs/>
          <w:i/>
          <w:iCs/>
          <w:color w:val="000000" w:themeColor="text1"/>
          <w:sz w:val="24"/>
          <w:szCs w:val="24"/>
          <w:lang w:val="en-US"/>
        </w:rPr>
        <w:t xml:space="preserve">ritically </w:t>
      </w:r>
      <w:proofErr w:type="spellStart"/>
      <w:r w:rsidRPr="00086836">
        <w:rPr>
          <w:rFonts w:ascii="Arial" w:hAnsi="Arial" w:cs="Arial"/>
          <w:bCs/>
          <w:i/>
          <w:iCs/>
          <w:color w:val="000000" w:themeColor="text1"/>
          <w:sz w:val="24"/>
          <w:szCs w:val="24"/>
          <w:lang w:val="en-US"/>
        </w:rPr>
        <w:t>analyse</w:t>
      </w:r>
      <w:proofErr w:type="spellEnd"/>
      <w:r w:rsidRPr="00086836">
        <w:rPr>
          <w:rFonts w:ascii="Arial" w:hAnsi="Arial" w:cs="Arial"/>
          <w:bCs/>
          <w:i/>
          <w:iCs/>
          <w:color w:val="000000" w:themeColor="text1"/>
          <w:sz w:val="24"/>
          <w:szCs w:val="24"/>
          <w:lang w:val="en-US"/>
        </w:rPr>
        <w:t xml:space="preserve"> current literature on the relationship between human rights and police powers, exploring the affects the legislation has on police powers and the protection afforded by police</w:t>
      </w:r>
      <w:r>
        <w:rPr>
          <w:rFonts w:ascii="Arial" w:hAnsi="Arial" w:cs="Arial"/>
          <w:bCs/>
          <w:i/>
          <w:iCs/>
          <w:color w:val="000000" w:themeColor="text1"/>
          <w:sz w:val="24"/>
          <w:szCs w:val="24"/>
          <w:lang w:val="en-US"/>
        </w:rPr>
        <w:t>.</w:t>
      </w:r>
      <w:r w:rsidRPr="00086836">
        <w:rPr>
          <w:rFonts w:ascii="Arial" w:hAnsi="Arial" w:cs="Arial"/>
          <w:bCs/>
          <w:i/>
          <w:iCs/>
          <w:color w:val="000000" w:themeColor="text1"/>
          <w:sz w:val="24"/>
          <w:szCs w:val="24"/>
          <w:lang w:val="en-US"/>
        </w:rPr>
        <w:t>”</w:t>
      </w:r>
    </w:p>
    <w:p w14:paraId="013F99BA" w14:textId="77777777" w:rsidR="00F91133" w:rsidRPr="005D6750" w:rsidRDefault="00F91133" w:rsidP="00F91133">
      <w:pPr>
        <w:pStyle w:val="ListParagraph"/>
        <w:numPr>
          <w:ilvl w:val="0"/>
          <w:numId w:val="1"/>
        </w:numPr>
        <w:spacing w:line="480" w:lineRule="auto"/>
        <w:jc w:val="both"/>
        <w:rPr>
          <w:rFonts w:ascii="Arial" w:hAnsi="Arial" w:cs="Arial"/>
          <w:i/>
          <w:iCs/>
          <w:color w:val="000000" w:themeColor="text1"/>
          <w:sz w:val="24"/>
          <w:szCs w:val="24"/>
          <w:lang w:val="en-US"/>
        </w:rPr>
      </w:pPr>
      <w:r w:rsidRPr="005D6750">
        <w:rPr>
          <w:rFonts w:ascii="Arial" w:hAnsi="Arial" w:cs="Arial"/>
          <w:i/>
          <w:iCs/>
          <w:color w:val="000000" w:themeColor="text1"/>
          <w:sz w:val="24"/>
          <w:szCs w:val="24"/>
          <w:lang w:val="en-US"/>
        </w:rPr>
        <w:t>“Select the appropriate research method to conduct social research.”</w:t>
      </w:r>
    </w:p>
    <w:p w14:paraId="174EE5B5" w14:textId="77777777" w:rsidR="007B031E" w:rsidRDefault="007B031E">
      <w:pPr>
        <w:rPr>
          <w:lang w:val="en-US"/>
        </w:rPr>
      </w:pPr>
    </w:p>
    <w:p w14:paraId="0F4F4B5E" w14:textId="77777777" w:rsidR="00F91133" w:rsidRDefault="00F91133">
      <w:pPr>
        <w:rPr>
          <w:lang w:val="en-US"/>
        </w:rPr>
      </w:pPr>
    </w:p>
    <w:p w14:paraId="758FAEAD" w14:textId="77777777" w:rsidR="00F91133" w:rsidRDefault="00F91133">
      <w:pPr>
        <w:rPr>
          <w:lang w:val="en-US"/>
        </w:rPr>
      </w:pPr>
    </w:p>
    <w:p w14:paraId="739230DD" w14:textId="77777777" w:rsidR="00F91133" w:rsidRDefault="00F91133">
      <w:pPr>
        <w:rPr>
          <w:lang w:val="en-US"/>
        </w:rPr>
      </w:pPr>
    </w:p>
    <w:p w14:paraId="4AE02D5F" w14:textId="77777777" w:rsidR="00F91133" w:rsidRDefault="00F91133">
      <w:pPr>
        <w:rPr>
          <w:lang w:val="en-US"/>
        </w:rPr>
      </w:pPr>
    </w:p>
    <w:p w14:paraId="581B39BC" w14:textId="77777777" w:rsidR="00F91133" w:rsidRDefault="00F91133">
      <w:pPr>
        <w:rPr>
          <w:lang w:val="en-US"/>
        </w:rPr>
      </w:pPr>
    </w:p>
    <w:p w14:paraId="610F3452" w14:textId="77777777" w:rsidR="00F91133" w:rsidRDefault="00F91133">
      <w:pPr>
        <w:rPr>
          <w:lang w:val="en-US"/>
        </w:rPr>
      </w:pPr>
    </w:p>
    <w:p w14:paraId="6A0B8ECD" w14:textId="77777777" w:rsidR="00F91133" w:rsidRDefault="00F91133">
      <w:pPr>
        <w:rPr>
          <w:lang w:val="en-US"/>
        </w:rPr>
      </w:pPr>
    </w:p>
    <w:p w14:paraId="349FF041" w14:textId="77777777" w:rsidR="00F91133" w:rsidRDefault="00F91133">
      <w:pPr>
        <w:rPr>
          <w:lang w:val="en-US"/>
        </w:rPr>
      </w:pPr>
    </w:p>
    <w:p w14:paraId="3F4D43AC" w14:textId="77777777" w:rsidR="00F91133" w:rsidRDefault="00F91133">
      <w:pPr>
        <w:rPr>
          <w:lang w:val="en-US"/>
        </w:rPr>
      </w:pPr>
    </w:p>
    <w:p w14:paraId="6CBD56F2" w14:textId="77777777" w:rsidR="00F91133" w:rsidRDefault="00F91133">
      <w:pPr>
        <w:rPr>
          <w:lang w:val="en-US"/>
        </w:rPr>
      </w:pPr>
    </w:p>
    <w:p w14:paraId="1D699F57" w14:textId="77777777" w:rsidR="00F91133" w:rsidRDefault="00F91133">
      <w:pPr>
        <w:rPr>
          <w:lang w:val="en-US"/>
        </w:rPr>
      </w:pPr>
    </w:p>
    <w:p w14:paraId="7AD67FA1" w14:textId="77777777" w:rsidR="00F91133" w:rsidRDefault="00F91133">
      <w:pPr>
        <w:rPr>
          <w:lang w:val="en-US"/>
        </w:rPr>
      </w:pPr>
    </w:p>
    <w:p w14:paraId="6B1A1A8C" w14:textId="68A46369" w:rsidR="00F91133" w:rsidRDefault="00F91133" w:rsidP="00F91133">
      <w:pPr>
        <w:tabs>
          <w:tab w:val="right" w:pos="9026"/>
        </w:tabs>
        <w:rPr>
          <w:rFonts w:ascii="Arial" w:hAnsi="Arial" w:cs="Arial"/>
          <w:sz w:val="28"/>
          <w:szCs w:val="28"/>
        </w:rPr>
      </w:pPr>
      <w:r>
        <w:rPr>
          <w:noProof/>
        </w:rPr>
        <mc:AlternateContent>
          <mc:Choice Requires="wps">
            <w:drawing>
              <wp:anchor distT="0" distB="0" distL="114300" distR="114300" simplePos="0" relativeHeight="251658240" behindDoc="0" locked="0" layoutInCell="1" allowOverlap="1" wp14:anchorId="0FC6D9DF" wp14:editId="4331CD79">
                <wp:simplePos x="0" y="0"/>
                <wp:positionH relativeFrom="column">
                  <wp:posOffset>5492750</wp:posOffset>
                </wp:positionH>
                <wp:positionV relativeFrom="paragraph">
                  <wp:posOffset>-104775</wp:posOffset>
                </wp:positionV>
                <wp:extent cx="409575" cy="409575"/>
                <wp:effectExtent l="0" t="0" r="28575" b="28575"/>
                <wp:wrapNone/>
                <wp:docPr id="19" name="Oval 2"/>
                <wp:cNvGraphicFramePr/>
                <a:graphic xmlns:a="http://schemas.openxmlformats.org/drawingml/2006/main">
                  <a:graphicData uri="http://schemas.microsoft.com/office/word/2010/wordprocessingShape">
                    <wps:wsp>
                      <wps:cNvSpPr/>
                      <wps:spPr>
                        <a:xfrm>
                          <a:off x="0" y="0"/>
                          <a:ext cx="409575" cy="4095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34C2DE2A" id="Oval 2" o:spid="_x0000_s1026" style="position:absolute;margin-left:432.5pt;margin-top:-8.25pt;width:32.25pt;height:32.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" filled="f" strokecolor="black [3213]" strokeweight="1pt">
                <v:stroke joinstyle="miter"/>
              </v:oval>
            </w:pict>
          </mc:Fallback>
        </mc:AlternateContent>
      </w:r>
      <w:r>
        <w:rPr>
          <w:noProof/>
        </w:rPr>
        <mc:AlternateContent>
          <mc:Choice Requires="wps">
            <w:drawing>
              <wp:anchor distT="0" distB="0" distL="114300" distR="114300" simplePos="0" relativeHeight="251657216" behindDoc="0" locked="0" layoutInCell="1" allowOverlap="1" wp14:anchorId="5AA0EFBD" wp14:editId="750692D6">
                <wp:simplePos x="0" y="0"/>
                <wp:positionH relativeFrom="column">
                  <wp:posOffset>1533525</wp:posOffset>
                </wp:positionH>
                <wp:positionV relativeFrom="paragraph">
                  <wp:posOffset>104775</wp:posOffset>
                </wp:positionV>
                <wp:extent cx="3962400" cy="0"/>
                <wp:effectExtent l="0" t="0" r="0" b="0"/>
                <wp:wrapNone/>
                <wp:docPr id="6" name="Straight Connector 1"/>
                <wp:cNvGraphicFramePr/>
                <a:graphic xmlns:a="http://schemas.openxmlformats.org/drawingml/2006/main">
                  <a:graphicData uri="http://schemas.microsoft.com/office/word/2010/wordprocessingShape">
                    <wps:wsp>
                      <wps:cNvCnPr/>
                      <wps:spPr>
                        <a:xfrm>
                          <a:off x="0" y="0"/>
                          <a:ext cx="39624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561337B5" id="Straight Connector 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120.75pt,8.25pt" to="432.7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" strokecolor="black [3200]" strokeweight=".5pt">
                <v:stroke joinstyle="miter"/>
              </v:line>
            </w:pict>
          </mc:Fallback>
        </mc:AlternateContent>
      </w:r>
      <w:r>
        <w:rPr>
          <w:rFonts w:ascii="Arial" w:hAnsi="Arial" w:cs="Arial"/>
          <w:sz w:val="28"/>
          <w:szCs w:val="28"/>
        </w:rPr>
        <w:t>INTRODUCTION</w:t>
      </w:r>
      <w:r>
        <w:rPr>
          <w:rFonts w:ascii="Arial" w:hAnsi="Arial" w:cs="Arial"/>
          <w:sz w:val="28"/>
          <w:szCs w:val="28"/>
        </w:rPr>
        <w:tab/>
      </w:r>
      <w:r>
        <w:rPr>
          <w:rFonts w:ascii="Arial" w:hAnsi="Arial" w:cs="Arial"/>
          <w:b/>
          <w:bCs/>
          <w:color w:val="000000" w:themeColor="text1"/>
          <w:sz w:val="28"/>
          <w:szCs w:val="28"/>
        </w:rPr>
        <w:t>I</w:t>
      </w:r>
    </w:p>
    <w:p w14:paraId="6379547C" w14:textId="77777777" w:rsidR="00F91133" w:rsidRDefault="00F91133" w:rsidP="00F91133">
      <w:pPr>
        <w:rPr>
          <w:b/>
          <w:bCs/>
          <w:sz w:val="28"/>
          <w:szCs w:val="28"/>
        </w:rPr>
      </w:pPr>
    </w:p>
    <w:p w14:paraId="40AAFAFA" w14:textId="77777777" w:rsidR="00F91133" w:rsidRDefault="00F91133" w:rsidP="00F91133">
      <w:pPr>
        <w:spacing w:line="480" w:lineRule="auto"/>
        <w:rPr>
          <w:rFonts w:ascii="Arial" w:hAnsi="Arial" w:cs="Arial"/>
        </w:rPr>
      </w:pPr>
      <w:r>
        <w:t xml:space="preserve">        </w:t>
      </w:r>
      <w:r>
        <w:rPr>
          <w:rFonts w:ascii="Arial" w:hAnsi="Arial" w:cs="Arial"/>
        </w:rPr>
        <w:t>This study will analyse and assess the current operational capabilities of the joint Counter Terrorism Wales policing unit whose role is to protect Wales from any potential threats of terror across the nation. Gathering information from current serving police officers who have duties in Counter Terrorism, along with analysing and comparing secondary research, this study aims to answer the question at hand; Is Counter Terrorism Policing  Wales (WECTU) fully prepared both practically and financially to deal with any potential attacks of terror and successfully defend Wales with the current countermeasures and operational tactics in place within the most populated and highest funded jurisdiction of South Wales Police?</w:t>
      </w:r>
    </w:p>
    <w:p w14:paraId="7A6B322B" w14:textId="77777777" w:rsidR="00F91133" w:rsidRDefault="00F91133" w:rsidP="00F91133">
      <w:pPr>
        <w:spacing w:line="480" w:lineRule="auto"/>
        <w:rPr>
          <w:rFonts w:ascii="Arial" w:hAnsi="Arial" w:cs="Arial"/>
        </w:rPr>
      </w:pPr>
      <w:r>
        <w:rPr>
          <w:rFonts w:ascii="Arial" w:hAnsi="Arial" w:cs="Arial"/>
        </w:rPr>
        <w:t xml:space="preserve">        The aim of this study is to successfully recognise and evaluate the current strategic countermeasures and operational procedures/tactics in place to deal with a potential attack of terror within the most populated region which falls under the jurisdiction of South Wales Police. To achieve this aim, various objectives will be put in place to ensure that the research is conducted to the highest standard. Firstly, identifying the professional outlook on response to terrorism in Wales. This includes addressing the effectiveness of JESIP (Joint Emergency Services Interoperability Programme), and how it has performed from experience in relevant situations. Another objective will be to assess the funding and support provided to Wales by bodies such as the Home Office, and whether it is sufficient in meeting the standard of national security expected. Finally, the application of CONTEST will be evaluated as to how it lends itself to countering terrorism in Wales. Questionnaires will be given to current serving counter-terror police officers within South Wales Police, featuring a variety of open and closed questions that will help answer the help meet the three above objectives and in turn meet the overall aim of this dissertation. The questionnaire will not feature any questions that may raise ethical issues relating to elements of belief or religion, </w:t>
      </w:r>
      <w:r>
        <w:rPr>
          <w:rFonts w:ascii="Arial" w:hAnsi="Arial" w:cs="Arial"/>
        </w:rPr>
        <w:lastRenderedPageBreak/>
        <w:t>for example. This data will then be cross-examined with secondary research in order to formulate an opinion on the question. Queen and Squires (2011) state that planning ahead and setting a timeframe for your dissertation is a vital step in setting up for success. Therefore, a timeline has been set for chapter completion which is as follows… The introduction will be completed by 21</w:t>
      </w:r>
      <w:r>
        <w:rPr>
          <w:rFonts w:ascii="Arial" w:hAnsi="Arial" w:cs="Arial"/>
          <w:vertAlign w:val="superscript"/>
        </w:rPr>
        <w:t>st</w:t>
      </w:r>
      <w:r>
        <w:rPr>
          <w:rFonts w:ascii="Arial" w:hAnsi="Arial" w:cs="Arial"/>
        </w:rPr>
        <w:t xml:space="preserve"> October 2022, Literature Review will be completed by 18</w:t>
      </w:r>
      <w:r>
        <w:rPr>
          <w:rFonts w:ascii="Arial" w:hAnsi="Arial" w:cs="Arial"/>
          <w:vertAlign w:val="superscript"/>
        </w:rPr>
        <w:t>th</w:t>
      </w:r>
      <w:r>
        <w:rPr>
          <w:rFonts w:ascii="Arial" w:hAnsi="Arial" w:cs="Arial"/>
        </w:rPr>
        <w:t xml:space="preserve"> November 2022, Research Methodology will be completed by 9</w:t>
      </w:r>
      <w:r>
        <w:rPr>
          <w:rFonts w:ascii="Arial" w:hAnsi="Arial" w:cs="Arial"/>
          <w:vertAlign w:val="superscript"/>
        </w:rPr>
        <w:t>th</w:t>
      </w:r>
      <w:r>
        <w:rPr>
          <w:rFonts w:ascii="Arial" w:hAnsi="Arial" w:cs="Arial"/>
        </w:rPr>
        <w:t xml:space="preserve"> December 2022, the Analysis of Results will be completed by 10</w:t>
      </w:r>
      <w:r>
        <w:rPr>
          <w:rFonts w:ascii="Arial" w:hAnsi="Arial" w:cs="Arial"/>
          <w:vertAlign w:val="superscript"/>
        </w:rPr>
        <w:t>th</w:t>
      </w:r>
      <w:r>
        <w:rPr>
          <w:rFonts w:ascii="Arial" w:hAnsi="Arial" w:cs="Arial"/>
        </w:rPr>
        <w:t xml:space="preserve"> February 2023 and the Conclusion and Recommendations will be completed by 24</w:t>
      </w:r>
      <w:r>
        <w:rPr>
          <w:rFonts w:ascii="Arial" w:hAnsi="Arial" w:cs="Arial"/>
          <w:vertAlign w:val="superscript"/>
        </w:rPr>
        <w:t>th</w:t>
      </w:r>
      <w:r>
        <w:rPr>
          <w:rFonts w:ascii="Arial" w:hAnsi="Arial" w:cs="Arial"/>
        </w:rPr>
        <w:t xml:space="preserve"> February 2023. The final research paper will be completed by 1</w:t>
      </w:r>
      <w:r>
        <w:rPr>
          <w:rFonts w:ascii="Arial" w:hAnsi="Arial" w:cs="Arial"/>
          <w:vertAlign w:val="superscript"/>
        </w:rPr>
        <w:t>st</w:t>
      </w:r>
      <w:r>
        <w:rPr>
          <w:rFonts w:ascii="Arial" w:hAnsi="Arial" w:cs="Arial"/>
        </w:rPr>
        <w:t xml:space="preserve"> May 2023.</w:t>
      </w:r>
    </w:p>
    <w:p w14:paraId="7D70844B" w14:textId="77777777" w:rsidR="00F91133" w:rsidRDefault="00F91133" w:rsidP="00F91133">
      <w:pPr>
        <w:spacing w:line="480" w:lineRule="auto"/>
        <w:rPr>
          <w:rFonts w:ascii="Arial" w:hAnsi="Arial" w:cs="Arial"/>
        </w:rPr>
      </w:pPr>
      <w:r>
        <w:rPr>
          <w:rFonts w:ascii="Arial" w:hAnsi="Arial" w:cs="Arial"/>
        </w:rPr>
        <w:t xml:space="preserve">        Counter Terrorism Policing is the UK’s joint effort to combat terrorism comprising a network of eleven regions ranging from Counter Terrorism Policing Wales to Counter Terrorism Command (SO15) in London (Counter Terrorism Policing, 2022). ‘CONTEST’, is the current UK strategy in dealing with terrorism and aims to ensure that the people of the United Kingdom can live freely and with confidence. CONTEST aims to prevent the creation of terrorists, pursue those who intend to cause an act of terror, protect the people of the UK from attacks and prepare for any sudden attacks (UK Government, 2018). However, CONTEST is not always something that the government can rely on. The structure of the four P’s are appropriately named as pillars to this anti-terror plan. Protect, Pursue, Prevent and Prepare, (UK Government, 2018) – If one is removed, the structure falls. The principles need each other and when singled out, cannot be relied on too heavily to fight the threat of terrorism (Basu, 2021). In Wales, Counter-Terror security advisors are collaborating in order to keep Wales safe where a threat of terror is at a higher risk than usual such as large gatherings, crowded places etc. They can help put in place remedies and countermeasures to ensure the safety of the people in attendance (Gwynedd Council, 2011). According to the National Police Chiefs’ Council (2019) (NPCC), communities fight terrorism, and the cooperation between the police and the public is vital in the efforts of defeating terrorism. The police depend on the public for vital information related to potential terror attacks, acting </w:t>
      </w:r>
      <w:r>
        <w:rPr>
          <w:rFonts w:ascii="Arial" w:hAnsi="Arial" w:cs="Arial"/>
        </w:rPr>
        <w:lastRenderedPageBreak/>
        <w:t>as national surveillance. It is clear that this national surveillance is key across the UK, including Wales where sharing concerns about certain behaviour can result in potentially keeping Wales safe (South Wales Police, 2022a). The strategy ‘Run, Hide, Tell’, was introduced by Counter Terrorism Policing in 2017 in order to improve public safety (particularly 11-16 year-olds) in the event of an attack and ensure they know how to stay safe (NPCC, 2017).</w:t>
      </w:r>
    </w:p>
    <w:p w14:paraId="60902801" w14:textId="77777777" w:rsidR="00F91133" w:rsidRDefault="00F91133" w:rsidP="00F91133">
      <w:pPr>
        <w:spacing w:line="480" w:lineRule="auto"/>
        <w:rPr>
          <w:rFonts w:ascii="Arial" w:hAnsi="Arial" w:cs="Arial"/>
        </w:rPr>
      </w:pPr>
      <w:r>
        <w:rPr>
          <w:rFonts w:ascii="Arial" w:hAnsi="Arial" w:cs="Arial"/>
        </w:rPr>
        <w:t>Regional collaboration between many organisations is present when dealing with terrorism and extremism. From South Wales Police to South Wales Fire and Rescue. Everyone plays a role in preventing/ responding to any attacks that may occur under the ‘Working Together for Safer Communities review’. The Welsh Government (2017), explains that ‘Working Together for Safer Communities’ is a review conducted to ensure that the Government, public, and non-profit organisations contribute to their shared obligation to cooperate with the communities they serve and the private sector to address action or behaviour that is illegal, anti-social, detrimental to people and society, as well as to the environment. It can start from something as simple as a neighbourhood watch detection and work its way up to the relevant authority in Wales which have the necessary facilities and legal power to act (Welsh Government, 2017). The study will help recognise the current ongoing efforts and collaboration needed in order to successfully repel any form of terror in the heart of Wales. In line with this, the effectiveness of the Joint Emergency Service Interoperability Programme (JESIP) will be examined in relation to dealing with terrorism. The cooperation of emergency services during incidents involving terrorism is vital to a successful Counter Terrorism operation and to ensure maximum efficiency (Daniels, 2019).</w:t>
      </w:r>
    </w:p>
    <w:p w14:paraId="155BAAD2" w14:textId="77777777" w:rsidR="00F91133" w:rsidRDefault="00F91133" w:rsidP="00F91133">
      <w:pPr>
        <w:spacing w:line="480" w:lineRule="auto"/>
        <w:rPr>
          <w:rFonts w:ascii="Arial" w:hAnsi="Arial" w:cs="Arial"/>
        </w:rPr>
      </w:pPr>
      <w:r>
        <w:rPr>
          <w:rFonts w:ascii="Arial" w:hAnsi="Arial" w:cs="Arial"/>
        </w:rPr>
        <w:t xml:space="preserve">        According to the Home Office, it is recognised that Counter Terrorism (CT) is the most expensive area of policing, with a grant of 1 billion arriving solely for this area of policing by the financial year ending March 2023. For Wales alone, a total of £432 Million is granted for all policing operations, with the highest funding given to South Wales Police with £132 million for the financial year 22-23 (Evans, 2021). This study will also identify many areas </w:t>
      </w:r>
      <w:r>
        <w:rPr>
          <w:rFonts w:ascii="Arial" w:hAnsi="Arial" w:cs="Arial"/>
        </w:rPr>
        <w:lastRenderedPageBreak/>
        <w:t>around this Welsh funding and how it is being distributed towards preparing and responding to terrorism in South Wales. It will be cross-referenced with other regions across the United Kingdom relative to risk and size to determine whether it is suitable for the region.</w:t>
      </w:r>
    </w:p>
    <w:p w14:paraId="78B508D0" w14:textId="77777777" w:rsidR="00F91133" w:rsidRDefault="00F91133" w:rsidP="00F91133">
      <w:pPr>
        <w:spacing w:line="480" w:lineRule="auto"/>
        <w:rPr>
          <w:rFonts w:ascii="Arial" w:hAnsi="Arial" w:cs="Arial"/>
        </w:rPr>
      </w:pPr>
      <w:r>
        <w:rPr>
          <w:rFonts w:ascii="Arial" w:hAnsi="Arial" w:cs="Arial"/>
        </w:rPr>
        <w:t xml:space="preserve">        Including various academia and primary professional policing opinions on the research question will prove this study to be valuable in further understanding an often-under-looked prospect of Counter Terrorism and its effectiveness in preparing and responding to threats in a nation/region that has not been fully researched before. South Wales Police covers a vast metropolis of Wales including Cardiff, the capital city, as well as other major Welsh cities like Swansea and Bridgend (South Wales Police, 2022b). Therefore, understanding the current preparedness of this jurisdiction around the subject of terrorism in such a built-up and urban region of Wales is valuable in understanding the safety and security of those who live and work within its boundaries. Furthermore, this study can also assist South Wales Police in identifying possible research outcomes that may prove useful for assisting the counter-terror efforts that protect Wales every day.</w:t>
      </w:r>
    </w:p>
    <w:p w14:paraId="54609737" w14:textId="18960E65" w:rsidR="00171DA1" w:rsidRDefault="00171DA1">
      <w:pPr>
        <w:rPr>
          <w:rFonts w:ascii="Arial" w:hAnsi="Arial" w:cs="Arial"/>
        </w:rPr>
      </w:pPr>
      <w:r>
        <w:rPr>
          <w:rFonts w:ascii="Arial" w:hAnsi="Arial" w:cs="Arial"/>
        </w:rPr>
        <w:br w:type="page"/>
      </w:r>
    </w:p>
    <w:p w14:paraId="21BB7586" w14:textId="77777777" w:rsidR="00171DA1" w:rsidRDefault="00171DA1" w:rsidP="00171DA1">
      <w:pPr>
        <w:pStyle w:val="Heading1"/>
        <w:numPr>
          <w:ilvl w:val="0"/>
          <w:numId w:val="3"/>
        </w:numPr>
        <w:spacing w:line="360" w:lineRule="auto"/>
      </w:pPr>
      <w:r>
        <w:lastRenderedPageBreak/>
        <w:t>Introduction</w:t>
      </w:r>
    </w:p>
    <w:p w14:paraId="2F985452" w14:textId="77777777" w:rsidR="00171DA1" w:rsidRDefault="00171DA1" w:rsidP="00171DA1">
      <w:pPr>
        <w:pStyle w:val="Heading2"/>
        <w:spacing w:line="360" w:lineRule="auto"/>
      </w:pPr>
      <w:bookmarkStart w:id="5" w:name="_heading=h.lr7tmpicakei" w:colFirst="0" w:colLast="0"/>
      <w:bookmarkEnd w:id="5"/>
      <w:r>
        <w:t xml:space="preserve">1.1 Background  </w:t>
      </w:r>
    </w:p>
    <w:p w14:paraId="01E7A1F0" w14:textId="77777777" w:rsidR="00171DA1" w:rsidRDefault="00171DA1" w:rsidP="00171DA1">
      <w:pPr>
        <w:pStyle w:val="Heading2"/>
        <w:spacing w:before="0" w:after="160" w:line="360" w:lineRule="auto"/>
        <w:rPr>
          <w:color w:val="000000"/>
          <w:sz w:val="24"/>
          <w:szCs w:val="24"/>
        </w:rPr>
      </w:pPr>
      <w:bookmarkStart w:id="6" w:name="_heading=h.4aswgtpl59yq" w:colFirst="0" w:colLast="0"/>
      <w:bookmarkEnd w:id="6"/>
    </w:p>
    <w:p w14:paraId="2E3C26FE" w14:textId="77777777" w:rsidR="00171DA1" w:rsidRDefault="00171DA1" w:rsidP="00171DA1">
      <w:pPr>
        <w:spacing w:line="360" w:lineRule="auto"/>
      </w:pPr>
      <w:r>
        <w:rPr>
          <w:rFonts w:ascii="Arial" w:eastAsia="Arial" w:hAnsi="Arial" w:cs="Arial"/>
          <w:sz w:val="24"/>
          <w:szCs w:val="24"/>
        </w:rPr>
        <w:t xml:space="preserve">County Lines is described as a serious organised crime organisation or “gang” usually involved in drug supply in one or more areas in the UK (Home Office, 2023b). The county lines problem in the UK is continuingly growing which caused a “County lines programme” to be issued in 2019. In this programme, British transport police and police forces from the main areas where county lines originate worked in co-ordination to tackle the drug supply model. In doing so, from November 2019 to December 2023, there have been 16,536 people arrested, and 8,817 individuals referred to safeguarding (Home Office, 2023a). In the UK, there is uncertainty in how to identify criminally exploited children involved in county lines, and whether they can claim “victim status” (Shaw, 2023).  </w:t>
      </w:r>
    </w:p>
    <w:p w14:paraId="54B09798" w14:textId="77777777" w:rsidR="00171DA1" w:rsidRDefault="00171DA1" w:rsidP="00171DA1">
      <w:pPr>
        <w:pStyle w:val="Heading2"/>
        <w:spacing w:line="360" w:lineRule="auto"/>
      </w:pPr>
      <w:r>
        <w:t xml:space="preserve">1.2 Objectives </w:t>
      </w:r>
    </w:p>
    <w:p w14:paraId="15B49157" w14:textId="77777777" w:rsidR="00171DA1" w:rsidRDefault="00171DA1" w:rsidP="00171DA1">
      <w:pPr>
        <w:pStyle w:val="Heading2"/>
        <w:spacing w:before="0" w:after="160" w:line="360" w:lineRule="auto"/>
        <w:rPr>
          <w:color w:val="000000"/>
          <w:sz w:val="24"/>
          <w:szCs w:val="24"/>
        </w:rPr>
      </w:pPr>
      <w:bookmarkStart w:id="7" w:name="_heading=h.zcjorcjb3rim" w:colFirst="0" w:colLast="0"/>
      <w:bookmarkEnd w:id="7"/>
    </w:p>
    <w:p w14:paraId="4B387864" w14:textId="77777777" w:rsidR="00171DA1" w:rsidRDefault="00171DA1" w:rsidP="00171DA1">
      <w:pPr>
        <w:spacing w:line="360" w:lineRule="auto"/>
      </w:pPr>
      <w:r>
        <w:rPr>
          <w:rFonts w:ascii="Arial" w:eastAsia="Arial" w:hAnsi="Arial" w:cs="Arial"/>
          <w:sz w:val="24"/>
          <w:szCs w:val="24"/>
        </w:rPr>
        <w:t xml:space="preserve">Aim: Evaluate the public perception of children and young people involved in county lines and the role that stereotyping plays in the outcomes of children who are criminally exploited. </w:t>
      </w:r>
    </w:p>
    <w:p w14:paraId="506F8099" w14:textId="77777777" w:rsidR="00171DA1" w:rsidRDefault="00171DA1" w:rsidP="00171DA1">
      <w:pPr>
        <w:spacing w:line="360" w:lineRule="auto"/>
      </w:pPr>
      <w:r>
        <w:rPr>
          <w:rFonts w:ascii="Arial" w:eastAsia="Arial" w:hAnsi="Arial" w:cs="Arial"/>
          <w:sz w:val="24"/>
          <w:szCs w:val="24"/>
        </w:rPr>
        <w:t xml:space="preserve">Objective 1: Explore existing literature to identify existing stereotypes surrounding children who have been criminally exploited.  </w:t>
      </w:r>
    </w:p>
    <w:p w14:paraId="60A5597A" w14:textId="77777777" w:rsidR="00171DA1" w:rsidRDefault="00171DA1" w:rsidP="00171DA1">
      <w:pPr>
        <w:spacing w:line="360" w:lineRule="auto"/>
      </w:pPr>
      <w:r>
        <w:rPr>
          <w:rFonts w:ascii="Arial" w:eastAsia="Arial" w:hAnsi="Arial" w:cs="Arial"/>
          <w:sz w:val="24"/>
          <w:szCs w:val="24"/>
        </w:rPr>
        <w:t xml:space="preserve">This objective will be achieved through secondary research in the literature review chapter of the research project. Identifying the stereotypes will allow us to understand certain challenges that children who face criminal exploitation will face.  </w:t>
      </w:r>
    </w:p>
    <w:p w14:paraId="42668CBD" w14:textId="77777777" w:rsidR="00171DA1" w:rsidRDefault="00171DA1" w:rsidP="00171DA1">
      <w:pPr>
        <w:spacing w:line="360" w:lineRule="auto"/>
      </w:pPr>
      <w:r>
        <w:rPr>
          <w:rFonts w:ascii="Arial" w:eastAsia="Arial" w:hAnsi="Arial" w:cs="Arial"/>
          <w:sz w:val="24"/>
          <w:szCs w:val="24"/>
        </w:rPr>
        <w:t xml:space="preserve">Objective 2: Assess the impact of stereotypes surrounding child criminal exploitation and the potential these stereotypes have in terms of responses to children and young people who are involved in county lines.  </w:t>
      </w:r>
    </w:p>
    <w:p w14:paraId="73320C51" w14:textId="77777777" w:rsidR="00171DA1" w:rsidRDefault="00171DA1" w:rsidP="00171DA1">
      <w:pPr>
        <w:spacing w:line="360" w:lineRule="auto"/>
      </w:pPr>
      <w:r>
        <w:rPr>
          <w:rFonts w:ascii="Arial" w:eastAsia="Arial" w:hAnsi="Arial" w:cs="Arial"/>
          <w:sz w:val="24"/>
          <w:szCs w:val="24"/>
        </w:rPr>
        <w:t xml:space="preserve">This objective will be achieved through secondary research in the literature review chapter of the research project. Assessing the stereotypes will help us to understand how responses can be improved.  </w:t>
      </w:r>
    </w:p>
    <w:p w14:paraId="620F8193" w14:textId="77777777" w:rsidR="00171DA1" w:rsidRDefault="00171DA1" w:rsidP="00171DA1">
      <w:pPr>
        <w:spacing w:line="360" w:lineRule="auto"/>
      </w:pPr>
      <w:r>
        <w:rPr>
          <w:rFonts w:ascii="Arial" w:eastAsia="Arial" w:hAnsi="Arial" w:cs="Arial"/>
          <w:sz w:val="24"/>
          <w:szCs w:val="24"/>
        </w:rPr>
        <w:lastRenderedPageBreak/>
        <w:t xml:space="preserve">Objective 3: Evaluate public perception of children and young people who became involved in county lines in the UK.   </w:t>
      </w:r>
    </w:p>
    <w:p w14:paraId="07EAD1E0" w14:textId="77777777" w:rsidR="00171DA1" w:rsidRDefault="00171DA1" w:rsidP="00171DA1">
      <w:pPr>
        <w:spacing w:line="360" w:lineRule="auto"/>
      </w:pPr>
      <w:r>
        <w:rPr>
          <w:rFonts w:ascii="Arial" w:eastAsia="Arial" w:hAnsi="Arial" w:cs="Arial"/>
          <w:color w:val="000000"/>
          <w:sz w:val="24"/>
          <w:szCs w:val="24"/>
        </w:rPr>
        <w:t>This objective will be achieved through primary research utilising a questionnaire. Identifying the public's views and thoughts on children and young people involved in county lines can help understand the stigma that surrounds the individuals.</w:t>
      </w:r>
      <w:r>
        <w:rPr>
          <w:color w:val="000000"/>
        </w:rPr>
        <w:t xml:space="preserve"> </w:t>
      </w:r>
      <w:r>
        <w:t xml:space="preserve"> </w:t>
      </w:r>
    </w:p>
    <w:p w14:paraId="56824050" w14:textId="77777777" w:rsidR="00171DA1" w:rsidRDefault="00171DA1" w:rsidP="00171DA1">
      <w:pPr>
        <w:pStyle w:val="Heading2"/>
        <w:spacing w:line="360" w:lineRule="auto"/>
      </w:pPr>
      <w:r>
        <w:t xml:space="preserve">1.3 Research focus </w:t>
      </w:r>
    </w:p>
    <w:p w14:paraId="5DEA10E8" w14:textId="77777777" w:rsidR="00171DA1" w:rsidRDefault="00171DA1" w:rsidP="00171DA1">
      <w:pPr>
        <w:spacing w:before="160" w:after="80" w:line="360" w:lineRule="auto"/>
      </w:pPr>
      <w:r>
        <w:rPr>
          <w:rFonts w:ascii="Arial" w:eastAsia="Arial" w:hAnsi="Arial" w:cs="Arial"/>
          <w:sz w:val="24"/>
          <w:szCs w:val="24"/>
        </w:rPr>
        <w:t xml:space="preserve">Stereotypes can be extremely harmful to children and young people who are criminally exploited. Professionals and responders can have these stereotypes which can lead to victims not being identified due to the responders having a vision of an “ideal victim” (Villacampa and Torres, 2017). This can be seriously detrimental to children and young people who face criminal exploitation as they may not be identified or offered any form of support. In addition to this, Gearon (2018) explored children's experiences in terms of child trafficking and found that many victims find that frontline response often dismissed children suffering with abuse. This then caused the victims to feel responsible for crimes committed against them (Gearon, 2018). To further support this, Pearson and Cavener (2024), found that many people victim blame and has the idea that young people can just leave the county lines gang. This shows the lack of knowledge that many people </w:t>
      </w:r>
      <w:proofErr w:type="spellStart"/>
      <w:r>
        <w:rPr>
          <w:rFonts w:ascii="Arial" w:eastAsia="Arial" w:hAnsi="Arial" w:cs="Arial"/>
          <w:sz w:val="24"/>
          <w:szCs w:val="24"/>
        </w:rPr>
        <w:t>i</w:t>
      </w:r>
      <w:proofErr w:type="spellEnd"/>
      <w:r>
        <w:rPr>
          <w:rFonts w:ascii="Arial" w:eastAsia="Arial" w:hAnsi="Arial" w:cs="Arial"/>
          <w:sz w:val="24"/>
          <w:szCs w:val="24"/>
        </w:rPr>
        <w:t xml:space="preserve"> the UK have on the ongoing county lines issue.  </w:t>
      </w:r>
    </w:p>
    <w:p w14:paraId="779777EF" w14:textId="77777777" w:rsidR="00171DA1" w:rsidRDefault="00171DA1" w:rsidP="00171DA1">
      <w:pPr>
        <w:spacing w:line="360" w:lineRule="auto"/>
      </w:pPr>
      <w:r>
        <w:rPr>
          <w:rFonts w:ascii="Arial" w:eastAsia="Arial" w:hAnsi="Arial" w:cs="Arial"/>
          <w:sz w:val="24"/>
          <w:szCs w:val="24"/>
        </w:rPr>
        <w:t xml:space="preserve">Certain legislation such as the Modern Slavery Act (2015) can help children who are criminally exploited, by granting them protection from criminalisation. However, there are some concerns on how the Modern Slavery Act (2015) focuses on cross-border trafficking whilst overlooking the wider and broader issue of modern slavery (Ogunniyi and </w:t>
      </w:r>
      <w:proofErr w:type="spellStart"/>
      <w:r>
        <w:rPr>
          <w:rFonts w:ascii="Arial" w:eastAsia="Arial" w:hAnsi="Arial" w:cs="Arial"/>
          <w:sz w:val="24"/>
          <w:szCs w:val="24"/>
        </w:rPr>
        <w:t>Shirgholami</w:t>
      </w:r>
      <w:proofErr w:type="spellEnd"/>
      <w:r>
        <w:rPr>
          <w:rFonts w:ascii="Arial" w:eastAsia="Arial" w:hAnsi="Arial" w:cs="Arial"/>
          <w:sz w:val="24"/>
          <w:szCs w:val="24"/>
        </w:rPr>
        <w:t xml:space="preserve">, 2023). In addition to this many professionals challenge the distinction between the victim and the offender (Atkinson-Sheppard et al., 2023). </w:t>
      </w:r>
    </w:p>
    <w:p w14:paraId="08E0FBFF" w14:textId="77777777" w:rsidR="00171DA1" w:rsidRDefault="00171DA1" w:rsidP="00171DA1">
      <w:pPr>
        <w:spacing w:line="360" w:lineRule="auto"/>
      </w:pPr>
      <w:r>
        <w:rPr>
          <w:rFonts w:ascii="Arial" w:eastAsia="Arial" w:hAnsi="Arial" w:cs="Arial"/>
          <w:sz w:val="24"/>
          <w:szCs w:val="24"/>
        </w:rPr>
        <w:t xml:space="preserve">Public perception is a critical part of understanding the difference between an offender and a victim. The way the public views these people can help inform the police and other organisations. Many children end up involved in county lines and it is not identified by anybody. Nicole was an 11-year-old girl when she first got involved with a county lines gang and there were signs such as not attending school and travelling on trains by herself (Kendall and Cooke, 2022). Not </w:t>
      </w:r>
      <w:proofErr w:type="spellStart"/>
      <w:r>
        <w:rPr>
          <w:rFonts w:ascii="Arial" w:eastAsia="Arial" w:hAnsi="Arial" w:cs="Arial"/>
          <w:sz w:val="24"/>
          <w:szCs w:val="24"/>
        </w:rPr>
        <w:t>indentifying</w:t>
      </w:r>
      <w:proofErr w:type="spellEnd"/>
      <w:r>
        <w:rPr>
          <w:rFonts w:ascii="Arial" w:eastAsia="Arial" w:hAnsi="Arial" w:cs="Arial"/>
          <w:sz w:val="24"/>
          <w:szCs w:val="24"/>
        </w:rPr>
        <w:t xml:space="preserve"> the signs could show a lack of awareness about the prevalence of county lines and child </w:t>
      </w:r>
      <w:r>
        <w:rPr>
          <w:rFonts w:ascii="Arial" w:eastAsia="Arial" w:hAnsi="Arial" w:cs="Arial"/>
          <w:sz w:val="24"/>
          <w:szCs w:val="24"/>
        </w:rPr>
        <w:lastRenderedPageBreak/>
        <w:t xml:space="preserve">criminal exploitation. This lack of awareness, however, can have serious implications for children who do get criminally exploited. To add to this, many staff who work with children in care struggle to recognise vulnerabilities which can increase likelihood of becoming criminally exploited (Shaw and Greenhow, 2019). Due to this, stereotypes and public perception need to be understood to inform better practice in understanding risks and vulnerabilities children face.  </w:t>
      </w:r>
    </w:p>
    <w:p w14:paraId="3A3015F7" w14:textId="77777777" w:rsidR="00171DA1" w:rsidRDefault="00171DA1" w:rsidP="00171DA1">
      <w:pPr>
        <w:pStyle w:val="Heading2"/>
        <w:spacing w:before="0" w:after="160" w:line="360" w:lineRule="auto"/>
        <w:rPr>
          <w:sz w:val="24"/>
          <w:szCs w:val="24"/>
        </w:rPr>
      </w:pPr>
      <w:r>
        <w:rPr>
          <w:sz w:val="24"/>
          <w:szCs w:val="24"/>
        </w:rPr>
        <w:t xml:space="preserve"> </w:t>
      </w:r>
    </w:p>
    <w:p w14:paraId="61C784A3" w14:textId="77777777" w:rsidR="00171DA1" w:rsidRDefault="00171DA1" w:rsidP="00171DA1">
      <w:pPr>
        <w:pStyle w:val="Heading2"/>
        <w:spacing w:before="0" w:after="160" w:line="360" w:lineRule="auto"/>
        <w:rPr>
          <w:sz w:val="24"/>
          <w:szCs w:val="24"/>
        </w:rPr>
      </w:pPr>
      <w:r>
        <w:rPr>
          <w:sz w:val="24"/>
          <w:szCs w:val="24"/>
        </w:rPr>
        <w:t xml:space="preserve"> </w:t>
      </w:r>
    </w:p>
    <w:p w14:paraId="3E384E3C" w14:textId="77777777" w:rsidR="00171DA1" w:rsidRDefault="00171DA1" w:rsidP="00171DA1">
      <w:pPr>
        <w:pStyle w:val="Heading2"/>
        <w:spacing w:line="360" w:lineRule="auto"/>
      </w:pPr>
      <w:r>
        <w:t xml:space="preserve"> 1.4 Methods </w:t>
      </w:r>
    </w:p>
    <w:p w14:paraId="111E38A7" w14:textId="77777777" w:rsidR="00171DA1" w:rsidRDefault="00171DA1" w:rsidP="00171DA1">
      <w:pPr>
        <w:pStyle w:val="Heading2"/>
        <w:spacing w:before="0" w:after="160" w:line="360" w:lineRule="auto"/>
        <w:rPr>
          <w:color w:val="000000"/>
          <w:sz w:val="24"/>
          <w:szCs w:val="24"/>
        </w:rPr>
      </w:pPr>
      <w:bookmarkStart w:id="8" w:name="_heading=h.snngr1t377l6" w:colFirst="0" w:colLast="0"/>
      <w:bookmarkEnd w:id="8"/>
    </w:p>
    <w:p w14:paraId="4F7024E0" w14:textId="77777777" w:rsidR="00171DA1" w:rsidRDefault="00171DA1" w:rsidP="00171DA1">
      <w:pPr>
        <w:spacing w:line="360" w:lineRule="auto"/>
      </w:pPr>
      <w:r>
        <w:rPr>
          <w:rFonts w:ascii="Arial" w:eastAsia="Arial" w:hAnsi="Arial" w:cs="Arial"/>
          <w:sz w:val="24"/>
          <w:szCs w:val="24"/>
        </w:rPr>
        <w:t>Objectives 1 and 2 in this research project will be completed using a literature review. The literature review will include analysis of existing literature surrounding stereotypes associated with children and young people who are criminally exploited. In addition to this, legislation will be addressed in terms of how the existing legislation can aid children and young people who are criminally exploited, as well as potential issues of the legislation. The use of a literature review will help establish theoretical framework (</w:t>
      </w:r>
      <w:proofErr w:type="spellStart"/>
      <w:r>
        <w:rPr>
          <w:rFonts w:ascii="Arial" w:eastAsia="Arial" w:hAnsi="Arial" w:cs="Arial"/>
          <w:sz w:val="24"/>
          <w:szCs w:val="24"/>
        </w:rPr>
        <w:t>McCombes</w:t>
      </w:r>
      <w:proofErr w:type="spellEnd"/>
      <w:r>
        <w:rPr>
          <w:rFonts w:ascii="Arial" w:eastAsia="Arial" w:hAnsi="Arial" w:cs="Arial"/>
          <w:sz w:val="24"/>
          <w:szCs w:val="24"/>
        </w:rPr>
        <w:t xml:space="preserve">, 2022).  </w:t>
      </w:r>
    </w:p>
    <w:p w14:paraId="1C4386C9" w14:textId="77777777" w:rsidR="00171DA1" w:rsidRDefault="00171DA1" w:rsidP="00171DA1">
      <w:pPr>
        <w:spacing w:line="360" w:lineRule="auto"/>
      </w:pPr>
      <w:r>
        <w:rPr>
          <w:rFonts w:ascii="Arial" w:eastAsia="Arial" w:hAnsi="Arial" w:cs="Arial"/>
          <w:sz w:val="24"/>
          <w:szCs w:val="24"/>
        </w:rPr>
        <w:t xml:space="preserve">Objective 3 will be completed using primary research methods. The primary research method will be a questionnaire. The use of a questionnaire allow for data to be collected in relation to a large group if people rather than have a focus on a small quantity of people (George, 2023). This is particularly important as the aim is to get an idea of how the public in general perceive young people involved in county lines, therefore a large number of responses is required. Some questions in the questionnaire will be for quantitative answers to gather statistics and identify trends in the public's opinion (McLeod, 2023). In addition to this, questions to gather qualitive answers will be used to gather feelings and ideas of the participants.  </w:t>
      </w:r>
    </w:p>
    <w:p w14:paraId="65968597" w14:textId="77777777" w:rsidR="00171DA1" w:rsidRDefault="00171DA1" w:rsidP="00171DA1">
      <w:pPr>
        <w:spacing w:line="360" w:lineRule="auto"/>
      </w:pPr>
      <w:r>
        <w:rPr>
          <w:rFonts w:ascii="Arial" w:eastAsia="Arial" w:hAnsi="Arial" w:cs="Arial"/>
          <w:sz w:val="24"/>
          <w:szCs w:val="24"/>
        </w:rPr>
        <w:t xml:space="preserve">The research project will be completed over a timeframe of 8 months. The questionnaire will include a minimum of 60 participants all over the age of 18. The questionnaire will be made on Microsoft forms and shared via existing social media accounts.  </w:t>
      </w:r>
    </w:p>
    <w:p w14:paraId="5A8FD103" w14:textId="77777777" w:rsidR="00171DA1" w:rsidRDefault="00171DA1" w:rsidP="00171DA1">
      <w:pPr>
        <w:pStyle w:val="Heading2"/>
        <w:spacing w:line="360" w:lineRule="auto"/>
      </w:pPr>
      <w:r>
        <w:lastRenderedPageBreak/>
        <w:t xml:space="preserve">1.5 Challenges </w:t>
      </w:r>
    </w:p>
    <w:p w14:paraId="5A525427" w14:textId="77777777" w:rsidR="00171DA1" w:rsidRDefault="00171DA1" w:rsidP="00171DA1">
      <w:pPr>
        <w:pStyle w:val="Heading2"/>
        <w:spacing w:before="0" w:after="160" w:line="360" w:lineRule="auto"/>
        <w:rPr>
          <w:color w:val="000000"/>
          <w:sz w:val="24"/>
          <w:szCs w:val="24"/>
        </w:rPr>
      </w:pPr>
      <w:bookmarkStart w:id="9" w:name="_heading=h.ixhijphmck25" w:colFirst="0" w:colLast="0"/>
      <w:bookmarkEnd w:id="9"/>
    </w:p>
    <w:p w14:paraId="237343DF" w14:textId="77777777" w:rsidR="00171DA1" w:rsidRDefault="00171DA1" w:rsidP="00171DA1">
      <w:pPr>
        <w:spacing w:line="360" w:lineRule="auto"/>
      </w:pPr>
      <w:r>
        <w:rPr>
          <w:rFonts w:ascii="Arial" w:eastAsia="Arial" w:hAnsi="Arial" w:cs="Arial"/>
          <w:sz w:val="24"/>
          <w:szCs w:val="24"/>
        </w:rPr>
        <w:t xml:space="preserve">One challenge includes the research being on vulnerable people. This may be difficult for some people when doing the questionnaire. Therefore, there will be a disclaimer before the questionnaire starts informing participants on the nature of this research and stating that they can withdraw at any time during the questionnaire. In addition to this, there will be an email address that they can use if they have got any concerns or queries.  </w:t>
      </w:r>
    </w:p>
    <w:p w14:paraId="17FF847A" w14:textId="77777777" w:rsidR="00171DA1" w:rsidRDefault="00171DA1" w:rsidP="00171DA1">
      <w:pPr>
        <w:pStyle w:val="Heading2"/>
        <w:spacing w:line="360" w:lineRule="auto"/>
      </w:pPr>
      <w:r>
        <w:t xml:space="preserve">1.6 Conclusion </w:t>
      </w:r>
    </w:p>
    <w:p w14:paraId="4089F438" w14:textId="77777777" w:rsidR="00171DA1" w:rsidRDefault="00171DA1" w:rsidP="00171DA1">
      <w:pPr>
        <w:pStyle w:val="Heading2"/>
        <w:spacing w:before="0" w:after="160" w:line="360" w:lineRule="auto"/>
        <w:rPr>
          <w:color w:val="000000"/>
          <w:sz w:val="24"/>
          <w:szCs w:val="24"/>
        </w:rPr>
      </w:pPr>
      <w:bookmarkStart w:id="10" w:name="_heading=h.9449zvdi9ssj" w:colFirst="0" w:colLast="0"/>
      <w:bookmarkEnd w:id="10"/>
    </w:p>
    <w:p w14:paraId="076ACF28" w14:textId="77777777" w:rsidR="00171DA1" w:rsidRDefault="00171DA1" w:rsidP="00171DA1">
      <w:pPr>
        <w:spacing w:line="360" w:lineRule="auto"/>
      </w:pPr>
      <w:r>
        <w:rPr>
          <w:rFonts w:ascii="Arial" w:eastAsia="Arial" w:hAnsi="Arial" w:cs="Arial"/>
          <w:sz w:val="24"/>
          <w:szCs w:val="24"/>
        </w:rPr>
        <w:t xml:space="preserve">This research will add value to existing research by filling in the gaps surrounding stereotypes and public perception on children and young people who are criminally exploited through county lines. Assessing the stereotypes and the harmful effects these can cause ca to allow us to identify more effective response to give children the help they need (Gearon, 2018). In addition to this, the understanding on public perception will help inform effective response strategies and encourage preventative measures in place to protect vulnerable young people. The uncertainty around a child's victim status when involved with county lines makes it vital that this research makes it clear to whether a child who is involved with criminal minds in a “victim” or an “offender” (Shaw, 2023). Identifying and assessing all these issues and challenges faced by young people who are criminally exploited in county lines will give a framework to work on to ensure the best possible outcomes for children and young people involved in county lines.  </w:t>
      </w:r>
    </w:p>
    <w:p w14:paraId="4FB3045E" w14:textId="77777777" w:rsidR="00171DA1" w:rsidRDefault="00171DA1" w:rsidP="00F91133">
      <w:pPr>
        <w:spacing w:line="480" w:lineRule="auto"/>
        <w:rPr>
          <w:rFonts w:ascii="Arial" w:hAnsi="Arial" w:cs="Arial"/>
        </w:rPr>
      </w:pPr>
    </w:p>
    <w:p w14:paraId="541FFB30" w14:textId="77777777" w:rsidR="00F91133" w:rsidRDefault="00F91133" w:rsidP="00F91133">
      <w:pPr>
        <w:spacing w:line="276" w:lineRule="auto"/>
      </w:pPr>
    </w:p>
    <w:p w14:paraId="69F4425E" w14:textId="197D85EA" w:rsidR="00171DA1" w:rsidRDefault="00171DA1">
      <w:r>
        <w:br w:type="page"/>
      </w:r>
    </w:p>
    <w:p w14:paraId="777B3BE5" w14:textId="77777777" w:rsidR="00A669FA" w:rsidRPr="001D1A4A" w:rsidRDefault="00A669FA" w:rsidP="00A669FA">
      <w:pPr>
        <w:pStyle w:val="Heading1"/>
        <w:rPr>
          <w:rFonts w:ascii="Arial" w:hAnsi="Arial" w:cs="Arial"/>
          <w:sz w:val="28"/>
          <w:szCs w:val="28"/>
        </w:rPr>
      </w:pPr>
      <w:bookmarkStart w:id="11" w:name="_Toc197425794"/>
      <w:r w:rsidRPr="001D1A4A">
        <w:rPr>
          <w:rFonts w:ascii="Arial" w:hAnsi="Arial" w:cs="Arial"/>
          <w:sz w:val="28"/>
          <w:szCs w:val="28"/>
        </w:rPr>
        <w:lastRenderedPageBreak/>
        <w:t>Chapter 1-Introduction</w:t>
      </w:r>
      <w:bookmarkEnd w:id="11"/>
      <w:r w:rsidRPr="001D1A4A">
        <w:rPr>
          <w:rFonts w:ascii="Arial" w:hAnsi="Arial" w:cs="Arial"/>
          <w:sz w:val="28"/>
          <w:szCs w:val="28"/>
        </w:rPr>
        <w:t xml:space="preserve"> </w:t>
      </w:r>
    </w:p>
    <w:p w14:paraId="4DB5B78D" w14:textId="77777777" w:rsidR="00A669FA" w:rsidRPr="001D1A4A" w:rsidRDefault="00A669FA" w:rsidP="00A669FA">
      <w:pPr>
        <w:pStyle w:val="Heading2"/>
        <w:spacing w:line="360" w:lineRule="auto"/>
        <w:rPr>
          <w:rFonts w:cs="Arial"/>
          <w:sz w:val="24"/>
          <w:szCs w:val="24"/>
        </w:rPr>
      </w:pPr>
      <w:bookmarkStart w:id="12" w:name="_Toc197425795"/>
      <w:r w:rsidRPr="001D1A4A">
        <w:rPr>
          <w:rFonts w:cs="Arial"/>
          <w:sz w:val="24"/>
          <w:szCs w:val="24"/>
        </w:rPr>
        <w:t>1.1 Background</w:t>
      </w:r>
      <w:bookmarkEnd w:id="12"/>
    </w:p>
    <w:p w14:paraId="4F4F83B3"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t>The silent epidemic of mental health disorders has become one of the most pressing and complex issues confronting modern society. In a world increasingly defined by its relentless pace, economic pressures, and socio-political instability, mental health problems have emerged as a public health crisis affecting individuals across all demographics (World Health Organisation, 202</w:t>
      </w:r>
      <w:r>
        <w:rPr>
          <w:rFonts w:ascii="Arial" w:hAnsi="Arial" w:cs="Arial"/>
          <w:color w:val="000000"/>
        </w:rPr>
        <w:t>4</w:t>
      </w:r>
      <w:r w:rsidRPr="003C4212">
        <w:rPr>
          <w:rFonts w:ascii="Arial" w:hAnsi="Arial" w:cs="Arial"/>
          <w:color w:val="000000"/>
        </w:rPr>
        <w:t>). The ripple effects of this crisis are felt not only by healthcare systems but also by other public services, including law enforcement agencies, who are often the first point of contact for individuals experiencing acute mental distress.</w:t>
      </w:r>
    </w:p>
    <w:p w14:paraId="387C3DF3"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t>The primary aim of this dissertation is to critically analyse the role of police officers in supporting individuals undergoing a mental health crisis. This area of inquiry is increasingly relevant, yet it remains under-researched in both academic literature and operational policy. Greater awareness and robust investigation into this topic are vital, particularly as demand for emergency mental health intervention continues to outpace the resources and training currently available within police forces. It is widely acknowledged that both police services and the National Health Service (NHS) are struggling to cope with the growing number of mental health-related incidents. According to Foster (2020</w:t>
      </w:r>
      <w:r>
        <w:rPr>
          <w:rFonts w:ascii="Arial" w:hAnsi="Arial" w:cs="Arial"/>
          <w:color w:val="000000"/>
        </w:rPr>
        <w:t>b</w:t>
      </w:r>
      <w:r w:rsidRPr="003C4212">
        <w:rPr>
          <w:rFonts w:ascii="Arial" w:hAnsi="Arial" w:cs="Arial"/>
          <w:color w:val="000000"/>
        </w:rPr>
        <w:t>), the West Midlands Police and Crime Commissioner, 20–40% of police time is now spent responding to calls that are linked to mental health. More recently, the U</w:t>
      </w:r>
      <w:r>
        <w:rPr>
          <w:rFonts w:ascii="Arial" w:hAnsi="Arial" w:cs="Arial"/>
          <w:color w:val="000000"/>
        </w:rPr>
        <w:t xml:space="preserve">nited </w:t>
      </w:r>
      <w:r w:rsidRPr="003C4212">
        <w:rPr>
          <w:rFonts w:ascii="Arial" w:hAnsi="Arial" w:cs="Arial"/>
          <w:color w:val="000000"/>
        </w:rPr>
        <w:t>K</w:t>
      </w:r>
      <w:r>
        <w:rPr>
          <w:rFonts w:ascii="Arial" w:hAnsi="Arial" w:cs="Arial"/>
          <w:color w:val="000000"/>
        </w:rPr>
        <w:t>ingdom (UK)</w:t>
      </w:r>
      <w:r w:rsidRPr="003C4212">
        <w:rPr>
          <w:rFonts w:ascii="Arial" w:hAnsi="Arial" w:cs="Arial"/>
          <w:color w:val="000000"/>
        </w:rPr>
        <w:t xml:space="preserve"> Government’s (2024) Policing Productivity Review reported that officers collectively spend approximately 800,000 hours each year simply waiting with individuals experiencing a mental health crisis until appropriate healthcare professionals arrive. These statistics are not only alarming but also underscore the urgency of undertaking detailed research in this area.</w:t>
      </w:r>
    </w:p>
    <w:p w14:paraId="1161578A"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Beyond these operational inefficiencies lies a human </w:t>
      </w:r>
      <w:r w:rsidRPr="00931A3B">
        <w:rPr>
          <w:rFonts w:ascii="Arial" w:hAnsi="Arial" w:cs="Arial"/>
          <w:color w:val="000000"/>
        </w:rPr>
        <w:t>expense</w:t>
      </w:r>
      <w:r>
        <w:rPr>
          <w:rFonts w:ascii="Arial" w:hAnsi="Arial" w:cs="Arial"/>
          <w:color w:val="000000"/>
        </w:rPr>
        <w:t xml:space="preserve"> </w:t>
      </w:r>
      <w:r w:rsidRPr="00931A3B">
        <w:rPr>
          <w:rFonts w:ascii="Arial" w:hAnsi="Arial" w:cs="Arial"/>
          <w:color w:val="000000"/>
        </w:rPr>
        <w:t>paid</w:t>
      </w:r>
      <w:r w:rsidRPr="003C4212">
        <w:rPr>
          <w:rFonts w:ascii="Arial" w:hAnsi="Arial" w:cs="Arial"/>
          <w:color w:val="000000"/>
        </w:rPr>
        <w:t xml:space="preserve"> by both those experiencing mental health crises and the officers responding to them. A key focus of this study is to explore how police responses to such calls affect officers personally, particularly when attending traumatic incidents such as suicide attempts or deaths. An equally important question is whether adequate institutional support is available for those officers who have not received specialised mental health training, despite being called upon to manage emotionally intense and medically complex situations. This is particularly significant when considered in relation to Section 2 of </w:t>
      </w:r>
      <w:r w:rsidRPr="00334A28">
        <w:rPr>
          <w:rFonts w:ascii="Arial" w:hAnsi="Arial" w:cs="Arial"/>
          <w:color w:val="000000"/>
        </w:rPr>
        <w:t>The Human Rights Act (1998),</w:t>
      </w:r>
      <w:r w:rsidRPr="003C4212">
        <w:rPr>
          <w:rFonts w:ascii="Arial" w:hAnsi="Arial" w:cs="Arial"/>
          <w:color w:val="000000"/>
        </w:rPr>
        <w:t xml:space="preserve"> which mandates public bodies to protect the right to life. As highlighted by Rethink Mental </w:t>
      </w:r>
      <w:r>
        <w:rPr>
          <w:rFonts w:ascii="Arial" w:hAnsi="Arial" w:cs="Arial"/>
          <w:color w:val="000000"/>
        </w:rPr>
        <w:t>Illness</w:t>
      </w:r>
      <w:r w:rsidRPr="003C4212">
        <w:rPr>
          <w:rFonts w:ascii="Arial" w:hAnsi="Arial" w:cs="Arial"/>
          <w:color w:val="000000"/>
        </w:rPr>
        <w:t xml:space="preserve"> (2021), failure to respond adequately to individuals in crisis may constitute a violation of this fundamental right.</w:t>
      </w:r>
    </w:p>
    <w:p w14:paraId="5E680ED1"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lastRenderedPageBreak/>
        <w:t xml:space="preserve">As this dissertation will demonstrate, the involvement of police in mental health crises is not a straightforward issue. On one hand, police intervention is sometimes necessary to ensure immediate safety. On the other, the reliance on </w:t>
      </w:r>
      <w:r>
        <w:rPr>
          <w:rFonts w:ascii="Arial" w:hAnsi="Arial" w:cs="Arial"/>
          <w:color w:val="000000"/>
        </w:rPr>
        <w:t>Police services is</w:t>
      </w:r>
      <w:r w:rsidRPr="003C4212">
        <w:rPr>
          <w:rFonts w:ascii="Arial" w:hAnsi="Arial" w:cs="Arial"/>
          <w:color w:val="000000"/>
        </w:rPr>
        <w:t xml:space="preserve"> to fulfil this role in non-criminal contexts has been increasingly called into question. The evolving debate has intensified following high-profile incidents and controversial media coverage, leading to greater scrutiny of existing policies and procedures.</w:t>
      </w:r>
    </w:p>
    <w:p w14:paraId="590D3EEB" w14:textId="77777777" w:rsidR="00A669FA" w:rsidRPr="003C4212" w:rsidRDefault="00A669FA" w:rsidP="00A669FA">
      <w:pPr>
        <w:pStyle w:val="Heading2"/>
        <w:spacing w:line="360" w:lineRule="auto"/>
        <w:rPr>
          <w:rFonts w:cs="Arial"/>
          <w:sz w:val="24"/>
          <w:szCs w:val="24"/>
        </w:rPr>
      </w:pPr>
      <w:bookmarkStart w:id="13" w:name="_Toc197425796"/>
      <w:r w:rsidRPr="003C4212">
        <w:rPr>
          <w:rFonts w:cs="Arial"/>
          <w:sz w:val="24"/>
          <w:szCs w:val="24"/>
        </w:rPr>
        <w:t>1.2 Research Focus</w:t>
      </w:r>
      <w:bookmarkEnd w:id="13"/>
      <w:r w:rsidRPr="003C4212">
        <w:rPr>
          <w:rFonts w:cs="Arial"/>
          <w:sz w:val="24"/>
          <w:szCs w:val="24"/>
        </w:rPr>
        <w:t xml:space="preserve"> </w:t>
      </w:r>
    </w:p>
    <w:p w14:paraId="6C3392C9"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t>Following the controversy stirred by </w:t>
      </w:r>
      <w:r w:rsidRPr="003C4212">
        <w:rPr>
          <w:rFonts w:ascii="Arial" w:hAnsi="Arial" w:cs="Arial"/>
          <w:i/>
          <w:iCs/>
          <w:color w:val="000000"/>
        </w:rPr>
        <w:t>The Guardian’s</w:t>
      </w:r>
      <w:r w:rsidRPr="003C4212">
        <w:rPr>
          <w:rFonts w:ascii="Arial" w:hAnsi="Arial" w:cs="Arial"/>
          <w:color w:val="000000"/>
        </w:rPr>
        <w:t> 2023 article, </w:t>
      </w:r>
      <w:r w:rsidRPr="003C4212">
        <w:rPr>
          <w:rFonts w:ascii="Arial" w:hAnsi="Arial" w:cs="Arial"/>
          <w:i/>
          <w:iCs/>
          <w:color w:val="000000"/>
        </w:rPr>
        <w:t>‘Met Police to Stop Attending Emergency Mental Health Calls’</w:t>
      </w:r>
      <w:r w:rsidRPr="003C4212">
        <w:rPr>
          <w:rFonts w:ascii="Arial" w:hAnsi="Arial" w:cs="Arial"/>
          <w:color w:val="000000"/>
        </w:rPr>
        <w:t>, police forces across the UK were compelled to clarify their stance. Public misunderstanding and media interpretation had led to fears that individuals in crisis would be left without immediate support. In response, the Metropolitan Police explained that life-threatening calls would still receive an emergency response. However, they emphasised that not all mental health-related calls constitute a “Threat to Life” (TTL), and some are better managed by healthcare professionals. Under Article 2 of the Human Rights Act (1998)</w:t>
      </w:r>
      <w:r>
        <w:rPr>
          <w:rFonts w:ascii="Arial" w:hAnsi="Arial" w:cs="Arial"/>
          <w:color w:val="000000"/>
        </w:rPr>
        <w:t xml:space="preserve">, </w:t>
      </w:r>
      <w:r w:rsidRPr="003C4212">
        <w:rPr>
          <w:rFonts w:ascii="Arial" w:hAnsi="Arial" w:cs="Arial"/>
          <w:color w:val="000000"/>
        </w:rPr>
        <w:t>the right to life</w:t>
      </w:r>
      <w:r>
        <w:rPr>
          <w:rFonts w:ascii="Arial" w:hAnsi="Arial" w:cs="Arial"/>
          <w:color w:val="000000"/>
        </w:rPr>
        <w:t xml:space="preserve">, </w:t>
      </w:r>
      <w:r w:rsidRPr="003C4212">
        <w:rPr>
          <w:rFonts w:ascii="Arial" w:hAnsi="Arial" w:cs="Arial"/>
          <w:color w:val="000000"/>
        </w:rPr>
        <w:t>law enforcement is legally obliged to take action where an individual is in real and immediate danger. As the Equality and Human Rights Commission (2021) affirms, local authorities and public services must take proactive steps to protect life and avoid foreseeable harm.</w:t>
      </w:r>
    </w:p>
    <w:p w14:paraId="11932BEC"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t>This ongoing shift in policy has sparked debate about the appropriate boundaries of police responsibility. It highlights a wider issue: the role of policing in public health and social care systems. There is increasing recognition that other services, more appropriately trained and resourced to manage mental health crises, may be better placed to take the lead in these cases. Consequently, there has been growing interest in implementing alternative public service models across England and Wales.</w:t>
      </w:r>
    </w:p>
    <w:p w14:paraId="5608BCCC"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t>Localised data adds further context. Between 1</w:t>
      </w:r>
      <w:r w:rsidRPr="001835BD">
        <w:rPr>
          <w:rFonts w:ascii="Arial" w:hAnsi="Arial" w:cs="Arial"/>
          <w:color w:val="000000"/>
          <w:vertAlign w:val="superscript"/>
        </w:rPr>
        <w:t>st</w:t>
      </w:r>
      <w:r>
        <w:rPr>
          <w:rFonts w:ascii="Arial" w:hAnsi="Arial" w:cs="Arial"/>
          <w:color w:val="000000"/>
        </w:rPr>
        <w:t xml:space="preserve"> </w:t>
      </w:r>
      <w:r w:rsidRPr="003C4212">
        <w:rPr>
          <w:rFonts w:ascii="Arial" w:hAnsi="Arial" w:cs="Arial"/>
          <w:color w:val="000000"/>
        </w:rPr>
        <w:t>March 2020 and 24</w:t>
      </w:r>
      <w:r w:rsidRPr="001835BD">
        <w:rPr>
          <w:rFonts w:ascii="Arial" w:hAnsi="Arial" w:cs="Arial"/>
          <w:color w:val="000000"/>
          <w:vertAlign w:val="superscript"/>
        </w:rPr>
        <w:t>th</w:t>
      </w:r>
      <w:r w:rsidRPr="003C4212">
        <w:rPr>
          <w:rFonts w:ascii="Arial" w:hAnsi="Arial" w:cs="Arial"/>
          <w:color w:val="000000"/>
        </w:rPr>
        <w:t xml:space="preserve"> January 2021, 79 officers (7% of the workforce) in Dyfed Powys Police took mental health leave, compared to just 1.7% in neighbouring Gwent Police (Dyfed Powys Police, 2022</w:t>
      </w:r>
      <w:r>
        <w:rPr>
          <w:rFonts w:ascii="Arial" w:hAnsi="Arial" w:cs="Arial"/>
          <w:color w:val="000000"/>
        </w:rPr>
        <w:t>a</w:t>
      </w:r>
      <w:r w:rsidRPr="003C4212">
        <w:rPr>
          <w:rFonts w:ascii="Arial" w:hAnsi="Arial" w:cs="Arial"/>
          <w:color w:val="000000"/>
        </w:rPr>
        <w:t>). This disparity raises serious questions about the pressures faced by officers in certain regions. In response to trauma exposure</w:t>
      </w:r>
      <w:r>
        <w:rPr>
          <w:rFonts w:ascii="Arial" w:hAnsi="Arial" w:cs="Arial"/>
          <w:color w:val="000000"/>
        </w:rPr>
        <w:t xml:space="preserve">, </w:t>
      </w:r>
      <w:r w:rsidRPr="003C4212">
        <w:rPr>
          <w:rFonts w:ascii="Arial" w:hAnsi="Arial" w:cs="Arial"/>
          <w:color w:val="000000"/>
        </w:rPr>
        <w:t>such as attending suicides or violent incidents</w:t>
      </w:r>
      <w:r>
        <w:rPr>
          <w:rFonts w:ascii="Arial" w:hAnsi="Arial" w:cs="Arial"/>
          <w:color w:val="000000"/>
        </w:rPr>
        <w:t xml:space="preserve">, </w:t>
      </w:r>
      <w:r w:rsidRPr="003C4212">
        <w:rPr>
          <w:rFonts w:ascii="Arial" w:hAnsi="Arial" w:cs="Arial"/>
          <w:color w:val="000000"/>
        </w:rPr>
        <w:t>officers in Dyfed Powys are referred to Trauma Risk Management</w:t>
      </w:r>
      <w:r>
        <w:rPr>
          <w:rFonts w:ascii="Arial" w:hAnsi="Arial" w:cs="Arial"/>
          <w:color w:val="000000"/>
        </w:rPr>
        <w:t xml:space="preserve"> (</w:t>
      </w:r>
      <w:proofErr w:type="spellStart"/>
      <w:r w:rsidRPr="003C4212">
        <w:rPr>
          <w:rFonts w:ascii="Arial" w:hAnsi="Arial" w:cs="Arial"/>
          <w:color w:val="000000"/>
        </w:rPr>
        <w:t>TRiM</w:t>
      </w:r>
      <w:proofErr w:type="spellEnd"/>
      <w:r>
        <w:rPr>
          <w:rFonts w:ascii="Arial" w:hAnsi="Arial" w:cs="Arial"/>
          <w:color w:val="000000"/>
        </w:rPr>
        <w:t>)</w:t>
      </w:r>
      <w:r w:rsidRPr="003C4212">
        <w:rPr>
          <w:rFonts w:ascii="Arial" w:hAnsi="Arial" w:cs="Arial"/>
          <w:color w:val="000000"/>
        </w:rPr>
        <w:t>, an internal, peer-led programme that identifies stress responses and facilitates referrals for professional mental health support. This system includes post-incident counselling and follow-up assessments (Dyfed Powys Police, 202</w:t>
      </w:r>
      <w:r>
        <w:rPr>
          <w:rFonts w:ascii="Arial" w:hAnsi="Arial" w:cs="Arial"/>
          <w:color w:val="000000"/>
        </w:rPr>
        <w:t>2a</w:t>
      </w:r>
      <w:r w:rsidRPr="003C4212">
        <w:rPr>
          <w:rFonts w:ascii="Arial" w:hAnsi="Arial" w:cs="Arial"/>
          <w:color w:val="000000"/>
        </w:rPr>
        <w:t xml:space="preserve">). While </w:t>
      </w:r>
      <w:proofErr w:type="spellStart"/>
      <w:r w:rsidRPr="003C4212">
        <w:rPr>
          <w:rFonts w:ascii="Arial" w:hAnsi="Arial" w:cs="Arial"/>
          <w:color w:val="000000"/>
        </w:rPr>
        <w:t>TRiM</w:t>
      </w:r>
      <w:proofErr w:type="spellEnd"/>
      <w:r w:rsidRPr="003C4212">
        <w:rPr>
          <w:rFonts w:ascii="Arial" w:hAnsi="Arial" w:cs="Arial"/>
          <w:color w:val="000000"/>
        </w:rPr>
        <w:t xml:space="preserve"> represents a commendable initiative, its effectiveness remains dependent on </w:t>
      </w:r>
      <w:r w:rsidRPr="003C4212">
        <w:rPr>
          <w:rFonts w:ascii="Arial" w:hAnsi="Arial" w:cs="Arial"/>
          <w:color w:val="000000"/>
        </w:rPr>
        <w:lastRenderedPageBreak/>
        <w:t>officer uptake, adequate staffing, and long-term follow-up</w:t>
      </w:r>
      <w:r>
        <w:rPr>
          <w:rFonts w:ascii="Arial" w:hAnsi="Arial" w:cs="Arial"/>
          <w:color w:val="000000"/>
        </w:rPr>
        <w:t>,</w:t>
      </w:r>
      <w:r w:rsidRPr="003C4212">
        <w:rPr>
          <w:rFonts w:ascii="Arial" w:hAnsi="Arial" w:cs="Arial"/>
          <w:color w:val="000000"/>
        </w:rPr>
        <w:t xml:space="preserve"> all of which will be considered in this study.</w:t>
      </w:r>
    </w:p>
    <w:p w14:paraId="283FC390" w14:textId="77777777" w:rsidR="00A669FA" w:rsidRPr="003C4212" w:rsidRDefault="00A669FA" w:rsidP="00A669FA">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The College of Policing (2023) has identified the ‘Right Care, Right Person’ (RCRP) programme as a promising national initiative. Developed initially by Humberside Police in 2019, RCRP aims to improve inter-agency collaboration and ensure that individuals in crisis are attended to by the most appropriate service. The model is currently being implemented in phases, with North Wales Police among the early adopters and Dyfed Powys Police </w:t>
      </w:r>
      <w:r>
        <w:rPr>
          <w:rFonts w:ascii="Arial" w:hAnsi="Arial" w:cs="Arial"/>
          <w:color w:val="000000"/>
        </w:rPr>
        <w:t xml:space="preserve">having </w:t>
      </w:r>
      <w:r w:rsidRPr="003C4212">
        <w:rPr>
          <w:rFonts w:ascii="Arial" w:hAnsi="Arial" w:cs="Arial"/>
          <w:color w:val="000000"/>
        </w:rPr>
        <w:t>initiat</w:t>
      </w:r>
      <w:r>
        <w:rPr>
          <w:rFonts w:ascii="Arial" w:hAnsi="Arial" w:cs="Arial"/>
          <w:color w:val="000000"/>
        </w:rPr>
        <w:t>ed</w:t>
      </w:r>
      <w:r w:rsidRPr="003C4212">
        <w:rPr>
          <w:rFonts w:ascii="Arial" w:hAnsi="Arial" w:cs="Arial"/>
          <w:color w:val="000000"/>
        </w:rPr>
        <w:t xml:space="preserve"> rollout in October 2024. However, comprehensive evaluations of its long-term effectiveness are still pending.</w:t>
      </w:r>
    </w:p>
    <w:p w14:paraId="313E42E8" w14:textId="77777777" w:rsidR="00A669FA" w:rsidRDefault="00A669FA" w:rsidP="00A669FA">
      <w:pPr>
        <w:pStyle w:val="Heading2"/>
        <w:spacing w:line="360" w:lineRule="auto"/>
        <w:rPr>
          <w:rFonts w:cs="Arial"/>
          <w:sz w:val="24"/>
          <w:szCs w:val="24"/>
        </w:rPr>
      </w:pPr>
      <w:bookmarkStart w:id="14" w:name="_Toc197425797"/>
      <w:r w:rsidRPr="006611EA">
        <w:rPr>
          <w:rFonts w:cs="Arial"/>
          <w:sz w:val="24"/>
          <w:szCs w:val="24"/>
        </w:rPr>
        <w:t>1.3 Aims and Objectives</w:t>
      </w:r>
      <w:bookmarkEnd w:id="14"/>
    </w:p>
    <w:p w14:paraId="3C997EB8" w14:textId="77777777" w:rsidR="00A669FA" w:rsidRPr="00C230C0" w:rsidRDefault="00A669FA" w:rsidP="00A669FA"/>
    <w:p w14:paraId="679F3AC6" w14:textId="77777777" w:rsidR="00A669FA" w:rsidRPr="006611EA" w:rsidRDefault="00A669FA" w:rsidP="00A669FA">
      <w:pPr>
        <w:spacing w:line="360" w:lineRule="auto"/>
        <w:rPr>
          <w:rFonts w:ascii="Arial" w:hAnsi="Arial" w:cs="Arial"/>
        </w:rPr>
      </w:pPr>
      <w:r w:rsidRPr="006611EA">
        <w:rPr>
          <w:rFonts w:ascii="Arial" w:hAnsi="Arial" w:cs="Arial"/>
          <w:b/>
          <w:bCs/>
        </w:rPr>
        <w:t>Overall aim</w:t>
      </w:r>
      <w:r w:rsidRPr="006611EA">
        <w:rPr>
          <w:rFonts w:ascii="Arial" w:hAnsi="Arial" w:cs="Arial"/>
        </w:rPr>
        <w:t>- Critically analyse the role of police officers in supporting people in mental health crisis.</w:t>
      </w:r>
    </w:p>
    <w:p w14:paraId="629EA747" w14:textId="77777777" w:rsidR="00A669FA" w:rsidRPr="006611EA" w:rsidRDefault="00A669FA" w:rsidP="00A669FA">
      <w:pPr>
        <w:spacing w:line="360" w:lineRule="auto"/>
        <w:rPr>
          <w:rFonts w:ascii="Arial" w:hAnsi="Arial" w:cs="Arial"/>
        </w:rPr>
      </w:pPr>
    </w:p>
    <w:p w14:paraId="7B843777" w14:textId="77777777" w:rsidR="00A669FA" w:rsidRPr="006611EA" w:rsidRDefault="00A669FA" w:rsidP="00A669FA">
      <w:pPr>
        <w:spacing w:line="360" w:lineRule="auto"/>
        <w:rPr>
          <w:rFonts w:ascii="Arial" w:hAnsi="Arial" w:cs="Arial"/>
        </w:rPr>
      </w:pPr>
      <w:r w:rsidRPr="006611EA">
        <w:rPr>
          <w:rFonts w:ascii="Arial" w:hAnsi="Arial" w:cs="Arial"/>
          <w:b/>
          <w:bCs/>
        </w:rPr>
        <w:t>Objective 1-</w:t>
      </w:r>
      <w:r w:rsidRPr="006611EA">
        <w:rPr>
          <w:rFonts w:ascii="Arial" w:hAnsi="Arial" w:cs="Arial"/>
        </w:rPr>
        <w:t xml:space="preserve"> Explore existing literature to identify how the police respond to issues regarding mental health.</w:t>
      </w:r>
    </w:p>
    <w:p w14:paraId="1A50C6EB" w14:textId="77777777" w:rsidR="00A669FA" w:rsidRPr="006611EA" w:rsidRDefault="00A669FA" w:rsidP="00A669FA">
      <w:pPr>
        <w:spacing w:line="360" w:lineRule="auto"/>
        <w:rPr>
          <w:rFonts w:ascii="Arial" w:hAnsi="Arial" w:cs="Arial"/>
        </w:rPr>
      </w:pPr>
    </w:p>
    <w:p w14:paraId="27EBF46C" w14:textId="77777777" w:rsidR="00A669FA" w:rsidRPr="006611EA" w:rsidRDefault="00A669FA" w:rsidP="00A669FA">
      <w:pPr>
        <w:spacing w:line="360" w:lineRule="auto"/>
        <w:rPr>
          <w:rFonts w:ascii="Arial" w:hAnsi="Arial" w:cs="Arial"/>
        </w:rPr>
      </w:pPr>
      <w:r w:rsidRPr="006611EA">
        <w:rPr>
          <w:rFonts w:ascii="Arial" w:hAnsi="Arial" w:cs="Arial"/>
          <w:b/>
          <w:bCs/>
        </w:rPr>
        <w:t>Objective 2-</w:t>
      </w:r>
      <w:r w:rsidRPr="006611EA">
        <w:rPr>
          <w:rFonts w:ascii="Arial" w:hAnsi="Arial" w:cs="Arial"/>
        </w:rPr>
        <w:t xml:space="preserve"> Evaluate the impact that responding to mental health incidents has on serving officers within Dyfed Powys Police.</w:t>
      </w:r>
    </w:p>
    <w:p w14:paraId="220C9EEA" w14:textId="77777777" w:rsidR="00A669FA" w:rsidRPr="006611EA" w:rsidRDefault="00A669FA" w:rsidP="00A669FA">
      <w:pPr>
        <w:spacing w:line="360" w:lineRule="auto"/>
        <w:rPr>
          <w:rFonts w:ascii="Arial" w:hAnsi="Arial" w:cs="Arial"/>
        </w:rPr>
      </w:pPr>
    </w:p>
    <w:p w14:paraId="59393C04" w14:textId="77777777" w:rsidR="00A669FA" w:rsidRPr="006611EA" w:rsidRDefault="00A669FA" w:rsidP="00A669FA">
      <w:pPr>
        <w:spacing w:line="360" w:lineRule="auto"/>
        <w:rPr>
          <w:rFonts w:ascii="Arial" w:hAnsi="Arial" w:cs="Arial"/>
        </w:rPr>
      </w:pPr>
      <w:r w:rsidRPr="006611EA">
        <w:rPr>
          <w:rFonts w:ascii="Arial" w:hAnsi="Arial" w:cs="Arial"/>
          <w:b/>
          <w:bCs/>
        </w:rPr>
        <w:t>Objective 3-</w:t>
      </w:r>
      <w:r w:rsidRPr="006611EA">
        <w:rPr>
          <w:rFonts w:ascii="Arial" w:hAnsi="Arial" w:cs="Arial"/>
        </w:rPr>
        <w:t xml:space="preserve"> Critically examine the support available to the police in relation to dealing with mental health incidents.</w:t>
      </w:r>
    </w:p>
    <w:p w14:paraId="03C04A76" w14:textId="77777777" w:rsidR="00A669FA" w:rsidRPr="006611EA" w:rsidRDefault="00A669FA" w:rsidP="00A669FA">
      <w:pPr>
        <w:spacing w:line="360" w:lineRule="auto"/>
        <w:rPr>
          <w:rFonts w:ascii="Arial" w:hAnsi="Arial" w:cs="Arial"/>
        </w:rPr>
      </w:pPr>
    </w:p>
    <w:p w14:paraId="02F53EA7" w14:textId="77777777" w:rsidR="00A669FA" w:rsidRPr="006611EA" w:rsidRDefault="00A669FA" w:rsidP="00A669FA">
      <w:pPr>
        <w:spacing w:line="360" w:lineRule="auto"/>
        <w:rPr>
          <w:rFonts w:ascii="Arial" w:hAnsi="Arial" w:cs="Arial"/>
        </w:rPr>
      </w:pPr>
      <w:r w:rsidRPr="006611EA">
        <w:rPr>
          <w:rFonts w:ascii="Arial" w:hAnsi="Arial" w:cs="Arial"/>
          <w:b/>
          <w:bCs/>
        </w:rPr>
        <w:t>Objective 4-</w:t>
      </w:r>
      <w:r w:rsidRPr="006611EA">
        <w:rPr>
          <w:rFonts w:ascii="Arial" w:hAnsi="Arial" w:cs="Arial"/>
        </w:rPr>
        <w:t xml:space="preserve"> Analyse the benefit that an alternative organisation who are correctly trained to respond to mental health calls would have on the police</w:t>
      </w:r>
      <w:r>
        <w:rPr>
          <w:rFonts w:ascii="Arial" w:hAnsi="Arial" w:cs="Arial"/>
        </w:rPr>
        <w:t>.</w:t>
      </w:r>
    </w:p>
    <w:p w14:paraId="15713F79" w14:textId="77777777" w:rsidR="00A669FA" w:rsidRPr="006611EA" w:rsidRDefault="00A669FA" w:rsidP="00A669FA">
      <w:pPr>
        <w:pStyle w:val="Heading2"/>
        <w:spacing w:line="360" w:lineRule="auto"/>
        <w:rPr>
          <w:rFonts w:cs="Arial"/>
          <w:sz w:val="24"/>
          <w:szCs w:val="24"/>
        </w:rPr>
      </w:pPr>
      <w:bookmarkStart w:id="15" w:name="_Toc197425798"/>
      <w:r w:rsidRPr="006611EA">
        <w:rPr>
          <w:rFonts w:cs="Arial"/>
          <w:sz w:val="24"/>
          <w:szCs w:val="24"/>
        </w:rPr>
        <w:t>1.4 Methods and Timescales</w:t>
      </w:r>
      <w:bookmarkEnd w:id="15"/>
      <w:r w:rsidRPr="006611EA">
        <w:rPr>
          <w:rFonts w:cs="Arial"/>
          <w:sz w:val="24"/>
          <w:szCs w:val="24"/>
        </w:rPr>
        <w:t xml:space="preserve"> </w:t>
      </w:r>
    </w:p>
    <w:p w14:paraId="349CBE48" w14:textId="77777777" w:rsidR="00A669FA" w:rsidRPr="007B6C05" w:rsidRDefault="00A669FA" w:rsidP="00A669FA">
      <w:pPr>
        <w:spacing w:before="100" w:beforeAutospacing="1" w:after="100" w:afterAutospacing="1" w:line="360" w:lineRule="auto"/>
        <w:rPr>
          <w:rFonts w:ascii="Arial" w:hAnsi="Arial" w:cs="Arial"/>
          <w:color w:val="000000"/>
        </w:rPr>
      </w:pPr>
      <w:r w:rsidRPr="007B6C05">
        <w:rPr>
          <w:rFonts w:ascii="Arial" w:hAnsi="Arial" w:cs="Arial"/>
          <w:color w:val="000000"/>
        </w:rPr>
        <w:t xml:space="preserve">To explore the above aims and objectives, this study employs both secondary and primary research. Secondary research includes an extensive review of existing literature on police and mental health interactions. Primary research is conducted through a structured survey distributed to frontline officers within Dyfed Powys Police. The survey captures both </w:t>
      </w:r>
      <w:r w:rsidRPr="007B6C05">
        <w:rPr>
          <w:rFonts w:ascii="Arial" w:hAnsi="Arial" w:cs="Arial"/>
          <w:color w:val="000000"/>
        </w:rPr>
        <w:lastRenderedPageBreak/>
        <w:t>quantitative data (e.g., frequency of calls, perceived preparedness) and qualitative insights (e.g., emotional responses, opinions on inter-agency collaboration).</w:t>
      </w:r>
    </w:p>
    <w:p w14:paraId="7C3C98E9" w14:textId="77777777" w:rsidR="00A669FA" w:rsidRPr="007B6C05" w:rsidRDefault="00A669FA" w:rsidP="00A669FA">
      <w:pPr>
        <w:spacing w:before="100" w:beforeAutospacing="1" w:after="100" w:afterAutospacing="1" w:line="360" w:lineRule="auto"/>
        <w:rPr>
          <w:rFonts w:ascii="Arial" w:hAnsi="Arial" w:cs="Arial"/>
          <w:color w:val="000000"/>
        </w:rPr>
      </w:pPr>
      <w:r w:rsidRPr="007B6C05">
        <w:rPr>
          <w:rFonts w:ascii="Arial" w:hAnsi="Arial" w:cs="Arial"/>
          <w:color w:val="000000"/>
        </w:rPr>
        <w:t>The project spans an eight-month timeline, with each chapter and research task assigned a specific deadline to ensure timely completion (Maxwell, 2024). The sample group is selected to represent a cross-section of officers, taking into account factors such as, length of service, gender and ethnicity, in line with inclusive research practices (Weyant, 2022). The survey is hosted on the force’s secure internal intranet and participant recruitment is supported by the department’s mental health lead.</w:t>
      </w:r>
      <w:r w:rsidRPr="002E4C91">
        <w:rPr>
          <w:rFonts w:ascii="Arial" w:hAnsi="Arial" w:cs="Arial"/>
          <w:color w:val="000000"/>
        </w:rPr>
        <w:t xml:space="preserve"> </w:t>
      </w:r>
      <w:r w:rsidRPr="00D459D6">
        <w:rPr>
          <w:rFonts w:ascii="Arial" w:hAnsi="Arial" w:cs="Arial"/>
          <w:color w:val="000000"/>
        </w:rPr>
        <w:t xml:space="preserve">In its whole, the </w:t>
      </w:r>
      <w:r>
        <w:rPr>
          <w:rFonts w:ascii="Arial" w:hAnsi="Arial" w:cs="Arial"/>
          <w:color w:val="000000"/>
        </w:rPr>
        <w:t>survey</w:t>
      </w:r>
      <w:r w:rsidRPr="00D459D6">
        <w:rPr>
          <w:rFonts w:ascii="Arial" w:hAnsi="Arial" w:cs="Arial"/>
          <w:color w:val="000000"/>
        </w:rPr>
        <w:t xml:space="preserve"> will provide an objective summary of officers' attitudes towards mental health and their level of assistance</w:t>
      </w:r>
      <w:r>
        <w:rPr>
          <w:rFonts w:ascii="Arial" w:hAnsi="Arial" w:cs="Arial"/>
          <w:color w:val="000000"/>
        </w:rPr>
        <w:t xml:space="preserve"> Mind (2019)</w:t>
      </w:r>
      <w:r w:rsidRPr="00D459D6">
        <w:rPr>
          <w:rFonts w:ascii="Arial" w:hAnsi="Arial" w:cs="Arial"/>
          <w:color w:val="000000"/>
        </w:rPr>
        <w:t>.</w:t>
      </w:r>
    </w:p>
    <w:p w14:paraId="3BC30ACC" w14:textId="77777777" w:rsidR="00A669FA" w:rsidRPr="007B6C05" w:rsidRDefault="00A669FA" w:rsidP="00A669FA">
      <w:pPr>
        <w:spacing w:before="100" w:beforeAutospacing="1" w:after="100" w:afterAutospacing="1" w:line="360" w:lineRule="auto"/>
        <w:rPr>
          <w:rFonts w:ascii="Arial" w:hAnsi="Arial" w:cs="Arial"/>
          <w:color w:val="000000"/>
        </w:rPr>
      </w:pPr>
      <w:r w:rsidRPr="007B6C05">
        <w:rPr>
          <w:rFonts w:ascii="Arial" w:hAnsi="Arial" w:cs="Arial"/>
          <w:color w:val="000000"/>
        </w:rPr>
        <w:t>Due to the sensitive nature of the research, the survey includes a disclosure statement and signposts to professional support services, as recommended by ethical guidelines for research involving mental health themes (Singletary, 2024).</w:t>
      </w:r>
    </w:p>
    <w:p w14:paraId="4481FA2B" w14:textId="77777777" w:rsidR="00A669FA" w:rsidRPr="006611EA" w:rsidRDefault="00A669FA" w:rsidP="00A669FA">
      <w:pPr>
        <w:pStyle w:val="Heading2"/>
        <w:spacing w:line="360" w:lineRule="auto"/>
        <w:rPr>
          <w:rFonts w:cs="Arial"/>
          <w:sz w:val="24"/>
          <w:szCs w:val="24"/>
        </w:rPr>
      </w:pPr>
      <w:bookmarkStart w:id="16" w:name="_Toc197425799"/>
      <w:r w:rsidRPr="006611EA">
        <w:rPr>
          <w:rFonts w:cs="Arial"/>
          <w:sz w:val="24"/>
          <w:szCs w:val="24"/>
        </w:rPr>
        <w:t>1.5 Value of research</w:t>
      </w:r>
      <w:bookmarkEnd w:id="16"/>
      <w:r w:rsidRPr="006611EA">
        <w:rPr>
          <w:rFonts w:cs="Arial"/>
          <w:sz w:val="24"/>
          <w:szCs w:val="24"/>
        </w:rPr>
        <w:t xml:space="preserve"> </w:t>
      </w:r>
    </w:p>
    <w:p w14:paraId="49671717" w14:textId="77777777" w:rsidR="00A669FA" w:rsidRPr="007B6C05" w:rsidRDefault="00A669FA" w:rsidP="00A669FA">
      <w:pPr>
        <w:spacing w:before="100" w:beforeAutospacing="1" w:after="100" w:afterAutospacing="1" w:line="360" w:lineRule="auto"/>
        <w:rPr>
          <w:rFonts w:ascii="Arial" w:hAnsi="Arial" w:cs="Arial"/>
          <w:color w:val="000000"/>
        </w:rPr>
      </w:pPr>
      <w:r w:rsidRPr="007B6C05">
        <w:rPr>
          <w:rFonts w:ascii="Arial" w:hAnsi="Arial" w:cs="Arial"/>
          <w:color w:val="000000"/>
        </w:rPr>
        <w:t>This research is both timely and essential. The increasing burden placed on the police to respond to mental health crises has profound implications for officer wellbeing, public safety, and resource allocation. It diverts personnel from crime prevention and investigative duties, often placing them in situations for which they feel underprepared. The emotional toll is reflected in growing rates of stress, burnout, and leave due to psychological distress</w:t>
      </w:r>
      <w:r>
        <w:rPr>
          <w:rFonts w:ascii="Arial" w:hAnsi="Arial" w:cs="Arial"/>
          <w:color w:val="000000"/>
        </w:rPr>
        <w:t xml:space="preserve">, </w:t>
      </w:r>
      <w:r w:rsidRPr="007B6C05">
        <w:rPr>
          <w:rFonts w:ascii="Arial" w:hAnsi="Arial" w:cs="Arial"/>
          <w:color w:val="000000"/>
        </w:rPr>
        <w:t>particularly in forces like Dyfed Powys.</w:t>
      </w:r>
    </w:p>
    <w:p w14:paraId="12EDB489" w14:textId="77777777" w:rsidR="00A669FA" w:rsidRPr="007B6C05" w:rsidRDefault="00A669FA" w:rsidP="00A669FA">
      <w:pPr>
        <w:spacing w:before="100" w:beforeAutospacing="1" w:after="100" w:afterAutospacing="1" w:line="360" w:lineRule="auto"/>
        <w:rPr>
          <w:rFonts w:ascii="Arial" w:hAnsi="Arial" w:cs="Arial"/>
          <w:color w:val="000000"/>
        </w:rPr>
      </w:pPr>
      <w:r w:rsidRPr="007B6C05">
        <w:rPr>
          <w:rFonts w:ascii="Arial" w:hAnsi="Arial" w:cs="Arial"/>
          <w:color w:val="000000"/>
        </w:rPr>
        <w:t>Existing literature often touches on these challenges but fails to explore them in sufficient depth. There is limited data on the nature and quality of the training officers receive, or how this training affects both their own mental health and the outcomes for individuals in crisis. Furthermore, there is a lack of rigorous evaluation of alternative crisis response models, such as co-responder teams or mental health-led interventions.</w:t>
      </w:r>
    </w:p>
    <w:p w14:paraId="4433A3D1" w14:textId="77777777" w:rsidR="00A669FA" w:rsidRDefault="00A669FA" w:rsidP="00A669FA">
      <w:pPr>
        <w:spacing w:before="100" w:beforeAutospacing="1" w:after="100" w:afterAutospacing="1" w:line="360" w:lineRule="auto"/>
        <w:rPr>
          <w:rFonts w:ascii="Arial" w:hAnsi="Arial" w:cs="Arial"/>
          <w:color w:val="000000"/>
        </w:rPr>
      </w:pPr>
      <w:r w:rsidRPr="007B6C05">
        <w:rPr>
          <w:rFonts w:ascii="Arial" w:hAnsi="Arial" w:cs="Arial"/>
          <w:color w:val="000000"/>
        </w:rPr>
        <w:t xml:space="preserve">By addressing these gaps, this study contributes to the ongoing dialogue around public health, human rights, and </w:t>
      </w:r>
      <w:r>
        <w:rPr>
          <w:rFonts w:ascii="Arial" w:hAnsi="Arial" w:cs="Arial"/>
          <w:color w:val="000000"/>
        </w:rPr>
        <w:t>Police forces</w:t>
      </w:r>
      <w:r w:rsidRPr="007B6C05">
        <w:rPr>
          <w:rFonts w:ascii="Arial" w:hAnsi="Arial" w:cs="Arial"/>
          <w:color w:val="000000"/>
        </w:rPr>
        <w:t>. The findings will help inform decisions around training, mental health support provision and inter-agency collaboration. In the wake of the COVID-19 pandemic and amid rising demand for emergency services, research of this kind is urgently needed to improve outcomes for both police officers and the communities they serve (Lowder et al, 2024).</w:t>
      </w:r>
    </w:p>
    <w:p w14:paraId="7F870E83" w14:textId="77777777" w:rsidR="00F91133" w:rsidRDefault="00F91133" w:rsidP="00F91133">
      <w:pPr>
        <w:spacing w:line="276" w:lineRule="auto"/>
      </w:pPr>
    </w:p>
    <w:p w14:paraId="5AA2F97F" w14:textId="77777777" w:rsidR="00F91133" w:rsidRDefault="00F91133" w:rsidP="00F91133">
      <w:pPr>
        <w:spacing w:line="276" w:lineRule="auto"/>
      </w:pPr>
    </w:p>
    <w:p w14:paraId="0B795911" w14:textId="77777777" w:rsidR="00F91133" w:rsidRPr="00F91133" w:rsidRDefault="00F91133"/>
    <w:p w14:paraId="327E826B" w14:textId="77777777" w:rsidR="00F91133" w:rsidRDefault="00F91133">
      <w:pPr>
        <w:rPr>
          <w:lang w:val="en-US"/>
        </w:rPr>
      </w:pPr>
    </w:p>
    <w:p w14:paraId="47B6E155" w14:textId="77777777" w:rsidR="00F91133" w:rsidRDefault="00F91133">
      <w:pPr>
        <w:rPr>
          <w:lang w:val="en-US"/>
        </w:rPr>
      </w:pPr>
    </w:p>
    <w:p w14:paraId="711DEF01" w14:textId="77777777" w:rsidR="00F91133" w:rsidRDefault="00F91133">
      <w:pPr>
        <w:rPr>
          <w:lang w:val="en-US"/>
        </w:rPr>
      </w:pPr>
    </w:p>
    <w:p w14:paraId="1CDD28DF" w14:textId="77777777" w:rsidR="00F91133" w:rsidRDefault="00F91133">
      <w:pPr>
        <w:rPr>
          <w:lang w:val="en-US"/>
        </w:rPr>
      </w:pPr>
    </w:p>
    <w:p w14:paraId="1E3B5BA9" w14:textId="77777777" w:rsidR="00F91133" w:rsidRDefault="00F91133">
      <w:pPr>
        <w:rPr>
          <w:lang w:val="en-US"/>
        </w:rPr>
      </w:pPr>
    </w:p>
    <w:p w14:paraId="10052530" w14:textId="77777777" w:rsidR="00F91133" w:rsidRPr="00F91133" w:rsidRDefault="00F91133">
      <w:pPr>
        <w:rPr>
          <w:lang w:val="en-US"/>
        </w:rPr>
      </w:pPr>
    </w:p>
    <w:sectPr w:rsidR="00F91133" w:rsidRPr="00F9113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77068" w14:textId="77777777" w:rsidR="004F4719" w:rsidRDefault="004F4719" w:rsidP="00F91133">
      <w:pPr>
        <w:spacing w:after="0" w:line="240" w:lineRule="auto"/>
      </w:pPr>
      <w:r>
        <w:separator/>
      </w:r>
    </w:p>
  </w:endnote>
  <w:endnote w:type="continuationSeparator" w:id="0">
    <w:p w14:paraId="1CDC7BB0" w14:textId="77777777" w:rsidR="004F4719" w:rsidRDefault="004F4719" w:rsidP="00F91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FA959" w14:textId="77777777" w:rsidR="004F4719" w:rsidRDefault="004F4719" w:rsidP="00F91133">
      <w:pPr>
        <w:spacing w:after="0" w:line="240" w:lineRule="auto"/>
      </w:pPr>
      <w:r>
        <w:separator/>
      </w:r>
    </w:p>
  </w:footnote>
  <w:footnote w:type="continuationSeparator" w:id="0">
    <w:p w14:paraId="5AF2C3AC" w14:textId="77777777" w:rsidR="004F4719" w:rsidRDefault="004F4719" w:rsidP="00F911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AB6E5" w14:textId="574B4BF8" w:rsidR="00F91133" w:rsidRDefault="00F91133">
    <w:pPr>
      <w:pStyle w:val="Header"/>
    </w:pPr>
    <w:r>
      <w:t>EXAMPLES: Introduction chapter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B686F"/>
    <w:multiLevelType w:val="multilevel"/>
    <w:tmpl w:val="91BA0B6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1E77D7B"/>
    <w:multiLevelType w:val="hybridMultilevel"/>
    <w:tmpl w:val="5770BEB8"/>
    <w:lvl w:ilvl="0" w:tplc="FFFFFFFF">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FD1673"/>
    <w:multiLevelType w:val="multilevel"/>
    <w:tmpl w:val="D6ECC36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46965092">
    <w:abstractNumId w:val="1"/>
  </w:num>
  <w:num w:numId="2" w16cid:durableId="1043217159">
    <w:abstractNumId w:val="0"/>
  </w:num>
  <w:num w:numId="3" w16cid:durableId="8712678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133"/>
    <w:rsid w:val="00171DA1"/>
    <w:rsid w:val="003952DB"/>
    <w:rsid w:val="004F4719"/>
    <w:rsid w:val="007B031E"/>
    <w:rsid w:val="0080261A"/>
    <w:rsid w:val="00A669FA"/>
    <w:rsid w:val="00D3150B"/>
    <w:rsid w:val="00DA5D35"/>
    <w:rsid w:val="00F911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8B47F"/>
  <w15:chartTrackingRefBased/>
  <w15:docId w15:val="{4FF98CF8-17CD-4F13-AA59-78F736FB6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133"/>
    <w:rPr>
      <w:kern w:val="0"/>
      <w:lang w:eastAsia="en-US"/>
      <w14:ligatures w14:val="none"/>
    </w:rPr>
  </w:style>
  <w:style w:type="paragraph" w:styleId="Heading1">
    <w:name w:val="heading 1"/>
    <w:basedOn w:val="Normal"/>
    <w:next w:val="Normal"/>
    <w:link w:val="Heading1Char"/>
    <w:uiPriority w:val="9"/>
    <w:qFormat/>
    <w:rsid w:val="00F911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DA1"/>
    <w:pPr>
      <w:keepNext/>
      <w:keepLines/>
      <w:pBdr>
        <w:top w:val="none" w:sz="0" w:space="0" w:color="000000"/>
        <w:left w:val="none" w:sz="0" w:space="0" w:color="000000"/>
        <w:bottom w:val="none" w:sz="0" w:space="0" w:color="000000"/>
        <w:right w:val="none" w:sz="0" w:space="0" w:color="000000"/>
        <w:between w:val="none" w:sz="0" w:space="0" w:color="000000"/>
      </w:pBdr>
      <w:shd w:val="clear" w:color="auto" w:fill="FFFFFF"/>
      <w:spacing w:before="40" w:after="0"/>
      <w:outlineLvl w:val="1"/>
    </w:pPr>
    <w:rPr>
      <w:rFonts w:ascii="Arial" w:eastAsiaTheme="majorEastAsia" w:hAnsi="Arial" w:cstheme="majorBidi"/>
      <w:color w:val="2F5496" w:themeColor="accent1" w:themeShade="BF"/>
      <w:sz w:val="26"/>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133"/>
    <w:rPr>
      <w:rFonts w:asciiTheme="majorHAnsi" w:eastAsiaTheme="majorEastAsia" w:hAnsiTheme="majorHAnsi" w:cstheme="majorBidi"/>
      <w:color w:val="2F5496" w:themeColor="accent1" w:themeShade="BF"/>
      <w:kern w:val="0"/>
      <w:sz w:val="32"/>
      <w:szCs w:val="32"/>
      <w:lang w:eastAsia="en-US"/>
      <w14:ligatures w14:val="none"/>
    </w:rPr>
  </w:style>
  <w:style w:type="paragraph" w:styleId="NormalWeb">
    <w:name w:val="Normal (Web)"/>
    <w:basedOn w:val="Normal"/>
    <w:uiPriority w:val="99"/>
    <w:unhideWhenUsed/>
    <w:rsid w:val="00F91133"/>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F91133"/>
    <w:pPr>
      <w:ind w:left="720"/>
      <w:contextualSpacing/>
    </w:pPr>
  </w:style>
  <w:style w:type="paragraph" w:styleId="Header">
    <w:name w:val="header"/>
    <w:basedOn w:val="Normal"/>
    <w:link w:val="HeaderChar"/>
    <w:uiPriority w:val="99"/>
    <w:unhideWhenUsed/>
    <w:rsid w:val="00F91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133"/>
    <w:rPr>
      <w:kern w:val="0"/>
      <w:lang w:eastAsia="en-US"/>
      <w14:ligatures w14:val="none"/>
    </w:rPr>
  </w:style>
  <w:style w:type="paragraph" w:styleId="Footer">
    <w:name w:val="footer"/>
    <w:basedOn w:val="Normal"/>
    <w:link w:val="FooterChar"/>
    <w:uiPriority w:val="99"/>
    <w:unhideWhenUsed/>
    <w:rsid w:val="00F91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133"/>
    <w:rPr>
      <w:kern w:val="0"/>
      <w:lang w:eastAsia="en-US"/>
      <w14:ligatures w14:val="none"/>
    </w:rPr>
  </w:style>
  <w:style w:type="character" w:customStyle="1" w:styleId="Heading2Char">
    <w:name w:val="Heading 2 Char"/>
    <w:basedOn w:val="DefaultParagraphFont"/>
    <w:link w:val="Heading2"/>
    <w:uiPriority w:val="9"/>
    <w:rsid w:val="00171DA1"/>
    <w:rPr>
      <w:rFonts w:ascii="Arial" w:eastAsiaTheme="majorEastAsia" w:hAnsi="Arial" w:cstheme="majorBidi"/>
      <w:color w:val="2F5496" w:themeColor="accent1" w:themeShade="BF"/>
      <w:kern w:val="0"/>
      <w:sz w:val="26"/>
      <w:szCs w:val="26"/>
      <w:shd w:val="clear" w:color="auto" w:fill="FFFFFF"/>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7182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4697</Words>
  <Characters>26775</Characters>
  <Application>Microsoft Office Word</Application>
  <DocSecurity>0</DocSecurity>
  <Lines>223</Lines>
  <Paragraphs>62</Paragraphs>
  <ScaleCrop>false</ScaleCrop>
  <Company>University of Wales Trinity Saint David</Company>
  <LinksUpToDate>false</LinksUpToDate>
  <CharactersWithSpaces>31410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3</cp:revision>
  <dcterms:created xsi:type="dcterms:W3CDTF">2023-10-20T13:07:00Z</dcterms:created>
  <dcterms:modified xsi:type="dcterms:W3CDTF">2025-08-21T10:40:00Z</dcterms:modified>
</cp:coreProperties>
</file>