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A21C3A" w14:textId="12D2FD84" w:rsidR="00B12DC9" w:rsidRPr="00361F37" w:rsidRDefault="00B12DC9" w:rsidP="00B12DC9">
      <w:pPr>
        <w:pStyle w:val="Body"/>
        <w:spacing w:line="240" w:lineRule="auto"/>
        <w:jc w:val="center"/>
        <w:rPr>
          <w:rFonts w:asciiTheme="minorHAnsi" w:hAnsiTheme="minorHAnsi" w:cs="Calibri"/>
          <w:b/>
          <w:bCs/>
          <w:color w:val="auto"/>
          <w:u w:color="004147"/>
        </w:rPr>
      </w:pPr>
      <w:r w:rsidRPr="00361F37">
        <w:rPr>
          <w:rFonts w:asciiTheme="minorHAnsi" w:hAnsiTheme="minorHAnsi" w:cs="Calibri"/>
          <w:b/>
          <w:bCs/>
          <w:color w:val="auto"/>
          <w:u w:color="004147"/>
        </w:rPr>
        <w:t>CIPD_5</w:t>
      </w:r>
      <w:r>
        <w:rPr>
          <w:rFonts w:asciiTheme="minorHAnsi" w:hAnsiTheme="minorHAnsi" w:cs="Calibri"/>
          <w:b/>
          <w:bCs/>
          <w:color w:val="auto"/>
          <w:u w:color="004147"/>
        </w:rPr>
        <w:t>HR0</w:t>
      </w:r>
      <w:r w:rsidR="006131FB">
        <w:rPr>
          <w:rFonts w:asciiTheme="minorHAnsi" w:hAnsiTheme="minorHAnsi" w:cs="Calibri"/>
          <w:b/>
          <w:bCs/>
          <w:color w:val="auto"/>
          <w:u w:color="004147"/>
        </w:rPr>
        <w:t>2</w:t>
      </w:r>
      <w:r>
        <w:rPr>
          <w:rFonts w:asciiTheme="minorHAnsi" w:hAnsiTheme="minorHAnsi" w:cs="Calibri"/>
          <w:b/>
          <w:bCs/>
          <w:color w:val="auto"/>
          <w:u w:color="004147"/>
        </w:rPr>
        <w:t>_24_01</w:t>
      </w:r>
    </w:p>
    <w:p w14:paraId="0921DF60" w14:textId="77777777" w:rsidR="00B12DC9" w:rsidRPr="00361F37" w:rsidRDefault="00B12DC9" w:rsidP="00B12DC9">
      <w:pPr>
        <w:pStyle w:val="Body"/>
        <w:spacing w:line="240" w:lineRule="auto"/>
        <w:jc w:val="center"/>
        <w:rPr>
          <w:rFonts w:asciiTheme="minorHAnsi" w:hAnsiTheme="minorHAnsi" w:cs="Calibri"/>
          <w:b/>
          <w:bCs/>
          <w:color w:val="auto"/>
          <w:u w:color="004147"/>
          <w:lang w:val="en-US"/>
        </w:rPr>
      </w:pPr>
      <w:r w:rsidRPr="00361F37">
        <w:rPr>
          <w:rFonts w:asciiTheme="minorHAnsi" w:hAnsiTheme="minorHAnsi" w:cs="Calibri"/>
          <w:b/>
          <w:bCs/>
          <w:color w:val="auto"/>
          <w:u w:color="004147"/>
        </w:rPr>
        <w:t>Chloe Gardner 2325620</w:t>
      </w:r>
    </w:p>
    <w:p w14:paraId="6E2AEBB9" w14:textId="0103D56A" w:rsidR="00B12DC9" w:rsidRPr="00B12DC9" w:rsidRDefault="00B2726A" w:rsidP="00B12DC9">
      <w:pPr>
        <w:pStyle w:val="Body"/>
        <w:spacing w:line="240" w:lineRule="auto"/>
        <w:jc w:val="center"/>
        <w:rPr>
          <w:rFonts w:asciiTheme="minorHAnsi" w:hAnsiTheme="minorHAnsi" w:cs="Calibri"/>
          <w:b/>
          <w:bCs/>
          <w:color w:val="auto"/>
          <w:u w:color="004147"/>
          <w:lang w:val="en-US"/>
        </w:rPr>
      </w:pPr>
      <w:r>
        <w:rPr>
          <w:rFonts w:asciiTheme="minorHAnsi" w:hAnsiTheme="minorHAnsi" w:cs="Calibri"/>
          <w:b/>
          <w:bCs/>
          <w:color w:val="auto"/>
          <w:u w:color="004147"/>
          <w:lang w:val="en-US"/>
        </w:rPr>
        <w:t>3710</w:t>
      </w:r>
      <w:r w:rsidR="0072254C">
        <w:rPr>
          <w:rFonts w:asciiTheme="minorHAnsi" w:hAnsiTheme="minorHAnsi" w:cs="Calibri"/>
          <w:b/>
          <w:bCs/>
          <w:color w:val="auto"/>
          <w:u w:color="004147"/>
          <w:lang w:val="en-US"/>
        </w:rPr>
        <w:t xml:space="preserve"> </w:t>
      </w:r>
      <w:r w:rsidR="00B12DC9" w:rsidRPr="00361F37">
        <w:rPr>
          <w:rFonts w:asciiTheme="minorHAnsi" w:hAnsiTheme="minorHAnsi" w:cs="Calibri"/>
          <w:b/>
          <w:bCs/>
          <w:color w:val="auto"/>
          <w:u w:color="004147"/>
          <w:lang w:val="en-US"/>
        </w:rPr>
        <w:t>words</w:t>
      </w:r>
    </w:p>
    <w:p w14:paraId="5A7AF90D" w14:textId="4CF1AA9B" w:rsidR="00A923FA" w:rsidRPr="00B12DC9" w:rsidRDefault="00A923FA" w:rsidP="00B85779">
      <w:pPr>
        <w:spacing w:before="100" w:beforeAutospacing="1" w:after="100" w:afterAutospacing="1" w:line="240" w:lineRule="auto"/>
        <w:rPr>
          <w:rFonts w:ascii="Trebuchet MS" w:eastAsia="Times New Roman" w:hAnsi="Trebuchet MS" w:cs="Calibri"/>
          <w:b/>
          <w:bCs/>
          <w:kern w:val="0"/>
          <w:u w:val="single"/>
          <w:lang w:eastAsia="en-GB"/>
          <w14:ligatures w14:val="none"/>
        </w:rPr>
      </w:pPr>
      <w:r w:rsidRPr="00B12DC9">
        <w:rPr>
          <w:rFonts w:ascii="Trebuchet MS" w:eastAsia="Times New Roman" w:hAnsi="Trebuchet MS" w:cs="Calibri"/>
          <w:b/>
          <w:bCs/>
          <w:kern w:val="0"/>
          <w:u w:val="single"/>
          <w:lang w:eastAsia="en-GB"/>
          <w14:ligatures w14:val="none"/>
        </w:rPr>
        <w:t>AC</w:t>
      </w:r>
      <w:r w:rsidR="00B53B4B" w:rsidRPr="00B12DC9">
        <w:rPr>
          <w:rFonts w:ascii="Trebuchet MS" w:eastAsia="Times New Roman" w:hAnsi="Trebuchet MS" w:cs="Calibri"/>
          <w:b/>
          <w:bCs/>
          <w:kern w:val="0"/>
          <w:u w:val="single"/>
          <w:lang w:eastAsia="en-GB"/>
          <w14:ligatures w14:val="none"/>
        </w:rPr>
        <w:t xml:space="preserve"> </w:t>
      </w:r>
      <w:r w:rsidRPr="00B12DC9">
        <w:rPr>
          <w:rFonts w:ascii="Trebuchet MS" w:eastAsia="Times New Roman" w:hAnsi="Trebuchet MS" w:cs="Calibri"/>
          <w:b/>
          <w:bCs/>
          <w:kern w:val="0"/>
          <w:u w:val="single"/>
          <w:lang w:eastAsia="en-GB"/>
          <w14:ligatures w14:val="none"/>
        </w:rPr>
        <w:t>1.1</w:t>
      </w:r>
    </w:p>
    <w:p w14:paraId="101AB114" w14:textId="276B4D23" w:rsidR="00B85779" w:rsidRPr="00B12DC9" w:rsidRDefault="00B85779" w:rsidP="00B85779">
      <w:pPr>
        <w:spacing w:before="100" w:beforeAutospacing="1" w:after="100" w:afterAutospacing="1" w:line="240" w:lineRule="auto"/>
        <w:rPr>
          <w:rFonts w:ascii="Trebuchet MS" w:eastAsia="Times New Roman" w:hAnsi="Trebuchet MS" w:cs="Calibri"/>
          <w:kern w:val="0"/>
          <w:lang w:eastAsia="en-GB"/>
          <w14:ligatures w14:val="none"/>
        </w:rPr>
      </w:pPr>
      <w:r w:rsidRPr="00B12DC9">
        <w:rPr>
          <w:rFonts w:ascii="Trebuchet MS" w:eastAsia="Times New Roman" w:hAnsi="Trebuchet MS" w:cs="Calibri"/>
          <w:kern w:val="0"/>
          <w:lang w:eastAsia="en-GB"/>
          <w14:ligatures w14:val="none"/>
        </w:rPr>
        <w:t>With the parcel delivery market ever expanding and evolving, ParcelCare faces increasing competition in the labour market (Moore et al., 2024). Many potential employers offer highly flexible and autonomous employment with great benefits, which ParcelCare should look to monitor and implement (Moore et al., 2024). To evaluate its competitors and remain a strong contender, ParcelCare should undergo a competitive analysis of its largest competing organisations. Armstrong (2008) supports this, stating organisations should aim to be ‘the employer of choice’—achieved by knowing the best way to treat employees. ParcelCare should review financial and non-financial employee benefits offered by competitors, including pay, annual leave, family leave, work-life balance, flexibility, and development opportunities (Armstrong, 2008). They may assess competitors through a SWOT analysis to identify strengths, weaknesses, opportunities, and areas where ParcelCare could be ‘beating’ them (CIPD, 2025</w:t>
      </w:r>
      <w:r w:rsidR="004B7DBB" w:rsidRPr="00B12DC9">
        <w:rPr>
          <w:rFonts w:ascii="Trebuchet MS" w:eastAsia="Times New Roman" w:hAnsi="Trebuchet MS" w:cs="Calibri"/>
          <w:kern w:val="0"/>
          <w:lang w:eastAsia="en-GB"/>
          <w14:ligatures w14:val="none"/>
        </w:rPr>
        <w:t>a</w:t>
      </w:r>
      <w:r w:rsidRPr="00B12DC9">
        <w:rPr>
          <w:rFonts w:ascii="Trebuchet MS" w:eastAsia="Times New Roman" w:hAnsi="Trebuchet MS" w:cs="Calibri"/>
          <w:kern w:val="0"/>
          <w:lang w:eastAsia="en-GB"/>
          <w14:ligatures w14:val="none"/>
        </w:rPr>
        <w:t>).</w:t>
      </w:r>
    </w:p>
    <w:p w14:paraId="0D8BF034" w14:textId="6E641230" w:rsidR="00B85779" w:rsidRPr="00B12DC9" w:rsidRDefault="00B85779" w:rsidP="00B85779">
      <w:pPr>
        <w:spacing w:before="100" w:beforeAutospacing="1" w:after="100" w:afterAutospacing="1" w:line="240" w:lineRule="auto"/>
        <w:rPr>
          <w:rFonts w:ascii="Trebuchet MS" w:eastAsia="Times New Roman" w:hAnsi="Trebuchet MS" w:cs="Calibri"/>
          <w:kern w:val="0"/>
          <w:lang w:eastAsia="en-GB"/>
          <w14:ligatures w14:val="none"/>
        </w:rPr>
      </w:pPr>
      <w:r w:rsidRPr="00B12DC9">
        <w:rPr>
          <w:rFonts w:ascii="Trebuchet MS" w:eastAsia="Times New Roman" w:hAnsi="Trebuchet MS" w:cs="Calibri"/>
          <w:kern w:val="0"/>
          <w:lang w:eastAsia="en-GB"/>
          <w14:ligatures w14:val="none"/>
        </w:rPr>
        <w:t>Upon completing this analysis, ParcelCare should use their findings to take opportunities to rank above competitors in what they offer employees. Berger et al. (2019) found many parcel delivery workers appreciate full autonomy over working hours and how this supports work-life balance. ParcelCare should ensure they offer this to their own employees. However, there are many reported downfalls in the industry, such as low pay, long hours, vehicle costs, and health and safety risks (Berger et al., 2019; Christie and Ward, 2019). To position themselves above competitors, ParcelCare should consider paying more, offering vehicle subsidies or company vehicles, and implementing safety features like dash cameras and collision detection. Personnel Today (2023) highlight that ensuring employees feel valued will likely position ParcelCare as a more attractive place to work.</w:t>
      </w:r>
    </w:p>
    <w:p w14:paraId="19F3CBC5" w14:textId="763571DD" w:rsidR="00795D5F" w:rsidRPr="00B12DC9" w:rsidRDefault="00B85779" w:rsidP="00315EC5">
      <w:pPr>
        <w:spacing w:before="100" w:beforeAutospacing="1" w:after="100" w:afterAutospacing="1" w:line="240" w:lineRule="auto"/>
        <w:rPr>
          <w:rFonts w:ascii="Trebuchet MS" w:eastAsia="Times New Roman" w:hAnsi="Trebuchet MS" w:cs="Calibri"/>
          <w:kern w:val="0"/>
          <w:lang w:eastAsia="en-GB"/>
          <w14:ligatures w14:val="none"/>
        </w:rPr>
      </w:pPr>
      <w:r w:rsidRPr="00B12DC9">
        <w:rPr>
          <w:rFonts w:ascii="Trebuchet MS" w:eastAsia="Times New Roman" w:hAnsi="Trebuchet MS" w:cs="Calibri"/>
          <w:kern w:val="0"/>
          <w:lang w:eastAsia="en-GB"/>
          <w14:ligatures w14:val="none"/>
        </w:rPr>
        <w:t>ParcelCare should also focus on developing their employer brand, strategically positioning themselves in the labour market and positioning themselves as an attractive employer. As mentioned earlier, the way that employers value their employees will impact how people view them and improve their ability to retain talent (Personnel Today, 2023). CIPD (2025) further supports this correlation between employer brand and recruitment, in terms of attraction and retainment. ParcelCare should therefore be celebratory of the way that they support staff, for example by promoting staff celebration days and employee benefits on their social media platforms – a tool which is increasingly useful with younger workforce generations (Micik and Micudova, 2018).</w:t>
      </w:r>
      <w:r w:rsidR="00831BED" w:rsidRPr="00B12DC9">
        <w:rPr>
          <w:rFonts w:ascii="Trebuchet MS" w:eastAsia="Times New Roman" w:hAnsi="Trebuchet MS" w:cs="Calibri"/>
          <w:kern w:val="0"/>
          <w:lang w:eastAsia="en-GB"/>
          <w14:ligatures w14:val="none"/>
        </w:rPr>
        <w:t xml:space="preserve"> However, organisations promoting their employer brand should always ensure what they are promoting is true and that they are focussing as much on supporting their employees as they are promoting </w:t>
      </w:r>
      <w:r w:rsidR="00831BED" w:rsidRPr="00B12DC9">
        <w:rPr>
          <w:rFonts w:ascii="Trebuchet MS" w:eastAsia="Times New Roman" w:hAnsi="Trebuchet MS" w:cs="Calibri"/>
          <w:i/>
          <w:iCs/>
          <w:kern w:val="0"/>
          <w:lang w:eastAsia="en-GB"/>
          <w14:ligatures w14:val="none"/>
        </w:rPr>
        <w:t xml:space="preserve">how </w:t>
      </w:r>
      <w:r w:rsidR="00831BED" w:rsidRPr="00B12DC9">
        <w:rPr>
          <w:rFonts w:ascii="Trebuchet MS" w:eastAsia="Times New Roman" w:hAnsi="Trebuchet MS" w:cs="Calibri"/>
          <w:kern w:val="0"/>
          <w:lang w:eastAsia="en-GB"/>
          <w14:ligatures w14:val="none"/>
        </w:rPr>
        <w:t>they are support their employees (Denisova, 2023).</w:t>
      </w:r>
    </w:p>
    <w:p w14:paraId="59F516D6" w14:textId="77777777" w:rsidR="00A923FA" w:rsidRPr="00B12DC9" w:rsidRDefault="00A923FA" w:rsidP="00E7621B">
      <w:pPr>
        <w:pStyle w:val="Nornal"/>
        <w:rPr>
          <w:rFonts w:ascii="Trebuchet MS" w:hAnsi="Trebuchet MS"/>
          <w:b/>
          <w:bCs/>
          <w:u w:val="single"/>
          <w:lang w:val="en-GB"/>
        </w:rPr>
      </w:pPr>
      <w:r w:rsidRPr="00B12DC9">
        <w:rPr>
          <w:rFonts w:ascii="Trebuchet MS" w:hAnsi="Trebuchet MS"/>
          <w:b/>
          <w:bCs/>
          <w:u w:val="single"/>
          <w:lang w:val="en-GB"/>
        </w:rPr>
        <w:t>AC 1.2</w:t>
      </w:r>
    </w:p>
    <w:p w14:paraId="6737C39B" w14:textId="686EF20B" w:rsidR="00E7621B" w:rsidRPr="00B12DC9" w:rsidRDefault="00E7621B" w:rsidP="00E7621B">
      <w:pPr>
        <w:pStyle w:val="Nornal"/>
        <w:rPr>
          <w:rFonts w:ascii="Trebuchet MS" w:hAnsi="Trebuchet MS"/>
          <w:lang w:val="en-GB"/>
        </w:rPr>
      </w:pPr>
      <w:r w:rsidRPr="00B12DC9">
        <w:rPr>
          <w:rFonts w:ascii="Trebuchet MS" w:hAnsi="Trebuchet MS"/>
          <w:lang w:val="en-GB"/>
        </w:rPr>
        <w:t xml:space="preserve">Resourcing decisions are heavily impacted by the state of the labour market at the time, especially in competitive areas such as delivery/warehouse work. In a tight labour market, there is a high demand for </w:t>
      </w:r>
      <w:r w:rsidR="004B1245" w:rsidRPr="00B12DC9">
        <w:rPr>
          <w:rFonts w:ascii="Trebuchet MS" w:hAnsi="Trebuchet MS"/>
          <w:lang w:val="en-GB"/>
        </w:rPr>
        <w:t>labour and low levels of unemployment within society.</w:t>
      </w:r>
      <w:r w:rsidR="008A1AC2" w:rsidRPr="00B12DC9">
        <w:rPr>
          <w:rFonts w:ascii="Trebuchet MS" w:hAnsi="Trebuchet MS"/>
          <w:lang w:val="en-GB"/>
        </w:rPr>
        <w:t xml:space="preserve"> With competition high, organisations find it more difficult to fill vacancies quickly and with the right people.</w:t>
      </w:r>
      <w:r w:rsidR="004B1245" w:rsidRPr="00B12DC9">
        <w:rPr>
          <w:rFonts w:ascii="Trebuchet MS" w:hAnsi="Trebuchet MS"/>
          <w:lang w:val="en-GB"/>
        </w:rPr>
        <w:t xml:space="preserve"> A loose labour market, on the other hand, sees more unemployment and far less job vacancies for people to apply to.</w:t>
      </w:r>
    </w:p>
    <w:p w14:paraId="03D6509B" w14:textId="1CA7BFFE" w:rsidR="004B1245" w:rsidRPr="00B12DC9" w:rsidRDefault="004B1245" w:rsidP="00E7621B">
      <w:pPr>
        <w:pStyle w:val="Nornal"/>
        <w:rPr>
          <w:rFonts w:ascii="Trebuchet MS" w:hAnsi="Trebuchet MS"/>
          <w:lang w:val="en-GB"/>
        </w:rPr>
      </w:pPr>
      <w:r w:rsidRPr="00B12DC9">
        <w:rPr>
          <w:rFonts w:ascii="Trebuchet MS" w:hAnsi="Trebuchet MS"/>
          <w:lang w:val="en-GB"/>
        </w:rPr>
        <w:lastRenderedPageBreak/>
        <w:t>When the labour market is tight, ParcelCare is likely to experience high competition for workers, particularly skilled workers such as lorry drivers or logistics specialists</w:t>
      </w:r>
      <w:r w:rsidR="00EB67D9" w:rsidRPr="00B12DC9">
        <w:rPr>
          <w:rFonts w:ascii="Trebuchet MS" w:hAnsi="Trebuchet MS"/>
          <w:lang w:val="en-GB"/>
        </w:rPr>
        <w:t xml:space="preserve">. This is reflective of the current UK labour market, according to CIPD (2024). In these conditions, </w:t>
      </w:r>
      <w:r w:rsidR="00374A3C" w:rsidRPr="00B12DC9">
        <w:rPr>
          <w:rFonts w:ascii="Trebuchet MS" w:hAnsi="Trebuchet MS"/>
          <w:lang w:val="en-GB"/>
        </w:rPr>
        <w:t xml:space="preserve">employers like ParcelCare should work to strategically position themselves, ensuring potential candidates see them as an attractive place to work, above competitors (Armstrong, 2008). This could be by offering better employee benefits, such as pay, annual leave allowance and more flexible working arrangements. ParcelCare may also need to focus on the development of existing staff, as opposed to depending on the external labour market, for example through internal training and encouraging career progression (MacKay </w:t>
      </w:r>
      <w:r w:rsidR="00374A3C" w:rsidRPr="00B12DC9">
        <w:rPr>
          <w:rFonts w:ascii="Trebuchet MS" w:hAnsi="Trebuchet MS"/>
          <w:i/>
          <w:iCs/>
          <w:lang w:val="en-GB"/>
        </w:rPr>
        <w:t>et al</w:t>
      </w:r>
      <w:r w:rsidR="00374A3C" w:rsidRPr="00B12DC9">
        <w:rPr>
          <w:rFonts w:ascii="Trebuchet MS" w:hAnsi="Trebuchet MS"/>
          <w:lang w:val="en-GB"/>
        </w:rPr>
        <w:t>., 2024).</w:t>
      </w:r>
    </w:p>
    <w:p w14:paraId="5E782318" w14:textId="14F70128" w:rsidR="00374A3C" w:rsidRPr="00B12DC9" w:rsidRDefault="00374A3C" w:rsidP="00E7621B">
      <w:pPr>
        <w:pStyle w:val="Nornal"/>
        <w:rPr>
          <w:rFonts w:ascii="Trebuchet MS" w:hAnsi="Trebuchet MS"/>
          <w:lang w:val="en-GB"/>
        </w:rPr>
      </w:pPr>
      <w:r w:rsidRPr="00B12DC9">
        <w:rPr>
          <w:rFonts w:ascii="Trebuchet MS" w:hAnsi="Trebuchet MS"/>
          <w:lang w:val="en-GB"/>
        </w:rPr>
        <w:t xml:space="preserve">In a loose labour market, on the other hand, </w:t>
      </w:r>
      <w:r w:rsidR="0030386D" w:rsidRPr="00B12DC9">
        <w:rPr>
          <w:rFonts w:ascii="Trebuchet MS" w:hAnsi="Trebuchet MS"/>
          <w:lang w:val="en-GB"/>
        </w:rPr>
        <w:t>ParcelCare would have a much bigger pool of potential candidates to recruit from, potentially reducing recruitment costs. However, whilst recruitment costs may be lower, there would still be costs related to induction and training</w:t>
      </w:r>
      <w:r w:rsidR="00157264" w:rsidRPr="00B12DC9">
        <w:rPr>
          <w:rFonts w:ascii="Trebuchet MS" w:hAnsi="Trebuchet MS"/>
          <w:lang w:val="en-GB"/>
        </w:rPr>
        <w:t xml:space="preserve"> (CIPD, 2025c). This is because, although unemployment is high and therefore there are more candidates, the candidates applying to ParcelCare’s vacancies do not necessarily hold the correct skills and knowledge.</w:t>
      </w:r>
      <w:r w:rsidR="00F65624" w:rsidRPr="00B12DC9">
        <w:rPr>
          <w:rFonts w:ascii="Trebuchet MS" w:hAnsi="Trebuchet MS"/>
          <w:lang w:val="en-GB"/>
        </w:rPr>
        <w:t xml:space="preserve"> However, in this sort of labour market, ParcelCare could potentially discuss lower starting wages with unskilled applicants.</w:t>
      </w:r>
    </w:p>
    <w:p w14:paraId="662822C3" w14:textId="1BF8AAAF" w:rsidR="00841C90" w:rsidRPr="00B12DC9" w:rsidRDefault="00F65624" w:rsidP="00E7621B">
      <w:pPr>
        <w:pStyle w:val="Nornal"/>
        <w:rPr>
          <w:rFonts w:ascii="Trebuchet MS" w:hAnsi="Trebuchet MS"/>
          <w:lang w:val="en-GB"/>
        </w:rPr>
      </w:pPr>
      <w:r w:rsidRPr="00B12DC9">
        <w:rPr>
          <w:rFonts w:ascii="Trebuchet MS" w:hAnsi="Trebuchet MS"/>
          <w:lang w:val="en-GB"/>
        </w:rPr>
        <w:t>ParcelCare’s resourcing decisions will differ widely depending on the labour market conditions. When the labour market is tight, the organisation should implement strategies which focus on attracting and retaining staff. When the labour market is loose, more focus should be placed on the induction and development of new employees.</w:t>
      </w:r>
    </w:p>
    <w:p w14:paraId="60E134A4" w14:textId="77777777" w:rsidR="00A923FA" w:rsidRPr="00B12DC9" w:rsidRDefault="00A923FA" w:rsidP="001A0B1C">
      <w:pPr>
        <w:pStyle w:val="Nornal"/>
        <w:rPr>
          <w:rFonts w:ascii="Trebuchet MS" w:hAnsi="Trebuchet MS"/>
          <w:b/>
          <w:bCs/>
          <w:u w:val="single"/>
          <w:lang w:val="en-GB"/>
        </w:rPr>
      </w:pPr>
      <w:r w:rsidRPr="00B12DC9">
        <w:rPr>
          <w:rFonts w:ascii="Trebuchet MS" w:hAnsi="Trebuchet MS"/>
          <w:b/>
          <w:bCs/>
          <w:u w:val="single"/>
          <w:lang w:val="en-GB"/>
        </w:rPr>
        <w:t>AC 2.1</w:t>
      </w:r>
    </w:p>
    <w:p w14:paraId="237DFEF8" w14:textId="499E81AA" w:rsidR="001A0B1C" w:rsidRPr="00B12DC9" w:rsidRDefault="00784096" w:rsidP="001A0B1C">
      <w:pPr>
        <w:pStyle w:val="Nornal"/>
        <w:rPr>
          <w:rFonts w:ascii="Trebuchet MS" w:hAnsi="Trebuchet MS"/>
          <w:lang w:val="en-GB"/>
        </w:rPr>
      </w:pPr>
      <w:r w:rsidRPr="00B12DC9">
        <w:rPr>
          <w:rFonts w:ascii="Trebuchet MS" w:hAnsi="Trebuchet MS"/>
          <w:lang w:val="en-GB"/>
        </w:rPr>
        <w:t>Workforce planning refers to processes undertaken by an employer to ensure that they are continuously hiring the right people at the right time. This involves various processes, including evaluating current workers and their skills/abilities, predicting the employees that may be needed in the future, considering where their may be gaps in a workforce, and implementing plans to close any gaps (such as through training current stuff or recruiting new employees) (CIPD, 2024</w:t>
      </w:r>
      <w:r w:rsidR="005008B6" w:rsidRPr="00B12DC9">
        <w:rPr>
          <w:rFonts w:ascii="Trebuchet MS" w:hAnsi="Trebuchet MS"/>
          <w:lang w:val="en-GB"/>
        </w:rPr>
        <w:t>a</w:t>
      </w:r>
      <w:r w:rsidRPr="00B12DC9">
        <w:rPr>
          <w:rFonts w:ascii="Trebuchet MS" w:hAnsi="Trebuchet MS"/>
          <w:lang w:val="en-GB"/>
        </w:rPr>
        <w:t xml:space="preserve">). Organisations can then use these findings to align </w:t>
      </w:r>
      <w:r w:rsidR="0071005C" w:rsidRPr="00B12DC9">
        <w:rPr>
          <w:rFonts w:ascii="Trebuchet MS" w:hAnsi="Trebuchet MS"/>
          <w:lang w:val="en-GB"/>
        </w:rPr>
        <w:t>future business plans.</w:t>
      </w:r>
    </w:p>
    <w:p w14:paraId="17F27B03" w14:textId="755C2BF1" w:rsidR="0018403B" w:rsidRPr="00B12DC9" w:rsidRDefault="00095DC2" w:rsidP="0018403B">
      <w:pPr>
        <w:pStyle w:val="Nornal"/>
        <w:rPr>
          <w:rFonts w:ascii="Trebuchet MS" w:hAnsi="Trebuchet MS"/>
          <w:lang w:val="en-GB"/>
        </w:rPr>
      </w:pPr>
      <w:r w:rsidRPr="00B12DC9">
        <w:rPr>
          <w:rFonts w:ascii="Trebuchet MS" w:hAnsi="Trebuchet MS"/>
          <w:lang w:val="en-GB"/>
        </w:rPr>
        <w:t xml:space="preserve">Currently, ParcelCare do not undertake workforce planning – something which could be extremely valuable to the employer. </w:t>
      </w:r>
      <w:r w:rsidR="00795B2E" w:rsidRPr="00B12DC9">
        <w:rPr>
          <w:rFonts w:ascii="Trebuchet MS" w:hAnsi="Trebuchet MS"/>
          <w:lang w:val="en-GB"/>
        </w:rPr>
        <w:t>For example, if workforce planning is done successfully, employers can keep track of their staffing numbers against needs, allowing them to address under or excess staffing before it impacts organisational outcomes (Picardi, 2020).</w:t>
      </w:r>
      <w:r w:rsidR="00713E82" w:rsidRPr="00B12DC9">
        <w:rPr>
          <w:rFonts w:ascii="Trebuchet MS" w:hAnsi="Trebuchet MS"/>
          <w:lang w:val="en-GB"/>
        </w:rPr>
        <w:t xml:space="preserve"> This can </w:t>
      </w:r>
      <w:r w:rsidR="006102C4" w:rsidRPr="00B12DC9">
        <w:rPr>
          <w:rFonts w:ascii="Trebuchet MS" w:hAnsi="Trebuchet MS"/>
          <w:lang w:val="en-GB"/>
        </w:rPr>
        <w:t xml:space="preserve">be especially useful for ParcelCare during busier periods, such as Christmas. Workforce planning can allow the company to recruit the correct amount of </w:t>
      </w:r>
      <w:r w:rsidR="009955FC" w:rsidRPr="00B12DC9">
        <w:rPr>
          <w:rFonts w:ascii="Trebuchet MS" w:hAnsi="Trebuchet MS"/>
          <w:lang w:val="en-GB"/>
        </w:rPr>
        <w:t>temporary staff, planning ahead for busy periods (CIPD, 2024g).</w:t>
      </w:r>
    </w:p>
    <w:p w14:paraId="5E7FC524" w14:textId="53275186" w:rsidR="009955FC" w:rsidRPr="00B12DC9" w:rsidRDefault="009955FC" w:rsidP="0018403B">
      <w:pPr>
        <w:pStyle w:val="Nornal"/>
        <w:rPr>
          <w:rFonts w:ascii="Trebuchet MS" w:hAnsi="Trebuchet MS"/>
          <w:lang w:val="en-GB"/>
        </w:rPr>
      </w:pPr>
      <w:r w:rsidRPr="00B12DC9">
        <w:rPr>
          <w:rFonts w:ascii="Trebuchet MS" w:hAnsi="Trebuchet MS"/>
          <w:lang w:val="en-GB"/>
        </w:rPr>
        <w:t xml:space="preserve">Another way that workforce planning could be beneficial for ParcelCare is by allowing them to continuously ensure their employees are confident and equipped to carry out their roles, through internal development opportunities that are targeted to specific skills gaps in the workforce. This should then result in lower retention rates, as staff should remain engaged and motivated (Becher, 2023; Alabi </w:t>
      </w:r>
      <w:r w:rsidRPr="00B12DC9">
        <w:rPr>
          <w:rFonts w:ascii="Trebuchet MS" w:hAnsi="Trebuchet MS"/>
          <w:i/>
          <w:iCs/>
          <w:lang w:val="en-GB"/>
        </w:rPr>
        <w:t>et al</w:t>
      </w:r>
      <w:r w:rsidRPr="00B12DC9">
        <w:rPr>
          <w:rFonts w:ascii="Trebuchet MS" w:hAnsi="Trebuchet MS"/>
          <w:lang w:val="en-GB"/>
        </w:rPr>
        <w:t>., 2024)).</w:t>
      </w:r>
    </w:p>
    <w:p w14:paraId="1C2D4B6D" w14:textId="5119BBDC" w:rsidR="009955FC" w:rsidRPr="00B12DC9" w:rsidRDefault="009955FC" w:rsidP="0018403B">
      <w:pPr>
        <w:pStyle w:val="Nornal"/>
        <w:rPr>
          <w:rFonts w:ascii="Trebuchet MS" w:hAnsi="Trebuchet MS"/>
          <w:lang w:val="en-GB"/>
        </w:rPr>
      </w:pPr>
      <w:r w:rsidRPr="00B12DC9">
        <w:rPr>
          <w:rFonts w:ascii="Trebuchet MS" w:hAnsi="Trebuchet MS"/>
          <w:lang w:val="en-GB"/>
        </w:rPr>
        <w:t xml:space="preserve">Furthermore, workforce planning also allows organisations to work proactively, rather than reactively. Recruiting and training staff on a reactive basis is likely to lead to higher costs and potentially lower skilled hires, due to rushed processes (CIPD, 2024g). Through strategic planning, ParcelCare would be able to make informed organisational decisions, </w:t>
      </w:r>
      <w:r w:rsidRPr="00B12DC9">
        <w:rPr>
          <w:rFonts w:ascii="Trebuchet MS" w:hAnsi="Trebuchet MS"/>
          <w:lang w:val="en-GB"/>
        </w:rPr>
        <w:lastRenderedPageBreak/>
        <w:t>that are carefully planned ahead of time so that processes can be completed in good time (Sparkman, 2025; CIPD, 2024h).</w:t>
      </w:r>
    </w:p>
    <w:p w14:paraId="1789BAB0" w14:textId="6692F4FB" w:rsidR="009955FC" w:rsidRPr="00B12DC9" w:rsidRDefault="002C6069" w:rsidP="0018403B">
      <w:pPr>
        <w:pStyle w:val="Nornal"/>
        <w:rPr>
          <w:rFonts w:ascii="Trebuchet MS" w:hAnsi="Trebuchet MS"/>
          <w:lang w:val="en-GB"/>
        </w:rPr>
      </w:pPr>
      <w:r w:rsidRPr="00B12DC9">
        <w:rPr>
          <w:rFonts w:ascii="Trebuchet MS" w:hAnsi="Trebuchet MS"/>
          <w:lang w:val="en-GB"/>
        </w:rPr>
        <w:t xml:space="preserve">Workforce planning ensures that businesses like ParcelCare can be prepared for future planning needs, which in turn will reduce risks that could be causes by insufficient preparation. It also focussed on staff development, in areas that actually support organisational needs. </w:t>
      </w:r>
    </w:p>
    <w:p w14:paraId="6C74E5BA" w14:textId="77777777" w:rsidR="00A923FA" w:rsidRPr="00B12DC9" w:rsidRDefault="00A923FA" w:rsidP="00C866F6">
      <w:pPr>
        <w:pStyle w:val="Nornal"/>
        <w:rPr>
          <w:rFonts w:ascii="Trebuchet MS" w:hAnsi="Trebuchet MS"/>
          <w:b/>
          <w:bCs/>
          <w:u w:val="single"/>
          <w:lang w:val="en-GB"/>
        </w:rPr>
      </w:pPr>
      <w:r w:rsidRPr="00B12DC9">
        <w:rPr>
          <w:rFonts w:ascii="Trebuchet MS" w:hAnsi="Trebuchet MS"/>
          <w:b/>
          <w:bCs/>
          <w:u w:val="single"/>
          <w:lang w:val="en-GB"/>
        </w:rPr>
        <w:t>AC 2.2</w:t>
      </w:r>
    </w:p>
    <w:p w14:paraId="52AA2B60" w14:textId="6D36DACD" w:rsidR="00C866F6" w:rsidRPr="00B12DC9" w:rsidRDefault="00C866F6" w:rsidP="00C866F6">
      <w:pPr>
        <w:pStyle w:val="Nornal"/>
        <w:rPr>
          <w:rFonts w:ascii="Trebuchet MS" w:hAnsi="Trebuchet MS"/>
          <w:lang w:val="en-GB"/>
        </w:rPr>
      </w:pPr>
      <w:r w:rsidRPr="00B12DC9">
        <w:rPr>
          <w:rFonts w:ascii="Trebuchet MS" w:hAnsi="Trebuchet MS"/>
          <w:lang w:val="en-GB"/>
        </w:rPr>
        <w:t>To further support workforce planning, we can explore techniques that support the process – which can ensure that workforce planning is targeted and specific to organisational needs. Using specific techniques when workforce planning can also ensure that decisions made are informed.</w:t>
      </w:r>
    </w:p>
    <w:p w14:paraId="1D62902E" w14:textId="450639CC" w:rsidR="00C866F6" w:rsidRPr="00B12DC9" w:rsidRDefault="00C866F6" w:rsidP="00C866F6">
      <w:pPr>
        <w:pStyle w:val="Nornal"/>
        <w:rPr>
          <w:rFonts w:ascii="Trebuchet MS" w:hAnsi="Trebuchet MS"/>
          <w:lang w:val="en-GB"/>
        </w:rPr>
      </w:pPr>
      <w:r w:rsidRPr="00B12DC9">
        <w:rPr>
          <w:rFonts w:ascii="Trebuchet MS" w:hAnsi="Trebuchet MS"/>
          <w:lang w:val="en-GB"/>
        </w:rPr>
        <w:t xml:space="preserve">One possible technique is workforce analysis, where internal data is collected and examining to gauge certain aspects of the current workforce, such as size, structure and skillset (CIPD, 2024g). ParcelCare could use workforce analysis to make informed staffing decisions. For example, they could identify where there are skills gaps or incomplete teams ahead of busy periods, to correct these issues and avoid productivity being impacted (Karnick </w:t>
      </w:r>
      <w:r w:rsidRPr="00B12DC9">
        <w:rPr>
          <w:rFonts w:ascii="Trebuchet MS" w:hAnsi="Trebuchet MS"/>
          <w:i/>
          <w:iCs/>
          <w:lang w:val="en-GB"/>
        </w:rPr>
        <w:t>et al</w:t>
      </w:r>
      <w:r w:rsidRPr="00B12DC9">
        <w:rPr>
          <w:rFonts w:ascii="Trebuchet MS" w:hAnsi="Trebuchet MS"/>
          <w:lang w:val="en-GB"/>
        </w:rPr>
        <w:t>., 2024).</w:t>
      </w:r>
    </w:p>
    <w:p w14:paraId="3DAB521F" w14:textId="0B563088" w:rsidR="00C866F6" w:rsidRPr="00B12DC9" w:rsidRDefault="00C866F6" w:rsidP="00C866F6">
      <w:pPr>
        <w:pStyle w:val="Nornal"/>
        <w:rPr>
          <w:rFonts w:ascii="Trebuchet MS" w:hAnsi="Trebuchet MS"/>
          <w:lang w:val="en-GB"/>
        </w:rPr>
      </w:pPr>
      <w:r w:rsidRPr="00B12DC9">
        <w:rPr>
          <w:rFonts w:ascii="Trebuchet MS" w:hAnsi="Trebuchet MS"/>
          <w:lang w:val="en-GB"/>
        </w:rPr>
        <w:t>Moving</w:t>
      </w:r>
      <w:r w:rsidR="005F44B7" w:rsidRPr="00B12DC9">
        <w:rPr>
          <w:rFonts w:ascii="Trebuchet MS" w:hAnsi="Trebuchet MS"/>
          <w:lang w:val="en-GB"/>
        </w:rPr>
        <w:t xml:space="preserve"> on</w:t>
      </w:r>
      <w:r w:rsidRPr="00B12DC9">
        <w:rPr>
          <w:rFonts w:ascii="Trebuchet MS" w:hAnsi="Trebuchet MS"/>
          <w:lang w:val="en-GB"/>
        </w:rPr>
        <w:t xml:space="preserve">, ParcelCare could also utilise benchmarking, which would involve </w:t>
      </w:r>
      <w:r w:rsidR="000D2DCC" w:rsidRPr="00B12DC9">
        <w:rPr>
          <w:rFonts w:ascii="Trebuchet MS" w:hAnsi="Trebuchet MS"/>
          <w:lang w:val="en-GB"/>
        </w:rPr>
        <w:t>comparing their workforce data with that of a similar organisation (Bryce and Henderson, 2025). This can support the organisation in seeing where they are doing well, what is considered ‘normal’ and where they can improve. Fo</w:t>
      </w:r>
      <w:r w:rsidR="00B82C36" w:rsidRPr="00B12DC9">
        <w:rPr>
          <w:rFonts w:ascii="Trebuchet MS" w:hAnsi="Trebuchet MS"/>
          <w:lang w:val="en-GB"/>
        </w:rPr>
        <w:t>r</w:t>
      </w:r>
      <w:r w:rsidR="000D2DCC" w:rsidRPr="00B12DC9">
        <w:rPr>
          <w:rFonts w:ascii="Trebuchet MS" w:hAnsi="Trebuchet MS"/>
          <w:lang w:val="en-GB"/>
        </w:rPr>
        <w:t xml:space="preserve"> example, it can be easy to consider any turnover as a negative, however there is always likely to be some level of this, without it indicating an unhealthy workforce.</w:t>
      </w:r>
    </w:p>
    <w:p w14:paraId="059F2E50" w14:textId="3B81FC8A" w:rsidR="008050CF" w:rsidRPr="00B12DC9" w:rsidRDefault="009659F8" w:rsidP="008050CF">
      <w:pPr>
        <w:pStyle w:val="Nornal"/>
        <w:rPr>
          <w:rFonts w:ascii="Trebuchet MS" w:hAnsi="Trebuchet MS"/>
        </w:rPr>
      </w:pPr>
      <w:r w:rsidRPr="00B12DC9">
        <w:rPr>
          <w:rFonts w:ascii="Trebuchet MS" w:hAnsi="Trebuchet MS"/>
        </w:rPr>
        <w:t>Another useful technique is w</w:t>
      </w:r>
      <w:r w:rsidR="008050CF" w:rsidRPr="00B12DC9">
        <w:rPr>
          <w:rFonts w:ascii="Trebuchet MS" w:hAnsi="Trebuchet MS"/>
        </w:rPr>
        <w:t>orkforce modelling</w:t>
      </w:r>
      <w:r w:rsidRPr="00B12DC9">
        <w:rPr>
          <w:rFonts w:ascii="Trebuchet MS" w:hAnsi="Trebuchet MS"/>
        </w:rPr>
        <w:t>,</w:t>
      </w:r>
      <w:r w:rsidR="008050CF" w:rsidRPr="00B12DC9">
        <w:rPr>
          <w:rFonts w:ascii="Trebuchet MS" w:hAnsi="Trebuchet MS"/>
        </w:rPr>
        <w:t xml:space="preserve"> refer</w:t>
      </w:r>
      <w:r w:rsidRPr="00B12DC9">
        <w:rPr>
          <w:rFonts w:ascii="Trebuchet MS" w:hAnsi="Trebuchet MS"/>
        </w:rPr>
        <w:t>ring</w:t>
      </w:r>
      <w:r w:rsidR="008050CF" w:rsidRPr="00B12DC9">
        <w:rPr>
          <w:rFonts w:ascii="Trebuchet MS" w:hAnsi="Trebuchet MS"/>
        </w:rPr>
        <w:t xml:space="preserve"> to the use of </w:t>
      </w:r>
      <w:r w:rsidRPr="00B12DC9">
        <w:rPr>
          <w:rFonts w:ascii="Trebuchet MS" w:hAnsi="Trebuchet MS"/>
        </w:rPr>
        <w:t xml:space="preserve">organisational </w:t>
      </w:r>
      <w:r w:rsidR="008050CF" w:rsidRPr="00B12DC9">
        <w:rPr>
          <w:rFonts w:ascii="Trebuchet MS" w:hAnsi="Trebuchet MS"/>
        </w:rPr>
        <w:t>data to predict future staffing needs</w:t>
      </w:r>
      <w:r w:rsidRPr="00B12DC9">
        <w:rPr>
          <w:rFonts w:ascii="Trebuchet MS" w:hAnsi="Trebuchet MS"/>
        </w:rPr>
        <w:t xml:space="preserve"> depending on potential future scenarios an ParcelCare may face</w:t>
      </w:r>
      <w:r w:rsidR="008050CF" w:rsidRPr="00B12DC9">
        <w:rPr>
          <w:rFonts w:ascii="Trebuchet MS" w:hAnsi="Trebuchet MS"/>
        </w:rPr>
        <w:t xml:space="preserve"> (Bryce and Henderson, 2025). This can be especially </w:t>
      </w:r>
      <w:r w:rsidRPr="00B12DC9">
        <w:rPr>
          <w:rFonts w:ascii="Trebuchet MS" w:hAnsi="Trebuchet MS"/>
        </w:rPr>
        <w:t>useful</w:t>
      </w:r>
      <w:r w:rsidR="008050CF" w:rsidRPr="00B12DC9">
        <w:rPr>
          <w:rFonts w:ascii="Trebuchet MS" w:hAnsi="Trebuchet MS"/>
        </w:rPr>
        <w:t xml:space="preserve"> in </w:t>
      </w:r>
      <w:r w:rsidRPr="00B12DC9">
        <w:rPr>
          <w:rFonts w:ascii="Trebuchet MS" w:hAnsi="Trebuchet MS"/>
        </w:rPr>
        <w:t xml:space="preserve">delivery </w:t>
      </w:r>
      <w:r w:rsidR="008050CF" w:rsidRPr="00B12DC9">
        <w:rPr>
          <w:rFonts w:ascii="Trebuchet MS" w:hAnsi="Trebuchet MS"/>
        </w:rPr>
        <w:t xml:space="preserve">logistics, where </w:t>
      </w:r>
      <w:r w:rsidRPr="00B12DC9">
        <w:rPr>
          <w:rFonts w:ascii="Trebuchet MS" w:hAnsi="Trebuchet MS"/>
        </w:rPr>
        <w:t>demand can change drastically season to season</w:t>
      </w:r>
      <w:r w:rsidR="008050CF" w:rsidRPr="00B12DC9">
        <w:rPr>
          <w:rFonts w:ascii="Trebuchet MS" w:hAnsi="Trebuchet MS"/>
        </w:rPr>
        <w:t xml:space="preserve">. </w:t>
      </w:r>
      <w:r w:rsidRPr="00B12DC9">
        <w:rPr>
          <w:rFonts w:ascii="Trebuchet MS" w:hAnsi="Trebuchet MS"/>
        </w:rPr>
        <w:t xml:space="preserve">For example, </w:t>
      </w:r>
      <w:r w:rsidR="008050CF" w:rsidRPr="00B12DC9">
        <w:rPr>
          <w:rFonts w:ascii="Trebuchet MS" w:hAnsi="Trebuchet MS"/>
        </w:rPr>
        <w:t xml:space="preserve">ParcelCare could use </w:t>
      </w:r>
      <w:r w:rsidRPr="00B12DC9">
        <w:rPr>
          <w:rFonts w:ascii="Trebuchet MS" w:hAnsi="Trebuchet MS"/>
        </w:rPr>
        <w:t xml:space="preserve">workforce </w:t>
      </w:r>
      <w:r w:rsidR="008050CF" w:rsidRPr="00B12DC9">
        <w:rPr>
          <w:rFonts w:ascii="Trebuchet MS" w:hAnsi="Trebuchet MS"/>
        </w:rPr>
        <w:t xml:space="preserve">modelling to predict how many </w:t>
      </w:r>
      <w:r w:rsidRPr="00B12DC9">
        <w:rPr>
          <w:rFonts w:ascii="Trebuchet MS" w:hAnsi="Trebuchet MS"/>
        </w:rPr>
        <w:t>employees</w:t>
      </w:r>
      <w:r w:rsidR="008050CF" w:rsidRPr="00B12DC9">
        <w:rPr>
          <w:rFonts w:ascii="Trebuchet MS" w:hAnsi="Trebuchet MS"/>
        </w:rPr>
        <w:t xml:space="preserve"> would be needed </w:t>
      </w:r>
      <w:r w:rsidRPr="00B12DC9">
        <w:rPr>
          <w:rFonts w:ascii="Trebuchet MS" w:hAnsi="Trebuchet MS"/>
        </w:rPr>
        <w:t>during the busy Christmas period</w:t>
      </w:r>
      <w:r w:rsidR="008050CF" w:rsidRPr="00B12DC9">
        <w:rPr>
          <w:rFonts w:ascii="Trebuchet MS" w:hAnsi="Trebuchet MS"/>
        </w:rPr>
        <w:t xml:space="preserve">. </w:t>
      </w:r>
      <w:r w:rsidRPr="00B12DC9">
        <w:rPr>
          <w:rFonts w:ascii="Trebuchet MS" w:hAnsi="Trebuchet MS"/>
        </w:rPr>
        <w:t xml:space="preserve">This could help them to avoid having too many or not enough employees and therefore avoid unnecessary costs or missed targets </w:t>
      </w:r>
      <w:r w:rsidR="008050CF" w:rsidRPr="00B12DC9">
        <w:rPr>
          <w:rFonts w:ascii="Trebuchet MS" w:hAnsi="Trebuchet MS"/>
        </w:rPr>
        <w:t>(CIPD, 2024g).</w:t>
      </w:r>
    </w:p>
    <w:p w14:paraId="06C58D30" w14:textId="4D6F3090" w:rsidR="009659F8" w:rsidRPr="00B12DC9" w:rsidRDefault="009659F8" w:rsidP="008050CF">
      <w:pPr>
        <w:pStyle w:val="Nornal"/>
        <w:rPr>
          <w:rFonts w:ascii="Trebuchet MS" w:hAnsi="Trebuchet MS"/>
        </w:rPr>
      </w:pPr>
      <w:r w:rsidRPr="00B12DC9">
        <w:rPr>
          <w:rFonts w:ascii="Trebuchet MS" w:hAnsi="Trebuchet MS"/>
        </w:rPr>
        <w:t>Finally, skills audits could be used to assess the skillset of ParcelCare’s current workforce and consider the skills that may be needed in the future (McGuire, McVicar and Tariq, 2023).</w:t>
      </w:r>
      <w:r w:rsidR="00120AD2" w:rsidRPr="00B12DC9">
        <w:rPr>
          <w:rFonts w:ascii="Trebuchet MS" w:hAnsi="Trebuchet MS"/>
        </w:rPr>
        <w:t xml:space="preserve"> This method allows organisations to identify skills gaps and target their learning and development strategies, which for ParcelCare could mean focusing more on areas such as customer service or digital competency – particularly when technology is likely to be relied on more heavily in current organisations.</w:t>
      </w:r>
    </w:p>
    <w:p w14:paraId="1F4B37CF" w14:textId="50ED6184" w:rsidR="001408F6" w:rsidRPr="00B12DC9" w:rsidRDefault="00A923FA" w:rsidP="001408F6">
      <w:pPr>
        <w:pStyle w:val="Nornal"/>
        <w:rPr>
          <w:rFonts w:ascii="Trebuchet MS" w:hAnsi="Trebuchet MS"/>
          <w:b/>
          <w:bCs/>
          <w:u w:val="single"/>
          <w:lang w:val="en-GB"/>
        </w:rPr>
      </w:pPr>
      <w:r w:rsidRPr="00B12DC9">
        <w:rPr>
          <w:rFonts w:ascii="Trebuchet MS" w:hAnsi="Trebuchet MS"/>
          <w:b/>
          <w:bCs/>
          <w:u w:val="single"/>
          <w:lang w:val="en-GB"/>
        </w:rPr>
        <w:t>AC 2.3</w:t>
      </w:r>
    </w:p>
    <w:p w14:paraId="1CED23E6" w14:textId="43B276C2" w:rsidR="001408F6" w:rsidRPr="00B12DC9" w:rsidRDefault="001408F6" w:rsidP="001408F6">
      <w:pPr>
        <w:pStyle w:val="Nornal"/>
        <w:rPr>
          <w:rFonts w:ascii="Trebuchet MS" w:hAnsi="Trebuchet MS"/>
          <w:lang w:val="en-GB"/>
        </w:rPr>
      </w:pPr>
      <w:r w:rsidRPr="00B12DC9">
        <w:rPr>
          <w:rFonts w:ascii="Trebuchet MS" w:hAnsi="Trebuchet MS"/>
          <w:lang w:val="en-GB"/>
        </w:rPr>
        <w:t xml:space="preserve">One possible recruitment method that could be used in addition to ParcelCare’s website advertisement is referral schemes – a popular tool where current employees recommend people they know, and get rewarded upon a successful hire. This generally results in a higher calibre of candidates, which should then improve overall fit and, therefore, retention (Personnel Today, 2002). However, the expected reward for a referral is said to be 10% of the new starter’s salary, which makes it a fairly expensive tool (Ekinci, 2022). It </w:t>
      </w:r>
      <w:r w:rsidRPr="00B12DC9">
        <w:rPr>
          <w:rFonts w:ascii="Trebuchet MS" w:hAnsi="Trebuchet MS"/>
          <w:lang w:val="en-GB"/>
        </w:rPr>
        <w:lastRenderedPageBreak/>
        <w:t>should also be acknowledged that referrals may not always result in better hires, particularly if a staff member simply refers someone to gain the reward payment (something which is potentially more likely in lower skilled/paying roles such as parcel delivery) (Snell and Morris, 2022).</w:t>
      </w:r>
    </w:p>
    <w:p w14:paraId="109B1D13" w14:textId="1478AC59" w:rsidR="001408F6" w:rsidRPr="00B12DC9" w:rsidRDefault="001408F6" w:rsidP="001408F6">
      <w:pPr>
        <w:pStyle w:val="Nornal"/>
        <w:rPr>
          <w:rFonts w:ascii="Trebuchet MS" w:hAnsi="Trebuchet MS"/>
          <w:lang w:val="en-GB"/>
        </w:rPr>
      </w:pPr>
      <w:r w:rsidRPr="00B12DC9">
        <w:rPr>
          <w:rFonts w:ascii="Trebuchet MS" w:hAnsi="Trebuchet MS"/>
          <w:lang w:val="en-GB"/>
        </w:rPr>
        <w:t xml:space="preserve">Another potential recruitment method is talent pools, where strong candidates are identified and nurtured until a suitable role comes up (Armstrong, 2020). This method can result in quick, high quality </w:t>
      </w:r>
      <w:r w:rsidR="001704AC" w:rsidRPr="00B12DC9">
        <w:rPr>
          <w:rFonts w:ascii="Trebuchet MS" w:hAnsi="Trebuchet MS"/>
          <w:lang w:val="en-GB"/>
        </w:rPr>
        <w:t>hires as the employer may have already evaluated them and possibly even provided some training. However, ParcelCare should be cautious when using talent pools that they don’t leave candidates waiting too long, resulting in them being hired by competitors (Snell and Morris, 2022). They should also regularly review the skills they require against those held by talent pool candidates, to ensure continuous relevance.</w:t>
      </w:r>
    </w:p>
    <w:p w14:paraId="50B4B0B9" w14:textId="70FFA5F4" w:rsidR="001704AC" w:rsidRPr="00B12DC9" w:rsidRDefault="001704AC" w:rsidP="001408F6">
      <w:pPr>
        <w:pStyle w:val="Nornal"/>
        <w:rPr>
          <w:rFonts w:ascii="Trebuchet MS" w:hAnsi="Trebuchet MS"/>
          <w:lang w:val="en-GB"/>
        </w:rPr>
      </w:pPr>
      <w:r w:rsidRPr="00B12DC9">
        <w:rPr>
          <w:rFonts w:ascii="Trebuchet MS" w:hAnsi="Trebuchet MS"/>
          <w:lang w:val="en-GB"/>
        </w:rPr>
        <w:t xml:space="preserve">In terms of selection, psychometric testing is one possible method – where standardised testing is used to determine candidates’ abilities and characteristics (Torrington </w:t>
      </w:r>
      <w:r w:rsidRPr="00B12DC9">
        <w:rPr>
          <w:rFonts w:ascii="Trebuchet MS" w:hAnsi="Trebuchet MS"/>
          <w:i/>
          <w:iCs/>
          <w:lang w:val="en-GB"/>
        </w:rPr>
        <w:t>et al</w:t>
      </w:r>
      <w:r w:rsidRPr="00B12DC9">
        <w:rPr>
          <w:rFonts w:ascii="Trebuchet MS" w:hAnsi="Trebuchet MS"/>
          <w:lang w:val="en-GB"/>
        </w:rPr>
        <w:t xml:space="preserve">., 2020). This can improve employer’s understanding of their candidates and therefore improve hiring decisions, but ParcelCare should recognise that test environments may not be consistent for candidates and answers could be manipulated (Cohen </w:t>
      </w:r>
      <w:r w:rsidRPr="00B12DC9">
        <w:rPr>
          <w:rFonts w:ascii="Trebuchet MS" w:hAnsi="Trebuchet MS"/>
          <w:i/>
          <w:iCs/>
          <w:lang w:val="en-GB"/>
        </w:rPr>
        <w:t>et al</w:t>
      </w:r>
      <w:r w:rsidRPr="00B12DC9">
        <w:rPr>
          <w:rFonts w:ascii="Trebuchet MS" w:hAnsi="Trebuchet MS"/>
          <w:lang w:val="en-GB"/>
        </w:rPr>
        <w:t>., 2013).</w:t>
      </w:r>
    </w:p>
    <w:p w14:paraId="68AD867D" w14:textId="672953E4" w:rsidR="001704AC" w:rsidRPr="00B12DC9" w:rsidRDefault="001704AC" w:rsidP="001408F6">
      <w:pPr>
        <w:pStyle w:val="Nornal"/>
        <w:rPr>
          <w:rFonts w:ascii="Trebuchet MS" w:hAnsi="Trebuchet MS"/>
          <w:lang w:val="en-GB"/>
        </w:rPr>
      </w:pPr>
      <w:r w:rsidRPr="00B12DC9">
        <w:rPr>
          <w:rFonts w:ascii="Trebuchet MS" w:hAnsi="Trebuchet MS"/>
          <w:lang w:val="en-GB"/>
        </w:rPr>
        <w:t>Another possible selection method is assessment centres, where candidates may be asked to attend a full day as opposed to a shorter interview. Assessment centres tend to involve multiple tasks, providing a full picture of applicants’ skills and experience (Taylor, 2020). An organisation known well for it’s use of assessment centres is National Grid – where this technique is used to narrow down their high application numbers for graduate vacancies (National Grid, 2025).</w:t>
      </w:r>
      <w:r w:rsidR="0004462D" w:rsidRPr="00B12DC9">
        <w:rPr>
          <w:rFonts w:ascii="Trebuchet MS" w:hAnsi="Trebuchet MS"/>
          <w:lang w:val="en-GB"/>
        </w:rPr>
        <w:t xml:space="preserve"> However, it must be noted that these centres are very costly and require high levels of resources, which might mean they couldn’t be a regularly selection method (Armstrong, 2020; Taylor, 2020).</w:t>
      </w:r>
    </w:p>
    <w:p w14:paraId="04A46697" w14:textId="77777777" w:rsidR="00A923FA" w:rsidRPr="00B12DC9" w:rsidRDefault="00A923FA" w:rsidP="00B123E9">
      <w:pPr>
        <w:pStyle w:val="Nornal"/>
        <w:rPr>
          <w:rFonts w:ascii="Trebuchet MS" w:hAnsi="Trebuchet MS"/>
          <w:b/>
          <w:bCs/>
          <w:u w:val="single"/>
          <w:lang w:val="en-GB"/>
        </w:rPr>
      </w:pPr>
      <w:r w:rsidRPr="00B12DC9">
        <w:rPr>
          <w:rFonts w:ascii="Trebuchet MS" w:hAnsi="Trebuchet MS"/>
          <w:b/>
          <w:bCs/>
          <w:u w:val="single"/>
          <w:lang w:val="en-GB"/>
        </w:rPr>
        <w:t>AC 3.1</w:t>
      </w:r>
    </w:p>
    <w:p w14:paraId="5C3F390D" w14:textId="1A031E0C" w:rsidR="00884EED" w:rsidRPr="00B12DC9" w:rsidRDefault="00884EED" w:rsidP="00B123E9">
      <w:pPr>
        <w:pStyle w:val="Nornal"/>
        <w:rPr>
          <w:rFonts w:ascii="Trebuchet MS" w:hAnsi="Trebuchet MS"/>
          <w:lang w:val="en-GB"/>
        </w:rPr>
      </w:pPr>
      <w:r w:rsidRPr="00B12DC9">
        <w:rPr>
          <w:rFonts w:ascii="Trebuchet MS" w:hAnsi="Trebuchet MS"/>
          <w:lang w:val="en-GB"/>
        </w:rPr>
        <w:t xml:space="preserve">When reviewing turnover rates, ParcelCare should consider whether or not they could have prevented employees from leaving – therefore identifying avoidable and unavoidable turnover (Lee and Mitchell, 2017). </w:t>
      </w:r>
      <w:r w:rsidR="009E6B64" w:rsidRPr="00B12DC9">
        <w:rPr>
          <w:rFonts w:ascii="Trebuchet MS" w:hAnsi="Trebuchet MS"/>
          <w:lang w:val="en-GB"/>
        </w:rPr>
        <w:t>Avoidable turnover is when individuals resign with reasons that could be deemed controllable. This could include things such as poor treatment, limited progression and inadequate pay and benefits (Lee and Mitchell, 2017). Personnel Today (2023) highlight the importance employees place on being listened and valued,</w:t>
      </w:r>
      <w:r w:rsidR="00C400C9" w:rsidRPr="00B12DC9">
        <w:rPr>
          <w:rFonts w:ascii="Trebuchet MS" w:hAnsi="Trebuchet MS"/>
          <w:lang w:val="en-GB"/>
        </w:rPr>
        <w:t xml:space="preserve"> with this type of turnover potentially dodged through emphasis on employee voice and regular review of processes (CIPD, 2023).</w:t>
      </w:r>
    </w:p>
    <w:p w14:paraId="321A9120" w14:textId="620C4030" w:rsidR="00C400C9" w:rsidRPr="00B12DC9" w:rsidRDefault="00C400C9" w:rsidP="00B123E9">
      <w:pPr>
        <w:pStyle w:val="Nornal"/>
        <w:rPr>
          <w:rFonts w:ascii="Trebuchet MS" w:hAnsi="Trebuchet MS"/>
          <w:lang w:val="en-GB"/>
        </w:rPr>
      </w:pPr>
      <w:r w:rsidRPr="00B12DC9">
        <w:rPr>
          <w:rFonts w:ascii="Trebuchet MS" w:hAnsi="Trebuchet MS"/>
          <w:lang w:val="en-GB"/>
        </w:rPr>
        <w:t xml:space="preserve">Unavoidable turnover, on the other hand, refers to situations where employees leave for reasons beyond the organisation’s control (Andrus </w:t>
      </w:r>
      <w:r w:rsidRPr="00B12DC9">
        <w:rPr>
          <w:rFonts w:ascii="Trebuchet MS" w:hAnsi="Trebuchet MS"/>
          <w:i/>
          <w:iCs/>
          <w:lang w:val="en-GB"/>
        </w:rPr>
        <w:t>et al</w:t>
      </w:r>
      <w:r w:rsidRPr="00B12DC9">
        <w:rPr>
          <w:rFonts w:ascii="Trebuchet MS" w:hAnsi="Trebuchet MS"/>
          <w:lang w:val="en-GB"/>
        </w:rPr>
        <w:t xml:space="preserve">., 2019). This could be due to retirement, relocation, illness, or potentially a career change. </w:t>
      </w:r>
    </w:p>
    <w:p w14:paraId="1BACECA4" w14:textId="7437CD9D" w:rsidR="007F7C40" w:rsidRPr="00B12DC9" w:rsidRDefault="00C635FD" w:rsidP="00B123E9">
      <w:pPr>
        <w:pStyle w:val="Nornal"/>
        <w:rPr>
          <w:rFonts w:ascii="Trebuchet MS" w:hAnsi="Trebuchet MS"/>
          <w:lang w:val="en-GB"/>
        </w:rPr>
      </w:pPr>
      <w:r w:rsidRPr="00B12DC9">
        <w:rPr>
          <w:rFonts w:ascii="Trebuchet MS" w:hAnsi="Trebuchet MS"/>
          <w:lang w:val="en-GB"/>
        </w:rPr>
        <w:t xml:space="preserve">Turnover can also be categorised as being caused by push or pull factors. Push factors define internal reasons why an employee may leave (or be ‘pushed out’), as opposed to pull factors – where an employee is attracted to, or ‘pulled towards’ another employer. </w:t>
      </w:r>
      <w:r w:rsidR="003F578A" w:rsidRPr="00B12DC9">
        <w:rPr>
          <w:rFonts w:ascii="Trebuchet MS" w:hAnsi="Trebuchet MS"/>
          <w:lang w:val="en-GB"/>
        </w:rPr>
        <w:t xml:space="preserve">Mutanga </w:t>
      </w:r>
      <w:r w:rsidR="003F578A" w:rsidRPr="00B12DC9">
        <w:rPr>
          <w:rFonts w:ascii="Trebuchet MS" w:hAnsi="Trebuchet MS"/>
          <w:i/>
          <w:iCs/>
          <w:lang w:val="en-GB"/>
        </w:rPr>
        <w:t>et al</w:t>
      </w:r>
      <w:r w:rsidR="003F578A" w:rsidRPr="00B12DC9">
        <w:rPr>
          <w:rFonts w:ascii="Trebuchet MS" w:hAnsi="Trebuchet MS"/>
          <w:lang w:val="en-GB"/>
        </w:rPr>
        <w:t>.’s (2021) small scale study found that the most common push factors in turnover were ‘low salaries, lack of recognition, and lack of growth opportunities’. Interestingly, these are similar</w:t>
      </w:r>
      <w:r w:rsidR="007F7C40" w:rsidRPr="00B12DC9">
        <w:rPr>
          <w:rFonts w:ascii="Trebuchet MS" w:hAnsi="Trebuchet MS"/>
          <w:lang w:val="en-GB"/>
        </w:rPr>
        <w:t xml:space="preserve"> to reasons defined as avoidable turnover (Lee and Mitchell, 2017). Pull factors, on the other hand, refer to external factors (often caused by another employer) such as better opportunities, in terms of salary, flexibility, and progression (Mutanga </w:t>
      </w:r>
      <w:r w:rsidR="007F7C40" w:rsidRPr="00B12DC9">
        <w:rPr>
          <w:rFonts w:ascii="Trebuchet MS" w:hAnsi="Trebuchet MS"/>
          <w:i/>
          <w:iCs/>
          <w:lang w:val="en-GB"/>
        </w:rPr>
        <w:t>et al</w:t>
      </w:r>
      <w:r w:rsidR="007F7C40" w:rsidRPr="00B12DC9">
        <w:rPr>
          <w:rFonts w:ascii="Trebuchet MS" w:hAnsi="Trebuchet MS"/>
          <w:lang w:val="en-GB"/>
        </w:rPr>
        <w:t>., 2021</w:t>
      </w:r>
      <w:r w:rsidR="004B7DBB" w:rsidRPr="00B12DC9">
        <w:rPr>
          <w:rFonts w:ascii="Trebuchet MS" w:hAnsi="Trebuchet MS"/>
          <w:lang w:val="en-GB"/>
        </w:rPr>
        <w:t>; CIPD, 2025b</w:t>
      </w:r>
      <w:r w:rsidR="007F7C40" w:rsidRPr="00B12DC9">
        <w:rPr>
          <w:rFonts w:ascii="Trebuchet MS" w:hAnsi="Trebuchet MS"/>
          <w:lang w:val="en-GB"/>
        </w:rPr>
        <w:t xml:space="preserve">). Whilst pull factors are often out of the control of a </w:t>
      </w:r>
      <w:r w:rsidR="007F7C40" w:rsidRPr="00B12DC9">
        <w:rPr>
          <w:rFonts w:ascii="Trebuchet MS" w:hAnsi="Trebuchet MS"/>
          <w:lang w:val="en-GB"/>
        </w:rPr>
        <w:lastRenderedPageBreak/>
        <w:t>current employer, they are not entirely unavoidable. What this means is that, although organisations cannot control the benefits provided by other employers, they can review and develop their own benefits in comparison to those of competitors. This could be done through competitive analysis and by working to develop their employer brand.</w:t>
      </w:r>
    </w:p>
    <w:p w14:paraId="34E4F1AD" w14:textId="13034C87" w:rsidR="00C400C9" w:rsidRPr="00B12DC9" w:rsidRDefault="00C400C9" w:rsidP="00B123E9">
      <w:pPr>
        <w:pStyle w:val="Nornal"/>
        <w:rPr>
          <w:rFonts w:ascii="Trebuchet MS" w:hAnsi="Trebuchet MS"/>
          <w:lang w:val="en-GB"/>
        </w:rPr>
      </w:pPr>
      <w:r w:rsidRPr="00B12DC9">
        <w:rPr>
          <w:rFonts w:ascii="Trebuchet MS" w:hAnsi="Trebuchet MS"/>
          <w:lang w:val="en-GB"/>
        </w:rPr>
        <w:t>When reviewing their turnover, ParcelCare should focus more on situations of avoidable turnover as, if there are common themes in employees’ reasoning, the organisation should consider reviewing these concerns to avoid future leavers. They could do this with exit interviews, however an even better solution would be to regularly listen to staff feedback to enable them to solve problems before they cause any resignations.</w:t>
      </w:r>
    </w:p>
    <w:p w14:paraId="57AEAA44" w14:textId="77777777" w:rsidR="00A923FA" w:rsidRPr="00B12DC9" w:rsidRDefault="00A923FA" w:rsidP="00542C9A">
      <w:pPr>
        <w:pStyle w:val="Nornal"/>
        <w:rPr>
          <w:rFonts w:ascii="Trebuchet MS" w:hAnsi="Trebuchet MS"/>
          <w:b/>
          <w:bCs/>
          <w:u w:val="single"/>
          <w:lang w:val="en-GB"/>
        </w:rPr>
      </w:pPr>
      <w:r w:rsidRPr="00B12DC9">
        <w:rPr>
          <w:rFonts w:ascii="Trebuchet MS" w:hAnsi="Trebuchet MS"/>
          <w:b/>
          <w:bCs/>
          <w:u w:val="single"/>
          <w:lang w:val="en-GB"/>
        </w:rPr>
        <w:t>AC 3.2</w:t>
      </w:r>
    </w:p>
    <w:p w14:paraId="33243E36" w14:textId="04BCBD16" w:rsidR="00542C9A" w:rsidRPr="00B12DC9" w:rsidRDefault="00542C9A" w:rsidP="00542C9A">
      <w:pPr>
        <w:pStyle w:val="Nornal"/>
        <w:rPr>
          <w:rFonts w:ascii="Trebuchet MS" w:hAnsi="Trebuchet MS"/>
          <w:lang w:val="en-GB"/>
        </w:rPr>
      </w:pPr>
      <w:r w:rsidRPr="00B12DC9">
        <w:rPr>
          <w:rFonts w:ascii="Trebuchet MS" w:hAnsi="Trebuchet MS"/>
          <w:lang w:val="en-GB"/>
        </w:rPr>
        <w:t>In a highly competitive employment field such as warehouse work, it’s vital that employers such as ParcelCare implement strategies specific to retaining staff.</w:t>
      </w:r>
    </w:p>
    <w:p w14:paraId="1C8140CA" w14:textId="7FEB4067" w:rsidR="00542C9A" w:rsidRPr="00B12DC9" w:rsidRDefault="00542C9A" w:rsidP="00542C9A">
      <w:pPr>
        <w:pStyle w:val="Nornal"/>
        <w:rPr>
          <w:rFonts w:ascii="Trebuchet MS" w:hAnsi="Trebuchet MS"/>
          <w:lang w:val="en-GB"/>
        </w:rPr>
      </w:pPr>
      <w:r w:rsidRPr="00B12DC9">
        <w:rPr>
          <w:rFonts w:ascii="Trebuchet MS" w:hAnsi="Trebuchet MS"/>
          <w:lang w:val="en-GB"/>
        </w:rPr>
        <w:t>One possible method is the use of realistic job previews. This is where candidates are given the opportunity to get a full insight into the role they will be doing, before being recruited by an employer (AIHR, no date). This method allows individuals to see the pros and cons of a role, before committing to it fully. Not only does this give employers a great opportunity to attract candidates, but it can also avoid the hiring of staff who are unlikely to enjoy the role (Breaugh, 2009). However, this method can be extremely time consuming, particularly if many individuals who are offered a realistic job preview do not go on to apply/accept a job offer.</w:t>
      </w:r>
    </w:p>
    <w:p w14:paraId="0C5827F5" w14:textId="0E952C54" w:rsidR="00542C9A" w:rsidRPr="00B12DC9" w:rsidRDefault="00542C9A" w:rsidP="00542C9A">
      <w:pPr>
        <w:pStyle w:val="Nornal"/>
        <w:rPr>
          <w:rFonts w:ascii="Trebuchet MS" w:hAnsi="Trebuchet MS"/>
          <w:lang w:val="en-GB"/>
        </w:rPr>
      </w:pPr>
      <w:r w:rsidRPr="00B12DC9">
        <w:rPr>
          <w:rFonts w:ascii="Trebuchet MS" w:hAnsi="Trebuchet MS"/>
          <w:lang w:val="en-GB"/>
        </w:rPr>
        <w:t xml:space="preserve">Another retention method is ensuring that new starters receive a clear and thorough induction. This method, unlike realistic job previews, is implemented </w:t>
      </w:r>
      <w:r w:rsidRPr="00B12DC9">
        <w:rPr>
          <w:rFonts w:ascii="Trebuchet MS" w:hAnsi="Trebuchet MS"/>
          <w:i/>
          <w:iCs/>
          <w:lang w:val="en-GB"/>
        </w:rPr>
        <w:t xml:space="preserve">after </w:t>
      </w:r>
      <w:r w:rsidRPr="00B12DC9">
        <w:rPr>
          <w:rFonts w:ascii="Trebuchet MS" w:hAnsi="Trebuchet MS"/>
          <w:lang w:val="en-GB"/>
        </w:rPr>
        <w:t xml:space="preserve">an employee starts in a new role, rather than before. </w:t>
      </w:r>
      <w:r w:rsidR="001E17E4" w:rsidRPr="00B12DC9">
        <w:rPr>
          <w:rFonts w:ascii="Trebuchet MS" w:hAnsi="Trebuchet MS"/>
          <w:lang w:val="en-GB"/>
        </w:rPr>
        <w:t>A good induction should result in an individual feeling fully confident in what their role includes, how to carry tasks out safely and successfully, as well as supporting them to build strong relationships with their colleagues (</w:t>
      </w:r>
      <w:r w:rsidR="00D35325" w:rsidRPr="00B12DC9">
        <w:rPr>
          <w:rFonts w:ascii="Trebuchet MS" w:hAnsi="Trebuchet MS"/>
          <w:lang w:val="en-GB"/>
        </w:rPr>
        <w:t xml:space="preserve">Gogate and Pandey, 2015; </w:t>
      </w:r>
      <w:r w:rsidR="001E17E4" w:rsidRPr="00B12DC9">
        <w:rPr>
          <w:rFonts w:ascii="Trebuchet MS" w:hAnsi="Trebuchet MS"/>
          <w:lang w:val="en-GB"/>
        </w:rPr>
        <w:t>CIPD, 2024</w:t>
      </w:r>
      <w:r w:rsidR="005008B6" w:rsidRPr="00B12DC9">
        <w:rPr>
          <w:rFonts w:ascii="Trebuchet MS" w:hAnsi="Trebuchet MS"/>
          <w:lang w:val="en-GB"/>
        </w:rPr>
        <w:t>b</w:t>
      </w:r>
      <w:r w:rsidR="001E17E4" w:rsidRPr="00B12DC9">
        <w:rPr>
          <w:rFonts w:ascii="Trebuchet MS" w:hAnsi="Trebuchet MS"/>
          <w:lang w:val="en-GB"/>
        </w:rPr>
        <w:t>). This should therefore eleviate feelings of anxiety for new starters. However, even with the best induction it could still be possible that an employee is surprised by what the role involves, whereas if they had been given a preview they would have seen this prior to starting.</w:t>
      </w:r>
    </w:p>
    <w:p w14:paraId="62C2B75D" w14:textId="353B3A67" w:rsidR="00D35325" w:rsidRPr="00B12DC9" w:rsidRDefault="00D35325" w:rsidP="00542C9A">
      <w:pPr>
        <w:pStyle w:val="Nornal"/>
        <w:rPr>
          <w:rFonts w:ascii="Trebuchet MS" w:hAnsi="Trebuchet MS"/>
          <w:lang w:val="en-GB"/>
        </w:rPr>
      </w:pPr>
      <w:r w:rsidRPr="00B12DC9">
        <w:rPr>
          <w:rFonts w:ascii="Trebuchet MS" w:hAnsi="Trebuchet MS"/>
          <w:lang w:val="en-GB"/>
        </w:rPr>
        <w:t>Another possible way to improve retention is with job enrichment – where employees are offered more varied work and autonomy over what they do (Indeed, 2025). This method differs from the two previously explained as it focuses more on providing an ongoing solution, rather than tackling retention at recruitment or induction. It is seen to have a huge positive impact</w:t>
      </w:r>
      <w:r w:rsidR="00844BD2" w:rsidRPr="00B12DC9">
        <w:rPr>
          <w:rFonts w:ascii="Trebuchet MS" w:hAnsi="Trebuchet MS"/>
          <w:lang w:val="en-GB"/>
        </w:rPr>
        <w:t xml:space="preserve"> on motivating staff, in comparison to where employees are required to repeatedly carry out the same tasks (Choudhary, 2016).</w:t>
      </w:r>
    </w:p>
    <w:p w14:paraId="727A452A" w14:textId="389D5C3F" w:rsidR="00844BD2" w:rsidRPr="00B12DC9" w:rsidRDefault="00844BD2" w:rsidP="00542C9A">
      <w:pPr>
        <w:pStyle w:val="Nornal"/>
        <w:rPr>
          <w:rFonts w:ascii="Trebuchet MS" w:hAnsi="Trebuchet MS"/>
          <w:lang w:val="en-GB"/>
        </w:rPr>
      </w:pPr>
      <w:r w:rsidRPr="00B12DC9">
        <w:rPr>
          <w:rFonts w:ascii="Trebuchet MS" w:hAnsi="Trebuchet MS"/>
          <w:lang w:val="en-GB"/>
        </w:rPr>
        <w:t xml:space="preserve">A method that focusses less on the actual tasks completed by staff is reward. Reward strategies focus on ensuring that employees are offered </w:t>
      </w:r>
      <w:r w:rsidR="007E3A48" w:rsidRPr="00B12DC9">
        <w:rPr>
          <w:rFonts w:ascii="Trebuchet MS" w:hAnsi="Trebuchet MS"/>
          <w:lang w:val="en-GB"/>
        </w:rPr>
        <w:t>great</w:t>
      </w:r>
      <w:r w:rsidRPr="00B12DC9">
        <w:rPr>
          <w:rFonts w:ascii="Trebuchet MS" w:hAnsi="Trebuchet MS"/>
          <w:lang w:val="en-GB"/>
        </w:rPr>
        <w:t xml:space="preserve"> benefits, such as good pay, </w:t>
      </w:r>
      <w:r w:rsidR="007E3A48" w:rsidRPr="00B12DC9">
        <w:rPr>
          <w:rFonts w:ascii="Trebuchet MS" w:hAnsi="Trebuchet MS"/>
          <w:lang w:val="en-GB"/>
        </w:rPr>
        <w:t>enhanced annual leave and generous pension contributions (CIPD, 2024</w:t>
      </w:r>
      <w:r w:rsidR="005008B6" w:rsidRPr="00B12DC9">
        <w:rPr>
          <w:rFonts w:ascii="Trebuchet MS" w:hAnsi="Trebuchet MS"/>
          <w:lang w:val="en-GB"/>
        </w:rPr>
        <w:t>c</w:t>
      </w:r>
      <w:r w:rsidR="007E3A48" w:rsidRPr="00B12DC9">
        <w:rPr>
          <w:rFonts w:ascii="Trebuchet MS" w:hAnsi="Trebuchet MS"/>
          <w:lang w:val="en-GB"/>
        </w:rPr>
        <w:t>).</w:t>
      </w:r>
      <w:r w:rsidR="000D4BC2" w:rsidRPr="00B12DC9">
        <w:rPr>
          <w:rFonts w:ascii="Trebuchet MS" w:hAnsi="Trebuchet MS"/>
          <w:lang w:val="en-GB"/>
        </w:rPr>
        <w:t xml:space="preserve"> Reviewing rewards offered to employees can support in maintaining longer serving staff members, rather than just those at recruitment or induction stages.</w:t>
      </w:r>
    </w:p>
    <w:p w14:paraId="1F545C70" w14:textId="3EB23D3C" w:rsidR="003477EE" w:rsidRPr="00B12DC9" w:rsidRDefault="007E3A48" w:rsidP="003477EE">
      <w:pPr>
        <w:pStyle w:val="Nornal"/>
        <w:rPr>
          <w:rFonts w:ascii="Trebuchet MS" w:hAnsi="Trebuchet MS"/>
          <w:lang w:val="en-GB"/>
        </w:rPr>
      </w:pPr>
      <w:r w:rsidRPr="00B12DC9">
        <w:rPr>
          <w:rFonts w:ascii="Trebuchet MS" w:hAnsi="Trebuchet MS"/>
          <w:lang w:val="en-GB"/>
        </w:rPr>
        <w:t>Realistic job reviews and inductions help manage the expectations of new starters and ease them into their new roles more seamlessly, which is vital for the physically demanding roles that ParcelCare staff are required to undertake. Job enrichment and rewards, on the other hand, are arguably more likely to boost retainment as they continuously ensure the work being done is fulfilling and that staff feel valued.</w:t>
      </w:r>
    </w:p>
    <w:p w14:paraId="4C117210" w14:textId="77777777" w:rsidR="00A923FA" w:rsidRPr="00B12DC9" w:rsidRDefault="00A923FA" w:rsidP="007E0676">
      <w:pPr>
        <w:pStyle w:val="Nornal"/>
        <w:rPr>
          <w:rFonts w:ascii="Trebuchet MS" w:hAnsi="Trebuchet MS"/>
          <w:b/>
          <w:bCs/>
          <w:u w:val="single"/>
          <w:lang w:val="en-GB"/>
        </w:rPr>
      </w:pPr>
      <w:r w:rsidRPr="00B12DC9">
        <w:rPr>
          <w:rFonts w:ascii="Trebuchet MS" w:hAnsi="Trebuchet MS"/>
          <w:b/>
          <w:bCs/>
          <w:u w:val="single"/>
          <w:lang w:val="en-GB"/>
        </w:rPr>
        <w:lastRenderedPageBreak/>
        <w:t>AC 3.3</w:t>
      </w:r>
    </w:p>
    <w:p w14:paraId="20CEE547" w14:textId="56CE86AD" w:rsidR="00FD1895" w:rsidRPr="00B12DC9" w:rsidRDefault="00FD1895" w:rsidP="007E0676">
      <w:pPr>
        <w:pStyle w:val="Nornal"/>
        <w:rPr>
          <w:rFonts w:ascii="Trebuchet MS" w:hAnsi="Trebuchet MS"/>
          <w:lang w:val="en-GB"/>
        </w:rPr>
      </w:pPr>
      <w:r w:rsidRPr="00B12DC9">
        <w:rPr>
          <w:rFonts w:ascii="Trebuchet MS" w:hAnsi="Trebuchet MS"/>
          <w:lang w:val="en-GB"/>
        </w:rPr>
        <w:t xml:space="preserve">Dysfunctional employee turnover refers to the resignation of good quality, high performing employees whose departure is likely have an impact on the organisation and it’s performance, in many possible ways (Maertz </w:t>
      </w:r>
      <w:r w:rsidRPr="00B12DC9">
        <w:rPr>
          <w:rFonts w:ascii="Trebuchet MS" w:hAnsi="Trebuchet MS"/>
          <w:i/>
          <w:iCs/>
          <w:lang w:val="en-GB"/>
        </w:rPr>
        <w:t>et al</w:t>
      </w:r>
      <w:r w:rsidRPr="00B12DC9">
        <w:rPr>
          <w:rFonts w:ascii="Trebuchet MS" w:hAnsi="Trebuchet MS"/>
          <w:lang w:val="en-GB"/>
        </w:rPr>
        <w:t xml:space="preserve">., 2023). </w:t>
      </w:r>
    </w:p>
    <w:p w14:paraId="2CE905DE" w14:textId="10910EB2" w:rsidR="00FD1895" w:rsidRPr="00B12DC9" w:rsidRDefault="00FD1895" w:rsidP="007E0676">
      <w:pPr>
        <w:pStyle w:val="Nornal"/>
        <w:rPr>
          <w:rFonts w:ascii="Trebuchet MS" w:hAnsi="Trebuchet MS"/>
          <w:lang w:val="en-GB"/>
        </w:rPr>
      </w:pPr>
      <w:r w:rsidRPr="00B12DC9">
        <w:rPr>
          <w:rFonts w:ascii="Trebuchet MS" w:hAnsi="Trebuchet MS"/>
          <w:lang w:val="en-GB"/>
        </w:rPr>
        <w:t xml:space="preserve">One potential impact of dysfunctional employee turnover is a negative effect on staff morale, possibly resulting in low motivation. This is particularly the case when an employee leaves who was highly regarded by the team and who heavily supported the team (Abolade, 2018). This could lead to an indirect financial cost, as lower morale may lead to higher levels of sickness or more staff resignations (Dwivedi </w:t>
      </w:r>
      <w:r w:rsidRPr="00B12DC9">
        <w:rPr>
          <w:rFonts w:ascii="Trebuchet MS" w:hAnsi="Trebuchet MS"/>
          <w:i/>
          <w:iCs/>
          <w:lang w:val="en-GB"/>
        </w:rPr>
        <w:t>et al</w:t>
      </w:r>
      <w:r w:rsidRPr="00B12DC9">
        <w:rPr>
          <w:rFonts w:ascii="Trebuchet MS" w:hAnsi="Trebuchet MS"/>
          <w:lang w:val="en-GB"/>
        </w:rPr>
        <w:t>., 2019). More directly, the organisation may face costs when having to hire temporary staff or pay overtime to replace the work of those who have left.</w:t>
      </w:r>
    </w:p>
    <w:p w14:paraId="5DF39C91" w14:textId="0E5D70EF" w:rsidR="00FD1895" w:rsidRPr="00B12DC9" w:rsidRDefault="00FD1895" w:rsidP="007E0676">
      <w:pPr>
        <w:pStyle w:val="Nornal"/>
        <w:rPr>
          <w:rFonts w:ascii="Trebuchet MS" w:hAnsi="Trebuchet MS"/>
          <w:lang w:val="en-GB"/>
        </w:rPr>
      </w:pPr>
      <w:r w:rsidRPr="00B12DC9">
        <w:rPr>
          <w:rFonts w:ascii="Trebuchet MS" w:hAnsi="Trebuchet MS"/>
          <w:lang w:val="en-GB"/>
        </w:rPr>
        <w:t xml:space="preserve">Another significant impact of dysfunctional turnover is the loss of the skills and knowledge of those who have left. High performing employees, particularly those with longer service, are likely to have built a solid knowledge in what they do, which will be very noticeable after their departure. This is then likely to lead to a direct cost of lower productivity, as well as recruitment costs – which may be higher when looking to recruit a higher skilled candidate (CIPD, 2023). </w:t>
      </w:r>
    </w:p>
    <w:p w14:paraId="020CC345" w14:textId="4A7979DF" w:rsidR="00FD1895" w:rsidRPr="00B12DC9" w:rsidRDefault="00FD1895" w:rsidP="007E0676">
      <w:pPr>
        <w:pStyle w:val="Nornal"/>
        <w:rPr>
          <w:rFonts w:ascii="Trebuchet MS" w:hAnsi="Trebuchet MS"/>
          <w:lang w:val="en-GB"/>
        </w:rPr>
      </w:pPr>
      <w:r w:rsidRPr="00B12DC9">
        <w:rPr>
          <w:rFonts w:ascii="Trebuchet MS" w:hAnsi="Trebuchet MS"/>
          <w:lang w:val="en-GB"/>
        </w:rPr>
        <w:t xml:space="preserve">Dysfunctional turnover can also impact client relationships, if the employee leaving had built good rapport with customers. When an individual leaves, </w:t>
      </w:r>
      <w:r w:rsidR="007F3631" w:rsidRPr="00B12DC9">
        <w:rPr>
          <w:rFonts w:ascii="Trebuchet MS" w:hAnsi="Trebuchet MS"/>
          <w:lang w:val="en-GB"/>
        </w:rPr>
        <w:t xml:space="preserve">there could be a indirect cost causes by loss of custom. This is a significant risk if clients ‘follow’ the employee to their new company. In terms of direct costs, budgets may need to be allocated to rebuilding relationships with potentially at-risk clients (Maertz </w:t>
      </w:r>
      <w:r w:rsidR="007F3631" w:rsidRPr="00B12DC9">
        <w:rPr>
          <w:rFonts w:ascii="Trebuchet MS" w:hAnsi="Trebuchet MS"/>
          <w:i/>
          <w:iCs/>
          <w:lang w:val="en-GB"/>
        </w:rPr>
        <w:t>et al</w:t>
      </w:r>
      <w:r w:rsidR="007F3631" w:rsidRPr="00B12DC9">
        <w:rPr>
          <w:rFonts w:ascii="Trebuchet MS" w:hAnsi="Trebuchet MS"/>
          <w:lang w:val="en-GB"/>
        </w:rPr>
        <w:t>., 2023).</w:t>
      </w:r>
    </w:p>
    <w:p w14:paraId="24261797" w14:textId="7D897188" w:rsidR="00FD1895" w:rsidRPr="00B12DC9" w:rsidRDefault="00962AEA" w:rsidP="00563AE0">
      <w:pPr>
        <w:pStyle w:val="Nornal"/>
        <w:rPr>
          <w:rFonts w:ascii="Trebuchet MS" w:hAnsi="Trebuchet MS"/>
          <w:lang w:val="en-GB"/>
        </w:rPr>
      </w:pPr>
      <w:r w:rsidRPr="00B12DC9">
        <w:rPr>
          <w:rFonts w:ascii="Trebuchet MS" w:hAnsi="Trebuchet MS"/>
          <w:lang w:val="en-GB"/>
        </w:rPr>
        <w:t>The ParcelCare senior leadership team should therefore consider the potential impact of turnover, particularly dysfunctional turnover. Resources should be allocated to a retention strategy where possible, to avoid impact on organisational performance and finances, both direct and indirect.</w:t>
      </w:r>
    </w:p>
    <w:p w14:paraId="0BF63C31" w14:textId="77777777" w:rsidR="00A923FA" w:rsidRPr="00B12DC9" w:rsidRDefault="00A923FA" w:rsidP="00CF2E46">
      <w:pPr>
        <w:pStyle w:val="Nornal"/>
        <w:rPr>
          <w:rFonts w:ascii="Trebuchet MS" w:hAnsi="Trebuchet MS"/>
          <w:b/>
          <w:bCs/>
          <w:u w:val="single"/>
          <w:lang w:val="en-GB"/>
        </w:rPr>
      </w:pPr>
      <w:r w:rsidRPr="00B12DC9">
        <w:rPr>
          <w:rFonts w:ascii="Trebuchet MS" w:hAnsi="Trebuchet MS"/>
          <w:b/>
          <w:bCs/>
          <w:u w:val="single"/>
          <w:lang w:val="en-GB"/>
        </w:rPr>
        <w:t>AC 4.1</w:t>
      </w:r>
    </w:p>
    <w:p w14:paraId="5A175EFD" w14:textId="3F3C6B89" w:rsidR="00CF2E46" w:rsidRPr="00B12DC9" w:rsidRDefault="00CF2E46" w:rsidP="00CF2E46">
      <w:pPr>
        <w:pStyle w:val="Nornal"/>
        <w:rPr>
          <w:rFonts w:ascii="Trebuchet MS" w:hAnsi="Trebuchet MS"/>
          <w:lang w:val="en-GB"/>
        </w:rPr>
      </w:pPr>
      <w:r w:rsidRPr="00B12DC9">
        <w:rPr>
          <w:rFonts w:ascii="Trebuchet MS" w:hAnsi="Trebuchet MS"/>
          <w:lang w:val="en-GB"/>
        </w:rPr>
        <w:t>The permanent, full-time contracts that ParcelCare currently employ most of their staff under, mean that they are employed long-term with no end date and generally work a full working week. This type of contract allows organisations to maintain a steady workforce and avoids additional costs involved in the frequent recruitment and onboarding of new staff (Farnham, 2015). For employees, having a permanent, full-time contract can also enhance their sense of belonging and commitment to their workplace. For those in delivery roles, individuals employed permanently are also more likely to secure their knowledge of the procedures involved and the routes they must take, which is likely to increase productivity (Taylor, 2022).</w:t>
      </w:r>
    </w:p>
    <w:p w14:paraId="37C756C2" w14:textId="6F6BA422" w:rsidR="00CF2E46" w:rsidRPr="00B12DC9" w:rsidRDefault="00CF2E46" w:rsidP="00CF2E46">
      <w:pPr>
        <w:pStyle w:val="Nornal"/>
        <w:rPr>
          <w:rFonts w:ascii="Trebuchet MS" w:hAnsi="Trebuchet MS"/>
          <w:lang w:val="en-GB"/>
        </w:rPr>
      </w:pPr>
      <w:r w:rsidRPr="00B12DC9">
        <w:rPr>
          <w:rFonts w:ascii="Trebuchet MS" w:hAnsi="Trebuchet MS"/>
          <w:lang w:val="en-GB"/>
        </w:rPr>
        <w:t xml:space="preserve">Despite this, there is definitely room to consider additional contract types within ParcelCare, for example to support the workforce during busy periods (such as Christmas). Relying only on the same employees when demand is higher could potentially lead to burnout if employees are able to work overtime or </w:t>
      </w:r>
      <w:r w:rsidR="0096319E" w:rsidRPr="00B12DC9">
        <w:rPr>
          <w:rFonts w:ascii="Trebuchet MS" w:hAnsi="Trebuchet MS"/>
          <w:lang w:val="en-GB"/>
        </w:rPr>
        <w:t xml:space="preserve">missed targets if they are not able to (Marchington </w:t>
      </w:r>
      <w:r w:rsidR="0096319E" w:rsidRPr="00B12DC9">
        <w:rPr>
          <w:rFonts w:ascii="Trebuchet MS" w:hAnsi="Trebuchet MS"/>
          <w:i/>
          <w:iCs/>
          <w:lang w:val="en-GB"/>
        </w:rPr>
        <w:t>et al</w:t>
      </w:r>
      <w:r w:rsidR="0096319E" w:rsidRPr="00B12DC9">
        <w:rPr>
          <w:rFonts w:ascii="Trebuchet MS" w:hAnsi="Trebuchet MS"/>
          <w:lang w:val="en-GB"/>
        </w:rPr>
        <w:t>., 2021).</w:t>
      </w:r>
    </w:p>
    <w:p w14:paraId="6E1C2981" w14:textId="342F8C4F" w:rsidR="0096319E" w:rsidRPr="00B12DC9" w:rsidRDefault="0096319E" w:rsidP="00CF2E46">
      <w:pPr>
        <w:pStyle w:val="Nornal"/>
        <w:rPr>
          <w:rFonts w:ascii="Trebuchet MS" w:hAnsi="Trebuchet MS"/>
          <w:lang w:val="en-GB"/>
        </w:rPr>
      </w:pPr>
      <w:r w:rsidRPr="00B12DC9">
        <w:rPr>
          <w:rFonts w:ascii="Trebuchet MS" w:hAnsi="Trebuchet MS"/>
          <w:lang w:val="en-GB"/>
        </w:rPr>
        <w:t>One possibly alternative contract type is a fixed-term contract, where staff can be hired for a set amount of time. This would be especially useful seasonally, such as at Christmas or during other promotions (CIPD, 2024</w:t>
      </w:r>
      <w:r w:rsidR="00157264" w:rsidRPr="00B12DC9">
        <w:rPr>
          <w:rFonts w:ascii="Trebuchet MS" w:hAnsi="Trebuchet MS"/>
          <w:lang w:val="en-GB"/>
        </w:rPr>
        <w:t>f</w:t>
      </w:r>
      <w:r w:rsidRPr="00B12DC9">
        <w:rPr>
          <w:rFonts w:ascii="Trebuchet MS" w:hAnsi="Trebuchet MS"/>
          <w:lang w:val="en-GB"/>
        </w:rPr>
        <w:t xml:space="preserve">). </w:t>
      </w:r>
      <w:r w:rsidR="00985D4F" w:rsidRPr="00B12DC9">
        <w:rPr>
          <w:rFonts w:ascii="Trebuchet MS" w:hAnsi="Trebuchet MS"/>
          <w:lang w:val="en-GB"/>
        </w:rPr>
        <w:t xml:space="preserve">Also, if ParcelCare recruit multiple fixed-term </w:t>
      </w:r>
      <w:r w:rsidR="00985D4F" w:rsidRPr="00B12DC9">
        <w:rPr>
          <w:rFonts w:ascii="Trebuchet MS" w:hAnsi="Trebuchet MS"/>
          <w:lang w:val="en-GB"/>
        </w:rPr>
        <w:lastRenderedPageBreak/>
        <w:t xml:space="preserve">workers for a particular period, it’s likely that they will build a strong sense of belonging and friendship with one another, improving overall morale (Guillaume </w:t>
      </w:r>
      <w:r w:rsidR="00985D4F" w:rsidRPr="00B12DC9">
        <w:rPr>
          <w:rFonts w:ascii="Trebuchet MS" w:hAnsi="Trebuchet MS"/>
          <w:i/>
          <w:iCs/>
          <w:lang w:val="en-GB"/>
        </w:rPr>
        <w:t>et al</w:t>
      </w:r>
      <w:r w:rsidR="00985D4F" w:rsidRPr="00B12DC9">
        <w:rPr>
          <w:rFonts w:ascii="Trebuchet MS" w:hAnsi="Trebuchet MS"/>
          <w:lang w:val="en-GB"/>
        </w:rPr>
        <w:t>., 2019). These employees also have similar entitlements to that of permanent staff, further increasing the sense of belonging (GOV.UK, no date; CIPD, 2024</w:t>
      </w:r>
      <w:r w:rsidR="00157264" w:rsidRPr="00B12DC9">
        <w:rPr>
          <w:rFonts w:ascii="Trebuchet MS" w:hAnsi="Trebuchet MS"/>
          <w:lang w:val="en-GB"/>
        </w:rPr>
        <w:t>d</w:t>
      </w:r>
      <w:r w:rsidR="00985D4F" w:rsidRPr="00B12DC9">
        <w:rPr>
          <w:rFonts w:ascii="Trebuchet MS" w:hAnsi="Trebuchet MS"/>
          <w:lang w:val="en-GB"/>
        </w:rPr>
        <w:t xml:space="preserve">). </w:t>
      </w:r>
      <w:r w:rsidR="00F20BB5" w:rsidRPr="00B12DC9">
        <w:rPr>
          <w:rFonts w:ascii="Trebuchet MS" w:hAnsi="Trebuchet MS"/>
          <w:lang w:val="en-GB"/>
        </w:rPr>
        <w:t>However, it is worth noting that fixed-term contracts are likely to have an impact on hiring and training costs, although this would ideally be matched by higher productivity in busy periods (Kuhn and Yu, 2021).</w:t>
      </w:r>
    </w:p>
    <w:p w14:paraId="2BB74C31" w14:textId="2E958EDD" w:rsidR="007F1F7D" w:rsidRPr="00B12DC9" w:rsidRDefault="007F1F7D" w:rsidP="00CF2E46">
      <w:pPr>
        <w:pStyle w:val="Nornal"/>
        <w:rPr>
          <w:rFonts w:ascii="Trebuchet MS" w:hAnsi="Trebuchet MS"/>
          <w:lang w:val="en-GB"/>
        </w:rPr>
      </w:pPr>
      <w:r w:rsidRPr="00B12DC9">
        <w:rPr>
          <w:rFonts w:ascii="Trebuchet MS" w:hAnsi="Trebuchet MS"/>
          <w:lang w:val="en-GB"/>
        </w:rPr>
        <w:t>A contract option that could tackle the issue of costs associated with fixed-term contracts is zero-hour contracts – where staff are hired on the basis that work will be offered as and when it is needed by the organisation (ACAS, no date).</w:t>
      </w:r>
      <w:r w:rsidR="007D39E1" w:rsidRPr="00B12DC9">
        <w:rPr>
          <w:rFonts w:ascii="Trebuchet MS" w:hAnsi="Trebuchet MS"/>
          <w:lang w:val="en-GB"/>
        </w:rPr>
        <w:t xml:space="preserve"> These contracts would allow ParcelCare to manage increased demands by assigning hours to staff in line with organisational needs. However, zero-hours workers are likely to </w:t>
      </w:r>
      <w:r w:rsidR="00C802AF" w:rsidRPr="00B12DC9">
        <w:rPr>
          <w:rFonts w:ascii="Trebuchet MS" w:hAnsi="Trebuchet MS"/>
          <w:lang w:val="en-GB"/>
        </w:rPr>
        <w:t xml:space="preserve">feel less valued and therefore motivators than other workers, with morally also being impacted by the lack of security (Farnham, 2015; Marchington </w:t>
      </w:r>
      <w:r w:rsidR="00C802AF" w:rsidRPr="00B12DC9">
        <w:rPr>
          <w:rFonts w:ascii="Trebuchet MS" w:hAnsi="Trebuchet MS"/>
          <w:i/>
          <w:iCs/>
          <w:lang w:val="en-GB"/>
        </w:rPr>
        <w:t>et al</w:t>
      </w:r>
      <w:r w:rsidR="00C802AF" w:rsidRPr="00B12DC9">
        <w:rPr>
          <w:rFonts w:ascii="Trebuchet MS" w:hAnsi="Trebuchet MS"/>
          <w:lang w:val="en-GB"/>
        </w:rPr>
        <w:t>., 2021).</w:t>
      </w:r>
    </w:p>
    <w:p w14:paraId="7521BF1D" w14:textId="77777777" w:rsidR="00A923FA" w:rsidRPr="00B12DC9" w:rsidRDefault="00A923FA" w:rsidP="00EF350C">
      <w:pPr>
        <w:pStyle w:val="Nornal"/>
        <w:rPr>
          <w:rFonts w:ascii="Trebuchet MS" w:hAnsi="Trebuchet MS"/>
          <w:b/>
          <w:bCs/>
          <w:u w:val="single"/>
          <w:lang w:val="en-GB"/>
        </w:rPr>
      </w:pPr>
      <w:r w:rsidRPr="00B12DC9">
        <w:rPr>
          <w:rFonts w:ascii="Trebuchet MS" w:hAnsi="Trebuchet MS"/>
          <w:b/>
          <w:bCs/>
          <w:u w:val="single"/>
          <w:lang w:val="en-GB"/>
        </w:rPr>
        <w:t>AC 4.2</w:t>
      </w:r>
    </w:p>
    <w:p w14:paraId="4F6FC7F9" w14:textId="1003996E" w:rsidR="00EF350C" w:rsidRPr="00B12DC9" w:rsidRDefault="00F87FF8" w:rsidP="00EF350C">
      <w:pPr>
        <w:pStyle w:val="Nornal"/>
        <w:rPr>
          <w:rFonts w:ascii="Trebuchet MS" w:hAnsi="Trebuchet MS"/>
        </w:rPr>
      </w:pPr>
      <w:r w:rsidRPr="00B12DC9">
        <w:rPr>
          <w:rFonts w:ascii="Trebuchet MS" w:hAnsi="Trebuchet MS"/>
        </w:rPr>
        <w:t>Effective onboarding is vital for successfully integrating new employees into new roles and is particularly important to ensure the safety of warehouse staff and delivery drivers such as those at ParcelCare. However, an effective induction process should cover more than just health and safety training. When done correctly, onboarding should welcome staff fully and make sure they quickly but efficiently become confident in their roles (ACAS, 2015; CIPD, 2024</w:t>
      </w:r>
      <w:r w:rsidR="008A7C59" w:rsidRPr="00B12DC9">
        <w:rPr>
          <w:rFonts w:ascii="Trebuchet MS" w:hAnsi="Trebuchet MS"/>
        </w:rPr>
        <w:t>b</w:t>
      </w:r>
      <w:r w:rsidRPr="00B12DC9">
        <w:rPr>
          <w:rFonts w:ascii="Trebuchet MS" w:hAnsi="Trebuchet MS"/>
        </w:rPr>
        <w:t>).</w:t>
      </w:r>
      <w:r w:rsidR="00EF350C" w:rsidRPr="00B12DC9">
        <w:rPr>
          <w:rFonts w:ascii="Trebuchet MS" w:hAnsi="Trebuchet MS"/>
        </w:rPr>
        <w:t xml:space="preserve"> Wyatt (2024) found that over fifty percent of employees have an unsatisfactory induction experience. Poor onboarding can lead to loss of staff, particularly in a competitive labour market like that of ParcelCare. </w:t>
      </w:r>
    </w:p>
    <w:p w14:paraId="5230E880" w14:textId="30AC4C45" w:rsidR="00EF350C" w:rsidRPr="00B12DC9" w:rsidRDefault="00EF350C" w:rsidP="00EF350C">
      <w:pPr>
        <w:pStyle w:val="Nornal"/>
        <w:rPr>
          <w:rFonts w:ascii="Trebuchet MS" w:hAnsi="Trebuchet MS"/>
        </w:rPr>
      </w:pPr>
      <w:r w:rsidRPr="00B12DC9">
        <w:rPr>
          <w:rFonts w:ascii="Trebuchet MS" w:hAnsi="Trebuchet MS"/>
        </w:rPr>
        <w:t>One main benefit of effective onboarding is to integrate new employees into the environment and team. This can be especially crucial in organisations such as ParcelCare, where employees are required to do physically demanding tasks. A supportive team can ensure new starters feel confident and aware of who to approach for support, whilst building an overall sense of belonging (CIPD, 2024</w:t>
      </w:r>
      <w:r w:rsidR="008A7C59" w:rsidRPr="00B12DC9">
        <w:rPr>
          <w:rFonts w:ascii="Trebuchet MS" w:hAnsi="Trebuchet MS"/>
        </w:rPr>
        <w:t>b</w:t>
      </w:r>
      <w:r w:rsidRPr="00B12DC9">
        <w:rPr>
          <w:rFonts w:ascii="Trebuchet MS" w:hAnsi="Trebuchet MS"/>
        </w:rPr>
        <w:t>).</w:t>
      </w:r>
    </w:p>
    <w:p w14:paraId="5A781860" w14:textId="57494E1D" w:rsidR="00EF350C" w:rsidRPr="00B12DC9" w:rsidRDefault="00EF350C" w:rsidP="00EF350C">
      <w:pPr>
        <w:pStyle w:val="Nornal"/>
        <w:rPr>
          <w:rFonts w:ascii="Trebuchet MS" w:hAnsi="Trebuchet MS"/>
        </w:rPr>
      </w:pPr>
      <w:r w:rsidRPr="00B12DC9">
        <w:rPr>
          <w:rFonts w:ascii="Trebuchet MS" w:hAnsi="Trebuchet MS"/>
        </w:rPr>
        <w:t xml:space="preserve">Another key benefit is to ensure </w:t>
      </w:r>
      <w:r w:rsidR="008A7C59" w:rsidRPr="00B12DC9">
        <w:rPr>
          <w:rFonts w:ascii="Trebuchet MS" w:hAnsi="Trebuchet MS"/>
        </w:rPr>
        <w:t>that the culture of the organisation is embedded from early on in a new starter’s experience. Employees should therefore complete onboarding being aware of how and why things are done, so that they can work in line with this culture and know the incorrect way of working is if they see it (ACAS, 2015).</w:t>
      </w:r>
    </w:p>
    <w:p w14:paraId="4A8D8465" w14:textId="6976545E" w:rsidR="00D61542" w:rsidRPr="00B12DC9" w:rsidRDefault="008A7C59" w:rsidP="00EF350C">
      <w:pPr>
        <w:pStyle w:val="Nornal"/>
        <w:rPr>
          <w:rFonts w:ascii="Trebuchet MS" w:hAnsi="Trebuchet MS"/>
        </w:rPr>
      </w:pPr>
      <w:r w:rsidRPr="00B12DC9">
        <w:rPr>
          <w:rFonts w:ascii="Trebuchet MS" w:hAnsi="Trebuchet MS"/>
        </w:rPr>
        <w:t>Importantly, the induction process should also ensure that new employees can work effectively in their roles. This aspect of onboarding should include thorough explanation and demonstration of the key tasks involved in a role, so that new starters quickly understand how to do their role safely and independently (Gogate and Pandey, 2015). Ensuring this step is done correctly is likely to reduce mistakes and improve productivity (CIPD, 2024</w:t>
      </w:r>
      <w:r w:rsidR="00157264" w:rsidRPr="00B12DC9">
        <w:rPr>
          <w:rFonts w:ascii="Trebuchet MS" w:hAnsi="Trebuchet MS"/>
        </w:rPr>
        <w:t>e</w:t>
      </w:r>
      <w:r w:rsidRPr="00B12DC9">
        <w:rPr>
          <w:rFonts w:ascii="Trebuchet MS" w:hAnsi="Trebuchet MS"/>
        </w:rPr>
        <w:t xml:space="preserve">). </w:t>
      </w:r>
    </w:p>
    <w:p w14:paraId="5B00ED79" w14:textId="035B6186" w:rsidR="008A7C59" w:rsidRDefault="00D61542" w:rsidP="00EF350C">
      <w:pPr>
        <w:pStyle w:val="Nornal"/>
        <w:rPr>
          <w:rFonts w:ascii="Trebuchet MS" w:hAnsi="Trebuchet MS"/>
        </w:rPr>
      </w:pPr>
      <w:r w:rsidRPr="00B12DC9">
        <w:rPr>
          <w:rFonts w:ascii="Trebuchet MS" w:hAnsi="Trebuchet MS"/>
        </w:rPr>
        <w:t xml:space="preserve">Finally, and as a result of the benefits already mentioned, </w:t>
      </w:r>
      <w:r w:rsidR="008A7C59" w:rsidRPr="00B12DC9">
        <w:rPr>
          <w:rFonts w:ascii="Trebuchet MS" w:hAnsi="Trebuchet MS"/>
        </w:rPr>
        <w:t xml:space="preserve">another </w:t>
      </w:r>
      <w:r w:rsidRPr="00B12DC9">
        <w:rPr>
          <w:rFonts w:ascii="Trebuchet MS" w:hAnsi="Trebuchet MS"/>
        </w:rPr>
        <w:t>advantage</w:t>
      </w:r>
      <w:r w:rsidR="008A7C59" w:rsidRPr="00B12DC9">
        <w:rPr>
          <w:rFonts w:ascii="Trebuchet MS" w:hAnsi="Trebuchet MS"/>
        </w:rPr>
        <w:t xml:space="preserve"> of effective onboarding is that it is likely to reduce turnover rates – something that is seen often in warehouse and delivery roles (Wyatt, 2024).</w:t>
      </w:r>
      <w:r w:rsidRPr="00B12DC9">
        <w:rPr>
          <w:rFonts w:ascii="Trebuchet MS" w:hAnsi="Trebuchet MS"/>
        </w:rPr>
        <w:t xml:space="preserve"> When employees feel integrated and supported by their colleagues, aligned with the company’s values and culture, and confident in what their role entails, they are much more likely to stay in a role for longer.</w:t>
      </w:r>
    </w:p>
    <w:p w14:paraId="4155962A" w14:textId="0E577047" w:rsidR="007759EF" w:rsidRDefault="007759EF" w:rsidP="00563AE0">
      <w:pPr>
        <w:pStyle w:val="Nornal"/>
        <w:rPr>
          <w:rFonts w:ascii="Trebuchet MS" w:hAnsi="Trebuchet MS"/>
        </w:rPr>
      </w:pPr>
    </w:p>
    <w:p w14:paraId="65671AA6" w14:textId="77777777" w:rsidR="00A923FA" w:rsidRDefault="00A923FA" w:rsidP="00563AE0">
      <w:pPr>
        <w:pStyle w:val="Nornal"/>
        <w:rPr>
          <w:rFonts w:ascii="Trebuchet MS" w:hAnsi="Trebuchet MS"/>
        </w:rPr>
      </w:pPr>
    </w:p>
    <w:p w14:paraId="00D1AF19" w14:textId="3A6F3CFE" w:rsidR="00B12DC9" w:rsidRDefault="00B12DC9" w:rsidP="00B12DC9">
      <w:pPr>
        <w:spacing w:before="100" w:beforeAutospacing="1" w:after="100" w:afterAutospacing="1" w:line="240" w:lineRule="auto"/>
        <w:rPr>
          <w:rFonts w:ascii="Trebuchet MS" w:eastAsia="Times New Roman" w:hAnsi="Trebuchet MS" w:cs="Calibri"/>
          <w:b/>
          <w:bCs/>
          <w:kern w:val="0"/>
          <w:u w:val="single"/>
          <w:lang w:eastAsia="en-GB"/>
          <w14:ligatures w14:val="none"/>
        </w:rPr>
      </w:pPr>
      <w:r>
        <w:rPr>
          <w:rFonts w:ascii="Trebuchet MS" w:eastAsia="Times New Roman" w:hAnsi="Trebuchet MS" w:cs="Calibri"/>
          <w:b/>
          <w:bCs/>
          <w:kern w:val="0"/>
          <w:u w:val="single"/>
          <w:lang w:eastAsia="en-GB"/>
          <w14:ligatures w14:val="none"/>
        </w:rPr>
        <w:lastRenderedPageBreak/>
        <w:t>References</w:t>
      </w:r>
    </w:p>
    <w:p w14:paraId="22540DD5" w14:textId="77777777" w:rsidR="00B12DC9" w:rsidRPr="00B12DC9" w:rsidRDefault="00B12DC9" w:rsidP="00B12DC9">
      <w:pPr>
        <w:spacing w:before="100" w:beforeAutospacing="1" w:after="100" w:afterAutospacing="1" w:line="240" w:lineRule="auto"/>
        <w:rPr>
          <w:rFonts w:ascii="Trebuchet MS" w:eastAsia="Times New Roman" w:hAnsi="Trebuchet MS" w:cs="Calibri"/>
          <w:kern w:val="0"/>
          <w:lang w:eastAsia="en-GB"/>
          <w14:ligatures w14:val="none"/>
        </w:rPr>
      </w:pPr>
      <w:r w:rsidRPr="00B12DC9">
        <w:rPr>
          <w:rFonts w:ascii="Trebuchet MS" w:eastAsia="Times New Roman" w:hAnsi="Trebuchet MS" w:cs="Calibri"/>
          <w:kern w:val="0"/>
          <w:lang w:eastAsia="en-GB"/>
          <w14:ligatures w14:val="none"/>
        </w:rPr>
        <w:t xml:space="preserve">Abolade, D. A. (2018). </w:t>
      </w:r>
      <w:r w:rsidRPr="00B12DC9">
        <w:rPr>
          <w:rFonts w:ascii="Trebuchet MS" w:eastAsia="Times New Roman" w:hAnsi="Trebuchet MS" w:cs="Calibri"/>
          <w:i/>
          <w:iCs/>
          <w:kern w:val="0"/>
          <w:lang w:eastAsia="en-GB"/>
          <w14:ligatures w14:val="none"/>
        </w:rPr>
        <w:t>Studies in Business and Economics</w:t>
      </w:r>
      <w:r w:rsidRPr="00B12DC9">
        <w:rPr>
          <w:rFonts w:ascii="Trebuchet MS" w:eastAsia="Times New Roman" w:hAnsi="Trebuchet MS" w:cs="Calibri"/>
          <w:kern w:val="0"/>
          <w:lang w:eastAsia="en-GB"/>
          <w14:ligatures w14:val="none"/>
        </w:rPr>
        <w:t>, 13(2), pp.5–19.</w:t>
      </w:r>
    </w:p>
    <w:p w14:paraId="0DA3590F" w14:textId="77777777" w:rsidR="00B12DC9" w:rsidRPr="00B12DC9" w:rsidRDefault="00B12DC9" w:rsidP="00B12DC9">
      <w:pPr>
        <w:spacing w:before="100" w:beforeAutospacing="1" w:after="100" w:afterAutospacing="1" w:line="240" w:lineRule="auto"/>
        <w:rPr>
          <w:rFonts w:ascii="Trebuchet MS" w:eastAsia="Times New Roman" w:hAnsi="Trebuchet MS" w:cs="Calibri"/>
          <w:kern w:val="0"/>
          <w:lang w:eastAsia="en-GB"/>
          <w14:ligatures w14:val="none"/>
        </w:rPr>
      </w:pPr>
      <w:r w:rsidRPr="00B12DC9">
        <w:rPr>
          <w:rFonts w:ascii="Trebuchet MS" w:eastAsia="Times New Roman" w:hAnsi="Trebuchet MS" w:cs="Calibri"/>
          <w:kern w:val="0"/>
          <w:lang w:eastAsia="en-GB"/>
          <w14:ligatures w14:val="none"/>
        </w:rPr>
        <w:t xml:space="preserve">Acas. (no date). Zero-hours contracts. [Online] Available at: </w:t>
      </w:r>
      <w:hyperlink r:id="rId7" w:tgtFrame="_new" w:history="1">
        <w:r w:rsidRPr="00B12DC9">
          <w:rPr>
            <w:rStyle w:val="Hyperlink"/>
            <w:rFonts w:ascii="Trebuchet MS" w:eastAsia="Times New Roman" w:hAnsi="Trebuchet MS" w:cs="Calibri"/>
            <w:kern w:val="0"/>
            <w:u w:val="none"/>
            <w:lang w:eastAsia="en-GB"/>
            <w14:ligatures w14:val="none"/>
          </w:rPr>
          <w:t>https://www.acas.org.uk/zero-hours-contracts</w:t>
        </w:r>
      </w:hyperlink>
      <w:r w:rsidRPr="00B12DC9">
        <w:rPr>
          <w:rFonts w:ascii="Trebuchet MS" w:eastAsia="Times New Roman" w:hAnsi="Trebuchet MS" w:cs="Calibri"/>
          <w:kern w:val="0"/>
          <w:lang w:eastAsia="en-GB"/>
          <w14:ligatures w14:val="none"/>
        </w:rPr>
        <w:t xml:space="preserve"> [Accessed 18 Jun. 2025]</w:t>
      </w:r>
    </w:p>
    <w:p w14:paraId="4E9C3C29" w14:textId="77777777" w:rsidR="00B12DC9" w:rsidRPr="00B12DC9" w:rsidRDefault="00B12DC9" w:rsidP="00B12DC9">
      <w:pPr>
        <w:spacing w:before="100" w:beforeAutospacing="1" w:after="100" w:afterAutospacing="1" w:line="240" w:lineRule="auto"/>
        <w:rPr>
          <w:rFonts w:ascii="Trebuchet MS" w:eastAsia="Times New Roman" w:hAnsi="Trebuchet MS" w:cs="Calibri"/>
          <w:kern w:val="0"/>
          <w:lang w:eastAsia="en-GB"/>
          <w14:ligatures w14:val="none"/>
        </w:rPr>
      </w:pPr>
      <w:r w:rsidRPr="00B12DC9">
        <w:rPr>
          <w:rFonts w:ascii="Trebuchet MS" w:eastAsia="Times New Roman" w:hAnsi="Trebuchet MS" w:cs="Calibri"/>
          <w:kern w:val="0"/>
          <w:lang w:eastAsia="en-GB"/>
          <w14:ligatures w14:val="none"/>
        </w:rPr>
        <w:t xml:space="preserve">ACAS (2015). Starting staff: induction. Available at: </w:t>
      </w:r>
      <w:hyperlink r:id="rId8" w:tgtFrame="_new" w:history="1">
        <w:r w:rsidRPr="00B12DC9">
          <w:rPr>
            <w:rStyle w:val="Hyperlink"/>
            <w:rFonts w:ascii="Trebuchet MS" w:eastAsia="Times New Roman" w:hAnsi="Trebuchet MS" w:cs="Calibri"/>
            <w:kern w:val="0"/>
            <w:u w:val="none"/>
            <w:lang w:eastAsia="en-GB"/>
            <w14:ligatures w14:val="none"/>
          </w:rPr>
          <w:t>https://www.acas.org.uk/sites/default/files/2021-03/Starting-staff-induction.pdf</w:t>
        </w:r>
      </w:hyperlink>
      <w:r w:rsidRPr="00B12DC9">
        <w:rPr>
          <w:rFonts w:ascii="Trebuchet MS" w:eastAsia="Times New Roman" w:hAnsi="Trebuchet MS" w:cs="Calibri"/>
          <w:kern w:val="0"/>
          <w:lang w:eastAsia="en-GB"/>
          <w14:ligatures w14:val="none"/>
        </w:rPr>
        <w:t xml:space="preserve"> (Accessed: 26 November 2024)</w:t>
      </w:r>
    </w:p>
    <w:p w14:paraId="5ABCD513" w14:textId="77777777" w:rsidR="00B12DC9" w:rsidRPr="00B12DC9" w:rsidRDefault="00B12DC9" w:rsidP="00B12DC9">
      <w:pPr>
        <w:spacing w:before="100" w:beforeAutospacing="1" w:after="100" w:afterAutospacing="1" w:line="240" w:lineRule="auto"/>
        <w:rPr>
          <w:rFonts w:ascii="Trebuchet MS" w:eastAsia="Times New Roman" w:hAnsi="Trebuchet MS" w:cs="Calibri"/>
          <w:kern w:val="0"/>
          <w:lang w:eastAsia="en-GB"/>
          <w14:ligatures w14:val="none"/>
        </w:rPr>
      </w:pPr>
      <w:r w:rsidRPr="00B12DC9">
        <w:rPr>
          <w:rFonts w:ascii="Trebuchet MS" w:eastAsia="Times New Roman" w:hAnsi="Trebuchet MS" w:cs="Calibri"/>
          <w:kern w:val="0"/>
          <w:lang w:eastAsia="en-GB"/>
          <w14:ligatures w14:val="none"/>
        </w:rPr>
        <w:t xml:space="preserve">AIHR. (no date). Realistic job preview: Definition, tips, and examples. Available at: </w:t>
      </w:r>
      <w:hyperlink r:id="rId9" w:tgtFrame="_new" w:history="1">
        <w:r w:rsidRPr="00B12DC9">
          <w:rPr>
            <w:rStyle w:val="Hyperlink"/>
            <w:rFonts w:ascii="Trebuchet MS" w:eastAsia="Times New Roman" w:hAnsi="Trebuchet MS" w:cs="Calibri"/>
            <w:kern w:val="0"/>
            <w:u w:val="none"/>
            <w:lang w:eastAsia="en-GB"/>
            <w14:ligatures w14:val="none"/>
          </w:rPr>
          <w:t>https://www.aihr.com/blog/realistic-job-preview/</w:t>
        </w:r>
      </w:hyperlink>
      <w:r w:rsidRPr="00B12DC9">
        <w:rPr>
          <w:rFonts w:ascii="Trebuchet MS" w:eastAsia="Times New Roman" w:hAnsi="Trebuchet MS" w:cs="Calibri"/>
          <w:kern w:val="0"/>
          <w:lang w:eastAsia="en-GB"/>
          <w14:ligatures w14:val="none"/>
        </w:rPr>
        <w:t xml:space="preserve"> (Accessed: 16 June 2025)</w:t>
      </w:r>
    </w:p>
    <w:p w14:paraId="19470E20" w14:textId="77777777" w:rsidR="00B12DC9" w:rsidRPr="00B12DC9" w:rsidRDefault="00B12DC9" w:rsidP="00B12DC9">
      <w:pPr>
        <w:spacing w:before="100" w:beforeAutospacing="1" w:after="100" w:afterAutospacing="1" w:line="240" w:lineRule="auto"/>
        <w:rPr>
          <w:rFonts w:ascii="Trebuchet MS" w:eastAsia="Times New Roman" w:hAnsi="Trebuchet MS" w:cs="Calibri"/>
          <w:kern w:val="0"/>
          <w:lang w:eastAsia="en-GB"/>
          <w14:ligatures w14:val="none"/>
        </w:rPr>
      </w:pPr>
      <w:r w:rsidRPr="00B12DC9">
        <w:rPr>
          <w:rFonts w:ascii="Trebuchet MS" w:eastAsia="Times New Roman" w:hAnsi="Trebuchet MS" w:cs="Calibri"/>
          <w:kern w:val="0"/>
          <w:lang w:eastAsia="en-GB"/>
          <w14:ligatures w14:val="none"/>
        </w:rPr>
        <w:t xml:space="preserve">Alabi, O.A., Ajayi, F.A., Udeh, C.A. and Efunniyi, F.P. (2024). Predictive analytics in human resources: Enhancing workforce planning and customer experience. </w:t>
      </w:r>
      <w:r w:rsidRPr="00B12DC9">
        <w:rPr>
          <w:rFonts w:ascii="Trebuchet MS" w:eastAsia="Times New Roman" w:hAnsi="Trebuchet MS" w:cs="Calibri"/>
          <w:i/>
          <w:iCs/>
          <w:kern w:val="0"/>
          <w:lang w:eastAsia="en-GB"/>
          <w14:ligatures w14:val="none"/>
        </w:rPr>
        <w:t>International Journal of Research and Scientific Innovation</w:t>
      </w:r>
      <w:r w:rsidRPr="00B12DC9">
        <w:rPr>
          <w:rFonts w:ascii="Trebuchet MS" w:eastAsia="Times New Roman" w:hAnsi="Trebuchet MS" w:cs="Calibri"/>
          <w:kern w:val="0"/>
          <w:lang w:eastAsia="en-GB"/>
          <w14:ligatures w14:val="none"/>
        </w:rPr>
        <w:t>, 11(9), pp.149–158.</w:t>
      </w:r>
    </w:p>
    <w:p w14:paraId="55F59B65" w14:textId="77777777" w:rsidR="00B12DC9" w:rsidRPr="00B12DC9" w:rsidRDefault="00B12DC9" w:rsidP="00B12DC9">
      <w:pPr>
        <w:spacing w:before="100" w:beforeAutospacing="1" w:after="100" w:afterAutospacing="1" w:line="240" w:lineRule="auto"/>
        <w:rPr>
          <w:rFonts w:ascii="Trebuchet MS" w:eastAsia="Times New Roman" w:hAnsi="Trebuchet MS" w:cs="Calibri"/>
          <w:kern w:val="0"/>
          <w:lang w:eastAsia="en-GB"/>
          <w14:ligatures w14:val="none"/>
        </w:rPr>
      </w:pPr>
      <w:r w:rsidRPr="00B12DC9">
        <w:rPr>
          <w:rFonts w:ascii="Trebuchet MS" w:eastAsia="Times New Roman" w:hAnsi="Trebuchet MS" w:cs="Calibri"/>
          <w:kern w:val="0"/>
          <w:lang w:eastAsia="en-GB"/>
          <w14:ligatures w14:val="none"/>
        </w:rPr>
        <w:t xml:space="preserve">Andrus, J.L., Withers, M.C., Courtright, S.H. and Boivie, S. (2019). Go your own way: Exploring the causes of top executive turnover. </w:t>
      </w:r>
      <w:r w:rsidRPr="00B12DC9">
        <w:rPr>
          <w:rFonts w:ascii="Trebuchet MS" w:eastAsia="Times New Roman" w:hAnsi="Trebuchet MS" w:cs="Calibri"/>
          <w:i/>
          <w:iCs/>
          <w:kern w:val="0"/>
          <w:lang w:eastAsia="en-GB"/>
          <w14:ligatures w14:val="none"/>
        </w:rPr>
        <w:t>Strategic Management Journal</w:t>
      </w:r>
      <w:r w:rsidRPr="00B12DC9">
        <w:rPr>
          <w:rFonts w:ascii="Trebuchet MS" w:eastAsia="Times New Roman" w:hAnsi="Trebuchet MS" w:cs="Calibri"/>
          <w:kern w:val="0"/>
          <w:lang w:eastAsia="en-GB"/>
          <w14:ligatures w14:val="none"/>
        </w:rPr>
        <w:t xml:space="preserve">, 40(6), pp.979–1000. </w:t>
      </w:r>
      <w:hyperlink r:id="rId10" w:tgtFrame="_new" w:history="1">
        <w:r w:rsidRPr="00B12DC9">
          <w:rPr>
            <w:rStyle w:val="Hyperlink"/>
            <w:rFonts w:ascii="Trebuchet MS" w:eastAsia="Times New Roman" w:hAnsi="Trebuchet MS" w:cs="Calibri"/>
            <w:kern w:val="0"/>
            <w:u w:val="none"/>
            <w:lang w:eastAsia="en-GB"/>
            <w14:ligatures w14:val="none"/>
          </w:rPr>
          <w:t>https://doi.org/10.1002/smj.3020</w:t>
        </w:r>
      </w:hyperlink>
    </w:p>
    <w:p w14:paraId="4A574D41" w14:textId="77777777" w:rsidR="00B12DC9" w:rsidRPr="00B12DC9" w:rsidRDefault="00B12DC9" w:rsidP="00B12DC9">
      <w:pPr>
        <w:spacing w:before="100" w:beforeAutospacing="1" w:after="100" w:afterAutospacing="1" w:line="240" w:lineRule="auto"/>
        <w:rPr>
          <w:rFonts w:ascii="Trebuchet MS" w:eastAsia="Times New Roman" w:hAnsi="Trebuchet MS" w:cs="Calibri"/>
          <w:kern w:val="0"/>
          <w:lang w:eastAsia="en-GB"/>
          <w14:ligatures w14:val="none"/>
        </w:rPr>
      </w:pPr>
      <w:r w:rsidRPr="00B12DC9">
        <w:rPr>
          <w:rFonts w:ascii="Trebuchet MS" w:eastAsia="Times New Roman" w:hAnsi="Trebuchet MS" w:cs="Calibri"/>
          <w:kern w:val="0"/>
          <w:lang w:eastAsia="en-GB"/>
          <w14:ligatures w14:val="none"/>
        </w:rPr>
        <w:t xml:space="preserve">Armstrong, M. (2008). </w:t>
      </w:r>
      <w:r w:rsidRPr="00B12DC9">
        <w:rPr>
          <w:rFonts w:ascii="Trebuchet MS" w:eastAsia="Times New Roman" w:hAnsi="Trebuchet MS" w:cs="Calibri"/>
          <w:i/>
          <w:iCs/>
          <w:kern w:val="0"/>
          <w:lang w:eastAsia="en-GB"/>
          <w14:ligatures w14:val="none"/>
        </w:rPr>
        <w:t>Strategic human resource management: a guide to action</w:t>
      </w:r>
      <w:r w:rsidRPr="00B12DC9">
        <w:rPr>
          <w:rFonts w:ascii="Trebuchet MS" w:eastAsia="Times New Roman" w:hAnsi="Trebuchet MS" w:cs="Calibri"/>
          <w:kern w:val="0"/>
          <w:lang w:eastAsia="en-GB"/>
          <w14:ligatures w14:val="none"/>
        </w:rPr>
        <w:t xml:space="preserve"> (4th ed.). Kogan Page.</w:t>
      </w:r>
    </w:p>
    <w:p w14:paraId="123B8F1B" w14:textId="77777777" w:rsidR="00B12DC9" w:rsidRPr="00B12DC9" w:rsidRDefault="00B12DC9" w:rsidP="00B12DC9">
      <w:pPr>
        <w:spacing w:before="100" w:beforeAutospacing="1" w:after="100" w:afterAutospacing="1" w:line="240" w:lineRule="auto"/>
        <w:rPr>
          <w:rFonts w:ascii="Trebuchet MS" w:eastAsia="Times New Roman" w:hAnsi="Trebuchet MS" w:cs="Calibri"/>
          <w:kern w:val="0"/>
          <w:lang w:eastAsia="en-GB"/>
          <w14:ligatures w14:val="none"/>
        </w:rPr>
      </w:pPr>
      <w:r w:rsidRPr="00B12DC9">
        <w:rPr>
          <w:rFonts w:ascii="Trebuchet MS" w:eastAsia="Times New Roman" w:hAnsi="Trebuchet MS" w:cs="Calibri"/>
          <w:kern w:val="0"/>
          <w:lang w:eastAsia="en-GB"/>
          <w14:ligatures w14:val="none"/>
        </w:rPr>
        <w:t xml:space="preserve">Armstrong, M. (2020). </w:t>
      </w:r>
      <w:r w:rsidRPr="00B12DC9">
        <w:rPr>
          <w:rFonts w:ascii="Trebuchet MS" w:eastAsia="Times New Roman" w:hAnsi="Trebuchet MS" w:cs="Calibri"/>
          <w:i/>
          <w:iCs/>
          <w:kern w:val="0"/>
          <w:lang w:eastAsia="en-GB"/>
          <w14:ligatures w14:val="none"/>
        </w:rPr>
        <w:t>Armstrong’s handbook of human resource management practice</w:t>
      </w:r>
      <w:r w:rsidRPr="00B12DC9">
        <w:rPr>
          <w:rFonts w:ascii="Trebuchet MS" w:eastAsia="Times New Roman" w:hAnsi="Trebuchet MS" w:cs="Calibri"/>
          <w:kern w:val="0"/>
          <w:lang w:eastAsia="en-GB"/>
          <w14:ligatures w14:val="none"/>
        </w:rPr>
        <w:t>. 15th ed. London: Kogan Page.</w:t>
      </w:r>
    </w:p>
    <w:p w14:paraId="11EDC625" w14:textId="77777777" w:rsidR="00B12DC9" w:rsidRPr="00B12DC9" w:rsidRDefault="00B12DC9" w:rsidP="00B12DC9">
      <w:pPr>
        <w:spacing w:before="100" w:beforeAutospacing="1" w:after="100" w:afterAutospacing="1" w:line="240" w:lineRule="auto"/>
        <w:rPr>
          <w:rFonts w:ascii="Trebuchet MS" w:eastAsia="Times New Roman" w:hAnsi="Trebuchet MS" w:cs="Calibri"/>
          <w:kern w:val="0"/>
          <w:lang w:eastAsia="en-GB"/>
          <w14:ligatures w14:val="none"/>
        </w:rPr>
      </w:pPr>
      <w:r w:rsidRPr="00B12DC9">
        <w:rPr>
          <w:rFonts w:ascii="Trebuchet MS" w:eastAsia="Times New Roman" w:hAnsi="Trebuchet MS" w:cs="Calibri"/>
          <w:kern w:val="0"/>
          <w:lang w:eastAsia="en-GB"/>
          <w14:ligatures w14:val="none"/>
        </w:rPr>
        <w:t xml:space="preserve">Becher, A. (2023). Talent acquisition and strategic workforce planning – A powerful partnership. </w:t>
      </w:r>
      <w:r w:rsidRPr="00B12DC9">
        <w:rPr>
          <w:rFonts w:ascii="Trebuchet MS" w:eastAsia="Times New Roman" w:hAnsi="Trebuchet MS" w:cs="Calibri"/>
          <w:i/>
          <w:iCs/>
          <w:kern w:val="0"/>
          <w:lang w:eastAsia="en-GB"/>
          <w14:ligatures w14:val="none"/>
        </w:rPr>
        <w:t>The Conference Board</w:t>
      </w:r>
      <w:r w:rsidRPr="00B12DC9">
        <w:rPr>
          <w:rFonts w:ascii="Trebuchet MS" w:eastAsia="Times New Roman" w:hAnsi="Trebuchet MS" w:cs="Calibri"/>
          <w:kern w:val="0"/>
          <w:lang w:eastAsia="en-GB"/>
          <w14:ligatures w14:val="none"/>
        </w:rPr>
        <w:t xml:space="preserve">. Available at: </w:t>
      </w:r>
      <w:hyperlink r:id="rId11" w:tgtFrame="_new" w:history="1">
        <w:r w:rsidRPr="00B12DC9">
          <w:rPr>
            <w:rStyle w:val="Hyperlink"/>
            <w:rFonts w:ascii="Trebuchet MS" w:eastAsia="Times New Roman" w:hAnsi="Trebuchet MS" w:cs="Calibri"/>
            <w:kern w:val="0"/>
            <w:u w:val="none"/>
            <w:lang w:eastAsia="en-GB"/>
            <w14:ligatures w14:val="none"/>
          </w:rPr>
          <w:t>https://www.conference-board.org/publications/talent-acquisition-strategic-workforce-planning</w:t>
        </w:r>
      </w:hyperlink>
      <w:r w:rsidRPr="00B12DC9">
        <w:rPr>
          <w:rFonts w:ascii="Trebuchet MS" w:eastAsia="Times New Roman" w:hAnsi="Trebuchet MS" w:cs="Calibri"/>
          <w:kern w:val="0"/>
          <w:lang w:eastAsia="en-GB"/>
          <w14:ligatures w14:val="none"/>
        </w:rPr>
        <w:t xml:space="preserve"> (Accessed: 26 June 2025)</w:t>
      </w:r>
    </w:p>
    <w:p w14:paraId="69D729EB" w14:textId="77777777" w:rsidR="00B12DC9" w:rsidRPr="00B12DC9" w:rsidRDefault="00B12DC9" w:rsidP="00B12DC9">
      <w:pPr>
        <w:spacing w:before="100" w:beforeAutospacing="1" w:after="100" w:afterAutospacing="1" w:line="240" w:lineRule="auto"/>
        <w:rPr>
          <w:rFonts w:ascii="Trebuchet MS" w:eastAsia="Times New Roman" w:hAnsi="Trebuchet MS" w:cs="Calibri"/>
          <w:kern w:val="0"/>
          <w:lang w:eastAsia="en-GB"/>
          <w14:ligatures w14:val="none"/>
        </w:rPr>
      </w:pPr>
      <w:r w:rsidRPr="00B12DC9">
        <w:rPr>
          <w:rFonts w:ascii="Trebuchet MS" w:eastAsia="Times New Roman" w:hAnsi="Trebuchet MS" w:cs="Calibri"/>
          <w:kern w:val="0"/>
          <w:lang w:eastAsia="en-GB"/>
          <w14:ligatures w14:val="none"/>
        </w:rPr>
        <w:t xml:space="preserve">Berger, T., Frey, C. B., Levin, G., &amp; Danda, S. R. (2019). Uber happy? Work and well-being in the ‘Gig Economy.’ </w:t>
      </w:r>
      <w:r w:rsidRPr="00B12DC9">
        <w:rPr>
          <w:rFonts w:ascii="Trebuchet MS" w:eastAsia="Times New Roman" w:hAnsi="Trebuchet MS" w:cs="Calibri"/>
          <w:i/>
          <w:iCs/>
          <w:kern w:val="0"/>
          <w:lang w:eastAsia="en-GB"/>
          <w14:ligatures w14:val="none"/>
        </w:rPr>
        <w:t>Economic Policy</w:t>
      </w:r>
      <w:r w:rsidRPr="00B12DC9">
        <w:rPr>
          <w:rFonts w:ascii="Trebuchet MS" w:eastAsia="Times New Roman" w:hAnsi="Trebuchet MS" w:cs="Calibri"/>
          <w:kern w:val="0"/>
          <w:lang w:eastAsia="en-GB"/>
          <w14:ligatures w14:val="none"/>
        </w:rPr>
        <w:t xml:space="preserve">, 34(99), pp.429–477. </w:t>
      </w:r>
      <w:hyperlink r:id="rId12" w:tgtFrame="_new" w:history="1">
        <w:r w:rsidRPr="00B12DC9">
          <w:rPr>
            <w:rStyle w:val="Hyperlink"/>
            <w:rFonts w:ascii="Trebuchet MS" w:eastAsia="Times New Roman" w:hAnsi="Trebuchet MS" w:cs="Calibri"/>
            <w:kern w:val="0"/>
            <w:u w:val="none"/>
            <w:lang w:eastAsia="en-GB"/>
            <w14:ligatures w14:val="none"/>
          </w:rPr>
          <w:t>https://doi.org/10.1093/epolic/eiz007</w:t>
        </w:r>
      </w:hyperlink>
    </w:p>
    <w:p w14:paraId="3DDFEF7A" w14:textId="77777777" w:rsidR="00B12DC9" w:rsidRPr="00B12DC9" w:rsidRDefault="00B12DC9" w:rsidP="00B12DC9">
      <w:pPr>
        <w:spacing w:before="100" w:beforeAutospacing="1" w:after="100" w:afterAutospacing="1" w:line="240" w:lineRule="auto"/>
        <w:rPr>
          <w:rFonts w:ascii="Trebuchet MS" w:eastAsia="Times New Roman" w:hAnsi="Trebuchet MS" w:cs="Calibri"/>
          <w:kern w:val="0"/>
          <w:lang w:eastAsia="en-GB"/>
          <w14:ligatures w14:val="none"/>
        </w:rPr>
      </w:pPr>
      <w:r w:rsidRPr="00B12DC9">
        <w:rPr>
          <w:rFonts w:ascii="Trebuchet MS" w:eastAsia="Times New Roman" w:hAnsi="Trebuchet MS" w:cs="Calibri"/>
          <w:kern w:val="0"/>
          <w:lang w:eastAsia="en-GB"/>
          <w14:ligatures w14:val="none"/>
        </w:rPr>
        <w:t xml:space="preserve">Breaugh, J. (2009). Realistic job previews. In R. Watkins, D. Leigh, and D. Kaufman (eds.) </w:t>
      </w:r>
      <w:r w:rsidRPr="00B12DC9">
        <w:rPr>
          <w:rFonts w:ascii="Trebuchet MS" w:eastAsia="Times New Roman" w:hAnsi="Trebuchet MS" w:cs="Calibri"/>
          <w:i/>
          <w:iCs/>
          <w:kern w:val="0"/>
          <w:lang w:eastAsia="en-GB"/>
          <w14:ligatures w14:val="none"/>
        </w:rPr>
        <w:t>Handbook of Improving Performance in the Workplace: Volumes 1–3</w:t>
      </w:r>
      <w:r w:rsidRPr="00B12DC9">
        <w:rPr>
          <w:rFonts w:ascii="Trebuchet MS" w:eastAsia="Times New Roman" w:hAnsi="Trebuchet MS" w:cs="Calibri"/>
          <w:kern w:val="0"/>
          <w:lang w:eastAsia="en-GB"/>
          <w14:ligatures w14:val="none"/>
        </w:rPr>
        <w:t>. San Francisco: Pfeiffer, pp.203–220.</w:t>
      </w:r>
    </w:p>
    <w:p w14:paraId="52F2E37A" w14:textId="77777777" w:rsidR="00B12DC9" w:rsidRPr="00B12DC9" w:rsidRDefault="00B12DC9" w:rsidP="00B12DC9">
      <w:pPr>
        <w:spacing w:before="100" w:beforeAutospacing="1" w:after="100" w:afterAutospacing="1" w:line="240" w:lineRule="auto"/>
        <w:rPr>
          <w:rFonts w:ascii="Trebuchet MS" w:eastAsia="Times New Roman" w:hAnsi="Trebuchet MS" w:cs="Calibri"/>
          <w:kern w:val="0"/>
          <w:lang w:eastAsia="en-GB"/>
          <w14:ligatures w14:val="none"/>
        </w:rPr>
      </w:pPr>
      <w:r w:rsidRPr="00B12DC9">
        <w:rPr>
          <w:rFonts w:ascii="Trebuchet MS" w:eastAsia="Times New Roman" w:hAnsi="Trebuchet MS" w:cs="Calibri"/>
          <w:kern w:val="0"/>
          <w:lang w:eastAsia="en-GB"/>
          <w14:ligatures w14:val="none"/>
        </w:rPr>
        <w:t xml:space="preserve">Bryce, R.M. and Henderson, J.A. (2025). Workforce population modelling: Population by convolution. </w:t>
      </w:r>
      <w:r w:rsidRPr="00B12DC9">
        <w:rPr>
          <w:rFonts w:ascii="Trebuchet MS" w:eastAsia="Times New Roman" w:hAnsi="Trebuchet MS" w:cs="Calibri"/>
          <w:i/>
          <w:iCs/>
          <w:kern w:val="0"/>
          <w:lang w:eastAsia="en-GB"/>
          <w14:ligatures w14:val="none"/>
        </w:rPr>
        <w:t>Journal of the Operational Research Society</w:t>
      </w:r>
      <w:r w:rsidRPr="00B12DC9">
        <w:rPr>
          <w:rFonts w:ascii="Trebuchet MS" w:eastAsia="Times New Roman" w:hAnsi="Trebuchet MS" w:cs="Calibri"/>
          <w:kern w:val="0"/>
          <w:lang w:eastAsia="en-GB"/>
          <w14:ligatures w14:val="none"/>
        </w:rPr>
        <w:t>, pp.1–7.</w:t>
      </w:r>
    </w:p>
    <w:p w14:paraId="4B0D9616" w14:textId="77777777" w:rsidR="00B12DC9" w:rsidRPr="00B12DC9" w:rsidRDefault="00B12DC9" w:rsidP="00B12DC9">
      <w:pPr>
        <w:spacing w:before="100" w:beforeAutospacing="1" w:after="100" w:afterAutospacing="1" w:line="240" w:lineRule="auto"/>
        <w:rPr>
          <w:rFonts w:ascii="Trebuchet MS" w:eastAsia="Times New Roman" w:hAnsi="Trebuchet MS" w:cs="Calibri"/>
          <w:kern w:val="0"/>
          <w:lang w:eastAsia="en-GB"/>
          <w14:ligatures w14:val="none"/>
        </w:rPr>
      </w:pPr>
      <w:r w:rsidRPr="00B12DC9">
        <w:rPr>
          <w:rFonts w:ascii="Trebuchet MS" w:eastAsia="Times New Roman" w:hAnsi="Trebuchet MS" w:cs="Calibri"/>
          <w:kern w:val="0"/>
          <w:lang w:eastAsia="en-GB"/>
          <w14:ligatures w14:val="none"/>
        </w:rPr>
        <w:t xml:space="preserve">Choudhary, S. (2016). Job enrichment: A tool for employee motivation. </w:t>
      </w:r>
      <w:r w:rsidRPr="00B12DC9">
        <w:rPr>
          <w:rFonts w:ascii="Trebuchet MS" w:eastAsia="Times New Roman" w:hAnsi="Trebuchet MS" w:cs="Calibri"/>
          <w:i/>
          <w:iCs/>
          <w:kern w:val="0"/>
          <w:lang w:eastAsia="en-GB"/>
          <w14:ligatures w14:val="none"/>
        </w:rPr>
        <w:t>International Journal of Applied Research</w:t>
      </w:r>
      <w:r w:rsidRPr="00B12DC9">
        <w:rPr>
          <w:rFonts w:ascii="Trebuchet MS" w:eastAsia="Times New Roman" w:hAnsi="Trebuchet MS" w:cs="Calibri"/>
          <w:kern w:val="0"/>
          <w:lang w:eastAsia="en-GB"/>
          <w14:ligatures w14:val="none"/>
        </w:rPr>
        <w:t>, 2(5), pp.1020–1024.</w:t>
      </w:r>
    </w:p>
    <w:p w14:paraId="6343B0DE" w14:textId="77777777" w:rsidR="00B12DC9" w:rsidRPr="00B12DC9" w:rsidRDefault="00B12DC9" w:rsidP="00B12DC9">
      <w:pPr>
        <w:spacing w:before="100" w:beforeAutospacing="1" w:after="100" w:afterAutospacing="1" w:line="240" w:lineRule="auto"/>
        <w:rPr>
          <w:rFonts w:ascii="Trebuchet MS" w:eastAsia="Times New Roman" w:hAnsi="Trebuchet MS" w:cs="Calibri"/>
          <w:kern w:val="0"/>
          <w:lang w:eastAsia="en-GB"/>
          <w14:ligatures w14:val="none"/>
        </w:rPr>
      </w:pPr>
      <w:r w:rsidRPr="00B12DC9">
        <w:rPr>
          <w:rFonts w:ascii="Trebuchet MS" w:eastAsia="Times New Roman" w:hAnsi="Trebuchet MS" w:cs="Calibri"/>
          <w:kern w:val="0"/>
          <w:lang w:eastAsia="en-GB"/>
          <w14:ligatures w14:val="none"/>
        </w:rPr>
        <w:t xml:space="preserve">Christie, N., &amp; Ward, H. (2019). The health and safety risks for people who drive for work in the gig economy. </w:t>
      </w:r>
      <w:r w:rsidRPr="00B12DC9">
        <w:rPr>
          <w:rFonts w:ascii="Trebuchet MS" w:eastAsia="Times New Roman" w:hAnsi="Trebuchet MS" w:cs="Calibri"/>
          <w:i/>
          <w:iCs/>
          <w:kern w:val="0"/>
          <w:lang w:eastAsia="en-GB"/>
          <w14:ligatures w14:val="none"/>
        </w:rPr>
        <w:t>Journal of Transport &amp; Health</w:t>
      </w:r>
      <w:r w:rsidRPr="00B12DC9">
        <w:rPr>
          <w:rFonts w:ascii="Trebuchet MS" w:eastAsia="Times New Roman" w:hAnsi="Trebuchet MS" w:cs="Calibri"/>
          <w:kern w:val="0"/>
          <w:lang w:eastAsia="en-GB"/>
          <w14:ligatures w14:val="none"/>
        </w:rPr>
        <w:t>, 13, pp.115–127.</w:t>
      </w:r>
    </w:p>
    <w:p w14:paraId="36E51D8D" w14:textId="77777777" w:rsidR="00B12DC9" w:rsidRPr="00B12DC9" w:rsidRDefault="00B12DC9" w:rsidP="00B12DC9">
      <w:pPr>
        <w:spacing w:before="100" w:beforeAutospacing="1" w:after="100" w:afterAutospacing="1" w:line="240" w:lineRule="auto"/>
        <w:rPr>
          <w:rFonts w:ascii="Trebuchet MS" w:eastAsia="Times New Roman" w:hAnsi="Trebuchet MS" w:cs="Calibri"/>
          <w:kern w:val="0"/>
          <w:lang w:eastAsia="en-GB"/>
          <w14:ligatures w14:val="none"/>
        </w:rPr>
      </w:pPr>
      <w:r w:rsidRPr="00B12DC9">
        <w:rPr>
          <w:rFonts w:ascii="Trebuchet MS" w:eastAsia="Times New Roman" w:hAnsi="Trebuchet MS" w:cs="Calibri"/>
          <w:kern w:val="0"/>
          <w:lang w:eastAsia="en-GB"/>
          <w14:ligatures w14:val="none"/>
        </w:rPr>
        <w:t xml:space="preserve">CIPD. (2023). Employee turnover and retention. [Online] CIPD. Available at: </w:t>
      </w:r>
      <w:hyperlink r:id="rId13" w:tgtFrame="_new" w:history="1">
        <w:r w:rsidRPr="00B12DC9">
          <w:rPr>
            <w:rStyle w:val="Hyperlink"/>
            <w:rFonts w:ascii="Trebuchet MS" w:eastAsia="Times New Roman" w:hAnsi="Trebuchet MS" w:cs="Calibri"/>
            <w:kern w:val="0"/>
            <w:u w:val="none"/>
            <w:lang w:eastAsia="en-GB"/>
            <w14:ligatures w14:val="none"/>
          </w:rPr>
          <w:t>https://www.cipd.org/uk/knowledge/factsheets/turnover-retention-factsheet/</w:t>
        </w:r>
      </w:hyperlink>
      <w:r w:rsidRPr="00B12DC9">
        <w:rPr>
          <w:rFonts w:ascii="Trebuchet MS" w:eastAsia="Times New Roman" w:hAnsi="Trebuchet MS" w:cs="Calibri"/>
          <w:kern w:val="0"/>
          <w:lang w:eastAsia="en-GB"/>
          <w14:ligatures w14:val="none"/>
        </w:rPr>
        <w:t xml:space="preserve"> [Accessed 13 June 2025]</w:t>
      </w:r>
    </w:p>
    <w:p w14:paraId="0EAB6917" w14:textId="77777777" w:rsidR="00B12DC9" w:rsidRPr="00B12DC9" w:rsidRDefault="00B12DC9" w:rsidP="00B12DC9">
      <w:pPr>
        <w:spacing w:before="100" w:beforeAutospacing="1" w:after="100" w:afterAutospacing="1" w:line="240" w:lineRule="auto"/>
        <w:rPr>
          <w:rFonts w:ascii="Trebuchet MS" w:eastAsia="Times New Roman" w:hAnsi="Trebuchet MS" w:cs="Calibri"/>
          <w:kern w:val="0"/>
          <w:lang w:eastAsia="en-GB"/>
          <w14:ligatures w14:val="none"/>
        </w:rPr>
      </w:pPr>
      <w:r w:rsidRPr="00B12DC9">
        <w:rPr>
          <w:rFonts w:ascii="Trebuchet MS" w:eastAsia="Times New Roman" w:hAnsi="Trebuchet MS" w:cs="Calibri"/>
          <w:kern w:val="0"/>
          <w:lang w:eastAsia="en-GB"/>
          <w14:ligatures w14:val="none"/>
        </w:rPr>
        <w:lastRenderedPageBreak/>
        <w:t xml:space="preserve">CIPD. (2024a). Workforce planning factsheet. Available at: </w:t>
      </w:r>
      <w:hyperlink r:id="rId14" w:tgtFrame="_new" w:history="1">
        <w:r w:rsidRPr="00B12DC9">
          <w:rPr>
            <w:rStyle w:val="Hyperlink"/>
            <w:rFonts w:ascii="Trebuchet MS" w:eastAsia="Times New Roman" w:hAnsi="Trebuchet MS" w:cs="Calibri"/>
            <w:kern w:val="0"/>
            <w:u w:val="none"/>
            <w:lang w:eastAsia="en-GB"/>
            <w14:ligatures w14:val="none"/>
          </w:rPr>
          <w:t>https://www.cipd.org/uk/knowledge/factsheets/workforce-planning-factsheet/</w:t>
        </w:r>
      </w:hyperlink>
      <w:r w:rsidRPr="00B12DC9">
        <w:rPr>
          <w:rFonts w:ascii="Trebuchet MS" w:eastAsia="Times New Roman" w:hAnsi="Trebuchet MS" w:cs="Calibri"/>
          <w:kern w:val="0"/>
          <w:lang w:eastAsia="en-GB"/>
          <w14:ligatures w14:val="none"/>
        </w:rPr>
        <w:t xml:space="preserve"> (Accessed: 9 June 2025)</w:t>
      </w:r>
    </w:p>
    <w:p w14:paraId="60EB5A0A" w14:textId="77777777" w:rsidR="00B12DC9" w:rsidRPr="00B12DC9" w:rsidRDefault="00B12DC9" w:rsidP="00B12DC9">
      <w:pPr>
        <w:spacing w:before="100" w:beforeAutospacing="1" w:after="100" w:afterAutospacing="1" w:line="240" w:lineRule="auto"/>
        <w:rPr>
          <w:rFonts w:ascii="Trebuchet MS" w:eastAsia="Times New Roman" w:hAnsi="Trebuchet MS" w:cs="Calibri"/>
          <w:kern w:val="0"/>
          <w:lang w:eastAsia="en-GB"/>
          <w14:ligatures w14:val="none"/>
        </w:rPr>
      </w:pPr>
      <w:r w:rsidRPr="00B12DC9">
        <w:rPr>
          <w:rFonts w:ascii="Trebuchet MS" w:eastAsia="Times New Roman" w:hAnsi="Trebuchet MS" w:cs="Calibri"/>
          <w:kern w:val="0"/>
          <w:lang w:eastAsia="en-GB"/>
          <w14:ligatures w14:val="none"/>
        </w:rPr>
        <w:t xml:space="preserve">CIPD. (2024b). Induction: Factsheet. Available at: </w:t>
      </w:r>
      <w:hyperlink r:id="rId15" w:tgtFrame="_new" w:history="1">
        <w:r w:rsidRPr="00B12DC9">
          <w:rPr>
            <w:rStyle w:val="Hyperlink"/>
            <w:rFonts w:ascii="Trebuchet MS" w:eastAsia="Times New Roman" w:hAnsi="Trebuchet MS" w:cs="Calibri"/>
            <w:kern w:val="0"/>
            <w:u w:val="none"/>
            <w:lang w:eastAsia="en-GB"/>
            <w14:ligatures w14:val="none"/>
          </w:rPr>
          <w:t>https://www.cipd.org/uk/knowledge/factsheets/induction-factsheet/</w:t>
        </w:r>
      </w:hyperlink>
      <w:r w:rsidRPr="00B12DC9">
        <w:rPr>
          <w:rFonts w:ascii="Trebuchet MS" w:eastAsia="Times New Roman" w:hAnsi="Trebuchet MS" w:cs="Calibri"/>
          <w:kern w:val="0"/>
          <w:lang w:eastAsia="en-GB"/>
          <w14:ligatures w14:val="none"/>
        </w:rPr>
        <w:t xml:space="preserve"> (Accessed: 26 November 2024)</w:t>
      </w:r>
    </w:p>
    <w:p w14:paraId="3FEA24CC" w14:textId="77777777" w:rsidR="00B12DC9" w:rsidRPr="00B12DC9" w:rsidRDefault="00B12DC9" w:rsidP="00B12DC9">
      <w:pPr>
        <w:spacing w:before="100" w:beforeAutospacing="1" w:after="100" w:afterAutospacing="1" w:line="240" w:lineRule="auto"/>
        <w:rPr>
          <w:rFonts w:ascii="Trebuchet MS" w:eastAsia="Times New Roman" w:hAnsi="Trebuchet MS" w:cs="Calibri"/>
          <w:kern w:val="0"/>
          <w:lang w:eastAsia="en-GB"/>
          <w14:ligatures w14:val="none"/>
        </w:rPr>
      </w:pPr>
      <w:r w:rsidRPr="00B12DC9">
        <w:rPr>
          <w:rFonts w:ascii="Trebuchet MS" w:eastAsia="Times New Roman" w:hAnsi="Trebuchet MS" w:cs="Calibri"/>
          <w:kern w:val="0"/>
          <w:lang w:eastAsia="en-GB"/>
          <w14:ligatures w14:val="none"/>
        </w:rPr>
        <w:t xml:space="preserve">CIPD. (2024c). Reward. Available at: </w:t>
      </w:r>
      <w:hyperlink r:id="rId16" w:tgtFrame="_new" w:history="1">
        <w:r w:rsidRPr="00B12DC9">
          <w:rPr>
            <w:rStyle w:val="Hyperlink"/>
            <w:rFonts w:ascii="Trebuchet MS" w:eastAsia="Times New Roman" w:hAnsi="Trebuchet MS" w:cs="Calibri"/>
            <w:kern w:val="0"/>
            <w:u w:val="none"/>
            <w:lang w:eastAsia="en-GB"/>
            <w14:ligatures w14:val="none"/>
          </w:rPr>
          <w:t>https://www.cipd.org/uk/knowledge/factsheets/reward-factsheet/</w:t>
        </w:r>
      </w:hyperlink>
      <w:r w:rsidRPr="00B12DC9">
        <w:rPr>
          <w:rFonts w:ascii="Trebuchet MS" w:eastAsia="Times New Roman" w:hAnsi="Trebuchet MS" w:cs="Calibri"/>
          <w:kern w:val="0"/>
          <w:lang w:eastAsia="en-GB"/>
          <w14:ligatures w14:val="none"/>
        </w:rPr>
        <w:t xml:space="preserve"> (Accessed: 16 June 2025)</w:t>
      </w:r>
    </w:p>
    <w:p w14:paraId="149286EB" w14:textId="77777777" w:rsidR="00B12DC9" w:rsidRPr="00B12DC9" w:rsidRDefault="00B12DC9" w:rsidP="00B12DC9">
      <w:pPr>
        <w:spacing w:before="100" w:beforeAutospacing="1" w:after="100" w:afterAutospacing="1" w:line="240" w:lineRule="auto"/>
        <w:rPr>
          <w:rFonts w:ascii="Trebuchet MS" w:eastAsia="Times New Roman" w:hAnsi="Trebuchet MS" w:cs="Calibri"/>
          <w:kern w:val="0"/>
          <w:lang w:eastAsia="en-GB"/>
          <w14:ligatures w14:val="none"/>
        </w:rPr>
      </w:pPr>
      <w:r w:rsidRPr="00B12DC9">
        <w:rPr>
          <w:rFonts w:ascii="Trebuchet MS" w:eastAsia="Times New Roman" w:hAnsi="Trebuchet MS" w:cs="Calibri"/>
          <w:kern w:val="0"/>
          <w:lang w:eastAsia="en-GB"/>
          <w14:ligatures w14:val="none"/>
        </w:rPr>
        <w:t xml:space="preserve">CIPD. (2024d). Terms and conditions of employment: Factsheet. Available at: </w:t>
      </w:r>
      <w:hyperlink r:id="rId17" w:tgtFrame="_new" w:history="1">
        <w:r w:rsidRPr="00B12DC9">
          <w:rPr>
            <w:rStyle w:val="Hyperlink"/>
            <w:rFonts w:ascii="Trebuchet MS" w:eastAsia="Times New Roman" w:hAnsi="Trebuchet MS" w:cs="Calibri"/>
            <w:kern w:val="0"/>
            <w:u w:val="none"/>
            <w:lang w:eastAsia="en-GB"/>
            <w14:ligatures w14:val="none"/>
          </w:rPr>
          <w:t>https://www.cipd.org/uk/knowledge/factsheets/terms-conditions-contracts-factsheet/</w:t>
        </w:r>
      </w:hyperlink>
      <w:r w:rsidRPr="00B12DC9">
        <w:rPr>
          <w:rFonts w:ascii="Trebuchet MS" w:eastAsia="Times New Roman" w:hAnsi="Trebuchet MS" w:cs="Calibri"/>
          <w:kern w:val="0"/>
          <w:lang w:eastAsia="en-GB"/>
          <w14:ligatures w14:val="none"/>
        </w:rPr>
        <w:t xml:space="preserve"> (Accessed: 26 June 2025)</w:t>
      </w:r>
    </w:p>
    <w:p w14:paraId="544EB2EC" w14:textId="77777777" w:rsidR="00B12DC9" w:rsidRPr="00B12DC9" w:rsidRDefault="00B12DC9" w:rsidP="00B12DC9">
      <w:pPr>
        <w:spacing w:before="100" w:beforeAutospacing="1" w:after="100" w:afterAutospacing="1" w:line="240" w:lineRule="auto"/>
        <w:rPr>
          <w:rFonts w:ascii="Trebuchet MS" w:eastAsia="Times New Roman" w:hAnsi="Trebuchet MS" w:cs="Calibri"/>
          <w:kern w:val="0"/>
          <w:lang w:eastAsia="en-GB"/>
          <w14:ligatures w14:val="none"/>
        </w:rPr>
      </w:pPr>
      <w:r w:rsidRPr="00B12DC9">
        <w:rPr>
          <w:rFonts w:ascii="Trebuchet MS" w:eastAsia="Times New Roman" w:hAnsi="Trebuchet MS" w:cs="Calibri"/>
          <w:kern w:val="0"/>
          <w:lang w:eastAsia="en-GB"/>
          <w14:ligatures w14:val="none"/>
        </w:rPr>
        <w:t xml:space="preserve">CIPD. (2024e). Resource and talent planning report 2024. Available at: </w:t>
      </w:r>
      <w:hyperlink r:id="rId18" w:tgtFrame="_new" w:history="1">
        <w:r w:rsidRPr="00B12DC9">
          <w:rPr>
            <w:rStyle w:val="Hyperlink"/>
            <w:rFonts w:ascii="Trebuchet MS" w:eastAsia="Times New Roman" w:hAnsi="Trebuchet MS" w:cs="Calibri"/>
            <w:kern w:val="0"/>
            <w:u w:val="none"/>
            <w:lang w:eastAsia="en-GB"/>
            <w14:ligatures w14:val="none"/>
          </w:rPr>
          <w:t>https://www.cipd.org/globalassets/media/knowledge/knowledge-hub/reports/2024-pdfs/8662-resource-and-talent-planning-2024-report-web.pdf</w:t>
        </w:r>
      </w:hyperlink>
      <w:r w:rsidRPr="00B12DC9">
        <w:rPr>
          <w:rFonts w:ascii="Trebuchet MS" w:eastAsia="Times New Roman" w:hAnsi="Trebuchet MS" w:cs="Calibri"/>
          <w:kern w:val="0"/>
          <w:lang w:eastAsia="en-GB"/>
          <w14:ligatures w14:val="none"/>
        </w:rPr>
        <w:t xml:space="preserve"> (Accessed: 26 November 2024)</w:t>
      </w:r>
    </w:p>
    <w:p w14:paraId="6A32E17F" w14:textId="77777777" w:rsidR="00B12DC9" w:rsidRPr="00B12DC9" w:rsidRDefault="00B12DC9" w:rsidP="00B12DC9">
      <w:pPr>
        <w:spacing w:before="100" w:beforeAutospacing="1" w:after="100" w:afterAutospacing="1" w:line="240" w:lineRule="auto"/>
        <w:rPr>
          <w:rFonts w:ascii="Trebuchet MS" w:eastAsia="Times New Roman" w:hAnsi="Trebuchet MS" w:cs="Calibri"/>
          <w:kern w:val="0"/>
          <w:lang w:eastAsia="en-GB"/>
          <w14:ligatures w14:val="none"/>
        </w:rPr>
      </w:pPr>
      <w:r w:rsidRPr="00B12DC9">
        <w:rPr>
          <w:rFonts w:ascii="Trebuchet MS" w:eastAsia="Times New Roman" w:hAnsi="Trebuchet MS" w:cs="Calibri"/>
          <w:kern w:val="0"/>
          <w:lang w:eastAsia="en-GB"/>
          <w14:ligatures w14:val="none"/>
        </w:rPr>
        <w:t xml:space="preserve">CIPD. (2024f). Fixed-term contracts: Guide for employers. [Online] Available at: </w:t>
      </w:r>
      <w:hyperlink r:id="rId19" w:tgtFrame="_new" w:history="1">
        <w:r w:rsidRPr="00B12DC9">
          <w:rPr>
            <w:rStyle w:val="Hyperlink"/>
            <w:rFonts w:ascii="Trebuchet MS" w:eastAsia="Times New Roman" w:hAnsi="Trebuchet MS" w:cs="Calibri"/>
            <w:kern w:val="0"/>
            <w:u w:val="none"/>
            <w:lang w:eastAsia="en-GB"/>
            <w14:ligatures w14:val="none"/>
          </w:rPr>
          <w:t>https://www.cipd.org</w:t>
        </w:r>
      </w:hyperlink>
      <w:r w:rsidRPr="00B12DC9">
        <w:rPr>
          <w:rFonts w:ascii="Trebuchet MS" w:eastAsia="Times New Roman" w:hAnsi="Trebuchet MS" w:cs="Calibri"/>
          <w:kern w:val="0"/>
          <w:lang w:eastAsia="en-GB"/>
          <w14:ligatures w14:val="none"/>
        </w:rPr>
        <w:t xml:space="preserve"> [Accessed 18 Jun. 2025]</w:t>
      </w:r>
    </w:p>
    <w:p w14:paraId="3D01B634" w14:textId="77777777" w:rsidR="00B12DC9" w:rsidRPr="00B12DC9" w:rsidRDefault="00B12DC9" w:rsidP="00B12DC9">
      <w:pPr>
        <w:spacing w:before="100" w:beforeAutospacing="1" w:after="100" w:afterAutospacing="1" w:line="240" w:lineRule="auto"/>
        <w:rPr>
          <w:rFonts w:ascii="Trebuchet MS" w:eastAsia="Times New Roman" w:hAnsi="Trebuchet MS" w:cs="Calibri"/>
          <w:kern w:val="0"/>
          <w:lang w:eastAsia="en-GB"/>
          <w14:ligatures w14:val="none"/>
        </w:rPr>
      </w:pPr>
      <w:r w:rsidRPr="00B12DC9">
        <w:rPr>
          <w:rFonts w:ascii="Trebuchet MS" w:eastAsia="Times New Roman" w:hAnsi="Trebuchet MS" w:cs="Calibri"/>
          <w:kern w:val="0"/>
          <w:lang w:eastAsia="en-GB"/>
          <w14:ligatures w14:val="none"/>
        </w:rPr>
        <w:t xml:space="preserve">CIPD. (2024g). Workforce planning: Factsheet. Available at: </w:t>
      </w:r>
      <w:hyperlink r:id="rId20" w:tgtFrame="_new" w:history="1">
        <w:r w:rsidRPr="00B12DC9">
          <w:rPr>
            <w:rStyle w:val="Hyperlink"/>
            <w:rFonts w:ascii="Trebuchet MS" w:eastAsia="Times New Roman" w:hAnsi="Trebuchet MS" w:cs="Calibri"/>
            <w:kern w:val="0"/>
            <w:u w:val="none"/>
            <w:lang w:eastAsia="en-GB"/>
            <w14:ligatures w14:val="none"/>
          </w:rPr>
          <w:t>https://www.cipd.org/uk/knowledge/factsheets/workforce-planning-factsheet/</w:t>
        </w:r>
      </w:hyperlink>
      <w:r w:rsidRPr="00B12DC9">
        <w:rPr>
          <w:rFonts w:ascii="Trebuchet MS" w:eastAsia="Times New Roman" w:hAnsi="Trebuchet MS" w:cs="Calibri"/>
          <w:kern w:val="0"/>
          <w:lang w:eastAsia="en-GB"/>
          <w14:ligatures w14:val="none"/>
        </w:rPr>
        <w:t xml:space="preserve"> (Accessed: 26 June 2025)</w:t>
      </w:r>
    </w:p>
    <w:p w14:paraId="05B7C668" w14:textId="77777777" w:rsidR="00B12DC9" w:rsidRPr="00B12DC9" w:rsidRDefault="00B12DC9" w:rsidP="00B12DC9">
      <w:pPr>
        <w:spacing w:before="100" w:beforeAutospacing="1" w:after="100" w:afterAutospacing="1" w:line="240" w:lineRule="auto"/>
        <w:rPr>
          <w:rFonts w:ascii="Trebuchet MS" w:eastAsia="Times New Roman" w:hAnsi="Trebuchet MS" w:cs="Calibri"/>
          <w:kern w:val="0"/>
          <w:lang w:eastAsia="en-GB"/>
          <w14:ligatures w14:val="none"/>
        </w:rPr>
      </w:pPr>
      <w:r w:rsidRPr="00B12DC9">
        <w:rPr>
          <w:rFonts w:ascii="Trebuchet MS" w:eastAsia="Times New Roman" w:hAnsi="Trebuchet MS" w:cs="Calibri"/>
          <w:kern w:val="0"/>
          <w:lang w:eastAsia="en-GB"/>
          <w14:ligatures w14:val="none"/>
        </w:rPr>
        <w:t xml:space="preserve">CIPD. (2024h). Workforce planning. [Podcast] Available at: </w:t>
      </w:r>
      <w:hyperlink r:id="rId21" w:tgtFrame="_new" w:history="1">
        <w:r w:rsidRPr="00B12DC9">
          <w:rPr>
            <w:rStyle w:val="Hyperlink"/>
            <w:rFonts w:ascii="Trebuchet MS" w:eastAsia="Times New Roman" w:hAnsi="Trebuchet MS" w:cs="Calibri"/>
            <w:kern w:val="0"/>
            <w:u w:val="none"/>
            <w:lang w:eastAsia="en-GB"/>
            <w14:ligatures w14:val="none"/>
          </w:rPr>
          <w:t>https://www.cipd.org/uk/knowledge/podcasts/workforce-planning/</w:t>
        </w:r>
      </w:hyperlink>
      <w:r w:rsidRPr="00B12DC9">
        <w:rPr>
          <w:rFonts w:ascii="Trebuchet MS" w:eastAsia="Times New Roman" w:hAnsi="Trebuchet MS" w:cs="Calibri"/>
          <w:kern w:val="0"/>
          <w:lang w:eastAsia="en-GB"/>
          <w14:ligatures w14:val="none"/>
        </w:rPr>
        <w:t xml:space="preserve"> (Accessed: 26 June 2025)</w:t>
      </w:r>
    </w:p>
    <w:p w14:paraId="76432B44" w14:textId="77777777" w:rsidR="00B12DC9" w:rsidRPr="00B12DC9" w:rsidRDefault="00B12DC9" w:rsidP="00B12DC9">
      <w:pPr>
        <w:spacing w:before="100" w:beforeAutospacing="1" w:after="100" w:afterAutospacing="1" w:line="240" w:lineRule="auto"/>
        <w:rPr>
          <w:rFonts w:ascii="Trebuchet MS" w:eastAsia="Times New Roman" w:hAnsi="Trebuchet MS" w:cs="Calibri"/>
          <w:kern w:val="0"/>
          <w:lang w:eastAsia="en-GB"/>
          <w14:ligatures w14:val="none"/>
        </w:rPr>
      </w:pPr>
      <w:r w:rsidRPr="00B12DC9">
        <w:rPr>
          <w:rFonts w:ascii="Trebuchet MS" w:eastAsia="Times New Roman" w:hAnsi="Trebuchet MS" w:cs="Calibri"/>
          <w:kern w:val="0"/>
          <w:lang w:eastAsia="en-GB"/>
          <w14:ligatures w14:val="none"/>
        </w:rPr>
        <w:t xml:space="preserve">CIPD. (2025a). SWOT analysis factsheet. Available at: </w:t>
      </w:r>
      <w:hyperlink r:id="rId22" w:tgtFrame="_new" w:history="1">
        <w:r w:rsidRPr="00B12DC9">
          <w:rPr>
            <w:rStyle w:val="Hyperlink"/>
            <w:rFonts w:ascii="Trebuchet MS" w:eastAsia="Times New Roman" w:hAnsi="Trebuchet MS" w:cs="Calibri"/>
            <w:kern w:val="0"/>
            <w:u w:val="none"/>
            <w:lang w:eastAsia="en-GB"/>
            <w14:ligatures w14:val="none"/>
          </w:rPr>
          <w:t>https://www.cipd.org/uk/knowledge/factsheets/swot-analysis-factsheet/</w:t>
        </w:r>
      </w:hyperlink>
      <w:r w:rsidRPr="00B12DC9">
        <w:rPr>
          <w:rFonts w:ascii="Trebuchet MS" w:eastAsia="Times New Roman" w:hAnsi="Trebuchet MS" w:cs="Calibri"/>
          <w:kern w:val="0"/>
          <w:lang w:eastAsia="en-GB"/>
          <w14:ligatures w14:val="none"/>
        </w:rPr>
        <w:t xml:space="preserve"> (Accessed: 5 June 2025)</w:t>
      </w:r>
    </w:p>
    <w:p w14:paraId="09DFC558" w14:textId="77777777" w:rsidR="00B12DC9" w:rsidRPr="00B12DC9" w:rsidRDefault="00B12DC9" w:rsidP="00B12DC9">
      <w:pPr>
        <w:spacing w:before="100" w:beforeAutospacing="1" w:after="100" w:afterAutospacing="1" w:line="240" w:lineRule="auto"/>
        <w:rPr>
          <w:rFonts w:ascii="Trebuchet MS" w:eastAsia="Times New Roman" w:hAnsi="Trebuchet MS" w:cs="Calibri"/>
          <w:kern w:val="0"/>
          <w:lang w:eastAsia="en-GB"/>
          <w14:ligatures w14:val="none"/>
        </w:rPr>
      </w:pPr>
      <w:r w:rsidRPr="00B12DC9">
        <w:rPr>
          <w:rFonts w:ascii="Trebuchet MS" w:eastAsia="Times New Roman" w:hAnsi="Trebuchet MS" w:cs="Calibri"/>
          <w:kern w:val="0"/>
          <w:lang w:eastAsia="en-GB"/>
          <w14:ligatures w14:val="none"/>
        </w:rPr>
        <w:t xml:space="preserve">CIPD. (2025b). Employee retention. Available at: </w:t>
      </w:r>
      <w:hyperlink r:id="rId23" w:tgtFrame="_new" w:history="1">
        <w:r w:rsidRPr="00B12DC9">
          <w:rPr>
            <w:rStyle w:val="Hyperlink"/>
            <w:rFonts w:ascii="Trebuchet MS" w:eastAsia="Times New Roman" w:hAnsi="Trebuchet MS" w:cs="Calibri"/>
            <w:kern w:val="0"/>
            <w:u w:val="none"/>
            <w:lang w:eastAsia="en-GB"/>
            <w14:ligatures w14:val="none"/>
          </w:rPr>
          <w:t>https://www.cipd.org/uk/knowledge/guides/employee-retention/</w:t>
        </w:r>
      </w:hyperlink>
      <w:r w:rsidRPr="00B12DC9">
        <w:rPr>
          <w:rFonts w:ascii="Trebuchet MS" w:eastAsia="Times New Roman" w:hAnsi="Trebuchet MS" w:cs="Calibri"/>
          <w:kern w:val="0"/>
          <w:lang w:eastAsia="en-GB"/>
          <w14:ligatures w14:val="none"/>
        </w:rPr>
        <w:t xml:space="preserve"> (Accessed: 16 June 2025)</w:t>
      </w:r>
    </w:p>
    <w:p w14:paraId="68A27B56" w14:textId="77777777" w:rsidR="00B12DC9" w:rsidRPr="00B12DC9" w:rsidRDefault="00B12DC9" w:rsidP="00B12DC9">
      <w:pPr>
        <w:spacing w:before="100" w:beforeAutospacing="1" w:after="100" w:afterAutospacing="1" w:line="240" w:lineRule="auto"/>
        <w:rPr>
          <w:rFonts w:ascii="Trebuchet MS" w:eastAsia="Times New Roman" w:hAnsi="Trebuchet MS" w:cs="Calibri"/>
          <w:kern w:val="0"/>
          <w:lang w:eastAsia="en-GB"/>
          <w14:ligatures w14:val="none"/>
        </w:rPr>
      </w:pPr>
      <w:r w:rsidRPr="00B12DC9">
        <w:rPr>
          <w:rFonts w:ascii="Trebuchet MS" w:eastAsia="Times New Roman" w:hAnsi="Trebuchet MS" w:cs="Calibri"/>
          <w:kern w:val="0"/>
          <w:lang w:eastAsia="en-GB"/>
          <w14:ligatures w14:val="none"/>
        </w:rPr>
        <w:t xml:space="preserve">CIPD. (2025c). Economy &amp; labour market: Factsheet. Available at: </w:t>
      </w:r>
      <w:hyperlink r:id="rId24" w:tgtFrame="_new" w:history="1">
        <w:r w:rsidRPr="00B12DC9">
          <w:rPr>
            <w:rStyle w:val="Hyperlink"/>
            <w:rFonts w:ascii="Trebuchet MS" w:eastAsia="Times New Roman" w:hAnsi="Trebuchet MS" w:cs="Calibri"/>
            <w:kern w:val="0"/>
            <w:u w:val="none"/>
            <w:lang w:eastAsia="en-GB"/>
            <w14:ligatures w14:val="none"/>
          </w:rPr>
          <w:t>https://www.cipd.org/uk/knowledge/factsheets/economy-labour-market-factsheet/</w:t>
        </w:r>
      </w:hyperlink>
      <w:r w:rsidRPr="00B12DC9">
        <w:rPr>
          <w:rFonts w:ascii="Trebuchet MS" w:eastAsia="Times New Roman" w:hAnsi="Trebuchet MS" w:cs="Calibri"/>
          <w:kern w:val="0"/>
          <w:lang w:eastAsia="en-GB"/>
          <w14:ligatures w14:val="none"/>
        </w:rPr>
        <w:t xml:space="preserve"> (Accessed: 26 June 2025)</w:t>
      </w:r>
    </w:p>
    <w:p w14:paraId="3C627F30" w14:textId="77777777" w:rsidR="00B12DC9" w:rsidRPr="00B12DC9" w:rsidRDefault="00B12DC9" w:rsidP="00B12DC9">
      <w:pPr>
        <w:spacing w:before="100" w:beforeAutospacing="1" w:after="100" w:afterAutospacing="1" w:line="240" w:lineRule="auto"/>
        <w:rPr>
          <w:rFonts w:ascii="Trebuchet MS" w:eastAsia="Times New Roman" w:hAnsi="Trebuchet MS" w:cs="Calibri"/>
          <w:kern w:val="0"/>
          <w:lang w:eastAsia="en-GB"/>
          <w14:ligatures w14:val="none"/>
        </w:rPr>
      </w:pPr>
      <w:r w:rsidRPr="00B12DC9">
        <w:rPr>
          <w:rFonts w:ascii="Trebuchet MS" w:eastAsia="Times New Roman" w:hAnsi="Trebuchet MS" w:cs="Calibri"/>
          <w:kern w:val="0"/>
          <w:lang w:eastAsia="en-GB"/>
          <w14:ligatures w14:val="none"/>
        </w:rPr>
        <w:t xml:space="preserve">Cohen, R.J., Swerdlik, M.E. and Sturman, E.D. (2013). </w:t>
      </w:r>
      <w:r w:rsidRPr="00B12DC9">
        <w:rPr>
          <w:rFonts w:ascii="Trebuchet MS" w:eastAsia="Times New Roman" w:hAnsi="Trebuchet MS" w:cs="Calibri"/>
          <w:i/>
          <w:iCs/>
          <w:kern w:val="0"/>
          <w:lang w:eastAsia="en-GB"/>
          <w14:ligatures w14:val="none"/>
        </w:rPr>
        <w:t>Psychological testing and assessment: An introduction to tests and measurement</w:t>
      </w:r>
      <w:r w:rsidRPr="00B12DC9">
        <w:rPr>
          <w:rFonts w:ascii="Trebuchet MS" w:eastAsia="Times New Roman" w:hAnsi="Trebuchet MS" w:cs="Calibri"/>
          <w:kern w:val="0"/>
          <w:lang w:eastAsia="en-GB"/>
          <w14:ligatures w14:val="none"/>
        </w:rPr>
        <w:t>. 9th ed. New York: McGraw-Hill Education.</w:t>
      </w:r>
    </w:p>
    <w:p w14:paraId="6CA9C68B" w14:textId="77777777" w:rsidR="00B12DC9" w:rsidRPr="00B12DC9" w:rsidRDefault="00B12DC9" w:rsidP="00B12DC9">
      <w:pPr>
        <w:spacing w:before="100" w:beforeAutospacing="1" w:after="100" w:afterAutospacing="1" w:line="240" w:lineRule="auto"/>
        <w:rPr>
          <w:rFonts w:ascii="Trebuchet MS" w:eastAsia="Times New Roman" w:hAnsi="Trebuchet MS" w:cs="Calibri"/>
          <w:kern w:val="0"/>
          <w:lang w:eastAsia="en-GB"/>
          <w14:ligatures w14:val="none"/>
        </w:rPr>
      </w:pPr>
      <w:r w:rsidRPr="00B12DC9">
        <w:rPr>
          <w:rFonts w:ascii="Trebuchet MS" w:eastAsia="Times New Roman" w:hAnsi="Trebuchet MS" w:cs="Calibri"/>
          <w:kern w:val="0"/>
          <w:lang w:eastAsia="en-GB"/>
          <w14:ligatures w14:val="none"/>
        </w:rPr>
        <w:t xml:space="preserve">Dwivedi, P., Chaturvedi, V., &amp; Vashist, J. (2019). </w:t>
      </w:r>
      <w:r w:rsidRPr="00B12DC9">
        <w:rPr>
          <w:rFonts w:ascii="Trebuchet MS" w:eastAsia="Times New Roman" w:hAnsi="Trebuchet MS" w:cs="Calibri"/>
          <w:i/>
          <w:iCs/>
          <w:kern w:val="0"/>
          <w:lang w:eastAsia="en-GB"/>
          <w14:ligatures w14:val="none"/>
        </w:rPr>
        <w:t>Effulgence</w:t>
      </w:r>
      <w:r w:rsidRPr="00B12DC9">
        <w:rPr>
          <w:rFonts w:ascii="Trebuchet MS" w:eastAsia="Times New Roman" w:hAnsi="Trebuchet MS" w:cs="Calibri"/>
          <w:kern w:val="0"/>
          <w:lang w:eastAsia="en-GB"/>
          <w14:ligatures w14:val="none"/>
        </w:rPr>
        <w:t>, 17(1), pp.1–6.</w:t>
      </w:r>
    </w:p>
    <w:p w14:paraId="4832A208" w14:textId="77777777" w:rsidR="00B12DC9" w:rsidRPr="00B12DC9" w:rsidRDefault="00B12DC9" w:rsidP="00B12DC9">
      <w:pPr>
        <w:spacing w:before="100" w:beforeAutospacing="1" w:after="100" w:afterAutospacing="1" w:line="240" w:lineRule="auto"/>
        <w:rPr>
          <w:rFonts w:ascii="Trebuchet MS" w:eastAsia="Times New Roman" w:hAnsi="Trebuchet MS" w:cs="Calibri"/>
          <w:kern w:val="0"/>
          <w:lang w:eastAsia="en-GB"/>
          <w14:ligatures w14:val="none"/>
        </w:rPr>
      </w:pPr>
      <w:r w:rsidRPr="00B12DC9">
        <w:rPr>
          <w:rFonts w:ascii="Trebuchet MS" w:eastAsia="Times New Roman" w:hAnsi="Trebuchet MS" w:cs="Calibri"/>
          <w:kern w:val="0"/>
          <w:lang w:eastAsia="en-GB"/>
          <w14:ligatures w14:val="none"/>
        </w:rPr>
        <w:t xml:space="preserve">Ekinci, E. (2022). Monetary rewards in employee referral programs. </w:t>
      </w:r>
      <w:r w:rsidRPr="00B12DC9">
        <w:rPr>
          <w:rFonts w:ascii="Trebuchet MS" w:eastAsia="Times New Roman" w:hAnsi="Trebuchet MS" w:cs="Calibri"/>
          <w:i/>
          <w:iCs/>
          <w:kern w:val="0"/>
          <w:lang w:eastAsia="en-GB"/>
          <w14:ligatures w14:val="none"/>
        </w:rPr>
        <w:t>The Manchester School</w:t>
      </w:r>
      <w:r w:rsidRPr="00B12DC9">
        <w:rPr>
          <w:rFonts w:ascii="Trebuchet MS" w:eastAsia="Times New Roman" w:hAnsi="Trebuchet MS" w:cs="Calibri"/>
          <w:kern w:val="0"/>
          <w:lang w:eastAsia="en-GB"/>
          <w14:ligatures w14:val="none"/>
        </w:rPr>
        <w:t>, 90(1), pp.35–58.</w:t>
      </w:r>
    </w:p>
    <w:p w14:paraId="597ED729" w14:textId="77777777" w:rsidR="00B12DC9" w:rsidRPr="00B12DC9" w:rsidRDefault="00B12DC9" w:rsidP="00B12DC9">
      <w:pPr>
        <w:spacing w:before="100" w:beforeAutospacing="1" w:after="100" w:afterAutospacing="1" w:line="240" w:lineRule="auto"/>
        <w:rPr>
          <w:rFonts w:ascii="Trebuchet MS" w:eastAsia="Times New Roman" w:hAnsi="Trebuchet MS" w:cs="Calibri"/>
          <w:kern w:val="0"/>
          <w:lang w:eastAsia="en-GB"/>
          <w14:ligatures w14:val="none"/>
        </w:rPr>
      </w:pPr>
      <w:r w:rsidRPr="00B12DC9">
        <w:rPr>
          <w:rFonts w:ascii="Trebuchet MS" w:eastAsia="Times New Roman" w:hAnsi="Trebuchet MS" w:cs="Calibri"/>
          <w:kern w:val="0"/>
          <w:lang w:eastAsia="en-GB"/>
          <w14:ligatures w14:val="none"/>
        </w:rPr>
        <w:lastRenderedPageBreak/>
        <w:t xml:space="preserve">Farnham, D. and Chartered Institute of Personnel and Development, publisher. (2015). </w:t>
      </w:r>
      <w:r w:rsidRPr="00B12DC9">
        <w:rPr>
          <w:rFonts w:ascii="Trebuchet MS" w:eastAsia="Times New Roman" w:hAnsi="Trebuchet MS" w:cs="Calibri"/>
          <w:i/>
          <w:iCs/>
          <w:kern w:val="0"/>
          <w:lang w:eastAsia="en-GB"/>
          <w14:ligatures w14:val="none"/>
        </w:rPr>
        <w:t>Human resource management in context: strategies, insights and solutions</w:t>
      </w:r>
      <w:r w:rsidRPr="00B12DC9">
        <w:rPr>
          <w:rFonts w:ascii="Trebuchet MS" w:eastAsia="Times New Roman" w:hAnsi="Trebuchet MS" w:cs="Calibri"/>
          <w:kern w:val="0"/>
          <w:lang w:eastAsia="en-GB"/>
          <w14:ligatures w14:val="none"/>
        </w:rPr>
        <w:t>. 4th ed. London: CIPD.</w:t>
      </w:r>
    </w:p>
    <w:p w14:paraId="721119F5" w14:textId="77777777" w:rsidR="00B12DC9" w:rsidRPr="00B12DC9" w:rsidRDefault="00B12DC9" w:rsidP="00B12DC9">
      <w:pPr>
        <w:spacing w:before="100" w:beforeAutospacing="1" w:after="100" w:afterAutospacing="1" w:line="240" w:lineRule="auto"/>
        <w:rPr>
          <w:rFonts w:ascii="Trebuchet MS" w:eastAsia="Times New Roman" w:hAnsi="Trebuchet MS" w:cs="Calibri"/>
          <w:kern w:val="0"/>
          <w:lang w:eastAsia="en-GB"/>
          <w14:ligatures w14:val="none"/>
        </w:rPr>
      </w:pPr>
      <w:r w:rsidRPr="00B12DC9">
        <w:rPr>
          <w:rFonts w:ascii="Trebuchet MS" w:eastAsia="Times New Roman" w:hAnsi="Trebuchet MS" w:cs="Calibri"/>
          <w:kern w:val="0"/>
          <w:lang w:eastAsia="en-GB"/>
          <w14:ligatures w14:val="none"/>
        </w:rPr>
        <w:t xml:space="preserve">Gogate, L. and Pandey, S. (2015). Impact of Structured Induction on Mutually Beneficial Deployment and Talent Retention. </w:t>
      </w:r>
      <w:r w:rsidRPr="00B12DC9">
        <w:rPr>
          <w:rFonts w:ascii="Trebuchet MS" w:eastAsia="Times New Roman" w:hAnsi="Trebuchet MS" w:cs="Calibri"/>
          <w:i/>
          <w:iCs/>
          <w:kern w:val="0"/>
          <w:lang w:eastAsia="en-GB"/>
          <w14:ligatures w14:val="none"/>
        </w:rPr>
        <w:t>Indian Journal of Science and Technology</w:t>
      </w:r>
      <w:r w:rsidRPr="00B12DC9">
        <w:rPr>
          <w:rFonts w:ascii="Trebuchet MS" w:eastAsia="Times New Roman" w:hAnsi="Trebuchet MS" w:cs="Calibri"/>
          <w:kern w:val="0"/>
          <w:lang w:eastAsia="en-GB"/>
          <w14:ligatures w14:val="none"/>
        </w:rPr>
        <w:t>, 8(10), p.17485.</w:t>
      </w:r>
    </w:p>
    <w:p w14:paraId="151DB295" w14:textId="77777777" w:rsidR="00B12DC9" w:rsidRPr="00B12DC9" w:rsidRDefault="00B12DC9" w:rsidP="00B12DC9">
      <w:pPr>
        <w:spacing w:before="100" w:beforeAutospacing="1" w:after="100" w:afterAutospacing="1" w:line="240" w:lineRule="auto"/>
        <w:rPr>
          <w:rFonts w:ascii="Trebuchet MS" w:eastAsia="Times New Roman" w:hAnsi="Trebuchet MS" w:cs="Calibri"/>
          <w:kern w:val="0"/>
          <w:lang w:eastAsia="en-GB"/>
          <w14:ligatures w14:val="none"/>
        </w:rPr>
      </w:pPr>
      <w:r w:rsidRPr="00B12DC9">
        <w:rPr>
          <w:rFonts w:ascii="Trebuchet MS" w:eastAsia="Times New Roman" w:hAnsi="Trebuchet MS" w:cs="Calibri"/>
          <w:kern w:val="0"/>
          <w:lang w:eastAsia="en-GB"/>
          <w14:ligatures w14:val="none"/>
        </w:rPr>
        <w:t>Gogate, S. and Pandey, J. (2015). Employee induction: Best practices and future directions.</w:t>
      </w:r>
    </w:p>
    <w:p w14:paraId="2F58CB3B" w14:textId="77777777" w:rsidR="00B12DC9" w:rsidRPr="00B12DC9" w:rsidRDefault="00B12DC9" w:rsidP="00B12DC9">
      <w:pPr>
        <w:spacing w:before="100" w:beforeAutospacing="1" w:after="100" w:afterAutospacing="1" w:line="240" w:lineRule="auto"/>
        <w:rPr>
          <w:rFonts w:ascii="Trebuchet MS" w:eastAsia="Times New Roman" w:hAnsi="Trebuchet MS" w:cs="Calibri"/>
          <w:kern w:val="0"/>
          <w:lang w:eastAsia="en-GB"/>
          <w14:ligatures w14:val="none"/>
        </w:rPr>
      </w:pPr>
      <w:r w:rsidRPr="00B12DC9">
        <w:rPr>
          <w:rFonts w:ascii="Trebuchet MS" w:eastAsia="Times New Roman" w:hAnsi="Trebuchet MS" w:cs="Calibri"/>
          <w:kern w:val="0"/>
          <w:lang w:eastAsia="en-GB"/>
          <w14:ligatures w14:val="none"/>
        </w:rPr>
        <w:t xml:space="preserve">GOV.UK. (no date). Contract types and employer responsibilities: Overview. [Online] Available at: </w:t>
      </w:r>
      <w:hyperlink r:id="rId25" w:tgtFrame="_new" w:history="1">
        <w:r w:rsidRPr="00B12DC9">
          <w:rPr>
            <w:rStyle w:val="Hyperlink"/>
            <w:rFonts w:ascii="Trebuchet MS" w:eastAsia="Times New Roman" w:hAnsi="Trebuchet MS" w:cs="Calibri"/>
            <w:kern w:val="0"/>
            <w:u w:val="none"/>
            <w:lang w:eastAsia="en-GB"/>
            <w14:ligatures w14:val="none"/>
          </w:rPr>
          <w:t>https://www.gov.uk/fixed-term-contracts</w:t>
        </w:r>
      </w:hyperlink>
      <w:r w:rsidRPr="00B12DC9">
        <w:rPr>
          <w:rFonts w:ascii="Trebuchet MS" w:eastAsia="Times New Roman" w:hAnsi="Trebuchet MS" w:cs="Calibri"/>
          <w:kern w:val="0"/>
          <w:lang w:eastAsia="en-GB"/>
          <w14:ligatures w14:val="none"/>
        </w:rPr>
        <w:t xml:space="preserve"> [Accessed 18 Jun. 2025]</w:t>
      </w:r>
    </w:p>
    <w:p w14:paraId="7C796CBF" w14:textId="77777777" w:rsidR="00B12DC9" w:rsidRPr="00B12DC9" w:rsidRDefault="00B12DC9" w:rsidP="00B12DC9">
      <w:pPr>
        <w:spacing w:before="100" w:beforeAutospacing="1" w:after="100" w:afterAutospacing="1" w:line="240" w:lineRule="auto"/>
        <w:rPr>
          <w:rFonts w:ascii="Trebuchet MS" w:eastAsia="Times New Roman" w:hAnsi="Trebuchet MS" w:cs="Calibri"/>
          <w:kern w:val="0"/>
          <w:lang w:eastAsia="en-GB"/>
          <w14:ligatures w14:val="none"/>
        </w:rPr>
      </w:pPr>
      <w:r w:rsidRPr="00B12DC9">
        <w:rPr>
          <w:rFonts w:ascii="Trebuchet MS" w:eastAsia="Times New Roman" w:hAnsi="Trebuchet MS" w:cs="Calibri"/>
          <w:kern w:val="0"/>
          <w:lang w:eastAsia="en-GB"/>
          <w14:ligatures w14:val="none"/>
        </w:rPr>
        <w:t xml:space="preserve">Guillaume, P., Sullivan, S.E., Wolff, H.G. and Forret, M. (2019). Are there major differences in the attitudes and service quality of standard and seasonal employees? An empirical examination and implications for practice. </w:t>
      </w:r>
      <w:r w:rsidRPr="00B12DC9">
        <w:rPr>
          <w:rFonts w:ascii="Trebuchet MS" w:eastAsia="Times New Roman" w:hAnsi="Trebuchet MS" w:cs="Calibri"/>
          <w:i/>
          <w:iCs/>
          <w:kern w:val="0"/>
          <w:lang w:eastAsia="en-GB"/>
          <w14:ligatures w14:val="none"/>
        </w:rPr>
        <w:t>Human Resource Management</w:t>
      </w:r>
      <w:r w:rsidRPr="00B12DC9">
        <w:rPr>
          <w:rFonts w:ascii="Trebuchet MS" w:eastAsia="Times New Roman" w:hAnsi="Trebuchet MS" w:cs="Calibri"/>
          <w:kern w:val="0"/>
          <w:lang w:eastAsia="en-GB"/>
          <w14:ligatures w14:val="none"/>
        </w:rPr>
        <w:t>, 58(1), pp.45–56.</w:t>
      </w:r>
    </w:p>
    <w:p w14:paraId="594DE52E" w14:textId="77777777" w:rsidR="00B12DC9" w:rsidRPr="00B12DC9" w:rsidRDefault="00B12DC9" w:rsidP="00B12DC9">
      <w:pPr>
        <w:spacing w:before="100" w:beforeAutospacing="1" w:after="100" w:afterAutospacing="1" w:line="240" w:lineRule="auto"/>
        <w:rPr>
          <w:rFonts w:ascii="Trebuchet MS" w:eastAsia="Times New Roman" w:hAnsi="Trebuchet MS" w:cs="Calibri"/>
          <w:kern w:val="0"/>
          <w:lang w:eastAsia="en-GB"/>
          <w14:ligatures w14:val="none"/>
        </w:rPr>
      </w:pPr>
      <w:r w:rsidRPr="00B12DC9">
        <w:rPr>
          <w:rFonts w:ascii="Trebuchet MS" w:eastAsia="Times New Roman" w:hAnsi="Trebuchet MS" w:cs="Calibri"/>
          <w:kern w:val="0"/>
          <w:lang w:eastAsia="en-GB"/>
          <w14:ligatures w14:val="none"/>
        </w:rPr>
        <w:t xml:space="preserve">Indeed. (2025). Advantages and disadvantages of job enrichment. Available at: </w:t>
      </w:r>
      <w:hyperlink r:id="rId26" w:tgtFrame="_new" w:history="1">
        <w:r w:rsidRPr="00B12DC9">
          <w:rPr>
            <w:rStyle w:val="Hyperlink"/>
            <w:rFonts w:ascii="Trebuchet MS" w:eastAsia="Times New Roman" w:hAnsi="Trebuchet MS" w:cs="Calibri"/>
            <w:kern w:val="0"/>
            <w:u w:val="none"/>
            <w:lang w:eastAsia="en-GB"/>
            <w14:ligatures w14:val="none"/>
          </w:rPr>
          <w:t>https://uk.indeed.com/career-advice/career-development/advantages-and-disadvantages-of-job-enrichment</w:t>
        </w:r>
      </w:hyperlink>
      <w:r w:rsidRPr="00B12DC9">
        <w:rPr>
          <w:rFonts w:ascii="Trebuchet MS" w:eastAsia="Times New Roman" w:hAnsi="Trebuchet MS" w:cs="Calibri"/>
          <w:kern w:val="0"/>
          <w:lang w:eastAsia="en-GB"/>
          <w14:ligatures w14:val="none"/>
        </w:rPr>
        <w:t xml:space="preserve"> (Accessed: 16 June 2025)</w:t>
      </w:r>
    </w:p>
    <w:p w14:paraId="1C5DF10D" w14:textId="77777777" w:rsidR="00B12DC9" w:rsidRPr="00B12DC9" w:rsidRDefault="00B12DC9" w:rsidP="00B12DC9">
      <w:pPr>
        <w:spacing w:before="100" w:beforeAutospacing="1" w:after="100" w:afterAutospacing="1" w:line="240" w:lineRule="auto"/>
        <w:rPr>
          <w:rFonts w:ascii="Trebuchet MS" w:eastAsia="Times New Roman" w:hAnsi="Trebuchet MS" w:cs="Calibri"/>
          <w:kern w:val="0"/>
          <w:lang w:eastAsia="en-GB"/>
          <w14:ligatures w14:val="none"/>
        </w:rPr>
      </w:pPr>
      <w:r w:rsidRPr="00B12DC9">
        <w:rPr>
          <w:rFonts w:ascii="Trebuchet MS" w:eastAsia="Times New Roman" w:hAnsi="Trebuchet MS" w:cs="Calibri"/>
          <w:kern w:val="0"/>
          <w:lang w:eastAsia="en-GB"/>
          <w14:ligatures w14:val="none"/>
        </w:rPr>
        <w:t xml:space="preserve">Indeed Editorial Team. (2025). What is a competitive analysis? </w:t>
      </w:r>
      <w:r w:rsidRPr="00B12DC9">
        <w:rPr>
          <w:rFonts w:ascii="Trebuchet MS" w:eastAsia="Times New Roman" w:hAnsi="Trebuchet MS" w:cs="Calibri"/>
          <w:i/>
          <w:iCs/>
          <w:kern w:val="0"/>
          <w:lang w:eastAsia="en-GB"/>
          <w14:ligatures w14:val="none"/>
        </w:rPr>
        <w:t>Indeed Career Guide</w:t>
      </w:r>
      <w:r w:rsidRPr="00B12DC9">
        <w:rPr>
          <w:rFonts w:ascii="Trebuchet MS" w:eastAsia="Times New Roman" w:hAnsi="Trebuchet MS" w:cs="Calibri"/>
          <w:kern w:val="0"/>
          <w:lang w:eastAsia="en-GB"/>
          <w14:ligatures w14:val="none"/>
        </w:rPr>
        <w:t xml:space="preserve">, 10 April. Available at: </w:t>
      </w:r>
      <w:hyperlink r:id="rId27" w:tgtFrame="_new" w:history="1">
        <w:r w:rsidRPr="00B12DC9">
          <w:rPr>
            <w:rStyle w:val="Hyperlink"/>
            <w:rFonts w:ascii="Trebuchet MS" w:eastAsia="Times New Roman" w:hAnsi="Trebuchet MS" w:cs="Calibri"/>
            <w:kern w:val="0"/>
            <w:u w:val="none"/>
            <w:lang w:eastAsia="en-GB"/>
            <w14:ligatures w14:val="none"/>
          </w:rPr>
          <w:t>https://www.indeed.com/career-advice/career-development/competitive-analysis</w:t>
        </w:r>
      </w:hyperlink>
      <w:r w:rsidRPr="00B12DC9">
        <w:rPr>
          <w:rFonts w:ascii="Trebuchet MS" w:eastAsia="Times New Roman" w:hAnsi="Trebuchet MS" w:cs="Calibri"/>
          <w:kern w:val="0"/>
          <w:lang w:eastAsia="en-GB"/>
          <w14:ligatures w14:val="none"/>
        </w:rPr>
        <w:t xml:space="preserve"> (Accessed: 5 June 2025)</w:t>
      </w:r>
    </w:p>
    <w:p w14:paraId="5AF5434F" w14:textId="77777777" w:rsidR="00B12DC9" w:rsidRPr="00B12DC9" w:rsidRDefault="00B12DC9" w:rsidP="00B12DC9">
      <w:pPr>
        <w:spacing w:before="100" w:beforeAutospacing="1" w:after="100" w:afterAutospacing="1" w:line="240" w:lineRule="auto"/>
        <w:rPr>
          <w:rFonts w:ascii="Trebuchet MS" w:eastAsia="Times New Roman" w:hAnsi="Trebuchet MS" w:cs="Calibri"/>
          <w:kern w:val="0"/>
          <w:lang w:eastAsia="en-GB"/>
          <w14:ligatures w14:val="none"/>
        </w:rPr>
      </w:pPr>
      <w:r w:rsidRPr="00B12DC9">
        <w:rPr>
          <w:rFonts w:ascii="Trebuchet MS" w:eastAsia="Times New Roman" w:hAnsi="Trebuchet MS" w:cs="Calibri"/>
          <w:kern w:val="0"/>
          <w:lang w:eastAsia="en-GB"/>
          <w14:ligatures w14:val="none"/>
        </w:rPr>
        <w:t xml:space="preserve">Karnik, H., Zemmel, D.J., Kulik, P.K., Power, L.E. and Leider, J.P. (2024). Strategic workforce analysis: Identifying skills and gaps among frontline public health workers amidst transformation. </w:t>
      </w:r>
      <w:r w:rsidRPr="00B12DC9">
        <w:rPr>
          <w:rFonts w:ascii="Trebuchet MS" w:eastAsia="Times New Roman" w:hAnsi="Trebuchet MS" w:cs="Calibri"/>
          <w:i/>
          <w:iCs/>
          <w:kern w:val="0"/>
          <w:lang w:eastAsia="en-GB"/>
          <w14:ligatures w14:val="none"/>
        </w:rPr>
        <w:t>Journal of Public Health Management and Practice</w:t>
      </w:r>
      <w:r w:rsidRPr="00B12DC9">
        <w:rPr>
          <w:rFonts w:ascii="Trebuchet MS" w:eastAsia="Times New Roman" w:hAnsi="Trebuchet MS" w:cs="Calibri"/>
          <w:kern w:val="0"/>
          <w:lang w:eastAsia="en-GB"/>
          <w14:ligatures w14:val="none"/>
        </w:rPr>
        <w:t>, 30(6), pp.E297–E305.</w:t>
      </w:r>
    </w:p>
    <w:p w14:paraId="0E240166" w14:textId="77777777" w:rsidR="00B12DC9" w:rsidRPr="00B12DC9" w:rsidRDefault="00B12DC9" w:rsidP="00B12DC9">
      <w:pPr>
        <w:spacing w:before="100" w:beforeAutospacing="1" w:after="100" w:afterAutospacing="1" w:line="240" w:lineRule="auto"/>
        <w:rPr>
          <w:rFonts w:ascii="Trebuchet MS" w:eastAsia="Times New Roman" w:hAnsi="Trebuchet MS" w:cs="Calibri"/>
          <w:kern w:val="0"/>
          <w:lang w:eastAsia="en-GB"/>
          <w14:ligatures w14:val="none"/>
        </w:rPr>
      </w:pPr>
      <w:r w:rsidRPr="00B12DC9">
        <w:rPr>
          <w:rFonts w:ascii="Trebuchet MS" w:eastAsia="Times New Roman" w:hAnsi="Trebuchet MS" w:cs="Calibri"/>
          <w:kern w:val="0"/>
          <w:lang w:eastAsia="en-GB"/>
          <w14:ligatures w14:val="none"/>
        </w:rPr>
        <w:t xml:space="preserve">Kuhn, P. and Yu, L. (2021). How costly is turnover? Evidence from retail. </w:t>
      </w:r>
      <w:r w:rsidRPr="00B12DC9">
        <w:rPr>
          <w:rFonts w:ascii="Trebuchet MS" w:eastAsia="Times New Roman" w:hAnsi="Trebuchet MS" w:cs="Calibri"/>
          <w:i/>
          <w:iCs/>
          <w:kern w:val="0"/>
          <w:lang w:eastAsia="en-GB"/>
          <w14:ligatures w14:val="none"/>
        </w:rPr>
        <w:t>Journal of Labor Economics</w:t>
      </w:r>
      <w:r w:rsidRPr="00B12DC9">
        <w:rPr>
          <w:rFonts w:ascii="Trebuchet MS" w:eastAsia="Times New Roman" w:hAnsi="Trebuchet MS" w:cs="Calibri"/>
          <w:kern w:val="0"/>
          <w:lang w:eastAsia="en-GB"/>
          <w14:ligatures w14:val="none"/>
        </w:rPr>
        <w:t>, 39(2), pp.461–496.</w:t>
      </w:r>
    </w:p>
    <w:p w14:paraId="1656556A" w14:textId="77777777" w:rsidR="00B12DC9" w:rsidRPr="00B12DC9" w:rsidRDefault="00B12DC9" w:rsidP="00B12DC9">
      <w:pPr>
        <w:spacing w:before="100" w:beforeAutospacing="1" w:after="100" w:afterAutospacing="1" w:line="240" w:lineRule="auto"/>
        <w:rPr>
          <w:rFonts w:ascii="Trebuchet MS" w:eastAsia="Times New Roman" w:hAnsi="Trebuchet MS" w:cs="Calibri"/>
          <w:kern w:val="0"/>
          <w:lang w:eastAsia="en-GB"/>
          <w14:ligatures w14:val="none"/>
        </w:rPr>
      </w:pPr>
      <w:r w:rsidRPr="00B12DC9">
        <w:rPr>
          <w:rFonts w:ascii="Trebuchet MS" w:eastAsia="Times New Roman" w:hAnsi="Trebuchet MS" w:cs="Calibri"/>
          <w:kern w:val="0"/>
          <w:lang w:eastAsia="en-GB"/>
          <w14:ligatures w14:val="none"/>
        </w:rPr>
        <w:t xml:space="preserve">Lee, T.W. and Mitchell, T.R. (2017). Control turnover by understanding its causes. In </w:t>
      </w:r>
      <w:r w:rsidRPr="00B12DC9">
        <w:rPr>
          <w:rFonts w:ascii="Trebuchet MS" w:eastAsia="Times New Roman" w:hAnsi="Trebuchet MS" w:cs="Calibri"/>
          <w:i/>
          <w:iCs/>
          <w:kern w:val="0"/>
          <w:lang w:eastAsia="en-GB"/>
          <w14:ligatures w14:val="none"/>
        </w:rPr>
        <w:t>The Blackwell handbook of principles of organizational behaviour</w:t>
      </w:r>
      <w:r w:rsidRPr="00B12DC9">
        <w:rPr>
          <w:rFonts w:ascii="Trebuchet MS" w:eastAsia="Times New Roman" w:hAnsi="Trebuchet MS" w:cs="Calibri"/>
          <w:kern w:val="0"/>
          <w:lang w:eastAsia="en-GB"/>
          <w14:ligatures w14:val="none"/>
        </w:rPr>
        <w:t>, pp.93–107.</w:t>
      </w:r>
    </w:p>
    <w:p w14:paraId="09176F32" w14:textId="77777777" w:rsidR="00B12DC9" w:rsidRPr="00B12DC9" w:rsidRDefault="00B12DC9" w:rsidP="00B12DC9">
      <w:pPr>
        <w:spacing w:before="100" w:beforeAutospacing="1" w:after="100" w:afterAutospacing="1" w:line="240" w:lineRule="auto"/>
        <w:rPr>
          <w:rFonts w:ascii="Trebuchet MS" w:eastAsia="Times New Roman" w:hAnsi="Trebuchet MS" w:cs="Calibri"/>
          <w:kern w:val="0"/>
          <w:lang w:eastAsia="en-GB"/>
          <w14:ligatures w14:val="none"/>
        </w:rPr>
      </w:pPr>
      <w:r w:rsidRPr="00B12DC9">
        <w:rPr>
          <w:rFonts w:ascii="Trebuchet MS" w:eastAsia="Times New Roman" w:hAnsi="Trebuchet MS" w:cs="Calibri"/>
          <w:kern w:val="0"/>
          <w:lang w:eastAsia="en-GB"/>
          <w14:ligatures w14:val="none"/>
        </w:rPr>
        <w:t xml:space="preserve">Maertz Jr., C.P., et al. (2023). </w:t>
      </w:r>
      <w:r w:rsidRPr="00B12DC9">
        <w:rPr>
          <w:rFonts w:ascii="Trebuchet MS" w:eastAsia="Times New Roman" w:hAnsi="Trebuchet MS" w:cs="Calibri"/>
          <w:i/>
          <w:iCs/>
          <w:kern w:val="0"/>
          <w:lang w:eastAsia="en-GB"/>
          <w14:ligatures w14:val="none"/>
        </w:rPr>
        <w:t>Group &amp; Organization Management</w:t>
      </w:r>
      <w:r w:rsidRPr="00B12DC9">
        <w:rPr>
          <w:rFonts w:ascii="Trebuchet MS" w:eastAsia="Times New Roman" w:hAnsi="Trebuchet MS" w:cs="Calibri"/>
          <w:kern w:val="0"/>
          <w:lang w:eastAsia="en-GB"/>
          <w14:ligatures w14:val="none"/>
        </w:rPr>
        <w:t>, 48(5), pp.1387–1429.</w:t>
      </w:r>
    </w:p>
    <w:p w14:paraId="631180AB" w14:textId="77777777" w:rsidR="00B12DC9" w:rsidRPr="00B12DC9" w:rsidRDefault="00B12DC9" w:rsidP="00B12DC9">
      <w:pPr>
        <w:spacing w:before="100" w:beforeAutospacing="1" w:after="100" w:afterAutospacing="1" w:line="240" w:lineRule="auto"/>
        <w:rPr>
          <w:rFonts w:ascii="Trebuchet MS" w:eastAsia="Times New Roman" w:hAnsi="Trebuchet MS" w:cs="Calibri"/>
          <w:kern w:val="0"/>
          <w:lang w:eastAsia="en-GB"/>
          <w14:ligatures w14:val="none"/>
        </w:rPr>
      </w:pPr>
      <w:r w:rsidRPr="00B12DC9">
        <w:rPr>
          <w:rFonts w:ascii="Trebuchet MS" w:eastAsia="Times New Roman" w:hAnsi="Trebuchet MS" w:cs="Calibri"/>
          <w:kern w:val="0"/>
          <w:lang w:eastAsia="en-GB"/>
          <w14:ligatures w14:val="none"/>
        </w:rPr>
        <w:t xml:space="preserve">McGuire, D., McVicar, O. and Tariq, U.E.H. (2023). Skills audits: an integrative literature review. </w:t>
      </w:r>
      <w:r w:rsidRPr="00B12DC9">
        <w:rPr>
          <w:rFonts w:ascii="Trebuchet MS" w:eastAsia="Times New Roman" w:hAnsi="Trebuchet MS" w:cs="Calibri"/>
          <w:i/>
          <w:iCs/>
          <w:kern w:val="0"/>
          <w:lang w:eastAsia="en-GB"/>
          <w14:ligatures w14:val="none"/>
        </w:rPr>
        <w:t>Industrial and Commercial Training</w:t>
      </w:r>
      <w:r w:rsidRPr="00B12DC9">
        <w:rPr>
          <w:rFonts w:ascii="Trebuchet MS" w:eastAsia="Times New Roman" w:hAnsi="Trebuchet MS" w:cs="Calibri"/>
          <w:kern w:val="0"/>
          <w:lang w:eastAsia="en-GB"/>
          <w14:ligatures w14:val="none"/>
        </w:rPr>
        <w:t>, 55(1), pp.34–46.</w:t>
      </w:r>
    </w:p>
    <w:p w14:paraId="3182001B" w14:textId="77777777" w:rsidR="00B12DC9" w:rsidRPr="00B12DC9" w:rsidRDefault="00B12DC9" w:rsidP="00B12DC9">
      <w:pPr>
        <w:spacing w:before="100" w:beforeAutospacing="1" w:after="100" w:afterAutospacing="1" w:line="240" w:lineRule="auto"/>
        <w:rPr>
          <w:rFonts w:ascii="Trebuchet MS" w:eastAsia="Times New Roman" w:hAnsi="Trebuchet MS" w:cs="Calibri"/>
          <w:kern w:val="0"/>
          <w:lang w:eastAsia="en-GB"/>
          <w14:ligatures w14:val="none"/>
        </w:rPr>
      </w:pPr>
      <w:r w:rsidRPr="00B12DC9">
        <w:rPr>
          <w:rFonts w:ascii="Trebuchet MS" w:eastAsia="Times New Roman" w:hAnsi="Trebuchet MS" w:cs="Calibri"/>
          <w:kern w:val="0"/>
          <w:lang w:eastAsia="en-GB"/>
          <w14:ligatures w14:val="none"/>
        </w:rPr>
        <w:t xml:space="preserve">McKinney, A. and Rhew, N.D. (2024). Sinking in Sandy Dunes: A Case Study to Address HR Staffing and Seasonal Workers. </w:t>
      </w:r>
      <w:r w:rsidRPr="00B12DC9">
        <w:rPr>
          <w:rFonts w:ascii="Trebuchet MS" w:eastAsia="Times New Roman" w:hAnsi="Trebuchet MS" w:cs="Calibri"/>
          <w:i/>
          <w:iCs/>
          <w:kern w:val="0"/>
          <w:lang w:eastAsia="en-GB"/>
          <w14:ligatures w14:val="none"/>
        </w:rPr>
        <w:t>The Coastal Business Journal</w:t>
      </w:r>
      <w:r w:rsidRPr="00B12DC9">
        <w:rPr>
          <w:rFonts w:ascii="Trebuchet MS" w:eastAsia="Times New Roman" w:hAnsi="Trebuchet MS" w:cs="Calibri"/>
          <w:kern w:val="0"/>
          <w:lang w:eastAsia="en-GB"/>
          <w14:ligatures w14:val="none"/>
        </w:rPr>
        <w:t>, 20(1), pp.4.</w:t>
      </w:r>
    </w:p>
    <w:p w14:paraId="46AFFA0E" w14:textId="77777777" w:rsidR="00B12DC9" w:rsidRPr="00B12DC9" w:rsidRDefault="00B12DC9" w:rsidP="00B12DC9">
      <w:pPr>
        <w:spacing w:before="100" w:beforeAutospacing="1" w:after="100" w:afterAutospacing="1" w:line="240" w:lineRule="auto"/>
        <w:rPr>
          <w:rFonts w:ascii="Trebuchet MS" w:eastAsia="Times New Roman" w:hAnsi="Trebuchet MS" w:cs="Calibri"/>
          <w:kern w:val="0"/>
          <w:lang w:eastAsia="en-GB"/>
          <w14:ligatures w14:val="none"/>
        </w:rPr>
      </w:pPr>
      <w:r w:rsidRPr="00B12DC9">
        <w:rPr>
          <w:rFonts w:ascii="Trebuchet MS" w:eastAsia="Times New Roman" w:hAnsi="Trebuchet MS" w:cs="Calibri"/>
          <w:kern w:val="0"/>
          <w:lang w:eastAsia="en-GB"/>
          <w14:ligatures w14:val="none"/>
        </w:rPr>
        <w:t xml:space="preserve">Mičík, M. and Mičudová, K. (2018). Employer brand building: Using social media and career websites to attract generation Y. </w:t>
      </w:r>
      <w:r w:rsidRPr="00B12DC9">
        <w:rPr>
          <w:rFonts w:ascii="Trebuchet MS" w:eastAsia="Times New Roman" w:hAnsi="Trebuchet MS" w:cs="Calibri"/>
          <w:i/>
          <w:iCs/>
          <w:kern w:val="0"/>
          <w:lang w:eastAsia="en-GB"/>
          <w14:ligatures w14:val="none"/>
        </w:rPr>
        <w:t>Economics &amp; Sociology</w:t>
      </w:r>
      <w:r w:rsidRPr="00B12DC9">
        <w:rPr>
          <w:rFonts w:ascii="Trebuchet MS" w:eastAsia="Times New Roman" w:hAnsi="Trebuchet MS" w:cs="Calibri"/>
          <w:kern w:val="0"/>
          <w:lang w:eastAsia="en-GB"/>
          <w14:ligatures w14:val="none"/>
        </w:rPr>
        <w:t>, 11(3), pp.171–189.</w:t>
      </w:r>
    </w:p>
    <w:p w14:paraId="6818B663" w14:textId="77777777" w:rsidR="00B12DC9" w:rsidRPr="00B12DC9" w:rsidRDefault="00B12DC9" w:rsidP="00B12DC9">
      <w:pPr>
        <w:spacing w:before="100" w:beforeAutospacing="1" w:after="100" w:afterAutospacing="1" w:line="240" w:lineRule="auto"/>
        <w:rPr>
          <w:rFonts w:ascii="Trebuchet MS" w:eastAsia="Times New Roman" w:hAnsi="Trebuchet MS" w:cs="Calibri"/>
          <w:kern w:val="0"/>
          <w:lang w:eastAsia="en-GB"/>
          <w14:ligatures w14:val="none"/>
        </w:rPr>
      </w:pPr>
      <w:r w:rsidRPr="00B12DC9">
        <w:rPr>
          <w:rFonts w:ascii="Trebuchet MS" w:eastAsia="Times New Roman" w:hAnsi="Trebuchet MS" w:cs="Calibri"/>
          <w:kern w:val="0"/>
          <w:lang w:eastAsia="en-GB"/>
          <w14:ligatures w14:val="none"/>
        </w:rPr>
        <w:t xml:space="preserve">Moore, S., Newsome, K. and Williamson, S. (2024). Exploring ‘New’ Forms of Work Organization: The Case of Parcel Delivery in the UK. </w:t>
      </w:r>
      <w:r w:rsidRPr="00B12DC9">
        <w:rPr>
          <w:rFonts w:ascii="Trebuchet MS" w:eastAsia="Times New Roman" w:hAnsi="Trebuchet MS" w:cs="Calibri"/>
          <w:i/>
          <w:iCs/>
          <w:kern w:val="0"/>
          <w:lang w:eastAsia="en-GB"/>
          <w14:ligatures w14:val="none"/>
        </w:rPr>
        <w:t>The Value of Industrial Relations</w:t>
      </w:r>
      <w:r w:rsidRPr="00B12DC9">
        <w:rPr>
          <w:rFonts w:ascii="Trebuchet MS" w:eastAsia="Times New Roman" w:hAnsi="Trebuchet MS" w:cs="Calibri"/>
          <w:kern w:val="0"/>
          <w:lang w:eastAsia="en-GB"/>
          <w14:ligatures w14:val="none"/>
        </w:rPr>
        <w:t>, pp.124–136.</w:t>
      </w:r>
    </w:p>
    <w:p w14:paraId="1719E2DD" w14:textId="77777777" w:rsidR="00B12DC9" w:rsidRPr="00B12DC9" w:rsidRDefault="00B12DC9" w:rsidP="00B12DC9">
      <w:pPr>
        <w:spacing w:before="100" w:beforeAutospacing="1" w:after="100" w:afterAutospacing="1" w:line="240" w:lineRule="auto"/>
        <w:rPr>
          <w:rFonts w:ascii="Trebuchet MS" w:eastAsia="Times New Roman" w:hAnsi="Trebuchet MS" w:cs="Calibri"/>
          <w:kern w:val="0"/>
          <w:lang w:eastAsia="en-GB"/>
          <w14:ligatures w14:val="none"/>
        </w:rPr>
      </w:pPr>
      <w:r w:rsidRPr="00B12DC9">
        <w:rPr>
          <w:rFonts w:ascii="Trebuchet MS" w:eastAsia="Times New Roman" w:hAnsi="Trebuchet MS" w:cs="Calibri"/>
          <w:kern w:val="0"/>
          <w:lang w:eastAsia="en-GB"/>
          <w14:ligatures w14:val="none"/>
        </w:rPr>
        <w:lastRenderedPageBreak/>
        <w:t xml:space="preserve">Mutanga, J., Kaisara, G., Yakobi, K. and Atiku, S.O. (2021). Exploring push and pull factors for talent development and retention: implications for practice. </w:t>
      </w:r>
      <w:r w:rsidRPr="00B12DC9">
        <w:rPr>
          <w:rFonts w:ascii="Trebuchet MS" w:eastAsia="Times New Roman" w:hAnsi="Trebuchet MS" w:cs="Calibri"/>
          <w:i/>
          <w:iCs/>
          <w:kern w:val="0"/>
          <w:lang w:eastAsia="en-GB"/>
          <w14:ligatures w14:val="none"/>
        </w:rPr>
        <w:t>Development and Learning in Organizations</w:t>
      </w:r>
      <w:r w:rsidRPr="00B12DC9">
        <w:rPr>
          <w:rFonts w:ascii="Trebuchet MS" w:eastAsia="Times New Roman" w:hAnsi="Trebuchet MS" w:cs="Calibri"/>
          <w:kern w:val="0"/>
          <w:lang w:eastAsia="en-GB"/>
          <w14:ligatures w14:val="none"/>
        </w:rPr>
        <w:t xml:space="preserve">, 35(6), pp.1–3. </w:t>
      </w:r>
      <w:hyperlink r:id="rId28" w:tgtFrame="_new" w:history="1">
        <w:r w:rsidRPr="00B12DC9">
          <w:rPr>
            <w:rStyle w:val="Hyperlink"/>
            <w:rFonts w:ascii="Trebuchet MS" w:eastAsia="Times New Roman" w:hAnsi="Trebuchet MS" w:cs="Calibri"/>
            <w:kern w:val="0"/>
            <w:u w:val="none"/>
            <w:lang w:eastAsia="en-GB"/>
            <w14:ligatures w14:val="none"/>
          </w:rPr>
          <w:t>https://doi.org/10.1108/DLO-12-2020-0246</w:t>
        </w:r>
      </w:hyperlink>
    </w:p>
    <w:p w14:paraId="5720E52B" w14:textId="77777777" w:rsidR="00B12DC9" w:rsidRPr="00B12DC9" w:rsidRDefault="00B12DC9" w:rsidP="00B12DC9">
      <w:pPr>
        <w:spacing w:before="100" w:beforeAutospacing="1" w:after="100" w:afterAutospacing="1" w:line="240" w:lineRule="auto"/>
        <w:rPr>
          <w:rFonts w:ascii="Trebuchet MS" w:eastAsia="Times New Roman" w:hAnsi="Trebuchet MS" w:cs="Calibri"/>
          <w:kern w:val="0"/>
          <w:lang w:eastAsia="en-GB"/>
          <w14:ligatures w14:val="none"/>
        </w:rPr>
      </w:pPr>
      <w:r w:rsidRPr="00B12DC9">
        <w:rPr>
          <w:rFonts w:ascii="Trebuchet MS" w:eastAsia="Times New Roman" w:hAnsi="Trebuchet MS" w:cs="Calibri"/>
          <w:kern w:val="0"/>
          <w:lang w:eastAsia="en-GB"/>
          <w14:ligatures w14:val="none"/>
        </w:rPr>
        <w:t xml:space="preserve">National Grid. (2025). Early careers – How to apply. [Online] Available at: </w:t>
      </w:r>
      <w:hyperlink r:id="rId29" w:tgtFrame="_new" w:history="1">
        <w:r w:rsidRPr="00B12DC9">
          <w:rPr>
            <w:rStyle w:val="Hyperlink"/>
            <w:rFonts w:ascii="Trebuchet MS" w:eastAsia="Times New Roman" w:hAnsi="Trebuchet MS" w:cs="Calibri"/>
            <w:kern w:val="0"/>
            <w:u w:val="none"/>
            <w:lang w:eastAsia="en-GB"/>
            <w14:ligatures w14:val="none"/>
          </w:rPr>
          <w:t>https://jobs.nationalgrid.com/UK/content/Early-careers---How-to-apply/?locale=en_GB</w:t>
        </w:r>
      </w:hyperlink>
      <w:r w:rsidRPr="00B12DC9">
        <w:rPr>
          <w:rFonts w:ascii="Trebuchet MS" w:eastAsia="Times New Roman" w:hAnsi="Trebuchet MS" w:cs="Calibri"/>
          <w:kern w:val="0"/>
          <w:lang w:eastAsia="en-GB"/>
          <w14:ligatures w14:val="none"/>
        </w:rPr>
        <w:t xml:space="preserve"> [Accessed 11 Jun. 2025]</w:t>
      </w:r>
    </w:p>
    <w:p w14:paraId="240474E5" w14:textId="77777777" w:rsidR="00B12DC9" w:rsidRPr="00B12DC9" w:rsidRDefault="00B12DC9" w:rsidP="00B12DC9">
      <w:pPr>
        <w:spacing w:before="100" w:beforeAutospacing="1" w:after="100" w:afterAutospacing="1" w:line="240" w:lineRule="auto"/>
        <w:rPr>
          <w:rFonts w:ascii="Trebuchet MS" w:eastAsia="Times New Roman" w:hAnsi="Trebuchet MS" w:cs="Calibri"/>
          <w:kern w:val="0"/>
          <w:lang w:eastAsia="en-GB"/>
          <w14:ligatures w14:val="none"/>
        </w:rPr>
      </w:pPr>
      <w:r w:rsidRPr="00B12DC9">
        <w:rPr>
          <w:rFonts w:ascii="Trebuchet MS" w:eastAsia="Times New Roman" w:hAnsi="Trebuchet MS" w:cs="Calibri"/>
          <w:kern w:val="0"/>
          <w:lang w:eastAsia="en-GB"/>
          <w14:ligatures w14:val="none"/>
        </w:rPr>
        <w:t xml:space="preserve">Personnel Today. (2002). Firms urged to use staff referral schemes. </w:t>
      </w:r>
      <w:r w:rsidRPr="00B12DC9">
        <w:rPr>
          <w:rFonts w:ascii="Trebuchet MS" w:eastAsia="Times New Roman" w:hAnsi="Trebuchet MS" w:cs="Calibri"/>
          <w:i/>
          <w:iCs/>
          <w:kern w:val="0"/>
          <w:lang w:eastAsia="en-GB"/>
          <w14:ligatures w14:val="none"/>
        </w:rPr>
        <w:t>Personnel Today</w:t>
      </w:r>
      <w:r w:rsidRPr="00B12DC9">
        <w:rPr>
          <w:rFonts w:ascii="Trebuchet MS" w:eastAsia="Times New Roman" w:hAnsi="Trebuchet MS" w:cs="Calibri"/>
          <w:kern w:val="0"/>
          <w:lang w:eastAsia="en-GB"/>
          <w14:ligatures w14:val="none"/>
        </w:rPr>
        <w:t>. [Online] Available at: [URL if needed]</w:t>
      </w:r>
    </w:p>
    <w:p w14:paraId="5A05399A" w14:textId="77777777" w:rsidR="00B12DC9" w:rsidRPr="00B12DC9" w:rsidRDefault="00B12DC9" w:rsidP="00B12DC9">
      <w:pPr>
        <w:spacing w:before="100" w:beforeAutospacing="1" w:after="100" w:afterAutospacing="1" w:line="240" w:lineRule="auto"/>
        <w:rPr>
          <w:rFonts w:ascii="Trebuchet MS" w:eastAsia="Times New Roman" w:hAnsi="Trebuchet MS" w:cs="Calibri"/>
          <w:kern w:val="0"/>
          <w:lang w:eastAsia="en-GB"/>
          <w14:ligatures w14:val="none"/>
        </w:rPr>
      </w:pPr>
      <w:r w:rsidRPr="00B12DC9">
        <w:rPr>
          <w:rFonts w:ascii="Trebuchet MS" w:eastAsia="Times New Roman" w:hAnsi="Trebuchet MS" w:cs="Calibri"/>
          <w:kern w:val="0"/>
          <w:lang w:eastAsia="en-GB"/>
          <w14:ligatures w14:val="none"/>
        </w:rPr>
        <w:t xml:space="preserve">Personnel Today. (2023). World Mental Health Day: employer support lagging behind demand. Available at: </w:t>
      </w:r>
      <w:hyperlink r:id="rId30" w:tgtFrame="_new" w:history="1">
        <w:r w:rsidRPr="00B12DC9">
          <w:rPr>
            <w:rStyle w:val="Hyperlink"/>
            <w:rFonts w:ascii="Trebuchet MS" w:eastAsia="Times New Roman" w:hAnsi="Trebuchet MS" w:cs="Calibri"/>
            <w:kern w:val="0"/>
            <w:u w:val="none"/>
            <w:lang w:eastAsia="en-GB"/>
            <w14:ligatures w14:val="none"/>
          </w:rPr>
          <w:t>https://www.personneltoday.com/hr/world-mental-health-day-employer-support-lagging-behind-demand/</w:t>
        </w:r>
      </w:hyperlink>
      <w:r w:rsidRPr="00B12DC9">
        <w:rPr>
          <w:rFonts w:ascii="Trebuchet MS" w:eastAsia="Times New Roman" w:hAnsi="Trebuchet MS" w:cs="Calibri"/>
          <w:kern w:val="0"/>
          <w:lang w:eastAsia="en-GB"/>
          <w14:ligatures w14:val="none"/>
        </w:rPr>
        <w:t xml:space="preserve"> (Accessed: 5 June 2025)</w:t>
      </w:r>
    </w:p>
    <w:p w14:paraId="157F9C91" w14:textId="77777777" w:rsidR="00B12DC9" w:rsidRPr="00B12DC9" w:rsidRDefault="00B12DC9" w:rsidP="00B12DC9">
      <w:pPr>
        <w:spacing w:before="100" w:beforeAutospacing="1" w:after="100" w:afterAutospacing="1" w:line="240" w:lineRule="auto"/>
        <w:rPr>
          <w:rFonts w:ascii="Trebuchet MS" w:eastAsia="Times New Roman" w:hAnsi="Trebuchet MS" w:cs="Calibri"/>
          <w:kern w:val="0"/>
          <w:lang w:eastAsia="en-GB"/>
          <w14:ligatures w14:val="none"/>
        </w:rPr>
      </w:pPr>
      <w:r w:rsidRPr="00B12DC9">
        <w:rPr>
          <w:rFonts w:ascii="Trebuchet MS" w:eastAsia="Times New Roman" w:hAnsi="Trebuchet MS" w:cs="Calibri"/>
          <w:kern w:val="0"/>
          <w:lang w:eastAsia="en-GB"/>
          <w14:ligatures w14:val="none"/>
        </w:rPr>
        <w:t xml:space="preserve">Picardi, C.A. (2020). </w:t>
      </w:r>
      <w:r w:rsidRPr="00B12DC9">
        <w:rPr>
          <w:rFonts w:ascii="Trebuchet MS" w:eastAsia="Times New Roman" w:hAnsi="Trebuchet MS" w:cs="Calibri"/>
          <w:i/>
          <w:iCs/>
          <w:kern w:val="0"/>
          <w:lang w:eastAsia="en-GB"/>
          <w14:ligatures w14:val="none"/>
        </w:rPr>
        <w:t>Recruitment and selection: strategies for workforce planning and assessment</w:t>
      </w:r>
      <w:r w:rsidRPr="00B12DC9">
        <w:rPr>
          <w:rFonts w:ascii="Trebuchet MS" w:eastAsia="Times New Roman" w:hAnsi="Trebuchet MS" w:cs="Calibri"/>
          <w:kern w:val="0"/>
          <w:lang w:eastAsia="en-GB"/>
          <w14:ligatures w14:val="none"/>
        </w:rPr>
        <w:t>. SAGE.</w:t>
      </w:r>
    </w:p>
    <w:p w14:paraId="5BA6356D" w14:textId="77777777" w:rsidR="00B12DC9" w:rsidRPr="00B12DC9" w:rsidRDefault="00B12DC9" w:rsidP="00B12DC9">
      <w:pPr>
        <w:spacing w:before="100" w:beforeAutospacing="1" w:after="100" w:afterAutospacing="1" w:line="240" w:lineRule="auto"/>
        <w:rPr>
          <w:rFonts w:ascii="Trebuchet MS" w:eastAsia="Times New Roman" w:hAnsi="Trebuchet MS" w:cs="Calibri"/>
          <w:kern w:val="0"/>
          <w:lang w:eastAsia="en-GB"/>
          <w14:ligatures w14:val="none"/>
        </w:rPr>
      </w:pPr>
      <w:r w:rsidRPr="00B12DC9">
        <w:rPr>
          <w:rFonts w:ascii="Trebuchet MS" w:eastAsia="Times New Roman" w:hAnsi="Trebuchet MS" w:cs="Calibri"/>
          <w:kern w:val="0"/>
          <w:lang w:eastAsia="en-GB"/>
          <w14:ligatures w14:val="none"/>
        </w:rPr>
        <w:t xml:space="preserve">Snell, S. and Morris, S. (2022). </w:t>
      </w:r>
      <w:r w:rsidRPr="00B12DC9">
        <w:rPr>
          <w:rFonts w:ascii="Trebuchet MS" w:eastAsia="Times New Roman" w:hAnsi="Trebuchet MS" w:cs="Calibri"/>
          <w:i/>
          <w:iCs/>
          <w:kern w:val="0"/>
          <w:lang w:eastAsia="en-GB"/>
          <w14:ligatures w14:val="none"/>
        </w:rPr>
        <w:t>Managing Human Resources</w:t>
      </w:r>
      <w:r w:rsidRPr="00B12DC9">
        <w:rPr>
          <w:rFonts w:ascii="Trebuchet MS" w:eastAsia="Times New Roman" w:hAnsi="Trebuchet MS" w:cs="Calibri"/>
          <w:kern w:val="0"/>
          <w:lang w:eastAsia="en-GB"/>
          <w14:ligatures w14:val="none"/>
        </w:rPr>
        <w:t>. 19th ed. Boston: Cengage Learning.</w:t>
      </w:r>
    </w:p>
    <w:p w14:paraId="125C6CC5" w14:textId="77777777" w:rsidR="00B12DC9" w:rsidRPr="00B12DC9" w:rsidRDefault="00B12DC9" w:rsidP="00B12DC9">
      <w:pPr>
        <w:spacing w:before="100" w:beforeAutospacing="1" w:after="100" w:afterAutospacing="1" w:line="240" w:lineRule="auto"/>
        <w:rPr>
          <w:rFonts w:ascii="Trebuchet MS" w:eastAsia="Times New Roman" w:hAnsi="Trebuchet MS" w:cs="Calibri"/>
          <w:kern w:val="0"/>
          <w:lang w:eastAsia="en-GB"/>
          <w14:ligatures w14:val="none"/>
        </w:rPr>
      </w:pPr>
      <w:r w:rsidRPr="00B12DC9">
        <w:rPr>
          <w:rFonts w:ascii="Trebuchet MS" w:eastAsia="Times New Roman" w:hAnsi="Trebuchet MS" w:cs="Calibri"/>
          <w:kern w:val="0"/>
          <w:lang w:eastAsia="en-GB"/>
          <w14:ligatures w14:val="none"/>
        </w:rPr>
        <w:t xml:space="preserve">Sparkman, R. (2025). </w:t>
      </w:r>
      <w:r w:rsidRPr="00B12DC9">
        <w:rPr>
          <w:rFonts w:ascii="Trebuchet MS" w:eastAsia="Times New Roman" w:hAnsi="Trebuchet MS" w:cs="Calibri"/>
          <w:i/>
          <w:iCs/>
          <w:kern w:val="0"/>
          <w:lang w:eastAsia="en-GB"/>
          <w14:ligatures w14:val="none"/>
        </w:rPr>
        <w:t>Strategic workforce planning: Developing optimized talent strategies for future growth</w:t>
      </w:r>
      <w:r w:rsidRPr="00B12DC9">
        <w:rPr>
          <w:rFonts w:ascii="Trebuchet MS" w:eastAsia="Times New Roman" w:hAnsi="Trebuchet MS" w:cs="Calibri"/>
          <w:kern w:val="0"/>
          <w:lang w:eastAsia="en-GB"/>
          <w14:ligatures w14:val="none"/>
        </w:rPr>
        <w:t>. London: Kogan Page Publishers.</w:t>
      </w:r>
    </w:p>
    <w:p w14:paraId="7EC570B1" w14:textId="77777777" w:rsidR="00B12DC9" w:rsidRPr="00B12DC9" w:rsidRDefault="00B12DC9" w:rsidP="00B12DC9">
      <w:pPr>
        <w:spacing w:before="100" w:beforeAutospacing="1" w:after="100" w:afterAutospacing="1" w:line="240" w:lineRule="auto"/>
        <w:rPr>
          <w:rFonts w:ascii="Trebuchet MS" w:eastAsia="Times New Roman" w:hAnsi="Trebuchet MS" w:cs="Calibri"/>
          <w:kern w:val="0"/>
          <w:lang w:eastAsia="en-GB"/>
          <w14:ligatures w14:val="none"/>
        </w:rPr>
      </w:pPr>
      <w:r w:rsidRPr="00B12DC9">
        <w:rPr>
          <w:rFonts w:ascii="Trebuchet MS" w:eastAsia="Times New Roman" w:hAnsi="Trebuchet MS" w:cs="Calibri"/>
          <w:kern w:val="0"/>
          <w:lang w:eastAsia="en-GB"/>
          <w14:ligatures w14:val="none"/>
        </w:rPr>
        <w:t xml:space="preserve">Taylor, S. (2020). </w:t>
      </w:r>
      <w:r w:rsidRPr="00B12DC9">
        <w:rPr>
          <w:rFonts w:ascii="Trebuchet MS" w:eastAsia="Times New Roman" w:hAnsi="Trebuchet MS" w:cs="Calibri"/>
          <w:i/>
          <w:iCs/>
          <w:kern w:val="0"/>
          <w:lang w:eastAsia="en-GB"/>
          <w14:ligatures w14:val="none"/>
        </w:rPr>
        <w:t>Resourcing and talent management</w:t>
      </w:r>
      <w:r w:rsidRPr="00B12DC9">
        <w:rPr>
          <w:rFonts w:ascii="Trebuchet MS" w:eastAsia="Times New Roman" w:hAnsi="Trebuchet MS" w:cs="Calibri"/>
          <w:kern w:val="0"/>
          <w:lang w:eastAsia="en-GB"/>
          <w14:ligatures w14:val="none"/>
        </w:rPr>
        <w:t>. 8th ed. London: CIPD/Kogan Page.</w:t>
      </w:r>
    </w:p>
    <w:p w14:paraId="7781402A" w14:textId="77777777" w:rsidR="00B12DC9" w:rsidRPr="00B12DC9" w:rsidRDefault="00B12DC9" w:rsidP="00B12DC9">
      <w:pPr>
        <w:spacing w:before="100" w:beforeAutospacing="1" w:after="100" w:afterAutospacing="1" w:line="240" w:lineRule="auto"/>
        <w:rPr>
          <w:rFonts w:ascii="Trebuchet MS" w:eastAsia="Times New Roman" w:hAnsi="Trebuchet MS" w:cs="Calibri"/>
          <w:kern w:val="0"/>
          <w:lang w:eastAsia="en-GB"/>
          <w14:ligatures w14:val="none"/>
        </w:rPr>
      </w:pPr>
      <w:r w:rsidRPr="00B12DC9">
        <w:rPr>
          <w:rFonts w:ascii="Trebuchet MS" w:eastAsia="Times New Roman" w:hAnsi="Trebuchet MS" w:cs="Calibri"/>
          <w:kern w:val="0"/>
          <w:lang w:eastAsia="en-GB"/>
          <w14:ligatures w14:val="none"/>
        </w:rPr>
        <w:t xml:space="preserve">Torrington, D., Hall, L., Taylor, S. and Atkinson, C. (2020). </w:t>
      </w:r>
      <w:r w:rsidRPr="00B12DC9">
        <w:rPr>
          <w:rFonts w:ascii="Trebuchet MS" w:eastAsia="Times New Roman" w:hAnsi="Trebuchet MS" w:cs="Calibri"/>
          <w:i/>
          <w:iCs/>
          <w:kern w:val="0"/>
          <w:lang w:eastAsia="en-GB"/>
          <w14:ligatures w14:val="none"/>
        </w:rPr>
        <w:t>Human resource management</w:t>
      </w:r>
      <w:r w:rsidRPr="00B12DC9">
        <w:rPr>
          <w:rFonts w:ascii="Trebuchet MS" w:eastAsia="Times New Roman" w:hAnsi="Trebuchet MS" w:cs="Calibri"/>
          <w:kern w:val="0"/>
          <w:lang w:eastAsia="en-GB"/>
          <w14:ligatures w14:val="none"/>
        </w:rPr>
        <w:t>. 11th ed. Harlow: Pearson Education.</w:t>
      </w:r>
    </w:p>
    <w:p w14:paraId="348793DA" w14:textId="77777777" w:rsidR="00B12DC9" w:rsidRPr="00B12DC9" w:rsidRDefault="00B12DC9" w:rsidP="00B12DC9">
      <w:pPr>
        <w:spacing w:before="100" w:beforeAutospacing="1" w:after="100" w:afterAutospacing="1" w:line="240" w:lineRule="auto"/>
        <w:rPr>
          <w:rFonts w:ascii="Trebuchet MS" w:eastAsia="Times New Roman" w:hAnsi="Trebuchet MS" w:cs="Calibri"/>
          <w:kern w:val="0"/>
          <w:lang w:eastAsia="en-GB"/>
          <w14:ligatures w14:val="none"/>
        </w:rPr>
      </w:pPr>
      <w:r w:rsidRPr="00B12DC9">
        <w:rPr>
          <w:rFonts w:ascii="Trebuchet MS" w:eastAsia="Times New Roman" w:hAnsi="Trebuchet MS" w:cs="Calibri"/>
          <w:kern w:val="0"/>
          <w:lang w:eastAsia="en-GB"/>
          <w14:ligatures w14:val="none"/>
        </w:rPr>
        <w:t xml:space="preserve">Wilson, J.M. and Grammich, C.A. (2024). Reframing the police staffing challenge: A systems approach to workforce planning and managing workload demand. </w:t>
      </w:r>
      <w:r w:rsidRPr="00B12DC9">
        <w:rPr>
          <w:rFonts w:ascii="Trebuchet MS" w:eastAsia="Times New Roman" w:hAnsi="Trebuchet MS" w:cs="Calibri"/>
          <w:i/>
          <w:iCs/>
          <w:kern w:val="0"/>
          <w:lang w:eastAsia="en-GB"/>
          <w14:ligatures w14:val="none"/>
        </w:rPr>
        <w:t>Policing: A Journal of Policy and Practice</w:t>
      </w:r>
      <w:r w:rsidRPr="00B12DC9">
        <w:rPr>
          <w:rFonts w:ascii="Trebuchet MS" w:eastAsia="Times New Roman" w:hAnsi="Trebuchet MS" w:cs="Calibri"/>
          <w:kern w:val="0"/>
          <w:lang w:eastAsia="en-GB"/>
          <w14:ligatures w14:val="none"/>
        </w:rPr>
        <w:t>, 18, paae005.</w:t>
      </w:r>
    </w:p>
    <w:p w14:paraId="503FF121" w14:textId="77777777" w:rsidR="00B12DC9" w:rsidRPr="00B12DC9" w:rsidRDefault="00B12DC9" w:rsidP="00B12DC9">
      <w:pPr>
        <w:spacing w:before="100" w:beforeAutospacing="1" w:after="100" w:afterAutospacing="1" w:line="240" w:lineRule="auto"/>
        <w:rPr>
          <w:rFonts w:ascii="Trebuchet MS" w:eastAsia="Times New Roman" w:hAnsi="Trebuchet MS" w:cs="Calibri"/>
          <w:kern w:val="0"/>
          <w:lang w:eastAsia="en-GB"/>
          <w14:ligatures w14:val="none"/>
        </w:rPr>
      </w:pPr>
      <w:r w:rsidRPr="00B12DC9">
        <w:rPr>
          <w:rFonts w:ascii="Trebuchet MS" w:eastAsia="Times New Roman" w:hAnsi="Trebuchet MS" w:cs="Calibri"/>
          <w:kern w:val="0"/>
          <w:lang w:eastAsia="en-GB"/>
          <w14:ligatures w14:val="none"/>
        </w:rPr>
        <w:t xml:space="preserve">Wyatt, H. (2024). Over half of employees are dissatisfied with onboarding. </w:t>
      </w:r>
      <w:r w:rsidRPr="00B12DC9">
        <w:rPr>
          <w:rFonts w:ascii="Trebuchet MS" w:eastAsia="Times New Roman" w:hAnsi="Trebuchet MS" w:cs="Calibri"/>
          <w:i/>
          <w:iCs/>
          <w:kern w:val="0"/>
          <w:lang w:eastAsia="en-GB"/>
          <w14:ligatures w14:val="none"/>
        </w:rPr>
        <w:t>HR Magazine</w:t>
      </w:r>
      <w:r w:rsidRPr="00B12DC9">
        <w:rPr>
          <w:rFonts w:ascii="Trebuchet MS" w:eastAsia="Times New Roman" w:hAnsi="Trebuchet MS" w:cs="Calibri"/>
          <w:kern w:val="0"/>
          <w:lang w:eastAsia="en-GB"/>
          <w14:ligatures w14:val="none"/>
        </w:rPr>
        <w:t xml:space="preserve">. Available at: </w:t>
      </w:r>
      <w:hyperlink r:id="rId31" w:tgtFrame="_new" w:history="1">
        <w:r w:rsidRPr="00B12DC9">
          <w:rPr>
            <w:rStyle w:val="Hyperlink"/>
            <w:rFonts w:ascii="Trebuchet MS" w:eastAsia="Times New Roman" w:hAnsi="Trebuchet MS" w:cs="Calibri"/>
            <w:kern w:val="0"/>
            <w:u w:val="none"/>
            <w:lang w:eastAsia="en-GB"/>
            <w14:ligatures w14:val="none"/>
          </w:rPr>
          <w:t>https://www.hrmagazine.co.uk/articles/over-half-of-employees-are-dissatisfied-with-onboarding</w:t>
        </w:r>
      </w:hyperlink>
      <w:r w:rsidRPr="00B12DC9">
        <w:rPr>
          <w:rFonts w:ascii="Trebuchet MS" w:eastAsia="Times New Roman" w:hAnsi="Trebuchet MS" w:cs="Calibri"/>
          <w:kern w:val="0"/>
          <w:lang w:eastAsia="en-GB"/>
          <w14:ligatures w14:val="none"/>
        </w:rPr>
        <w:t xml:space="preserve"> (Accessed: 26 November 2024)</w:t>
      </w:r>
    </w:p>
    <w:p w14:paraId="1D89CAB8" w14:textId="77777777" w:rsidR="00B12DC9" w:rsidRPr="00B12DC9" w:rsidRDefault="00B12DC9" w:rsidP="00B12DC9">
      <w:pPr>
        <w:spacing w:before="100" w:beforeAutospacing="1" w:after="100" w:afterAutospacing="1" w:line="240" w:lineRule="auto"/>
        <w:rPr>
          <w:rFonts w:ascii="Trebuchet MS" w:eastAsia="Times New Roman" w:hAnsi="Trebuchet MS" w:cs="Calibri"/>
          <w:b/>
          <w:bCs/>
          <w:kern w:val="0"/>
          <w:u w:val="single"/>
          <w:lang w:eastAsia="en-GB"/>
          <w14:ligatures w14:val="none"/>
        </w:rPr>
      </w:pPr>
    </w:p>
    <w:p w14:paraId="3A3B4CA3" w14:textId="77777777" w:rsidR="0042363F" w:rsidRDefault="0042363F"/>
    <w:sectPr w:rsidR="0042363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6B6C39" w14:textId="77777777" w:rsidR="00CD2A09" w:rsidRDefault="00CD2A09" w:rsidP="00B12DC9">
      <w:pPr>
        <w:spacing w:after="0" w:line="240" w:lineRule="auto"/>
      </w:pPr>
      <w:r>
        <w:separator/>
      </w:r>
    </w:p>
  </w:endnote>
  <w:endnote w:type="continuationSeparator" w:id="0">
    <w:p w14:paraId="114DD915" w14:textId="77777777" w:rsidR="00CD2A09" w:rsidRDefault="00CD2A09" w:rsidP="00B12D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00"/>
    <w:family w:val="roman"/>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7DD541" w14:textId="77777777" w:rsidR="00CD2A09" w:rsidRDefault="00CD2A09" w:rsidP="00B12DC9">
      <w:pPr>
        <w:spacing w:after="0" w:line="240" w:lineRule="auto"/>
      </w:pPr>
      <w:r>
        <w:separator/>
      </w:r>
    </w:p>
  </w:footnote>
  <w:footnote w:type="continuationSeparator" w:id="0">
    <w:p w14:paraId="63AFBEEF" w14:textId="77777777" w:rsidR="00CD2A09" w:rsidRDefault="00CD2A09" w:rsidP="00B12DC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F46D40"/>
    <w:multiLevelType w:val="multilevel"/>
    <w:tmpl w:val="1D4C73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49F3087"/>
    <w:multiLevelType w:val="multilevel"/>
    <w:tmpl w:val="BDBC78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93178F4"/>
    <w:multiLevelType w:val="multilevel"/>
    <w:tmpl w:val="DF08B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F34112B"/>
    <w:multiLevelType w:val="multilevel"/>
    <w:tmpl w:val="B89483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9011D90"/>
    <w:multiLevelType w:val="multilevel"/>
    <w:tmpl w:val="B95EC87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A2670FF"/>
    <w:multiLevelType w:val="multilevel"/>
    <w:tmpl w:val="47B2FE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05116F3"/>
    <w:multiLevelType w:val="hybridMultilevel"/>
    <w:tmpl w:val="2F042352"/>
    <w:styleLink w:val="ImportedStyle5"/>
    <w:lvl w:ilvl="0" w:tplc="736C790C">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3108710E">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ACBC4FCE">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E8886C04">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43241F34">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8886DBD4">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1106621C">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40FC7256">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DB6C58CA">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7" w15:restartNumberingAfterBreak="0">
    <w:nsid w:val="4090072F"/>
    <w:multiLevelType w:val="multilevel"/>
    <w:tmpl w:val="ABB615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5045DFA"/>
    <w:multiLevelType w:val="hybridMultilevel"/>
    <w:tmpl w:val="2F042352"/>
    <w:numStyleLink w:val="ImportedStyle5"/>
  </w:abstractNum>
  <w:abstractNum w:abstractNumId="9" w15:restartNumberingAfterBreak="0">
    <w:nsid w:val="5647213F"/>
    <w:multiLevelType w:val="multilevel"/>
    <w:tmpl w:val="466CF0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22571C3"/>
    <w:multiLevelType w:val="multilevel"/>
    <w:tmpl w:val="4A981D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3003848"/>
    <w:multiLevelType w:val="multilevel"/>
    <w:tmpl w:val="E17CDC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D5A6C67"/>
    <w:multiLevelType w:val="multilevel"/>
    <w:tmpl w:val="02CA73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4BB057A"/>
    <w:multiLevelType w:val="multilevel"/>
    <w:tmpl w:val="AA202D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21299131">
    <w:abstractNumId w:val="6"/>
  </w:num>
  <w:num w:numId="2" w16cid:durableId="1692682602">
    <w:abstractNumId w:val="8"/>
  </w:num>
  <w:num w:numId="3" w16cid:durableId="476341000">
    <w:abstractNumId w:val="0"/>
  </w:num>
  <w:num w:numId="4" w16cid:durableId="1198929269">
    <w:abstractNumId w:val="12"/>
  </w:num>
  <w:num w:numId="5" w16cid:durableId="344207807">
    <w:abstractNumId w:val="2"/>
  </w:num>
  <w:num w:numId="6" w16cid:durableId="2063675500">
    <w:abstractNumId w:val="4"/>
  </w:num>
  <w:num w:numId="7" w16cid:durableId="1665820966">
    <w:abstractNumId w:val="11"/>
  </w:num>
  <w:num w:numId="8" w16cid:durableId="1306356094">
    <w:abstractNumId w:val="1"/>
  </w:num>
  <w:num w:numId="9" w16cid:durableId="1053584375">
    <w:abstractNumId w:val="9"/>
  </w:num>
  <w:num w:numId="10" w16cid:durableId="1266815482">
    <w:abstractNumId w:val="5"/>
  </w:num>
  <w:num w:numId="11" w16cid:durableId="1030688943">
    <w:abstractNumId w:val="10"/>
  </w:num>
  <w:num w:numId="12" w16cid:durableId="416369803">
    <w:abstractNumId w:val="3"/>
  </w:num>
  <w:num w:numId="13" w16cid:durableId="2025278051">
    <w:abstractNumId w:val="7"/>
  </w:num>
  <w:num w:numId="14" w16cid:durableId="156116310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679E"/>
    <w:rsid w:val="00002E19"/>
    <w:rsid w:val="00010DB2"/>
    <w:rsid w:val="000237F4"/>
    <w:rsid w:val="0004462D"/>
    <w:rsid w:val="00091621"/>
    <w:rsid w:val="00095DC2"/>
    <w:rsid w:val="000A6403"/>
    <w:rsid w:val="000D2DCC"/>
    <w:rsid w:val="000D4BC2"/>
    <w:rsid w:val="00110505"/>
    <w:rsid w:val="00120AD2"/>
    <w:rsid w:val="001408F6"/>
    <w:rsid w:val="00150DF7"/>
    <w:rsid w:val="00157264"/>
    <w:rsid w:val="001704AC"/>
    <w:rsid w:val="00176687"/>
    <w:rsid w:val="00177A39"/>
    <w:rsid w:val="00182400"/>
    <w:rsid w:val="0018403B"/>
    <w:rsid w:val="001A0B1C"/>
    <w:rsid w:val="001B7E4F"/>
    <w:rsid w:val="001E17E4"/>
    <w:rsid w:val="00224F01"/>
    <w:rsid w:val="002A0E11"/>
    <w:rsid w:val="002C6069"/>
    <w:rsid w:val="002C6577"/>
    <w:rsid w:val="003014A8"/>
    <w:rsid w:val="0030386D"/>
    <w:rsid w:val="00315EC5"/>
    <w:rsid w:val="003477EE"/>
    <w:rsid w:val="00374A3C"/>
    <w:rsid w:val="00380C1F"/>
    <w:rsid w:val="003C1478"/>
    <w:rsid w:val="003F578A"/>
    <w:rsid w:val="00413E28"/>
    <w:rsid w:val="0042363F"/>
    <w:rsid w:val="0045467A"/>
    <w:rsid w:val="004B1245"/>
    <w:rsid w:val="004B7DBB"/>
    <w:rsid w:val="005008B6"/>
    <w:rsid w:val="00542C9A"/>
    <w:rsid w:val="00563130"/>
    <w:rsid w:val="00563AE0"/>
    <w:rsid w:val="00587388"/>
    <w:rsid w:val="00596486"/>
    <w:rsid w:val="005F225E"/>
    <w:rsid w:val="005F44B7"/>
    <w:rsid w:val="006102C4"/>
    <w:rsid w:val="006131FB"/>
    <w:rsid w:val="006261D5"/>
    <w:rsid w:val="006B2301"/>
    <w:rsid w:val="0071005C"/>
    <w:rsid w:val="00713E82"/>
    <w:rsid w:val="0072254C"/>
    <w:rsid w:val="00726572"/>
    <w:rsid w:val="007759EF"/>
    <w:rsid w:val="00784096"/>
    <w:rsid w:val="007939EB"/>
    <w:rsid w:val="00795B2E"/>
    <w:rsid w:val="00795D5F"/>
    <w:rsid w:val="007D1A26"/>
    <w:rsid w:val="007D39E1"/>
    <w:rsid w:val="007E0676"/>
    <w:rsid w:val="007E3A48"/>
    <w:rsid w:val="007F1F7D"/>
    <w:rsid w:val="007F3631"/>
    <w:rsid w:val="007F7C40"/>
    <w:rsid w:val="008050CF"/>
    <w:rsid w:val="00813D83"/>
    <w:rsid w:val="0082679E"/>
    <w:rsid w:val="00831BED"/>
    <w:rsid w:val="00841C90"/>
    <w:rsid w:val="00844BD2"/>
    <w:rsid w:val="00853F44"/>
    <w:rsid w:val="00884EED"/>
    <w:rsid w:val="0088725D"/>
    <w:rsid w:val="008A1AC2"/>
    <w:rsid w:val="008A7C59"/>
    <w:rsid w:val="008D1533"/>
    <w:rsid w:val="00931E12"/>
    <w:rsid w:val="00961FD6"/>
    <w:rsid w:val="00962AEA"/>
    <w:rsid w:val="0096319E"/>
    <w:rsid w:val="009659F8"/>
    <w:rsid w:val="00985D4F"/>
    <w:rsid w:val="009955FC"/>
    <w:rsid w:val="009E6B64"/>
    <w:rsid w:val="00A02D89"/>
    <w:rsid w:val="00A24647"/>
    <w:rsid w:val="00A24952"/>
    <w:rsid w:val="00A73167"/>
    <w:rsid w:val="00A923FA"/>
    <w:rsid w:val="00AA45FF"/>
    <w:rsid w:val="00AD29FD"/>
    <w:rsid w:val="00AF065E"/>
    <w:rsid w:val="00B01C3C"/>
    <w:rsid w:val="00B123E9"/>
    <w:rsid w:val="00B12DC9"/>
    <w:rsid w:val="00B148B4"/>
    <w:rsid w:val="00B2726A"/>
    <w:rsid w:val="00B53B4B"/>
    <w:rsid w:val="00B60E6A"/>
    <w:rsid w:val="00B62093"/>
    <w:rsid w:val="00B82C36"/>
    <w:rsid w:val="00B85779"/>
    <w:rsid w:val="00BA3FA3"/>
    <w:rsid w:val="00BD0339"/>
    <w:rsid w:val="00BF5AE2"/>
    <w:rsid w:val="00C400C9"/>
    <w:rsid w:val="00C54AAC"/>
    <w:rsid w:val="00C635FD"/>
    <w:rsid w:val="00C802AF"/>
    <w:rsid w:val="00C866F6"/>
    <w:rsid w:val="00CC6B4D"/>
    <w:rsid w:val="00CD2A09"/>
    <w:rsid w:val="00CE1036"/>
    <w:rsid w:val="00CF0F26"/>
    <w:rsid w:val="00CF2E46"/>
    <w:rsid w:val="00D27391"/>
    <w:rsid w:val="00D35325"/>
    <w:rsid w:val="00D574C0"/>
    <w:rsid w:val="00D61542"/>
    <w:rsid w:val="00D810E3"/>
    <w:rsid w:val="00DA2DE0"/>
    <w:rsid w:val="00E61EA7"/>
    <w:rsid w:val="00E7621B"/>
    <w:rsid w:val="00E90BA5"/>
    <w:rsid w:val="00E971C2"/>
    <w:rsid w:val="00EB3060"/>
    <w:rsid w:val="00EB67D9"/>
    <w:rsid w:val="00EF350C"/>
    <w:rsid w:val="00F03789"/>
    <w:rsid w:val="00F20BB5"/>
    <w:rsid w:val="00F217F4"/>
    <w:rsid w:val="00F233B7"/>
    <w:rsid w:val="00F45A6B"/>
    <w:rsid w:val="00F65624"/>
    <w:rsid w:val="00F87FF8"/>
    <w:rsid w:val="00FB12EB"/>
    <w:rsid w:val="00FD18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9237F6"/>
  <w15:chartTrackingRefBased/>
  <w15:docId w15:val="{8A5D4D67-4186-456D-A448-41ECF5EA3F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2679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2679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2679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2679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2679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2679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2679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2679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2679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679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2679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2679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2679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2679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2679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2679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2679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2679E"/>
    <w:rPr>
      <w:rFonts w:eastAsiaTheme="majorEastAsia" w:cstheme="majorBidi"/>
      <w:color w:val="272727" w:themeColor="text1" w:themeTint="D8"/>
    </w:rPr>
  </w:style>
  <w:style w:type="paragraph" w:styleId="Title">
    <w:name w:val="Title"/>
    <w:basedOn w:val="Normal"/>
    <w:next w:val="Normal"/>
    <w:link w:val="TitleChar"/>
    <w:uiPriority w:val="10"/>
    <w:qFormat/>
    <w:rsid w:val="0082679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2679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2679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2679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2679E"/>
    <w:pPr>
      <w:spacing w:before="160"/>
      <w:jc w:val="center"/>
    </w:pPr>
    <w:rPr>
      <w:i/>
      <w:iCs/>
      <w:color w:val="404040" w:themeColor="text1" w:themeTint="BF"/>
    </w:rPr>
  </w:style>
  <w:style w:type="character" w:customStyle="1" w:styleId="QuoteChar">
    <w:name w:val="Quote Char"/>
    <w:basedOn w:val="DefaultParagraphFont"/>
    <w:link w:val="Quote"/>
    <w:uiPriority w:val="29"/>
    <w:rsid w:val="0082679E"/>
    <w:rPr>
      <w:i/>
      <w:iCs/>
      <w:color w:val="404040" w:themeColor="text1" w:themeTint="BF"/>
    </w:rPr>
  </w:style>
  <w:style w:type="paragraph" w:styleId="ListParagraph">
    <w:name w:val="List Paragraph"/>
    <w:basedOn w:val="Normal"/>
    <w:uiPriority w:val="34"/>
    <w:qFormat/>
    <w:rsid w:val="0082679E"/>
    <w:pPr>
      <w:ind w:left="720"/>
      <w:contextualSpacing/>
    </w:pPr>
  </w:style>
  <w:style w:type="character" w:styleId="IntenseEmphasis">
    <w:name w:val="Intense Emphasis"/>
    <w:basedOn w:val="DefaultParagraphFont"/>
    <w:uiPriority w:val="21"/>
    <w:qFormat/>
    <w:rsid w:val="0082679E"/>
    <w:rPr>
      <w:i/>
      <w:iCs/>
      <w:color w:val="0F4761" w:themeColor="accent1" w:themeShade="BF"/>
    </w:rPr>
  </w:style>
  <w:style w:type="paragraph" w:styleId="IntenseQuote">
    <w:name w:val="Intense Quote"/>
    <w:basedOn w:val="Normal"/>
    <w:next w:val="Normal"/>
    <w:link w:val="IntenseQuoteChar"/>
    <w:uiPriority w:val="30"/>
    <w:qFormat/>
    <w:rsid w:val="0082679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2679E"/>
    <w:rPr>
      <w:i/>
      <w:iCs/>
      <w:color w:val="0F4761" w:themeColor="accent1" w:themeShade="BF"/>
    </w:rPr>
  </w:style>
  <w:style w:type="character" w:styleId="IntenseReference">
    <w:name w:val="Intense Reference"/>
    <w:basedOn w:val="DefaultParagraphFont"/>
    <w:uiPriority w:val="32"/>
    <w:qFormat/>
    <w:rsid w:val="0082679E"/>
    <w:rPr>
      <w:b/>
      <w:bCs/>
      <w:smallCaps/>
      <w:color w:val="0F4761" w:themeColor="accent1" w:themeShade="BF"/>
      <w:spacing w:val="5"/>
    </w:rPr>
  </w:style>
  <w:style w:type="character" w:customStyle="1" w:styleId="ui-provider">
    <w:name w:val="ui-provider"/>
    <w:rsid w:val="0082679E"/>
  </w:style>
  <w:style w:type="paragraph" w:customStyle="1" w:styleId="Body">
    <w:name w:val="Body"/>
    <w:rsid w:val="0082679E"/>
    <w:pPr>
      <w:pBdr>
        <w:top w:val="nil"/>
        <w:left w:val="nil"/>
        <w:bottom w:val="nil"/>
        <w:right w:val="nil"/>
        <w:between w:val="nil"/>
        <w:bar w:val="nil"/>
      </w:pBdr>
      <w:spacing w:after="0"/>
    </w:pPr>
    <w:rPr>
      <w:rFonts w:ascii="Arial" w:eastAsia="Arial" w:hAnsi="Arial" w:cs="Arial"/>
      <w:color w:val="000000"/>
      <w:kern w:val="0"/>
      <w:u w:color="000000"/>
      <w:bdr w:val="nil"/>
      <w:lang w:eastAsia="zh-CN"/>
      <w14:textOutline w14:w="0" w14:cap="flat" w14:cmpd="sng" w14:algn="ctr">
        <w14:noFill/>
        <w14:prstDash w14:val="solid"/>
        <w14:bevel/>
      </w14:textOutline>
      <w14:ligatures w14:val="none"/>
    </w:rPr>
  </w:style>
  <w:style w:type="paragraph" w:customStyle="1" w:styleId="Nornal">
    <w:name w:val="Nornal"/>
    <w:rsid w:val="0082679E"/>
    <w:pPr>
      <w:pBdr>
        <w:top w:val="nil"/>
        <w:left w:val="nil"/>
        <w:bottom w:val="nil"/>
        <w:right w:val="nil"/>
        <w:between w:val="nil"/>
        <w:bar w:val="nil"/>
      </w:pBdr>
      <w:spacing w:line="264" w:lineRule="auto"/>
    </w:pPr>
    <w:rPr>
      <w:rFonts w:ascii="Arial" w:eastAsia="Arial" w:hAnsi="Arial" w:cs="Arial"/>
      <w:color w:val="000000"/>
      <w:kern w:val="0"/>
      <w:u w:color="000000"/>
      <w:bdr w:val="nil"/>
      <w:lang w:val="en-US" w:eastAsia="zh-CN"/>
      <w14:ligatures w14:val="none"/>
    </w:rPr>
  </w:style>
  <w:style w:type="numbering" w:customStyle="1" w:styleId="ImportedStyle5">
    <w:name w:val="Imported Style 5"/>
    <w:rsid w:val="0082679E"/>
    <w:pPr>
      <w:numPr>
        <w:numId w:val="1"/>
      </w:numPr>
    </w:pPr>
  </w:style>
  <w:style w:type="character" w:styleId="Hyperlink">
    <w:name w:val="Hyperlink"/>
    <w:basedOn w:val="DefaultParagraphFont"/>
    <w:uiPriority w:val="99"/>
    <w:unhideWhenUsed/>
    <w:rsid w:val="007939EB"/>
    <w:rPr>
      <w:color w:val="467886" w:themeColor="hyperlink"/>
      <w:u w:val="single"/>
    </w:rPr>
  </w:style>
  <w:style w:type="character" w:styleId="UnresolvedMention">
    <w:name w:val="Unresolved Mention"/>
    <w:basedOn w:val="DefaultParagraphFont"/>
    <w:uiPriority w:val="99"/>
    <w:semiHidden/>
    <w:unhideWhenUsed/>
    <w:rsid w:val="007939EB"/>
    <w:rPr>
      <w:color w:val="605E5C"/>
      <w:shd w:val="clear" w:color="auto" w:fill="E1DFDD"/>
    </w:rPr>
  </w:style>
  <w:style w:type="paragraph" w:styleId="NormalWeb">
    <w:name w:val="Normal (Web)"/>
    <w:basedOn w:val="Normal"/>
    <w:uiPriority w:val="99"/>
    <w:semiHidden/>
    <w:unhideWhenUsed/>
    <w:rsid w:val="00CC6B4D"/>
    <w:rPr>
      <w:rFonts w:ascii="Times New Roman" w:hAnsi="Times New Roman" w:cs="Times New Roman"/>
      <w:sz w:val="24"/>
      <w:szCs w:val="24"/>
    </w:rPr>
  </w:style>
  <w:style w:type="character" w:customStyle="1" w:styleId="None">
    <w:name w:val="None"/>
    <w:rsid w:val="00D810E3"/>
  </w:style>
  <w:style w:type="character" w:styleId="FollowedHyperlink">
    <w:name w:val="FollowedHyperlink"/>
    <w:basedOn w:val="DefaultParagraphFont"/>
    <w:uiPriority w:val="99"/>
    <w:semiHidden/>
    <w:unhideWhenUsed/>
    <w:rsid w:val="007759EF"/>
    <w:rPr>
      <w:color w:val="96607D" w:themeColor="followedHyperlink"/>
      <w:u w:val="single"/>
    </w:rPr>
  </w:style>
  <w:style w:type="paragraph" w:styleId="Header">
    <w:name w:val="header"/>
    <w:basedOn w:val="Normal"/>
    <w:link w:val="HeaderChar"/>
    <w:uiPriority w:val="99"/>
    <w:unhideWhenUsed/>
    <w:rsid w:val="00B12D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2DC9"/>
  </w:style>
  <w:style w:type="paragraph" w:styleId="Footer">
    <w:name w:val="footer"/>
    <w:basedOn w:val="Normal"/>
    <w:link w:val="FooterChar"/>
    <w:uiPriority w:val="99"/>
    <w:unhideWhenUsed/>
    <w:rsid w:val="00B12D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2DC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340324">
      <w:bodyDiv w:val="1"/>
      <w:marLeft w:val="0"/>
      <w:marRight w:val="0"/>
      <w:marTop w:val="0"/>
      <w:marBottom w:val="0"/>
      <w:divBdr>
        <w:top w:val="none" w:sz="0" w:space="0" w:color="auto"/>
        <w:left w:val="none" w:sz="0" w:space="0" w:color="auto"/>
        <w:bottom w:val="none" w:sz="0" w:space="0" w:color="auto"/>
        <w:right w:val="none" w:sz="0" w:space="0" w:color="auto"/>
      </w:divBdr>
    </w:div>
    <w:div w:id="76637971">
      <w:bodyDiv w:val="1"/>
      <w:marLeft w:val="0"/>
      <w:marRight w:val="0"/>
      <w:marTop w:val="0"/>
      <w:marBottom w:val="0"/>
      <w:divBdr>
        <w:top w:val="none" w:sz="0" w:space="0" w:color="auto"/>
        <w:left w:val="none" w:sz="0" w:space="0" w:color="auto"/>
        <w:bottom w:val="none" w:sz="0" w:space="0" w:color="auto"/>
        <w:right w:val="none" w:sz="0" w:space="0" w:color="auto"/>
      </w:divBdr>
    </w:div>
    <w:div w:id="117992507">
      <w:bodyDiv w:val="1"/>
      <w:marLeft w:val="0"/>
      <w:marRight w:val="0"/>
      <w:marTop w:val="0"/>
      <w:marBottom w:val="0"/>
      <w:divBdr>
        <w:top w:val="none" w:sz="0" w:space="0" w:color="auto"/>
        <w:left w:val="none" w:sz="0" w:space="0" w:color="auto"/>
        <w:bottom w:val="none" w:sz="0" w:space="0" w:color="auto"/>
        <w:right w:val="none" w:sz="0" w:space="0" w:color="auto"/>
      </w:divBdr>
      <w:divsChild>
        <w:div w:id="1864587107">
          <w:marLeft w:val="0"/>
          <w:marRight w:val="0"/>
          <w:marTop w:val="0"/>
          <w:marBottom w:val="0"/>
          <w:divBdr>
            <w:top w:val="none" w:sz="0" w:space="0" w:color="auto"/>
            <w:left w:val="none" w:sz="0" w:space="0" w:color="auto"/>
            <w:bottom w:val="none" w:sz="0" w:space="0" w:color="auto"/>
            <w:right w:val="none" w:sz="0" w:space="0" w:color="auto"/>
          </w:divBdr>
          <w:divsChild>
            <w:div w:id="588151719">
              <w:marLeft w:val="0"/>
              <w:marRight w:val="0"/>
              <w:marTop w:val="0"/>
              <w:marBottom w:val="0"/>
              <w:divBdr>
                <w:top w:val="none" w:sz="0" w:space="0" w:color="auto"/>
                <w:left w:val="none" w:sz="0" w:space="0" w:color="auto"/>
                <w:bottom w:val="none" w:sz="0" w:space="0" w:color="auto"/>
                <w:right w:val="none" w:sz="0" w:space="0" w:color="auto"/>
              </w:divBdr>
              <w:divsChild>
                <w:div w:id="840850563">
                  <w:marLeft w:val="480"/>
                  <w:marRight w:val="0"/>
                  <w:marTop w:val="0"/>
                  <w:marBottom w:val="0"/>
                  <w:divBdr>
                    <w:top w:val="none" w:sz="0" w:space="0" w:color="auto"/>
                    <w:left w:val="none" w:sz="0" w:space="0" w:color="auto"/>
                    <w:bottom w:val="none" w:sz="0" w:space="0" w:color="auto"/>
                    <w:right w:val="none" w:sz="0" w:space="0" w:color="auto"/>
                  </w:divBdr>
                  <w:divsChild>
                    <w:div w:id="1686131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296967">
      <w:bodyDiv w:val="1"/>
      <w:marLeft w:val="0"/>
      <w:marRight w:val="0"/>
      <w:marTop w:val="0"/>
      <w:marBottom w:val="0"/>
      <w:divBdr>
        <w:top w:val="none" w:sz="0" w:space="0" w:color="auto"/>
        <w:left w:val="none" w:sz="0" w:space="0" w:color="auto"/>
        <w:bottom w:val="none" w:sz="0" w:space="0" w:color="auto"/>
        <w:right w:val="none" w:sz="0" w:space="0" w:color="auto"/>
      </w:divBdr>
    </w:div>
    <w:div w:id="170411726">
      <w:bodyDiv w:val="1"/>
      <w:marLeft w:val="0"/>
      <w:marRight w:val="0"/>
      <w:marTop w:val="0"/>
      <w:marBottom w:val="0"/>
      <w:divBdr>
        <w:top w:val="none" w:sz="0" w:space="0" w:color="auto"/>
        <w:left w:val="none" w:sz="0" w:space="0" w:color="auto"/>
        <w:bottom w:val="none" w:sz="0" w:space="0" w:color="auto"/>
        <w:right w:val="none" w:sz="0" w:space="0" w:color="auto"/>
      </w:divBdr>
    </w:div>
    <w:div w:id="219098308">
      <w:bodyDiv w:val="1"/>
      <w:marLeft w:val="0"/>
      <w:marRight w:val="0"/>
      <w:marTop w:val="0"/>
      <w:marBottom w:val="0"/>
      <w:divBdr>
        <w:top w:val="none" w:sz="0" w:space="0" w:color="auto"/>
        <w:left w:val="none" w:sz="0" w:space="0" w:color="auto"/>
        <w:bottom w:val="none" w:sz="0" w:space="0" w:color="auto"/>
        <w:right w:val="none" w:sz="0" w:space="0" w:color="auto"/>
      </w:divBdr>
    </w:div>
    <w:div w:id="286664743">
      <w:bodyDiv w:val="1"/>
      <w:marLeft w:val="0"/>
      <w:marRight w:val="0"/>
      <w:marTop w:val="0"/>
      <w:marBottom w:val="0"/>
      <w:divBdr>
        <w:top w:val="none" w:sz="0" w:space="0" w:color="auto"/>
        <w:left w:val="none" w:sz="0" w:space="0" w:color="auto"/>
        <w:bottom w:val="none" w:sz="0" w:space="0" w:color="auto"/>
        <w:right w:val="none" w:sz="0" w:space="0" w:color="auto"/>
      </w:divBdr>
    </w:div>
    <w:div w:id="357203001">
      <w:bodyDiv w:val="1"/>
      <w:marLeft w:val="0"/>
      <w:marRight w:val="0"/>
      <w:marTop w:val="0"/>
      <w:marBottom w:val="0"/>
      <w:divBdr>
        <w:top w:val="none" w:sz="0" w:space="0" w:color="auto"/>
        <w:left w:val="none" w:sz="0" w:space="0" w:color="auto"/>
        <w:bottom w:val="none" w:sz="0" w:space="0" w:color="auto"/>
        <w:right w:val="none" w:sz="0" w:space="0" w:color="auto"/>
      </w:divBdr>
    </w:div>
    <w:div w:id="384766608">
      <w:bodyDiv w:val="1"/>
      <w:marLeft w:val="0"/>
      <w:marRight w:val="0"/>
      <w:marTop w:val="0"/>
      <w:marBottom w:val="0"/>
      <w:divBdr>
        <w:top w:val="none" w:sz="0" w:space="0" w:color="auto"/>
        <w:left w:val="none" w:sz="0" w:space="0" w:color="auto"/>
        <w:bottom w:val="none" w:sz="0" w:space="0" w:color="auto"/>
        <w:right w:val="none" w:sz="0" w:space="0" w:color="auto"/>
      </w:divBdr>
    </w:div>
    <w:div w:id="417597183">
      <w:bodyDiv w:val="1"/>
      <w:marLeft w:val="0"/>
      <w:marRight w:val="0"/>
      <w:marTop w:val="0"/>
      <w:marBottom w:val="0"/>
      <w:divBdr>
        <w:top w:val="none" w:sz="0" w:space="0" w:color="auto"/>
        <w:left w:val="none" w:sz="0" w:space="0" w:color="auto"/>
        <w:bottom w:val="none" w:sz="0" w:space="0" w:color="auto"/>
        <w:right w:val="none" w:sz="0" w:space="0" w:color="auto"/>
      </w:divBdr>
    </w:div>
    <w:div w:id="431973111">
      <w:bodyDiv w:val="1"/>
      <w:marLeft w:val="0"/>
      <w:marRight w:val="0"/>
      <w:marTop w:val="0"/>
      <w:marBottom w:val="0"/>
      <w:divBdr>
        <w:top w:val="none" w:sz="0" w:space="0" w:color="auto"/>
        <w:left w:val="none" w:sz="0" w:space="0" w:color="auto"/>
        <w:bottom w:val="none" w:sz="0" w:space="0" w:color="auto"/>
        <w:right w:val="none" w:sz="0" w:space="0" w:color="auto"/>
      </w:divBdr>
    </w:div>
    <w:div w:id="469782913">
      <w:bodyDiv w:val="1"/>
      <w:marLeft w:val="0"/>
      <w:marRight w:val="0"/>
      <w:marTop w:val="0"/>
      <w:marBottom w:val="0"/>
      <w:divBdr>
        <w:top w:val="none" w:sz="0" w:space="0" w:color="auto"/>
        <w:left w:val="none" w:sz="0" w:space="0" w:color="auto"/>
        <w:bottom w:val="none" w:sz="0" w:space="0" w:color="auto"/>
        <w:right w:val="none" w:sz="0" w:space="0" w:color="auto"/>
      </w:divBdr>
    </w:div>
    <w:div w:id="580136922">
      <w:bodyDiv w:val="1"/>
      <w:marLeft w:val="0"/>
      <w:marRight w:val="0"/>
      <w:marTop w:val="0"/>
      <w:marBottom w:val="0"/>
      <w:divBdr>
        <w:top w:val="none" w:sz="0" w:space="0" w:color="auto"/>
        <w:left w:val="none" w:sz="0" w:space="0" w:color="auto"/>
        <w:bottom w:val="none" w:sz="0" w:space="0" w:color="auto"/>
        <w:right w:val="none" w:sz="0" w:space="0" w:color="auto"/>
      </w:divBdr>
    </w:div>
    <w:div w:id="587424029">
      <w:bodyDiv w:val="1"/>
      <w:marLeft w:val="0"/>
      <w:marRight w:val="0"/>
      <w:marTop w:val="0"/>
      <w:marBottom w:val="0"/>
      <w:divBdr>
        <w:top w:val="none" w:sz="0" w:space="0" w:color="auto"/>
        <w:left w:val="none" w:sz="0" w:space="0" w:color="auto"/>
        <w:bottom w:val="none" w:sz="0" w:space="0" w:color="auto"/>
        <w:right w:val="none" w:sz="0" w:space="0" w:color="auto"/>
      </w:divBdr>
    </w:div>
    <w:div w:id="632105166">
      <w:bodyDiv w:val="1"/>
      <w:marLeft w:val="0"/>
      <w:marRight w:val="0"/>
      <w:marTop w:val="0"/>
      <w:marBottom w:val="0"/>
      <w:divBdr>
        <w:top w:val="none" w:sz="0" w:space="0" w:color="auto"/>
        <w:left w:val="none" w:sz="0" w:space="0" w:color="auto"/>
        <w:bottom w:val="none" w:sz="0" w:space="0" w:color="auto"/>
        <w:right w:val="none" w:sz="0" w:space="0" w:color="auto"/>
      </w:divBdr>
      <w:divsChild>
        <w:div w:id="1385834910">
          <w:marLeft w:val="0"/>
          <w:marRight w:val="0"/>
          <w:marTop w:val="0"/>
          <w:marBottom w:val="0"/>
          <w:divBdr>
            <w:top w:val="none" w:sz="0" w:space="0" w:color="auto"/>
            <w:left w:val="none" w:sz="0" w:space="0" w:color="auto"/>
            <w:bottom w:val="none" w:sz="0" w:space="0" w:color="auto"/>
            <w:right w:val="none" w:sz="0" w:space="0" w:color="auto"/>
          </w:divBdr>
          <w:divsChild>
            <w:div w:id="378865887">
              <w:marLeft w:val="0"/>
              <w:marRight w:val="0"/>
              <w:marTop w:val="0"/>
              <w:marBottom w:val="0"/>
              <w:divBdr>
                <w:top w:val="none" w:sz="0" w:space="0" w:color="auto"/>
                <w:left w:val="none" w:sz="0" w:space="0" w:color="auto"/>
                <w:bottom w:val="none" w:sz="0" w:space="0" w:color="auto"/>
                <w:right w:val="none" w:sz="0" w:space="0" w:color="auto"/>
              </w:divBdr>
              <w:divsChild>
                <w:div w:id="109400701">
                  <w:marLeft w:val="480"/>
                  <w:marRight w:val="0"/>
                  <w:marTop w:val="0"/>
                  <w:marBottom w:val="0"/>
                  <w:divBdr>
                    <w:top w:val="none" w:sz="0" w:space="0" w:color="auto"/>
                    <w:left w:val="none" w:sz="0" w:space="0" w:color="auto"/>
                    <w:bottom w:val="none" w:sz="0" w:space="0" w:color="auto"/>
                    <w:right w:val="none" w:sz="0" w:space="0" w:color="auto"/>
                  </w:divBdr>
                  <w:divsChild>
                    <w:div w:id="1654483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4314998">
      <w:bodyDiv w:val="1"/>
      <w:marLeft w:val="0"/>
      <w:marRight w:val="0"/>
      <w:marTop w:val="0"/>
      <w:marBottom w:val="0"/>
      <w:divBdr>
        <w:top w:val="none" w:sz="0" w:space="0" w:color="auto"/>
        <w:left w:val="none" w:sz="0" w:space="0" w:color="auto"/>
        <w:bottom w:val="none" w:sz="0" w:space="0" w:color="auto"/>
        <w:right w:val="none" w:sz="0" w:space="0" w:color="auto"/>
      </w:divBdr>
      <w:divsChild>
        <w:div w:id="1061908082">
          <w:marLeft w:val="0"/>
          <w:marRight w:val="0"/>
          <w:marTop w:val="0"/>
          <w:marBottom w:val="0"/>
          <w:divBdr>
            <w:top w:val="none" w:sz="0" w:space="0" w:color="auto"/>
            <w:left w:val="none" w:sz="0" w:space="0" w:color="auto"/>
            <w:bottom w:val="none" w:sz="0" w:space="0" w:color="auto"/>
            <w:right w:val="none" w:sz="0" w:space="0" w:color="auto"/>
          </w:divBdr>
          <w:divsChild>
            <w:div w:id="2131241815">
              <w:marLeft w:val="0"/>
              <w:marRight w:val="0"/>
              <w:marTop w:val="0"/>
              <w:marBottom w:val="0"/>
              <w:divBdr>
                <w:top w:val="none" w:sz="0" w:space="0" w:color="auto"/>
                <w:left w:val="none" w:sz="0" w:space="0" w:color="auto"/>
                <w:bottom w:val="none" w:sz="0" w:space="0" w:color="auto"/>
                <w:right w:val="none" w:sz="0" w:space="0" w:color="auto"/>
              </w:divBdr>
              <w:divsChild>
                <w:div w:id="532353659">
                  <w:marLeft w:val="480"/>
                  <w:marRight w:val="0"/>
                  <w:marTop w:val="0"/>
                  <w:marBottom w:val="0"/>
                  <w:divBdr>
                    <w:top w:val="none" w:sz="0" w:space="0" w:color="auto"/>
                    <w:left w:val="none" w:sz="0" w:space="0" w:color="auto"/>
                    <w:bottom w:val="none" w:sz="0" w:space="0" w:color="auto"/>
                    <w:right w:val="none" w:sz="0" w:space="0" w:color="auto"/>
                  </w:divBdr>
                  <w:divsChild>
                    <w:div w:id="1836870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28192375">
      <w:bodyDiv w:val="1"/>
      <w:marLeft w:val="0"/>
      <w:marRight w:val="0"/>
      <w:marTop w:val="0"/>
      <w:marBottom w:val="0"/>
      <w:divBdr>
        <w:top w:val="none" w:sz="0" w:space="0" w:color="auto"/>
        <w:left w:val="none" w:sz="0" w:space="0" w:color="auto"/>
        <w:bottom w:val="none" w:sz="0" w:space="0" w:color="auto"/>
        <w:right w:val="none" w:sz="0" w:space="0" w:color="auto"/>
      </w:divBdr>
      <w:divsChild>
        <w:div w:id="293602906">
          <w:marLeft w:val="0"/>
          <w:marRight w:val="0"/>
          <w:marTop w:val="0"/>
          <w:marBottom w:val="0"/>
          <w:divBdr>
            <w:top w:val="none" w:sz="0" w:space="0" w:color="auto"/>
            <w:left w:val="none" w:sz="0" w:space="0" w:color="auto"/>
            <w:bottom w:val="none" w:sz="0" w:space="0" w:color="auto"/>
            <w:right w:val="none" w:sz="0" w:space="0" w:color="auto"/>
          </w:divBdr>
          <w:divsChild>
            <w:div w:id="324942866">
              <w:marLeft w:val="0"/>
              <w:marRight w:val="0"/>
              <w:marTop w:val="0"/>
              <w:marBottom w:val="0"/>
              <w:divBdr>
                <w:top w:val="none" w:sz="0" w:space="0" w:color="auto"/>
                <w:left w:val="none" w:sz="0" w:space="0" w:color="auto"/>
                <w:bottom w:val="none" w:sz="0" w:space="0" w:color="auto"/>
                <w:right w:val="none" w:sz="0" w:space="0" w:color="auto"/>
              </w:divBdr>
              <w:divsChild>
                <w:div w:id="1014067939">
                  <w:marLeft w:val="0"/>
                  <w:marRight w:val="0"/>
                  <w:marTop w:val="0"/>
                  <w:marBottom w:val="0"/>
                  <w:divBdr>
                    <w:top w:val="none" w:sz="0" w:space="0" w:color="auto"/>
                    <w:left w:val="none" w:sz="0" w:space="0" w:color="auto"/>
                    <w:bottom w:val="none" w:sz="0" w:space="0" w:color="auto"/>
                    <w:right w:val="none" w:sz="0" w:space="0" w:color="auto"/>
                  </w:divBdr>
                  <w:divsChild>
                    <w:div w:id="50934345">
                      <w:marLeft w:val="0"/>
                      <w:marRight w:val="0"/>
                      <w:marTop w:val="0"/>
                      <w:marBottom w:val="0"/>
                      <w:divBdr>
                        <w:top w:val="none" w:sz="0" w:space="0" w:color="auto"/>
                        <w:left w:val="none" w:sz="0" w:space="0" w:color="auto"/>
                        <w:bottom w:val="none" w:sz="0" w:space="0" w:color="auto"/>
                        <w:right w:val="none" w:sz="0" w:space="0" w:color="auto"/>
                      </w:divBdr>
                      <w:divsChild>
                        <w:div w:id="670528837">
                          <w:marLeft w:val="0"/>
                          <w:marRight w:val="0"/>
                          <w:marTop w:val="0"/>
                          <w:marBottom w:val="0"/>
                          <w:divBdr>
                            <w:top w:val="none" w:sz="0" w:space="0" w:color="auto"/>
                            <w:left w:val="none" w:sz="0" w:space="0" w:color="auto"/>
                            <w:bottom w:val="none" w:sz="0" w:space="0" w:color="auto"/>
                            <w:right w:val="none" w:sz="0" w:space="0" w:color="auto"/>
                          </w:divBdr>
                          <w:divsChild>
                            <w:div w:id="290672727">
                              <w:marLeft w:val="0"/>
                              <w:marRight w:val="0"/>
                              <w:marTop w:val="0"/>
                              <w:marBottom w:val="0"/>
                              <w:divBdr>
                                <w:top w:val="none" w:sz="0" w:space="0" w:color="auto"/>
                                <w:left w:val="none" w:sz="0" w:space="0" w:color="auto"/>
                                <w:bottom w:val="none" w:sz="0" w:space="0" w:color="auto"/>
                                <w:right w:val="none" w:sz="0" w:space="0" w:color="auto"/>
                              </w:divBdr>
                              <w:divsChild>
                                <w:div w:id="1694375381">
                                  <w:marLeft w:val="0"/>
                                  <w:marRight w:val="0"/>
                                  <w:marTop w:val="0"/>
                                  <w:marBottom w:val="0"/>
                                  <w:divBdr>
                                    <w:top w:val="none" w:sz="0" w:space="0" w:color="auto"/>
                                    <w:left w:val="none" w:sz="0" w:space="0" w:color="auto"/>
                                    <w:bottom w:val="none" w:sz="0" w:space="0" w:color="auto"/>
                                    <w:right w:val="none" w:sz="0" w:space="0" w:color="auto"/>
                                  </w:divBdr>
                                  <w:divsChild>
                                    <w:div w:id="1055737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47672638">
      <w:bodyDiv w:val="1"/>
      <w:marLeft w:val="0"/>
      <w:marRight w:val="0"/>
      <w:marTop w:val="0"/>
      <w:marBottom w:val="0"/>
      <w:divBdr>
        <w:top w:val="none" w:sz="0" w:space="0" w:color="auto"/>
        <w:left w:val="none" w:sz="0" w:space="0" w:color="auto"/>
        <w:bottom w:val="none" w:sz="0" w:space="0" w:color="auto"/>
        <w:right w:val="none" w:sz="0" w:space="0" w:color="auto"/>
      </w:divBdr>
    </w:div>
    <w:div w:id="908006202">
      <w:bodyDiv w:val="1"/>
      <w:marLeft w:val="0"/>
      <w:marRight w:val="0"/>
      <w:marTop w:val="0"/>
      <w:marBottom w:val="0"/>
      <w:divBdr>
        <w:top w:val="none" w:sz="0" w:space="0" w:color="auto"/>
        <w:left w:val="none" w:sz="0" w:space="0" w:color="auto"/>
        <w:bottom w:val="none" w:sz="0" w:space="0" w:color="auto"/>
        <w:right w:val="none" w:sz="0" w:space="0" w:color="auto"/>
      </w:divBdr>
      <w:divsChild>
        <w:div w:id="854002233">
          <w:marLeft w:val="0"/>
          <w:marRight w:val="0"/>
          <w:marTop w:val="0"/>
          <w:marBottom w:val="0"/>
          <w:divBdr>
            <w:top w:val="none" w:sz="0" w:space="0" w:color="auto"/>
            <w:left w:val="none" w:sz="0" w:space="0" w:color="auto"/>
            <w:bottom w:val="none" w:sz="0" w:space="0" w:color="auto"/>
            <w:right w:val="none" w:sz="0" w:space="0" w:color="auto"/>
          </w:divBdr>
          <w:divsChild>
            <w:div w:id="1456633826">
              <w:marLeft w:val="0"/>
              <w:marRight w:val="0"/>
              <w:marTop w:val="0"/>
              <w:marBottom w:val="0"/>
              <w:divBdr>
                <w:top w:val="none" w:sz="0" w:space="0" w:color="auto"/>
                <w:left w:val="none" w:sz="0" w:space="0" w:color="auto"/>
                <w:bottom w:val="none" w:sz="0" w:space="0" w:color="auto"/>
                <w:right w:val="none" w:sz="0" w:space="0" w:color="auto"/>
              </w:divBdr>
              <w:divsChild>
                <w:div w:id="674501956">
                  <w:marLeft w:val="480"/>
                  <w:marRight w:val="0"/>
                  <w:marTop w:val="0"/>
                  <w:marBottom w:val="0"/>
                  <w:divBdr>
                    <w:top w:val="none" w:sz="0" w:space="0" w:color="auto"/>
                    <w:left w:val="none" w:sz="0" w:space="0" w:color="auto"/>
                    <w:bottom w:val="none" w:sz="0" w:space="0" w:color="auto"/>
                    <w:right w:val="none" w:sz="0" w:space="0" w:color="auto"/>
                  </w:divBdr>
                  <w:divsChild>
                    <w:div w:id="987169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4776811">
      <w:bodyDiv w:val="1"/>
      <w:marLeft w:val="0"/>
      <w:marRight w:val="0"/>
      <w:marTop w:val="0"/>
      <w:marBottom w:val="0"/>
      <w:divBdr>
        <w:top w:val="none" w:sz="0" w:space="0" w:color="auto"/>
        <w:left w:val="none" w:sz="0" w:space="0" w:color="auto"/>
        <w:bottom w:val="none" w:sz="0" w:space="0" w:color="auto"/>
        <w:right w:val="none" w:sz="0" w:space="0" w:color="auto"/>
      </w:divBdr>
    </w:div>
    <w:div w:id="990400492">
      <w:bodyDiv w:val="1"/>
      <w:marLeft w:val="0"/>
      <w:marRight w:val="0"/>
      <w:marTop w:val="0"/>
      <w:marBottom w:val="0"/>
      <w:divBdr>
        <w:top w:val="none" w:sz="0" w:space="0" w:color="auto"/>
        <w:left w:val="none" w:sz="0" w:space="0" w:color="auto"/>
        <w:bottom w:val="none" w:sz="0" w:space="0" w:color="auto"/>
        <w:right w:val="none" w:sz="0" w:space="0" w:color="auto"/>
      </w:divBdr>
    </w:div>
    <w:div w:id="1081412235">
      <w:bodyDiv w:val="1"/>
      <w:marLeft w:val="0"/>
      <w:marRight w:val="0"/>
      <w:marTop w:val="0"/>
      <w:marBottom w:val="0"/>
      <w:divBdr>
        <w:top w:val="none" w:sz="0" w:space="0" w:color="auto"/>
        <w:left w:val="none" w:sz="0" w:space="0" w:color="auto"/>
        <w:bottom w:val="none" w:sz="0" w:space="0" w:color="auto"/>
        <w:right w:val="none" w:sz="0" w:space="0" w:color="auto"/>
      </w:divBdr>
    </w:div>
    <w:div w:id="1100486379">
      <w:bodyDiv w:val="1"/>
      <w:marLeft w:val="0"/>
      <w:marRight w:val="0"/>
      <w:marTop w:val="0"/>
      <w:marBottom w:val="0"/>
      <w:divBdr>
        <w:top w:val="none" w:sz="0" w:space="0" w:color="auto"/>
        <w:left w:val="none" w:sz="0" w:space="0" w:color="auto"/>
        <w:bottom w:val="none" w:sz="0" w:space="0" w:color="auto"/>
        <w:right w:val="none" w:sz="0" w:space="0" w:color="auto"/>
      </w:divBdr>
    </w:div>
    <w:div w:id="1143691448">
      <w:bodyDiv w:val="1"/>
      <w:marLeft w:val="0"/>
      <w:marRight w:val="0"/>
      <w:marTop w:val="0"/>
      <w:marBottom w:val="0"/>
      <w:divBdr>
        <w:top w:val="none" w:sz="0" w:space="0" w:color="auto"/>
        <w:left w:val="none" w:sz="0" w:space="0" w:color="auto"/>
        <w:bottom w:val="none" w:sz="0" w:space="0" w:color="auto"/>
        <w:right w:val="none" w:sz="0" w:space="0" w:color="auto"/>
      </w:divBdr>
    </w:div>
    <w:div w:id="1248854289">
      <w:bodyDiv w:val="1"/>
      <w:marLeft w:val="0"/>
      <w:marRight w:val="0"/>
      <w:marTop w:val="0"/>
      <w:marBottom w:val="0"/>
      <w:divBdr>
        <w:top w:val="none" w:sz="0" w:space="0" w:color="auto"/>
        <w:left w:val="none" w:sz="0" w:space="0" w:color="auto"/>
        <w:bottom w:val="none" w:sz="0" w:space="0" w:color="auto"/>
        <w:right w:val="none" w:sz="0" w:space="0" w:color="auto"/>
      </w:divBdr>
    </w:div>
    <w:div w:id="1295872521">
      <w:bodyDiv w:val="1"/>
      <w:marLeft w:val="0"/>
      <w:marRight w:val="0"/>
      <w:marTop w:val="0"/>
      <w:marBottom w:val="0"/>
      <w:divBdr>
        <w:top w:val="none" w:sz="0" w:space="0" w:color="auto"/>
        <w:left w:val="none" w:sz="0" w:space="0" w:color="auto"/>
        <w:bottom w:val="none" w:sz="0" w:space="0" w:color="auto"/>
        <w:right w:val="none" w:sz="0" w:space="0" w:color="auto"/>
      </w:divBdr>
    </w:div>
    <w:div w:id="1314944317">
      <w:bodyDiv w:val="1"/>
      <w:marLeft w:val="0"/>
      <w:marRight w:val="0"/>
      <w:marTop w:val="0"/>
      <w:marBottom w:val="0"/>
      <w:divBdr>
        <w:top w:val="none" w:sz="0" w:space="0" w:color="auto"/>
        <w:left w:val="none" w:sz="0" w:space="0" w:color="auto"/>
        <w:bottom w:val="none" w:sz="0" w:space="0" w:color="auto"/>
        <w:right w:val="none" w:sz="0" w:space="0" w:color="auto"/>
      </w:divBdr>
    </w:div>
    <w:div w:id="1340112303">
      <w:bodyDiv w:val="1"/>
      <w:marLeft w:val="0"/>
      <w:marRight w:val="0"/>
      <w:marTop w:val="0"/>
      <w:marBottom w:val="0"/>
      <w:divBdr>
        <w:top w:val="none" w:sz="0" w:space="0" w:color="auto"/>
        <w:left w:val="none" w:sz="0" w:space="0" w:color="auto"/>
        <w:bottom w:val="none" w:sz="0" w:space="0" w:color="auto"/>
        <w:right w:val="none" w:sz="0" w:space="0" w:color="auto"/>
      </w:divBdr>
    </w:div>
    <w:div w:id="1375278607">
      <w:bodyDiv w:val="1"/>
      <w:marLeft w:val="0"/>
      <w:marRight w:val="0"/>
      <w:marTop w:val="0"/>
      <w:marBottom w:val="0"/>
      <w:divBdr>
        <w:top w:val="none" w:sz="0" w:space="0" w:color="auto"/>
        <w:left w:val="none" w:sz="0" w:space="0" w:color="auto"/>
        <w:bottom w:val="none" w:sz="0" w:space="0" w:color="auto"/>
        <w:right w:val="none" w:sz="0" w:space="0" w:color="auto"/>
      </w:divBdr>
      <w:divsChild>
        <w:div w:id="157770084">
          <w:marLeft w:val="0"/>
          <w:marRight w:val="0"/>
          <w:marTop w:val="0"/>
          <w:marBottom w:val="0"/>
          <w:divBdr>
            <w:top w:val="none" w:sz="0" w:space="0" w:color="auto"/>
            <w:left w:val="none" w:sz="0" w:space="0" w:color="auto"/>
            <w:bottom w:val="none" w:sz="0" w:space="0" w:color="auto"/>
            <w:right w:val="none" w:sz="0" w:space="0" w:color="auto"/>
          </w:divBdr>
          <w:divsChild>
            <w:div w:id="1262031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2825577">
      <w:bodyDiv w:val="1"/>
      <w:marLeft w:val="0"/>
      <w:marRight w:val="0"/>
      <w:marTop w:val="0"/>
      <w:marBottom w:val="0"/>
      <w:divBdr>
        <w:top w:val="none" w:sz="0" w:space="0" w:color="auto"/>
        <w:left w:val="none" w:sz="0" w:space="0" w:color="auto"/>
        <w:bottom w:val="none" w:sz="0" w:space="0" w:color="auto"/>
        <w:right w:val="none" w:sz="0" w:space="0" w:color="auto"/>
      </w:divBdr>
    </w:div>
    <w:div w:id="1414011201">
      <w:bodyDiv w:val="1"/>
      <w:marLeft w:val="0"/>
      <w:marRight w:val="0"/>
      <w:marTop w:val="0"/>
      <w:marBottom w:val="0"/>
      <w:divBdr>
        <w:top w:val="none" w:sz="0" w:space="0" w:color="auto"/>
        <w:left w:val="none" w:sz="0" w:space="0" w:color="auto"/>
        <w:bottom w:val="none" w:sz="0" w:space="0" w:color="auto"/>
        <w:right w:val="none" w:sz="0" w:space="0" w:color="auto"/>
      </w:divBdr>
    </w:div>
    <w:div w:id="1416782348">
      <w:bodyDiv w:val="1"/>
      <w:marLeft w:val="0"/>
      <w:marRight w:val="0"/>
      <w:marTop w:val="0"/>
      <w:marBottom w:val="0"/>
      <w:divBdr>
        <w:top w:val="none" w:sz="0" w:space="0" w:color="auto"/>
        <w:left w:val="none" w:sz="0" w:space="0" w:color="auto"/>
        <w:bottom w:val="none" w:sz="0" w:space="0" w:color="auto"/>
        <w:right w:val="none" w:sz="0" w:space="0" w:color="auto"/>
      </w:divBdr>
    </w:div>
    <w:div w:id="1448816267">
      <w:bodyDiv w:val="1"/>
      <w:marLeft w:val="0"/>
      <w:marRight w:val="0"/>
      <w:marTop w:val="0"/>
      <w:marBottom w:val="0"/>
      <w:divBdr>
        <w:top w:val="none" w:sz="0" w:space="0" w:color="auto"/>
        <w:left w:val="none" w:sz="0" w:space="0" w:color="auto"/>
        <w:bottom w:val="none" w:sz="0" w:space="0" w:color="auto"/>
        <w:right w:val="none" w:sz="0" w:space="0" w:color="auto"/>
      </w:divBdr>
      <w:divsChild>
        <w:div w:id="1371688564">
          <w:marLeft w:val="0"/>
          <w:marRight w:val="0"/>
          <w:marTop w:val="0"/>
          <w:marBottom w:val="0"/>
          <w:divBdr>
            <w:top w:val="none" w:sz="0" w:space="0" w:color="auto"/>
            <w:left w:val="none" w:sz="0" w:space="0" w:color="auto"/>
            <w:bottom w:val="none" w:sz="0" w:space="0" w:color="auto"/>
            <w:right w:val="none" w:sz="0" w:space="0" w:color="auto"/>
          </w:divBdr>
          <w:divsChild>
            <w:div w:id="927349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1245755">
      <w:bodyDiv w:val="1"/>
      <w:marLeft w:val="0"/>
      <w:marRight w:val="0"/>
      <w:marTop w:val="0"/>
      <w:marBottom w:val="0"/>
      <w:divBdr>
        <w:top w:val="none" w:sz="0" w:space="0" w:color="auto"/>
        <w:left w:val="none" w:sz="0" w:space="0" w:color="auto"/>
        <w:bottom w:val="none" w:sz="0" w:space="0" w:color="auto"/>
        <w:right w:val="none" w:sz="0" w:space="0" w:color="auto"/>
      </w:divBdr>
      <w:divsChild>
        <w:div w:id="513688433">
          <w:marLeft w:val="0"/>
          <w:marRight w:val="0"/>
          <w:marTop w:val="0"/>
          <w:marBottom w:val="0"/>
          <w:divBdr>
            <w:top w:val="none" w:sz="0" w:space="0" w:color="auto"/>
            <w:left w:val="none" w:sz="0" w:space="0" w:color="auto"/>
            <w:bottom w:val="none" w:sz="0" w:space="0" w:color="auto"/>
            <w:right w:val="none" w:sz="0" w:space="0" w:color="auto"/>
          </w:divBdr>
          <w:divsChild>
            <w:div w:id="692803921">
              <w:marLeft w:val="0"/>
              <w:marRight w:val="0"/>
              <w:marTop w:val="0"/>
              <w:marBottom w:val="0"/>
              <w:divBdr>
                <w:top w:val="none" w:sz="0" w:space="0" w:color="auto"/>
                <w:left w:val="none" w:sz="0" w:space="0" w:color="auto"/>
                <w:bottom w:val="none" w:sz="0" w:space="0" w:color="auto"/>
                <w:right w:val="none" w:sz="0" w:space="0" w:color="auto"/>
              </w:divBdr>
              <w:divsChild>
                <w:div w:id="1425225446">
                  <w:marLeft w:val="0"/>
                  <w:marRight w:val="0"/>
                  <w:marTop w:val="0"/>
                  <w:marBottom w:val="0"/>
                  <w:divBdr>
                    <w:top w:val="none" w:sz="0" w:space="0" w:color="auto"/>
                    <w:left w:val="none" w:sz="0" w:space="0" w:color="auto"/>
                    <w:bottom w:val="none" w:sz="0" w:space="0" w:color="auto"/>
                    <w:right w:val="none" w:sz="0" w:space="0" w:color="auto"/>
                  </w:divBdr>
                  <w:divsChild>
                    <w:div w:id="202181268">
                      <w:marLeft w:val="0"/>
                      <w:marRight w:val="0"/>
                      <w:marTop w:val="0"/>
                      <w:marBottom w:val="0"/>
                      <w:divBdr>
                        <w:top w:val="none" w:sz="0" w:space="0" w:color="auto"/>
                        <w:left w:val="none" w:sz="0" w:space="0" w:color="auto"/>
                        <w:bottom w:val="none" w:sz="0" w:space="0" w:color="auto"/>
                        <w:right w:val="none" w:sz="0" w:space="0" w:color="auto"/>
                      </w:divBdr>
                      <w:divsChild>
                        <w:div w:id="34740760">
                          <w:marLeft w:val="0"/>
                          <w:marRight w:val="0"/>
                          <w:marTop w:val="0"/>
                          <w:marBottom w:val="0"/>
                          <w:divBdr>
                            <w:top w:val="none" w:sz="0" w:space="0" w:color="auto"/>
                            <w:left w:val="none" w:sz="0" w:space="0" w:color="auto"/>
                            <w:bottom w:val="none" w:sz="0" w:space="0" w:color="auto"/>
                            <w:right w:val="none" w:sz="0" w:space="0" w:color="auto"/>
                          </w:divBdr>
                          <w:divsChild>
                            <w:div w:id="1954554692">
                              <w:marLeft w:val="0"/>
                              <w:marRight w:val="0"/>
                              <w:marTop w:val="0"/>
                              <w:marBottom w:val="0"/>
                              <w:divBdr>
                                <w:top w:val="none" w:sz="0" w:space="0" w:color="auto"/>
                                <w:left w:val="none" w:sz="0" w:space="0" w:color="auto"/>
                                <w:bottom w:val="none" w:sz="0" w:space="0" w:color="auto"/>
                                <w:right w:val="none" w:sz="0" w:space="0" w:color="auto"/>
                              </w:divBdr>
                              <w:divsChild>
                                <w:div w:id="1778990100">
                                  <w:marLeft w:val="0"/>
                                  <w:marRight w:val="0"/>
                                  <w:marTop w:val="0"/>
                                  <w:marBottom w:val="0"/>
                                  <w:divBdr>
                                    <w:top w:val="none" w:sz="0" w:space="0" w:color="auto"/>
                                    <w:left w:val="none" w:sz="0" w:space="0" w:color="auto"/>
                                    <w:bottom w:val="none" w:sz="0" w:space="0" w:color="auto"/>
                                    <w:right w:val="none" w:sz="0" w:space="0" w:color="auto"/>
                                  </w:divBdr>
                                  <w:divsChild>
                                    <w:div w:id="607348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72209797">
      <w:bodyDiv w:val="1"/>
      <w:marLeft w:val="0"/>
      <w:marRight w:val="0"/>
      <w:marTop w:val="0"/>
      <w:marBottom w:val="0"/>
      <w:divBdr>
        <w:top w:val="none" w:sz="0" w:space="0" w:color="auto"/>
        <w:left w:val="none" w:sz="0" w:space="0" w:color="auto"/>
        <w:bottom w:val="none" w:sz="0" w:space="0" w:color="auto"/>
        <w:right w:val="none" w:sz="0" w:space="0" w:color="auto"/>
      </w:divBdr>
    </w:div>
    <w:div w:id="1483737324">
      <w:bodyDiv w:val="1"/>
      <w:marLeft w:val="0"/>
      <w:marRight w:val="0"/>
      <w:marTop w:val="0"/>
      <w:marBottom w:val="0"/>
      <w:divBdr>
        <w:top w:val="none" w:sz="0" w:space="0" w:color="auto"/>
        <w:left w:val="none" w:sz="0" w:space="0" w:color="auto"/>
        <w:bottom w:val="none" w:sz="0" w:space="0" w:color="auto"/>
        <w:right w:val="none" w:sz="0" w:space="0" w:color="auto"/>
      </w:divBdr>
    </w:div>
    <w:div w:id="1589925037">
      <w:bodyDiv w:val="1"/>
      <w:marLeft w:val="0"/>
      <w:marRight w:val="0"/>
      <w:marTop w:val="0"/>
      <w:marBottom w:val="0"/>
      <w:divBdr>
        <w:top w:val="none" w:sz="0" w:space="0" w:color="auto"/>
        <w:left w:val="none" w:sz="0" w:space="0" w:color="auto"/>
        <w:bottom w:val="none" w:sz="0" w:space="0" w:color="auto"/>
        <w:right w:val="none" w:sz="0" w:space="0" w:color="auto"/>
      </w:divBdr>
    </w:div>
    <w:div w:id="1643539463">
      <w:bodyDiv w:val="1"/>
      <w:marLeft w:val="0"/>
      <w:marRight w:val="0"/>
      <w:marTop w:val="0"/>
      <w:marBottom w:val="0"/>
      <w:divBdr>
        <w:top w:val="none" w:sz="0" w:space="0" w:color="auto"/>
        <w:left w:val="none" w:sz="0" w:space="0" w:color="auto"/>
        <w:bottom w:val="none" w:sz="0" w:space="0" w:color="auto"/>
        <w:right w:val="none" w:sz="0" w:space="0" w:color="auto"/>
      </w:divBdr>
    </w:div>
    <w:div w:id="1655061121">
      <w:bodyDiv w:val="1"/>
      <w:marLeft w:val="0"/>
      <w:marRight w:val="0"/>
      <w:marTop w:val="0"/>
      <w:marBottom w:val="0"/>
      <w:divBdr>
        <w:top w:val="none" w:sz="0" w:space="0" w:color="auto"/>
        <w:left w:val="none" w:sz="0" w:space="0" w:color="auto"/>
        <w:bottom w:val="none" w:sz="0" w:space="0" w:color="auto"/>
        <w:right w:val="none" w:sz="0" w:space="0" w:color="auto"/>
      </w:divBdr>
    </w:div>
    <w:div w:id="1767920132">
      <w:bodyDiv w:val="1"/>
      <w:marLeft w:val="0"/>
      <w:marRight w:val="0"/>
      <w:marTop w:val="0"/>
      <w:marBottom w:val="0"/>
      <w:divBdr>
        <w:top w:val="none" w:sz="0" w:space="0" w:color="auto"/>
        <w:left w:val="none" w:sz="0" w:space="0" w:color="auto"/>
        <w:bottom w:val="none" w:sz="0" w:space="0" w:color="auto"/>
        <w:right w:val="none" w:sz="0" w:space="0" w:color="auto"/>
      </w:divBdr>
    </w:div>
    <w:div w:id="1823235176">
      <w:bodyDiv w:val="1"/>
      <w:marLeft w:val="0"/>
      <w:marRight w:val="0"/>
      <w:marTop w:val="0"/>
      <w:marBottom w:val="0"/>
      <w:divBdr>
        <w:top w:val="none" w:sz="0" w:space="0" w:color="auto"/>
        <w:left w:val="none" w:sz="0" w:space="0" w:color="auto"/>
        <w:bottom w:val="none" w:sz="0" w:space="0" w:color="auto"/>
        <w:right w:val="none" w:sz="0" w:space="0" w:color="auto"/>
      </w:divBdr>
    </w:div>
    <w:div w:id="1914386777">
      <w:bodyDiv w:val="1"/>
      <w:marLeft w:val="0"/>
      <w:marRight w:val="0"/>
      <w:marTop w:val="0"/>
      <w:marBottom w:val="0"/>
      <w:divBdr>
        <w:top w:val="none" w:sz="0" w:space="0" w:color="auto"/>
        <w:left w:val="none" w:sz="0" w:space="0" w:color="auto"/>
        <w:bottom w:val="none" w:sz="0" w:space="0" w:color="auto"/>
        <w:right w:val="none" w:sz="0" w:space="0" w:color="auto"/>
      </w:divBdr>
    </w:div>
    <w:div w:id="1943880487">
      <w:bodyDiv w:val="1"/>
      <w:marLeft w:val="0"/>
      <w:marRight w:val="0"/>
      <w:marTop w:val="0"/>
      <w:marBottom w:val="0"/>
      <w:divBdr>
        <w:top w:val="none" w:sz="0" w:space="0" w:color="auto"/>
        <w:left w:val="none" w:sz="0" w:space="0" w:color="auto"/>
        <w:bottom w:val="none" w:sz="0" w:space="0" w:color="auto"/>
        <w:right w:val="none" w:sz="0" w:space="0" w:color="auto"/>
      </w:divBdr>
    </w:div>
    <w:div w:id="1949845110">
      <w:bodyDiv w:val="1"/>
      <w:marLeft w:val="0"/>
      <w:marRight w:val="0"/>
      <w:marTop w:val="0"/>
      <w:marBottom w:val="0"/>
      <w:divBdr>
        <w:top w:val="none" w:sz="0" w:space="0" w:color="auto"/>
        <w:left w:val="none" w:sz="0" w:space="0" w:color="auto"/>
        <w:bottom w:val="none" w:sz="0" w:space="0" w:color="auto"/>
        <w:right w:val="none" w:sz="0" w:space="0" w:color="auto"/>
      </w:divBdr>
    </w:div>
    <w:div w:id="1950550077">
      <w:bodyDiv w:val="1"/>
      <w:marLeft w:val="0"/>
      <w:marRight w:val="0"/>
      <w:marTop w:val="0"/>
      <w:marBottom w:val="0"/>
      <w:divBdr>
        <w:top w:val="none" w:sz="0" w:space="0" w:color="auto"/>
        <w:left w:val="none" w:sz="0" w:space="0" w:color="auto"/>
        <w:bottom w:val="none" w:sz="0" w:space="0" w:color="auto"/>
        <w:right w:val="none" w:sz="0" w:space="0" w:color="auto"/>
      </w:divBdr>
    </w:div>
    <w:div w:id="1967537385">
      <w:bodyDiv w:val="1"/>
      <w:marLeft w:val="0"/>
      <w:marRight w:val="0"/>
      <w:marTop w:val="0"/>
      <w:marBottom w:val="0"/>
      <w:divBdr>
        <w:top w:val="none" w:sz="0" w:space="0" w:color="auto"/>
        <w:left w:val="none" w:sz="0" w:space="0" w:color="auto"/>
        <w:bottom w:val="none" w:sz="0" w:space="0" w:color="auto"/>
        <w:right w:val="none" w:sz="0" w:space="0" w:color="auto"/>
      </w:divBdr>
    </w:div>
    <w:div w:id="2016958192">
      <w:bodyDiv w:val="1"/>
      <w:marLeft w:val="0"/>
      <w:marRight w:val="0"/>
      <w:marTop w:val="0"/>
      <w:marBottom w:val="0"/>
      <w:divBdr>
        <w:top w:val="none" w:sz="0" w:space="0" w:color="auto"/>
        <w:left w:val="none" w:sz="0" w:space="0" w:color="auto"/>
        <w:bottom w:val="none" w:sz="0" w:space="0" w:color="auto"/>
        <w:right w:val="none" w:sz="0" w:space="0" w:color="auto"/>
      </w:divBdr>
      <w:divsChild>
        <w:div w:id="1879048582">
          <w:marLeft w:val="0"/>
          <w:marRight w:val="0"/>
          <w:marTop w:val="0"/>
          <w:marBottom w:val="0"/>
          <w:divBdr>
            <w:top w:val="none" w:sz="0" w:space="0" w:color="auto"/>
            <w:left w:val="none" w:sz="0" w:space="0" w:color="auto"/>
            <w:bottom w:val="none" w:sz="0" w:space="0" w:color="auto"/>
            <w:right w:val="none" w:sz="0" w:space="0" w:color="auto"/>
          </w:divBdr>
          <w:divsChild>
            <w:div w:id="1590696177">
              <w:marLeft w:val="0"/>
              <w:marRight w:val="0"/>
              <w:marTop w:val="0"/>
              <w:marBottom w:val="0"/>
              <w:divBdr>
                <w:top w:val="none" w:sz="0" w:space="0" w:color="auto"/>
                <w:left w:val="none" w:sz="0" w:space="0" w:color="auto"/>
                <w:bottom w:val="none" w:sz="0" w:space="0" w:color="auto"/>
                <w:right w:val="none" w:sz="0" w:space="0" w:color="auto"/>
              </w:divBdr>
              <w:divsChild>
                <w:div w:id="1944259167">
                  <w:marLeft w:val="480"/>
                  <w:marRight w:val="0"/>
                  <w:marTop w:val="0"/>
                  <w:marBottom w:val="0"/>
                  <w:divBdr>
                    <w:top w:val="none" w:sz="0" w:space="0" w:color="auto"/>
                    <w:left w:val="none" w:sz="0" w:space="0" w:color="auto"/>
                    <w:bottom w:val="none" w:sz="0" w:space="0" w:color="auto"/>
                    <w:right w:val="none" w:sz="0" w:space="0" w:color="auto"/>
                  </w:divBdr>
                  <w:divsChild>
                    <w:div w:id="1190876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50784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org/uk/knowledge/factsheets/turnover-retention-factsheet/" TargetMode="External"/><Relationship Id="rId18" Type="http://schemas.openxmlformats.org/officeDocument/2006/relationships/hyperlink" Target="https://www.cipd.org/globalassets/media/knowledge/knowledge-hub/reports/2024-pdfs/8662-resource-and-talent-planning-2024-report-web.pdf" TargetMode="External"/><Relationship Id="rId26" Type="http://schemas.openxmlformats.org/officeDocument/2006/relationships/hyperlink" Target="https://uk.indeed.com/career-advice/career-development/advantages-and-disadvantages-of-job-enrichment" TargetMode="External"/><Relationship Id="rId3" Type="http://schemas.openxmlformats.org/officeDocument/2006/relationships/settings" Target="settings.xml"/><Relationship Id="rId21" Type="http://schemas.openxmlformats.org/officeDocument/2006/relationships/hyperlink" Target="https://www.cipd.org/uk/knowledge/podcasts/workforce-planning/" TargetMode="External"/><Relationship Id="rId7" Type="http://schemas.openxmlformats.org/officeDocument/2006/relationships/hyperlink" Target="https://www.acas.org.uk/zero-hours-contracts" TargetMode="External"/><Relationship Id="rId12" Type="http://schemas.openxmlformats.org/officeDocument/2006/relationships/hyperlink" Target="https://doi.org/10.1093/epolic/eiz007" TargetMode="External"/><Relationship Id="rId17" Type="http://schemas.openxmlformats.org/officeDocument/2006/relationships/hyperlink" Target="https://www.cipd.org/uk/knowledge/factsheets/terms-conditions-contracts-factsheet/" TargetMode="External"/><Relationship Id="rId25" Type="http://schemas.openxmlformats.org/officeDocument/2006/relationships/hyperlink" Target="https://www.gov.uk/fixed-term-contracts"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cipd.org/uk/knowledge/factsheets/reward-factsheet/" TargetMode="External"/><Relationship Id="rId20" Type="http://schemas.openxmlformats.org/officeDocument/2006/relationships/hyperlink" Target="https://www.cipd.org/uk/knowledge/factsheets/workforce-planning-factsheet/" TargetMode="External"/><Relationship Id="rId29" Type="http://schemas.openxmlformats.org/officeDocument/2006/relationships/hyperlink" Target="https://jobs.nationalgrid.com/UK/content/Early-careers---How-to-apply/?locale=en_GB"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onference-board.org/publications/talent-acquisition-strategic-workforce-planning" TargetMode="External"/><Relationship Id="rId24" Type="http://schemas.openxmlformats.org/officeDocument/2006/relationships/hyperlink" Target="https://www.cipd.org/uk/knowledge/factsheets/economy-labour-market-factsheet/"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cipd.org/uk/knowledge/factsheets/induction-factsheet/" TargetMode="External"/><Relationship Id="rId23" Type="http://schemas.openxmlformats.org/officeDocument/2006/relationships/hyperlink" Target="https://www.cipd.org/uk/knowledge/guides/employee-retention/" TargetMode="External"/><Relationship Id="rId28" Type="http://schemas.openxmlformats.org/officeDocument/2006/relationships/hyperlink" Target="https://doi.org/10.1108/DLO-12-2020-0246" TargetMode="External"/><Relationship Id="rId10" Type="http://schemas.openxmlformats.org/officeDocument/2006/relationships/hyperlink" Target="https://doi.org/10.1002/smj.3020" TargetMode="External"/><Relationship Id="rId19" Type="http://schemas.openxmlformats.org/officeDocument/2006/relationships/hyperlink" Target="https://www.cipd.org" TargetMode="External"/><Relationship Id="rId31" Type="http://schemas.openxmlformats.org/officeDocument/2006/relationships/hyperlink" Target="https://www.hrmagazine.co.uk/articles/over-half-of-employees-are-dissatisfied-with-onboarding" TargetMode="External"/><Relationship Id="rId4" Type="http://schemas.openxmlformats.org/officeDocument/2006/relationships/webSettings" Target="webSettings.xml"/><Relationship Id="rId9" Type="http://schemas.openxmlformats.org/officeDocument/2006/relationships/hyperlink" Target="https://www.aihr.com/blog/realistic-job-preview/" TargetMode="External"/><Relationship Id="rId14" Type="http://schemas.openxmlformats.org/officeDocument/2006/relationships/hyperlink" Target="https://www.cipd.org/uk/knowledge/factsheets/workforce-planning-factsheet/" TargetMode="External"/><Relationship Id="rId22" Type="http://schemas.openxmlformats.org/officeDocument/2006/relationships/hyperlink" Target="https://www.cipd.org/uk/knowledge/factsheets/swot-analysis-factsheet/" TargetMode="External"/><Relationship Id="rId27" Type="http://schemas.openxmlformats.org/officeDocument/2006/relationships/hyperlink" Target="https://www.indeed.com/career-advice/career-development/competitive-analysis" TargetMode="External"/><Relationship Id="rId30" Type="http://schemas.openxmlformats.org/officeDocument/2006/relationships/hyperlink" Target="https://www.personneltoday.com/hr/world-mental-health-day-employer-support-lagging-behind-demand/" TargetMode="External"/><Relationship Id="rId8" Type="http://schemas.openxmlformats.org/officeDocument/2006/relationships/hyperlink" Target="https://www.acas.org.uk/sites/default/files/2021-03/Starting-staff-inductio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5343</Words>
  <Characters>30458</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35730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Gardner</dc:creator>
  <cp:keywords/>
  <dc:description/>
  <cp:lastModifiedBy>Chloe Gardner</cp:lastModifiedBy>
  <cp:revision>3</cp:revision>
  <dcterms:created xsi:type="dcterms:W3CDTF">2025-06-30T18:13:00Z</dcterms:created>
  <dcterms:modified xsi:type="dcterms:W3CDTF">2025-06-30T18:13:00Z</dcterms:modified>
</cp:coreProperties>
</file>