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9696D0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15FFF">
              <w:rPr>
                <w:rFonts w:ascii="Times New Roman" w:hAnsi="Times New Roman" w:cs="Times New Roman"/>
                <w:b/>
                <w:color w:val="auto"/>
                <w:sz w:val="48"/>
              </w:rPr>
              <w:t>Ceri Roberts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79A1D7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15FFF">
              <w:rPr>
                <w:rFonts w:ascii="Times New Roman" w:hAnsi="Times New Roman" w:cs="Times New Roman"/>
                <w:b/>
                <w:color w:val="auto"/>
                <w:sz w:val="48"/>
              </w:rPr>
              <w:t xml:space="preserve"> 2128976@student.uwtsd.ac.uk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EED90BE"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AD69826" w14:textId="3597BC74" w:rsidR="00115FFF" w:rsidRPr="005D3F07" w:rsidRDefault="00115FF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2128976</w:t>
            </w:r>
          </w:p>
          <w:p w14:paraId="4C2144EC" w14:textId="77777777" w:rsidR="00115FFF" w:rsidRDefault="00115FFF" w:rsidP="005D3F07">
            <w:pPr>
              <w:overflowPunct/>
              <w:autoSpaceDE/>
              <w:autoSpaceDN/>
              <w:adjustRightInd/>
              <w:ind w:right="-957"/>
              <w:textAlignment w:val="auto"/>
              <w:rPr>
                <w:rFonts w:ascii="Times New Roman" w:hAnsi="Times New Roman" w:cs="Times New Roman"/>
                <w:b/>
                <w:color w:val="auto"/>
                <w:sz w:val="48"/>
              </w:rPr>
            </w:pPr>
          </w:p>
          <w:p w14:paraId="5F84129B" w14:textId="19256F08"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0C16DA9B"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63CD269A" w14:textId="504EC7EC" w:rsidR="008B2E61" w:rsidRDefault="008B2E61" w:rsidP="00FF7EBB">
            <w:pPr>
              <w:jc w:val="both"/>
              <w:rPr>
                <w:i/>
                <w:sz w:val="24"/>
                <w:szCs w:val="24"/>
              </w:rPr>
            </w:pPr>
          </w:p>
          <w:p w14:paraId="3863276B" w14:textId="77777777" w:rsidR="008B2E61" w:rsidRPr="008B2E61" w:rsidRDefault="008B2E61" w:rsidP="008B2E61">
            <w:pPr>
              <w:overflowPunct/>
              <w:autoSpaceDE/>
              <w:autoSpaceDN/>
              <w:adjustRightInd/>
              <w:spacing w:after="160" w:line="259" w:lineRule="auto"/>
              <w:textAlignment w:val="auto"/>
              <w:rPr>
                <w:color w:val="auto"/>
                <w:sz w:val="24"/>
                <w:szCs w:val="24"/>
                <w:lang w:eastAsia="en-US"/>
              </w:rPr>
            </w:pPr>
          </w:p>
          <w:p w14:paraId="4EEC01CC" w14:textId="77777777" w:rsidR="008B2E61" w:rsidRPr="008B2E61" w:rsidRDefault="008B2E61" w:rsidP="008B2E61">
            <w:pPr>
              <w:overflowPunct/>
              <w:autoSpaceDE/>
              <w:autoSpaceDN/>
              <w:adjustRightInd/>
              <w:spacing w:after="160" w:line="259" w:lineRule="auto"/>
              <w:textAlignment w:val="auto"/>
              <w:rPr>
                <w:color w:val="auto"/>
                <w:sz w:val="24"/>
                <w:szCs w:val="24"/>
                <w:lang w:eastAsia="en-US"/>
              </w:rPr>
            </w:pPr>
            <w:r w:rsidRPr="008B2E61">
              <w:rPr>
                <w:color w:val="auto"/>
                <w:sz w:val="24"/>
                <w:szCs w:val="24"/>
                <w:lang w:eastAsia="en-US"/>
              </w:rPr>
              <w:t xml:space="preserve">The national Wales Safeguarding Procedures for children and adults (2019) detail essential roles and responsibilities for practitioners to ensure that they safeguard children and adults who are at risk of abuse and neglect (Welsh Government, 2022c) (WG, 2022c). They are designed to standardise practice across all of Wales and between agencies reflecting the same principles that underpin the legislative requirements and expectations of the Social Services and Wellbeing (Wales) Act 2014 (here on in abbreviated to SSWBWA14) and also the accompanying Working Together to Safeguard People guidance (WG, 2022c). </w:t>
            </w:r>
          </w:p>
          <w:p w14:paraId="4F0DC55A" w14:textId="77777777" w:rsidR="008B2E61" w:rsidRPr="008B2E61" w:rsidRDefault="008B2E61" w:rsidP="008B2E61">
            <w:pPr>
              <w:overflowPunct/>
              <w:autoSpaceDE/>
              <w:autoSpaceDN/>
              <w:adjustRightInd/>
              <w:spacing w:after="160" w:line="259" w:lineRule="auto"/>
              <w:textAlignment w:val="auto"/>
              <w:rPr>
                <w:color w:val="auto"/>
                <w:sz w:val="24"/>
                <w:szCs w:val="24"/>
                <w:lang w:eastAsia="en-US"/>
              </w:rPr>
            </w:pPr>
            <w:r w:rsidRPr="008B2E61">
              <w:rPr>
                <w:color w:val="auto"/>
                <w:sz w:val="24"/>
                <w:szCs w:val="24"/>
                <w:lang w:eastAsia="en-US"/>
              </w:rPr>
              <w:t xml:space="preserve">In Wales, the SSWBWA14 provides the legal framework for improving the well-being of people who need care and support. It’s made up of 11 Parts, with Part 7 relating specifically to Safeguarding. It provides the framework for the Wales Safeguarding Procedures with the aim of improving person centred outcomes for adults at risk of abuse and neglect and children at risk (WG, 2022c). </w:t>
            </w:r>
          </w:p>
          <w:p w14:paraId="5E58EA28" w14:textId="77777777" w:rsidR="008B2E61" w:rsidRPr="008B2E61" w:rsidRDefault="008B2E61" w:rsidP="008B2E61">
            <w:pPr>
              <w:overflowPunct/>
              <w:autoSpaceDE/>
              <w:autoSpaceDN/>
              <w:adjustRightInd/>
              <w:spacing w:after="160" w:line="259" w:lineRule="auto"/>
              <w:textAlignment w:val="auto"/>
              <w:rPr>
                <w:color w:val="auto"/>
                <w:sz w:val="24"/>
                <w:szCs w:val="24"/>
                <w:lang w:eastAsia="en-US"/>
              </w:rPr>
            </w:pPr>
            <w:r w:rsidRPr="008B2E61">
              <w:rPr>
                <w:color w:val="auto"/>
                <w:sz w:val="24"/>
                <w:szCs w:val="24"/>
                <w:lang w:eastAsia="en-US"/>
              </w:rPr>
              <w:t>Effective safeguarding requires a social worker to have broader knowledge and understanding of other laws which in some cases overlap but hold significant importance in outlining one’s responsibilities and duties in the assessment process. These include but are not limited to the Mental Capacity Act (2005) (MCA 2005) which includes the new Liberty Protection Safeguards (LPS) replacing the Deprivation of Liberty Safeguards (</w:t>
            </w:r>
            <w:proofErr w:type="spellStart"/>
            <w:r w:rsidRPr="008B2E61">
              <w:rPr>
                <w:color w:val="auto"/>
                <w:sz w:val="24"/>
                <w:szCs w:val="24"/>
                <w:lang w:eastAsia="en-US"/>
              </w:rPr>
              <w:t>DoLS</w:t>
            </w:r>
            <w:proofErr w:type="spellEnd"/>
            <w:r w:rsidRPr="008B2E61">
              <w:rPr>
                <w:color w:val="auto"/>
                <w:sz w:val="24"/>
                <w:szCs w:val="24"/>
                <w:lang w:eastAsia="en-US"/>
              </w:rPr>
              <w:t xml:space="preserve">), </w:t>
            </w:r>
            <w:r w:rsidRPr="008B2E61">
              <w:rPr>
                <w:color w:val="auto"/>
                <w:sz w:val="24"/>
                <w:szCs w:val="24"/>
                <w:lang w:eastAsia="en-US"/>
              </w:rPr>
              <w:lastRenderedPageBreak/>
              <w:t>Equality Act (2010), The Human Rights Act 1998, Mental Health (Wales) Measure 2010, The Data Protection Act 2018 (Social Care Wales, 2023c) (SCW, 2023c) and other key principles such as The United Nations Principles for Older Persons 1991, which encourages governments to promote independence, participation, care, self-fulfilments and dignity wherever possible (United Nations, 1991). In this piece of writing, I will demonstrate how my knowledge and understanding of legal frameworks, theoretical perspectives and guidance were applied specifically in relation to my role in supporting an adult at risk, and in ensuring that my statutory responsibilities in meeting safeguarding outcomes were carried out within the legislative framework in Wales.</w:t>
            </w:r>
          </w:p>
          <w:p w14:paraId="141BDFEB" w14:textId="77777777" w:rsidR="008B2E61" w:rsidRPr="008B2E61" w:rsidRDefault="008B2E61" w:rsidP="008B2E61">
            <w:pPr>
              <w:shd w:val="clear" w:color="auto" w:fill="FFFFFF"/>
              <w:overflowPunct/>
              <w:autoSpaceDE/>
              <w:autoSpaceDN/>
              <w:adjustRightInd/>
              <w:spacing w:before="100" w:beforeAutospacing="1" w:after="100" w:afterAutospacing="1"/>
              <w:textAlignment w:val="auto"/>
              <w:rPr>
                <w:color w:val="222222"/>
                <w:sz w:val="24"/>
                <w:szCs w:val="24"/>
                <w:shd w:val="clear" w:color="auto" w:fill="FFFFFF"/>
                <w:lang w:eastAsia="en-US"/>
              </w:rPr>
            </w:pPr>
            <w:r w:rsidRPr="008B2E61">
              <w:rPr>
                <w:color w:val="auto"/>
                <w:sz w:val="24"/>
                <w:szCs w:val="24"/>
                <w:lang w:eastAsia="en-US"/>
              </w:rPr>
              <w:t>In accordance with the SSWBWA14 (S.126 (1)) the safeguarding duty applies to people ‘at risk’. For an adult this is someone experiencing or is at risk of abuse or neglect, and has needs for care and support and as a result of those needs is unable to protect himself or herself against the abuse or neglect or the risk of it (Clements, 2019). There are six regional safeguarding boards across Wales, their broad objectives are to ‘prepare’, ‘prevent’, ‘protect’ and ‘pursue’ by developing good corporate safeguarding practices, establishing clear routes for all people to get information, share good practice and learn from i.e. practice reviews and inquests; their overall aim being the protection of children and adults within its area (North Wales Safeguarding Board, 2023) (NWSB, 2023). They adhere to the SSWBWA14 and give a broad definition of an adult at risk as:</w:t>
            </w:r>
          </w:p>
          <w:p w14:paraId="0C69F69E" w14:textId="77777777" w:rsidR="008B2E61" w:rsidRPr="008B2E61" w:rsidRDefault="008B2E61" w:rsidP="008B2E61">
            <w:pPr>
              <w:shd w:val="clear" w:color="auto" w:fill="FFFFFF"/>
              <w:overflowPunct/>
              <w:autoSpaceDE/>
              <w:autoSpaceDN/>
              <w:adjustRightInd/>
              <w:spacing w:before="100" w:beforeAutospacing="1" w:after="100" w:afterAutospacing="1"/>
              <w:ind w:left="720"/>
              <w:textAlignment w:val="auto"/>
              <w:rPr>
                <w:i/>
                <w:color w:val="auto"/>
                <w:sz w:val="24"/>
                <w:szCs w:val="24"/>
                <w:shd w:val="clear" w:color="auto" w:fill="FFFFFF"/>
                <w:lang w:eastAsia="en-US"/>
              </w:rPr>
            </w:pPr>
            <w:r w:rsidRPr="008B2E61">
              <w:rPr>
                <w:i/>
                <w:color w:val="auto"/>
                <w:sz w:val="24"/>
                <w:szCs w:val="24"/>
                <w:shd w:val="clear" w:color="auto" w:fill="FFFFFF"/>
                <w:lang w:eastAsia="en-US"/>
              </w:rPr>
              <w:t>“A person who is 18 years of age or over, and who may be in need of community care services by reason of mental or other disability, age or illness and who is or may be unable to take care of himself, or unable to protect himself against significant harm or serious exploitation.”</w:t>
            </w:r>
          </w:p>
          <w:p w14:paraId="5826C05F" w14:textId="77777777" w:rsidR="008B2E61" w:rsidRPr="008B2E61" w:rsidRDefault="008B2E61" w:rsidP="008B2E61">
            <w:pPr>
              <w:shd w:val="clear" w:color="auto" w:fill="FFFFFF"/>
              <w:overflowPunct/>
              <w:autoSpaceDE/>
              <w:autoSpaceDN/>
              <w:adjustRightInd/>
              <w:spacing w:before="100" w:beforeAutospacing="1" w:after="100" w:afterAutospacing="1"/>
              <w:textAlignment w:val="auto"/>
              <w:rPr>
                <w:color w:val="auto"/>
                <w:sz w:val="24"/>
                <w:szCs w:val="24"/>
                <w:shd w:val="clear" w:color="auto" w:fill="FFFFFF"/>
                <w:lang w:eastAsia="en-US"/>
              </w:rPr>
            </w:pPr>
            <w:r w:rsidRPr="008B2E61">
              <w:rPr>
                <w:color w:val="auto"/>
                <w:sz w:val="24"/>
                <w:szCs w:val="24"/>
                <w:shd w:val="clear" w:color="auto" w:fill="FFFFFF"/>
                <w:lang w:eastAsia="en-US"/>
              </w:rPr>
              <w:t>They also outline the forms of abuse that occur which include physical, sexual, psychological or emotional financial abuse and neglect (NWSB, 2023).</w:t>
            </w:r>
          </w:p>
          <w:p w14:paraId="61AEE675" w14:textId="77777777" w:rsidR="008B2E61" w:rsidRPr="008B2E61" w:rsidRDefault="008B2E61" w:rsidP="008B2E61">
            <w:pPr>
              <w:shd w:val="clear" w:color="auto" w:fill="FFFFFF"/>
              <w:overflowPunct/>
              <w:autoSpaceDE/>
              <w:autoSpaceDN/>
              <w:adjustRightInd/>
              <w:spacing w:before="100" w:beforeAutospacing="1" w:after="100" w:afterAutospacing="1"/>
              <w:textAlignment w:val="auto"/>
              <w:rPr>
                <w:color w:val="auto"/>
                <w:sz w:val="24"/>
                <w:szCs w:val="24"/>
                <w:lang w:eastAsia="en-US"/>
              </w:rPr>
            </w:pPr>
            <w:r w:rsidRPr="008B2E61">
              <w:rPr>
                <w:color w:val="auto"/>
                <w:sz w:val="24"/>
                <w:szCs w:val="24"/>
                <w:shd w:val="clear" w:color="auto" w:fill="FFFFFF"/>
                <w:lang w:eastAsia="en-US"/>
              </w:rPr>
              <w:t>‘A Step in the Right Direction’, a journal of adult protection published by Williams (2017)</w:t>
            </w:r>
            <w:r w:rsidRPr="008B2E61">
              <w:rPr>
                <w:color w:val="auto"/>
                <w:sz w:val="24"/>
                <w:szCs w:val="24"/>
                <w:lang w:eastAsia="en-US"/>
              </w:rPr>
              <w:t xml:space="preserve"> </w:t>
            </w:r>
            <w:r w:rsidRPr="008B2E61">
              <w:rPr>
                <w:color w:val="auto"/>
                <w:sz w:val="24"/>
                <w:szCs w:val="24"/>
                <w:shd w:val="clear" w:color="auto" w:fill="FFFFFF"/>
                <w:lang w:eastAsia="en-US"/>
              </w:rPr>
              <w:t>considers the background to the changes to adult safeguarding in Wales as a result of the measures introduced by the SSWBWA 2014.</w:t>
            </w:r>
            <w:r w:rsidRPr="008B2E61">
              <w:rPr>
                <w:color w:val="auto"/>
                <w:sz w:val="24"/>
                <w:szCs w:val="24"/>
                <w:lang w:eastAsia="en-US"/>
              </w:rPr>
              <w:t xml:space="preserve"> Welsh social care law previously followed England, although Wales could nuance law applied within its boundaries. Welsh adult safeguarding had no legal framework before the 2014 Act.  Practitioners followed the </w:t>
            </w:r>
            <w:r w:rsidRPr="008B2E61">
              <w:rPr>
                <w:i/>
                <w:color w:val="auto"/>
                <w:sz w:val="24"/>
                <w:szCs w:val="24"/>
                <w:lang w:eastAsia="en-US"/>
              </w:rPr>
              <w:t>In Safe Hands</w:t>
            </w:r>
            <w:r w:rsidRPr="008B2E61">
              <w:rPr>
                <w:color w:val="auto"/>
                <w:sz w:val="24"/>
                <w:szCs w:val="24"/>
                <w:lang w:eastAsia="en-US"/>
              </w:rPr>
              <w:t xml:space="preserve"> Guidance issued under the Local Authority Social Services Act 1970. The 2010 review of </w:t>
            </w:r>
            <w:r w:rsidRPr="008B2E61">
              <w:rPr>
                <w:i/>
                <w:color w:val="auto"/>
                <w:sz w:val="24"/>
                <w:szCs w:val="24"/>
                <w:lang w:eastAsia="en-US"/>
              </w:rPr>
              <w:t>In Safe Hands</w:t>
            </w:r>
            <w:r w:rsidRPr="008B2E61">
              <w:rPr>
                <w:color w:val="auto"/>
                <w:sz w:val="24"/>
                <w:szCs w:val="24"/>
                <w:lang w:eastAsia="en-US"/>
              </w:rPr>
              <w:t xml:space="preserve"> recognised its limitations. A gap in the previous procedures was the lack of a legal duty to investigate or make enquiries when it was suspected that an adult was being abused or neglected (Williams, 2017). </w:t>
            </w:r>
          </w:p>
          <w:p w14:paraId="0DCC1091" w14:textId="77777777" w:rsidR="008B2E61" w:rsidRPr="008B2E61" w:rsidRDefault="008B2E61" w:rsidP="008B2E61">
            <w:pPr>
              <w:shd w:val="clear" w:color="auto" w:fill="FFFFFF"/>
              <w:overflowPunct/>
              <w:autoSpaceDE/>
              <w:autoSpaceDN/>
              <w:adjustRightInd/>
              <w:spacing w:before="100" w:beforeAutospacing="1" w:after="100" w:afterAutospacing="1"/>
              <w:textAlignment w:val="auto"/>
              <w:rPr>
                <w:color w:val="auto"/>
                <w:sz w:val="24"/>
                <w:szCs w:val="24"/>
                <w:lang w:eastAsia="en-US"/>
              </w:rPr>
            </w:pPr>
            <w:r w:rsidRPr="008B2E61">
              <w:rPr>
                <w:color w:val="auto"/>
                <w:sz w:val="24"/>
                <w:szCs w:val="24"/>
                <w:lang w:eastAsia="en-US"/>
              </w:rPr>
              <w:t xml:space="preserve">Under s.127(1) of the SWWBA 14, an authorised officer can apply to a justice of the peace for an Adult Protection and Support Order (APSO) which gives powers of entry to ‘premises’ where an adult at risk is thought to be living (Williams, 2017). APSOs are part of wider changes brought about by the Act to give a more robust statutory framework for safeguarding (WG, 2022c). The Westminster Government rejected powers to, for example, enter premises. This is consistent with their long-expressed view that powers would violate the right to a private life and home life Williams (2017). Williams (2017) also argues that Wales did not go further in adopting powers of intervention and says that APSOs begin to </w:t>
            </w:r>
            <w:r w:rsidRPr="008B2E61">
              <w:rPr>
                <w:color w:val="auto"/>
                <w:sz w:val="24"/>
                <w:szCs w:val="24"/>
                <w:lang w:eastAsia="en-US"/>
              </w:rPr>
              <w:lastRenderedPageBreak/>
              <w:t>address the problem of access in the face of hindrance.  However, the lack of further powers may restrict their use. The fear of leaving the person in a more dangerous place might lead to an unwillingness to consider or grant an APSO.</w:t>
            </w:r>
          </w:p>
          <w:p w14:paraId="68A43A07" w14:textId="26B93751" w:rsidR="008B2E61" w:rsidRPr="008B2E61" w:rsidRDefault="008B2E61" w:rsidP="0007791B">
            <w:pPr>
              <w:shd w:val="clear" w:color="auto" w:fill="FFFFFF"/>
              <w:overflowPunct/>
              <w:autoSpaceDE/>
              <w:autoSpaceDN/>
              <w:adjustRightInd/>
              <w:spacing w:before="100" w:beforeAutospacing="1" w:after="100" w:afterAutospacing="1"/>
              <w:textAlignment w:val="auto"/>
              <w:rPr>
                <w:color w:val="auto"/>
                <w:sz w:val="24"/>
                <w:szCs w:val="24"/>
                <w:shd w:val="clear" w:color="auto" w:fill="FFFFFF"/>
                <w:lang w:eastAsia="en-US"/>
              </w:rPr>
            </w:pPr>
            <w:r w:rsidRPr="008B2E61">
              <w:rPr>
                <w:color w:val="auto"/>
                <w:sz w:val="24"/>
                <w:szCs w:val="24"/>
                <w:shd w:val="clear" w:color="auto" w:fill="FFFFFF"/>
                <w:lang w:eastAsia="en-US"/>
              </w:rPr>
              <w:t>This case study details a situation in my social work role with an older white female who I shall refer to as Person 2 referred to as P2 here on in. She describes herself as English born but has a strong connection to a rural village in Wales where she lived with her husband, where she worked and brought up her children over many years. Upon initial contact with P2, I provided ‘the Active offer’ by greeting P2 bilingually and offered the service in the Welsh language</w:t>
            </w:r>
            <w:r w:rsidR="0007791B">
              <w:rPr>
                <w:color w:val="auto"/>
                <w:sz w:val="24"/>
                <w:szCs w:val="24"/>
                <w:shd w:val="clear" w:color="auto" w:fill="FFFFFF"/>
                <w:lang w:eastAsia="en-US"/>
              </w:rPr>
              <w:t>.</w:t>
            </w:r>
            <w:r w:rsidR="0007791B" w:rsidRPr="008B2E61">
              <w:rPr>
                <w:color w:val="auto"/>
                <w:sz w:val="24"/>
                <w:szCs w:val="24"/>
                <w:shd w:val="clear" w:color="auto" w:fill="FFFFFF"/>
                <w:lang w:eastAsia="en-US"/>
              </w:rPr>
              <w:t xml:space="preserve"> P2 expressed a wish to communicate in the English language. </w:t>
            </w:r>
            <w:r w:rsidRPr="008B2E61">
              <w:rPr>
                <w:i/>
                <w:color w:val="auto"/>
                <w:sz w:val="24"/>
                <w:szCs w:val="24"/>
                <w:shd w:val="clear" w:color="auto" w:fill="FFFFFF"/>
                <w:lang w:eastAsia="en-US"/>
              </w:rPr>
              <w:t>More Than Just Words (2012)</w:t>
            </w:r>
            <w:r w:rsidRPr="008B2E61">
              <w:rPr>
                <w:color w:val="auto"/>
                <w:sz w:val="24"/>
                <w:szCs w:val="24"/>
                <w:shd w:val="clear" w:color="auto" w:fill="FFFFFF"/>
                <w:lang w:eastAsia="en-US"/>
              </w:rPr>
              <w:t>, the Welsh language strategic framework implemented by the Welsh Government to strengthen Welsh language provision in health and social care establishes the principle that the Welsh language should be treated no less favourably than the English language. Its implementation is a legal requirement under the Welsh Language (Wales) Measure 2011 (Welsh Government, 2015b) (WG, 2015b). Its aim is to support Welsh-speakers to receive services in their first language</w:t>
            </w:r>
            <w:r w:rsidRPr="008B2E61">
              <w:rPr>
                <w:color w:val="auto"/>
                <w:sz w:val="24"/>
                <w:szCs w:val="24"/>
                <w:lang w:eastAsia="en-US"/>
              </w:rPr>
              <w:t xml:space="preserve"> by following </w:t>
            </w:r>
            <w:r w:rsidRPr="008B2E61">
              <w:rPr>
                <w:color w:val="auto"/>
                <w:sz w:val="24"/>
                <w:szCs w:val="24"/>
                <w:shd w:val="clear" w:color="auto" w:fill="FFFFFF"/>
                <w:lang w:eastAsia="en-US"/>
              </w:rPr>
              <w:t>principles that are reflective of the core values enshrined in the SWWBA 14, to put the individual at the core of services (WG, 2022c).</w:t>
            </w:r>
            <w:r w:rsidR="0007791B">
              <w:rPr>
                <w:color w:val="auto"/>
                <w:sz w:val="24"/>
                <w:szCs w:val="24"/>
                <w:shd w:val="clear" w:color="auto" w:fill="FFFFFF"/>
                <w:lang w:eastAsia="en-US"/>
              </w:rPr>
              <w:t xml:space="preserve"> This also upholds the standards and conduct of practice set out in s.1 of the Code of Professional Practice for Social Care</w:t>
            </w:r>
            <w:r w:rsidR="009B430F">
              <w:rPr>
                <w:color w:val="auto"/>
                <w:sz w:val="24"/>
                <w:szCs w:val="24"/>
                <w:shd w:val="clear" w:color="auto" w:fill="FFFFFF"/>
                <w:lang w:eastAsia="en-US"/>
              </w:rPr>
              <w:t xml:space="preserve"> (2017) </w:t>
            </w:r>
            <w:r w:rsidR="0007791B">
              <w:rPr>
                <w:color w:val="auto"/>
                <w:sz w:val="24"/>
                <w:szCs w:val="24"/>
                <w:shd w:val="clear" w:color="auto" w:fill="FFFFFF"/>
                <w:lang w:eastAsia="en-US"/>
              </w:rPr>
              <w:t>(COPP</w:t>
            </w:r>
            <w:r w:rsidR="009B430F">
              <w:rPr>
                <w:color w:val="auto"/>
                <w:sz w:val="24"/>
                <w:szCs w:val="24"/>
                <w:shd w:val="clear" w:color="auto" w:fill="FFFFFF"/>
                <w:lang w:eastAsia="en-US"/>
              </w:rPr>
              <w:t>17</w:t>
            </w:r>
            <w:r w:rsidR="0007791B">
              <w:rPr>
                <w:color w:val="auto"/>
                <w:sz w:val="24"/>
                <w:szCs w:val="24"/>
                <w:shd w:val="clear" w:color="auto" w:fill="FFFFFF"/>
                <w:lang w:eastAsia="en-US"/>
              </w:rPr>
              <w:t>) (Social Care Wales, 2017) (SCW, 2017) ‘W</w:t>
            </w:r>
            <w:r w:rsidR="0007791B" w:rsidRPr="0007791B">
              <w:rPr>
                <w:color w:val="auto"/>
                <w:sz w:val="24"/>
                <w:szCs w:val="24"/>
                <w:shd w:val="clear" w:color="auto" w:fill="FFFFFF"/>
                <w:lang w:eastAsia="en-US"/>
              </w:rPr>
              <w:t xml:space="preserve">orking </w:t>
            </w:r>
            <w:r w:rsidR="0007791B">
              <w:rPr>
                <w:color w:val="auto"/>
                <w:sz w:val="24"/>
                <w:szCs w:val="24"/>
                <w:shd w:val="clear" w:color="auto" w:fill="FFFFFF"/>
                <w:lang w:eastAsia="en-US"/>
              </w:rPr>
              <w:t xml:space="preserve">with individuals and carers in </w:t>
            </w:r>
            <w:r w:rsidR="0007791B" w:rsidRPr="0007791B">
              <w:rPr>
                <w:color w:val="auto"/>
                <w:sz w:val="24"/>
                <w:szCs w:val="24"/>
                <w:shd w:val="clear" w:color="auto" w:fill="FFFFFF"/>
                <w:lang w:eastAsia="en-US"/>
              </w:rPr>
              <w:t>ways that r</w:t>
            </w:r>
            <w:r w:rsidR="0007791B">
              <w:rPr>
                <w:color w:val="auto"/>
                <w:sz w:val="24"/>
                <w:szCs w:val="24"/>
                <w:shd w:val="clear" w:color="auto" w:fill="FFFFFF"/>
                <w:lang w:eastAsia="en-US"/>
              </w:rPr>
              <w:t xml:space="preserve">espect their dignity, privacy, preferences, culture, language </w:t>
            </w:r>
            <w:r w:rsidR="0007791B" w:rsidRPr="0007791B">
              <w:rPr>
                <w:color w:val="auto"/>
                <w:sz w:val="24"/>
                <w:szCs w:val="24"/>
                <w:shd w:val="clear" w:color="auto" w:fill="FFFFFF"/>
                <w:lang w:eastAsia="en-US"/>
              </w:rPr>
              <w:t>and rights</w:t>
            </w:r>
            <w:r w:rsidR="0007791B">
              <w:rPr>
                <w:color w:val="auto"/>
                <w:sz w:val="24"/>
                <w:szCs w:val="24"/>
                <w:shd w:val="clear" w:color="auto" w:fill="FFFFFF"/>
                <w:lang w:eastAsia="en-US"/>
              </w:rPr>
              <w:t xml:space="preserve">’. </w:t>
            </w:r>
          </w:p>
          <w:p w14:paraId="7F5316F3" w14:textId="77777777" w:rsidR="008B2E61" w:rsidRPr="008B2E61" w:rsidRDefault="008B2E61" w:rsidP="008B2E61">
            <w:pPr>
              <w:shd w:val="clear" w:color="auto" w:fill="FFFFFF"/>
              <w:overflowPunct/>
              <w:autoSpaceDE/>
              <w:autoSpaceDN/>
              <w:adjustRightInd/>
              <w:spacing w:before="100" w:beforeAutospacing="1" w:after="100" w:afterAutospacing="1"/>
              <w:textAlignment w:val="auto"/>
              <w:rPr>
                <w:color w:val="auto"/>
                <w:sz w:val="24"/>
                <w:szCs w:val="24"/>
                <w:shd w:val="clear" w:color="auto" w:fill="FFFFFF"/>
                <w:lang w:eastAsia="en-US"/>
              </w:rPr>
            </w:pPr>
            <w:r w:rsidRPr="008B2E61">
              <w:rPr>
                <w:color w:val="auto"/>
                <w:sz w:val="24"/>
                <w:szCs w:val="24"/>
                <w:shd w:val="clear" w:color="auto" w:fill="FFFFFF"/>
                <w:lang w:eastAsia="en-US"/>
              </w:rPr>
              <w:t>I was involved in the assessment of P2 who had significant weakness and chronic pain to her left side following a stroke which left her immobile. More recently, she had been diagnosed with Vascular Dementia.  Following a period of noticeable decline in P2’s cognitive function and regular behavioural challenges noted by care staff specifically during personal care interventions; the care home reported that they were no longer able to meet P2’s care and support needs. I was involved in assessing P2 with a view to move her from her current home which was categorised as being a general residential to an Elderly Mentally Infirm (EMI) residential category, who could offer her specialist mental health care and support. P2 had limited contact with anyone other than care staff at the home.</w:t>
            </w:r>
          </w:p>
          <w:p w14:paraId="31A46482" w14:textId="77777777" w:rsidR="008B2E61" w:rsidRPr="008B2E61" w:rsidRDefault="008B2E61" w:rsidP="008B2E61">
            <w:pPr>
              <w:shd w:val="clear" w:color="auto" w:fill="FFFFFF"/>
              <w:overflowPunct/>
              <w:autoSpaceDE/>
              <w:autoSpaceDN/>
              <w:adjustRightInd/>
              <w:spacing w:before="100" w:beforeAutospacing="1" w:after="100" w:afterAutospacing="1"/>
              <w:textAlignment w:val="auto"/>
              <w:rPr>
                <w:color w:val="auto"/>
                <w:sz w:val="24"/>
                <w:szCs w:val="24"/>
                <w:shd w:val="clear" w:color="auto" w:fill="FFFFFF"/>
                <w:lang w:eastAsia="en-US"/>
              </w:rPr>
            </w:pPr>
            <w:r w:rsidRPr="008B2E61">
              <w:rPr>
                <w:color w:val="auto"/>
                <w:sz w:val="24"/>
                <w:szCs w:val="24"/>
                <w:shd w:val="clear" w:color="auto" w:fill="FFFFFF"/>
                <w:lang w:eastAsia="en-US"/>
              </w:rPr>
              <w:t>During one particular visit, P2 made an allegation of physical abuse against a member of the care team who she alleged was ‘rough’ with her and intentionally caused her pain during a personal care intervention and felt that this particular carer disliked her.  I was aware of the challenges that the care staff faced during personal care interventions with P2, but what was different in this situation was P2’s detailed description of how the carer had hurt her on this occasion ‘by pulling my leg until my hip came out of its socket’. My role at this point was to listen without judgment as to the reliability and validity of what has been said and ensuring that an accurate written record of the allegation was written down word for word. I showed empathy</w:t>
            </w:r>
            <w:r w:rsidRPr="008B2E61">
              <w:rPr>
                <w:rFonts w:ascii="Calibri" w:hAnsi="Calibri" w:cs="Times New Roman"/>
                <w:color w:val="auto"/>
                <w:sz w:val="22"/>
                <w:szCs w:val="22"/>
                <w:lang w:eastAsia="en-US"/>
              </w:rPr>
              <w:t xml:space="preserve"> </w:t>
            </w:r>
            <w:r w:rsidRPr="008B2E61">
              <w:rPr>
                <w:color w:val="auto"/>
                <w:sz w:val="24"/>
                <w:szCs w:val="24"/>
                <w:shd w:val="clear" w:color="auto" w:fill="FFFFFF"/>
                <w:lang w:eastAsia="en-US"/>
              </w:rPr>
              <w:t xml:space="preserve">described by Lomas et al., (2014) as the ability to communicate understanding of another person’s experience from that person’s perspective” (Lomas et al., 2014, p. 159). I demonstrated this through my use of body language; I positioned myself close to P2 and leant in to show I was interested in what she had to say. I used non-verbal cues i.e., nodding my head and eye contact to let her know I was listening; I avoided interrupting or the urge to fill the gaps when P2 was speaking. To seek clarification about certain details, I asked open ended questions and used brief verbal affirmations like “I see,” “OK” “Thank you” and “I </w:t>
            </w:r>
            <w:r w:rsidRPr="008B2E61">
              <w:rPr>
                <w:color w:val="auto"/>
                <w:sz w:val="24"/>
                <w:szCs w:val="24"/>
                <w:shd w:val="clear" w:color="auto" w:fill="FFFFFF"/>
                <w:lang w:eastAsia="en-US"/>
              </w:rPr>
              <w:lastRenderedPageBreak/>
              <w:t>understand”.</w:t>
            </w:r>
            <w:r w:rsidRPr="008B2E61">
              <w:rPr>
                <w:rFonts w:ascii="Calibri" w:hAnsi="Calibri" w:cs="Times New Roman"/>
                <w:color w:val="auto"/>
                <w:sz w:val="22"/>
                <w:szCs w:val="22"/>
                <w:lang w:eastAsia="en-US"/>
              </w:rPr>
              <w:t xml:space="preserve"> </w:t>
            </w:r>
            <w:r w:rsidRPr="008B2E61">
              <w:rPr>
                <w:color w:val="auto"/>
                <w:sz w:val="24"/>
                <w:szCs w:val="24"/>
                <w:shd w:val="clear" w:color="auto" w:fill="FFFFFF"/>
                <w:lang w:eastAsia="en-US"/>
              </w:rPr>
              <w:t>Active listening and being fully present in this particular situation with P2 could not be underestimated as it signalled</w:t>
            </w:r>
            <w:r w:rsidRPr="008B2E61">
              <w:rPr>
                <w:rFonts w:ascii="Calibri" w:hAnsi="Calibri" w:cs="Times New Roman"/>
                <w:color w:val="auto"/>
                <w:sz w:val="22"/>
                <w:szCs w:val="22"/>
                <w:lang w:eastAsia="en-US"/>
              </w:rPr>
              <w:t xml:space="preserve"> </w:t>
            </w:r>
            <w:r w:rsidRPr="008B2E61">
              <w:rPr>
                <w:color w:val="auto"/>
                <w:sz w:val="24"/>
                <w:szCs w:val="24"/>
                <w:shd w:val="clear" w:color="auto" w:fill="FFFFFF"/>
                <w:lang w:eastAsia="en-US"/>
              </w:rPr>
              <w:t>that she was valued and what she was telling me really mattered (Smith, 2017).</w:t>
            </w:r>
          </w:p>
          <w:p w14:paraId="0AB0AF5D" w14:textId="71CDE028" w:rsidR="008B2E61" w:rsidRPr="00F87E56" w:rsidRDefault="008B2E61" w:rsidP="00F87E56">
            <w:pPr>
              <w:shd w:val="clear" w:color="auto" w:fill="FFFFFF"/>
              <w:overflowPunct/>
              <w:autoSpaceDE/>
              <w:autoSpaceDN/>
              <w:adjustRightInd/>
              <w:spacing w:before="100" w:beforeAutospacing="1" w:after="100" w:afterAutospacing="1"/>
              <w:textAlignment w:val="auto"/>
              <w:rPr>
                <w:color w:val="auto"/>
                <w:sz w:val="24"/>
                <w:szCs w:val="24"/>
                <w:shd w:val="clear" w:color="auto" w:fill="FFFFFF"/>
                <w:lang w:eastAsia="en-US"/>
              </w:rPr>
            </w:pPr>
            <w:r w:rsidRPr="008B2E61">
              <w:rPr>
                <w:color w:val="auto"/>
                <w:sz w:val="24"/>
                <w:szCs w:val="24"/>
                <w:shd w:val="clear" w:color="auto" w:fill="FFFFFF"/>
                <w:lang w:eastAsia="en-US"/>
              </w:rPr>
              <w:t>I proceeded to explain to P2 that I had a legal duty to report the information to the Local Authority’s Adult Safeguarding Team in line with Wales’ Safeguarding Procedures (2019).</w:t>
            </w:r>
            <w:r w:rsidR="00F87E56">
              <w:rPr>
                <w:color w:val="auto"/>
                <w:sz w:val="24"/>
                <w:szCs w:val="24"/>
                <w:shd w:val="clear" w:color="auto" w:fill="FFFFFF"/>
                <w:lang w:eastAsia="en-US"/>
              </w:rPr>
              <w:t xml:space="preserve"> The COPP17 also sets out under s.3 the legal requirement of</w:t>
            </w:r>
            <w:r w:rsidRPr="008B2E61">
              <w:rPr>
                <w:color w:val="auto"/>
                <w:sz w:val="24"/>
                <w:szCs w:val="24"/>
                <w:shd w:val="clear" w:color="auto" w:fill="FFFFFF"/>
                <w:lang w:eastAsia="en-US"/>
              </w:rPr>
              <w:t xml:space="preserve"> </w:t>
            </w:r>
            <w:r w:rsidR="00F87E56">
              <w:rPr>
                <w:color w:val="auto"/>
                <w:sz w:val="24"/>
                <w:szCs w:val="24"/>
                <w:shd w:val="clear" w:color="auto" w:fill="FFFFFF"/>
                <w:lang w:eastAsia="en-US"/>
              </w:rPr>
              <w:t xml:space="preserve">using relevant processes and </w:t>
            </w:r>
            <w:r w:rsidR="00F87E56" w:rsidRPr="00F87E56">
              <w:rPr>
                <w:color w:val="auto"/>
                <w:sz w:val="24"/>
                <w:szCs w:val="24"/>
                <w:shd w:val="clear" w:color="auto" w:fill="FFFFFF"/>
                <w:lang w:eastAsia="en-US"/>
              </w:rPr>
              <w:t>proc</w:t>
            </w:r>
            <w:r w:rsidR="00F87E56">
              <w:rPr>
                <w:color w:val="auto"/>
                <w:sz w:val="24"/>
                <w:szCs w:val="24"/>
                <w:shd w:val="clear" w:color="auto" w:fill="FFFFFF"/>
                <w:lang w:eastAsia="en-US"/>
              </w:rPr>
              <w:t xml:space="preserve">edures to challenge and report </w:t>
            </w:r>
            <w:r w:rsidR="00F87E56" w:rsidRPr="00F87E56">
              <w:rPr>
                <w:color w:val="auto"/>
                <w:sz w:val="24"/>
                <w:szCs w:val="24"/>
                <w:shd w:val="clear" w:color="auto" w:fill="FFFFFF"/>
                <w:lang w:eastAsia="en-US"/>
              </w:rPr>
              <w:t>dangero</w:t>
            </w:r>
            <w:r w:rsidR="00F87E56">
              <w:rPr>
                <w:color w:val="auto"/>
                <w:sz w:val="24"/>
                <w:szCs w:val="24"/>
                <w:shd w:val="clear" w:color="auto" w:fill="FFFFFF"/>
                <w:lang w:eastAsia="en-US"/>
              </w:rPr>
              <w:t xml:space="preserve">us, abusive, discriminatory or </w:t>
            </w:r>
            <w:r w:rsidR="00F87E56" w:rsidRPr="00F87E56">
              <w:rPr>
                <w:color w:val="auto"/>
                <w:sz w:val="24"/>
                <w:szCs w:val="24"/>
                <w:shd w:val="clear" w:color="auto" w:fill="FFFFFF"/>
                <w:lang w:eastAsia="en-US"/>
              </w:rPr>
              <w:t>exploitative behaviour and practice</w:t>
            </w:r>
            <w:r w:rsidR="00F87E56">
              <w:rPr>
                <w:color w:val="auto"/>
                <w:sz w:val="24"/>
                <w:szCs w:val="24"/>
                <w:shd w:val="clear" w:color="auto" w:fill="FFFFFF"/>
                <w:lang w:eastAsia="en-US"/>
              </w:rPr>
              <w:t xml:space="preserve"> (SCW, 2017). </w:t>
            </w:r>
            <w:r w:rsidRPr="008B2E61">
              <w:rPr>
                <w:color w:val="auto"/>
                <w:sz w:val="24"/>
                <w:szCs w:val="24"/>
                <w:shd w:val="clear" w:color="auto" w:fill="FFFFFF"/>
                <w:lang w:eastAsia="en-US"/>
              </w:rPr>
              <w:t>These procedures are designed to enable frontline practitioners to apply the legislative requirements and expectations of the SSWWBA14 (SCW, 2023c).</w:t>
            </w:r>
            <w:r w:rsidRPr="008B2E61">
              <w:rPr>
                <w:color w:val="auto"/>
                <w:sz w:val="24"/>
                <w:szCs w:val="24"/>
                <w:lang w:eastAsia="en-US"/>
              </w:rPr>
              <w:t xml:space="preserve"> The Working Together to Safeguard People’s Code of Safeguarding Practice outline Welsh Government expectations in relation to safeguarding arrangements (WG, 2022c). Under this code there is a clear guide to Information Sharing to Safeguard Children and Adults which stipulates:</w:t>
            </w:r>
          </w:p>
          <w:p w14:paraId="374437FC" w14:textId="77777777" w:rsidR="008B2E61" w:rsidRPr="008B2E61" w:rsidRDefault="008B2E61" w:rsidP="008B2E61">
            <w:pPr>
              <w:shd w:val="clear" w:color="auto" w:fill="FFFFFF"/>
              <w:overflowPunct/>
              <w:autoSpaceDE/>
              <w:autoSpaceDN/>
              <w:adjustRightInd/>
              <w:spacing w:before="100" w:beforeAutospacing="1" w:after="100" w:afterAutospacing="1"/>
              <w:ind w:left="360" w:firstLine="45"/>
              <w:textAlignment w:val="auto"/>
              <w:rPr>
                <w:color w:val="auto"/>
                <w:sz w:val="24"/>
                <w:szCs w:val="24"/>
                <w:shd w:val="clear" w:color="auto" w:fill="FFFFFF"/>
                <w:lang w:eastAsia="en-US"/>
              </w:rPr>
            </w:pPr>
            <w:r w:rsidRPr="008B2E61">
              <w:rPr>
                <w:i/>
                <w:color w:val="auto"/>
                <w:sz w:val="24"/>
                <w:szCs w:val="24"/>
                <w:lang w:eastAsia="en-US"/>
              </w:rPr>
              <w:t xml:space="preserve">‘Where possible, share information with consent and </w:t>
            </w:r>
            <w:r w:rsidRPr="008B2E61">
              <w:rPr>
                <w:i/>
                <w:color w:val="auto"/>
                <w:sz w:val="24"/>
                <w:szCs w:val="24"/>
                <w:shd w:val="clear" w:color="auto" w:fill="FFFFFF"/>
                <w:lang w:eastAsia="en-US"/>
              </w:rPr>
              <w:t>where possible, respect the wishes of those who do not consent to having their information shared. Under the GDPR and Data Protection Act 2018 you may share information without consent if, in your judgement, there is a lawful basis to do so, such as where safety may be at risk.</w:t>
            </w:r>
            <w:r w:rsidRPr="008B2E61">
              <w:rPr>
                <w:color w:val="auto"/>
                <w:sz w:val="24"/>
                <w:szCs w:val="24"/>
                <w:shd w:val="clear" w:color="auto" w:fill="FFFFFF"/>
                <w:lang w:eastAsia="en-US"/>
              </w:rPr>
              <w:t>’</w:t>
            </w:r>
          </w:p>
          <w:p w14:paraId="4F249709" w14:textId="77777777" w:rsidR="008B2E61" w:rsidRPr="008B2E61" w:rsidRDefault="008B2E61" w:rsidP="008B2E61">
            <w:pPr>
              <w:shd w:val="clear" w:color="auto" w:fill="FFFFFF"/>
              <w:overflowPunct/>
              <w:autoSpaceDE/>
              <w:autoSpaceDN/>
              <w:adjustRightInd/>
              <w:spacing w:before="100" w:beforeAutospacing="1" w:after="100" w:afterAutospacing="1"/>
              <w:textAlignment w:val="auto"/>
              <w:rPr>
                <w:color w:val="auto"/>
                <w:sz w:val="24"/>
                <w:szCs w:val="24"/>
                <w:shd w:val="clear" w:color="auto" w:fill="FFFFFF"/>
                <w:lang w:eastAsia="en-US"/>
              </w:rPr>
            </w:pPr>
            <w:r w:rsidRPr="008B2E61">
              <w:rPr>
                <w:color w:val="auto"/>
                <w:sz w:val="24"/>
                <w:szCs w:val="24"/>
                <w:shd w:val="clear" w:color="auto" w:fill="FFFFFF"/>
                <w:lang w:eastAsia="en-US"/>
              </w:rPr>
              <w:t xml:space="preserve">In this particular case, in line with the Working Together to Safeguard People policy, I had identified a legal reason to share the information without consent due to the allegation of physical abuse that P2 had made against a member of the care team. I explained to P2 that due to the nature of the allegation, I had a duty to report to the Adult Safeguarding Team. However, The Wales Safeguarding Procedures guides that practitioners should aim to seek consent from the adult where possible to promote better engagement in the safeguarding process and a more effective working partnership with the adult (SCW, 2023c) I had previously established that P2 lacked capacity to make some decisions and not others. This led me to consider P2’s mental capacity to consent to making the report. For consent to be valid, it must be voluntary and informed, and the person consenting must have the freedom and capacity to consent (Social Care Wales, 2017) (SCW, 2017). In this situation P2 demonstrated that she was able to grasp a basic understanding, retain and communicate the salient points in relation to the decision but she was not able to weigh up the information in the decision making process. In accordance with the Mental Capacity Act 2005, P2 lacked capacity in relation to this specific decision at this particular time. </w:t>
            </w:r>
          </w:p>
          <w:p w14:paraId="49C321F7" w14:textId="77777777" w:rsidR="008B2E61" w:rsidRPr="008B2E61" w:rsidRDefault="008B2E61" w:rsidP="008B2E61">
            <w:pPr>
              <w:shd w:val="clear" w:color="auto" w:fill="FFFFFF"/>
              <w:overflowPunct/>
              <w:autoSpaceDE/>
              <w:autoSpaceDN/>
              <w:adjustRightInd/>
              <w:spacing w:before="100" w:beforeAutospacing="1" w:after="100" w:afterAutospacing="1"/>
              <w:textAlignment w:val="auto"/>
              <w:rPr>
                <w:color w:val="auto"/>
                <w:sz w:val="24"/>
                <w:szCs w:val="24"/>
                <w:lang w:eastAsia="en-US"/>
              </w:rPr>
            </w:pPr>
            <w:r w:rsidRPr="008B2E61">
              <w:rPr>
                <w:color w:val="auto"/>
                <w:sz w:val="24"/>
                <w:szCs w:val="24"/>
                <w:shd w:val="clear" w:color="auto" w:fill="FFFFFF"/>
                <w:lang w:eastAsia="en-US"/>
              </w:rPr>
              <w:t xml:space="preserve">The Mental Capacity Act 2005 introduced the role of the independent mental capacity advocate (IMCA) (SCIE, 2010). An Independent Mental Capacity Advocate (IMCA) is instructed to support and represent a person who lacks capacity when they have arranged accommodation for that person, they aim to review the arrangements (as part of a care plan or otherwise), and when there are no family or friends who it would be appropriate to consult (SCIE, 2010). Under safeguarding procedures and guidelines, an IMCA can also be instructed for a person who is alleged to have been abused or neglected (SCIE, 2010). P2 was already allocated an IMCA in relation to the decision relating to accommodation and the possibility that would need to move from general to EMI residential. Key features of advocacy include independence from services, empowerment, providing people who access support with a voice, supporting people who access support to achieve active citizenship, </w:t>
            </w:r>
            <w:r w:rsidRPr="008B2E61">
              <w:rPr>
                <w:color w:val="auto"/>
                <w:sz w:val="24"/>
                <w:szCs w:val="24"/>
                <w:shd w:val="clear" w:color="auto" w:fill="FFFFFF"/>
                <w:lang w:eastAsia="en-US"/>
              </w:rPr>
              <w:lastRenderedPageBreak/>
              <w:t>challenging inequality, promoting social justice, and supporting people who access support to challenge inequity and unfairness (Boylan and Dalrymple, 2011).</w:t>
            </w:r>
            <w:r w:rsidRPr="008B2E61">
              <w:rPr>
                <w:color w:val="auto"/>
                <w:sz w:val="24"/>
                <w:szCs w:val="24"/>
                <w:lang w:eastAsia="en-US"/>
              </w:rPr>
              <w:t xml:space="preserve"> Advocacy fits well with the core values of social work in terms of enabling people to achieve 'self-fulfilment' Rapaport et al, (2005), but In P2’s case, I felt it was necessary to involve the advocate in this particular situation to provide support, information and representation specifically in relation to the safeguarding enquiry with the aim of empowering P2 and enabling her to express her needs and choices, but most importantly, voice her opinions (Stewart et al, 2013). Independent professional advocacy under the SSWWBA14 is specific to supporting an individual in relation to their care and/or support needs referred to as an Independent Professional Advocate (IPA) (Welsh Government, 2019).</w:t>
            </w:r>
          </w:p>
          <w:p w14:paraId="5DFAD792" w14:textId="77777777" w:rsidR="008B2E61" w:rsidRPr="008B2E61" w:rsidRDefault="008B2E61" w:rsidP="008B2E61">
            <w:pPr>
              <w:shd w:val="clear" w:color="auto" w:fill="FFFFFF"/>
              <w:overflowPunct/>
              <w:autoSpaceDE/>
              <w:autoSpaceDN/>
              <w:adjustRightInd/>
              <w:spacing w:before="100" w:beforeAutospacing="1" w:after="100" w:afterAutospacing="1"/>
              <w:textAlignment w:val="auto"/>
              <w:rPr>
                <w:color w:val="auto"/>
                <w:sz w:val="24"/>
                <w:szCs w:val="24"/>
                <w:shd w:val="clear" w:color="auto" w:fill="FFFFFF"/>
                <w:lang w:eastAsia="en-US"/>
              </w:rPr>
            </w:pPr>
            <w:r w:rsidRPr="008B2E61">
              <w:rPr>
                <w:color w:val="auto"/>
                <w:sz w:val="24"/>
                <w:szCs w:val="24"/>
                <w:shd w:val="clear" w:color="auto" w:fill="FFFFFF"/>
                <w:lang w:eastAsia="en-US"/>
              </w:rPr>
              <w:t xml:space="preserve">As mentioned previously, an adult at risk is one who is experiencing or at risk of abuse or neglect, has needs for care and support and is unable to protect himself or herself against the abuse or neglect (or the risk of abuse or neglect) as a result of those needs (WG, 2022c). After ascertaining that P2 was an adult at risk by having knowledge and understanding of how ‘a person at risk’ is defined under the SSWBA14. I was then required under s.128 of the SSWWBA14 to report.  This section specifies the duty placed on ‘relevant partners’ under section 162 of the act to report both adults and children including unborn children when they have reasonable cause to suspect are at risk of abuse (SCW, 2023c). “Abuse” means physical, sexual, psychological, emotional or financial abuse (and includes abuse taking place in any setting, whether in a private dwelling, an institution or any other place) (Law Wales, 2021b). </w:t>
            </w:r>
          </w:p>
          <w:p w14:paraId="7B2CE9E1" w14:textId="77777777" w:rsidR="008B2E61" w:rsidRPr="008B2E61" w:rsidRDefault="008B2E61" w:rsidP="008B2E61">
            <w:pPr>
              <w:shd w:val="clear" w:color="auto" w:fill="FFFFFF"/>
              <w:overflowPunct/>
              <w:autoSpaceDE/>
              <w:autoSpaceDN/>
              <w:adjustRightInd/>
              <w:spacing w:before="100" w:beforeAutospacing="1" w:after="100" w:afterAutospacing="1"/>
              <w:textAlignment w:val="auto"/>
              <w:rPr>
                <w:color w:val="auto"/>
                <w:sz w:val="24"/>
                <w:szCs w:val="24"/>
                <w:shd w:val="clear" w:color="auto" w:fill="FFFFFF"/>
                <w:lang w:eastAsia="en-US"/>
              </w:rPr>
            </w:pPr>
            <w:r w:rsidRPr="008B2E61">
              <w:rPr>
                <w:color w:val="auto"/>
                <w:sz w:val="24"/>
                <w:szCs w:val="24"/>
                <w:shd w:val="clear" w:color="auto" w:fill="FFFFFF"/>
                <w:lang w:eastAsia="en-US"/>
              </w:rPr>
              <w:t xml:space="preserve">In line with The Wales Safeguarding Procedures (SCW, 2023c) I was required to </w:t>
            </w:r>
            <w:r w:rsidRPr="008B2E61">
              <w:rPr>
                <w:color w:val="auto"/>
                <w:sz w:val="24"/>
                <w:szCs w:val="24"/>
                <w:lang w:eastAsia="en-US"/>
              </w:rPr>
              <w:t xml:space="preserve">determine </w:t>
            </w:r>
            <w:r w:rsidRPr="008B2E61">
              <w:rPr>
                <w:color w:val="auto"/>
                <w:sz w:val="24"/>
                <w:szCs w:val="24"/>
                <w:shd w:val="clear" w:color="auto" w:fill="FFFFFF"/>
                <w:lang w:eastAsia="en-US"/>
              </w:rPr>
              <w:t xml:space="preserve">whether P2 was currently safe or whether she was in need of immediate protection. To establish this, I needed to try and confirm the identity and whereabouts of the suspected/alleged perpetrator; and assess the risk of the potential for repeated incidents of abuse to P2 and other residents that resided at the home. It was therefore necessary that the allegation of abuse was shared with the care home manager to allow immediate action to be taken to ensure the safety and protection of P2, and fellow residents at the home from potential harm.  </w:t>
            </w:r>
          </w:p>
          <w:p w14:paraId="051567E2" w14:textId="77777777" w:rsidR="008B2E61" w:rsidRPr="008B2E61" w:rsidRDefault="008B2E61" w:rsidP="008B2E61">
            <w:pPr>
              <w:shd w:val="clear" w:color="auto" w:fill="FFFFFF"/>
              <w:overflowPunct/>
              <w:autoSpaceDE/>
              <w:autoSpaceDN/>
              <w:adjustRightInd/>
              <w:spacing w:before="100" w:beforeAutospacing="1" w:after="100" w:afterAutospacing="1"/>
              <w:textAlignment w:val="auto"/>
              <w:rPr>
                <w:color w:val="auto"/>
                <w:sz w:val="24"/>
                <w:szCs w:val="24"/>
                <w:shd w:val="clear" w:color="auto" w:fill="FFFFFF"/>
                <w:lang w:eastAsia="en-US"/>
              </w:rPr>
            </w:pPr>
            <w:r w:rsidRPr="008B2E61">
              <w:rPr>
                <w:color w:val="auto"/>
                <w:sz w:val="24"/>
                <w:szCs w:val="24"/>
                <w:shd w:val="clear" w:color="auto" w:fill="FFFFFF"/>
                <w:lang w:eastAsia="en-US"/>
              </w:rPr>
              <w:t>The home where P2 resided was situated in a different local authority. In line with the Wales Safeguarding Procedures, I was required to refer to the relevant authority; the one in which the safeguarding concern is thought to have occurred (SCW, 2023c). I contacted the Adult Safeguarding team by telephone before leaving the care home and made it clear to them that I was making a Safeguarding report. My telephone report was followed up with an accurate written record that I sent via secure email to the Adult Safeguarding Team within a 24 hour period in line with Wales Safeguarding Procedures and the XXX policy on confidentiality, data protection and information sharing. A failure to share information can place an adult at risk of abuse and neglect is common feature of adult practice reviews (SCIE, 2019). When information is not shared in a timely and effective way, decisions about how to respond may miss vital information leading to poor safeguarding consequences (WG, 2022c)</w:t>
            </w:r>
            <w:r w:rsidRPr="008B2E61">
              <w:rPr>
                <w:rFonts w:ascii="Calibri" w:hAnsi="Calibri" w:cs="Times New Roman"/>
                <w:color w:val="auto"/>
                <w:sz w:val="22"/>
                <w:szCs w:val="22"/>
                <w:lang w:eastAsia="en-US"/>
              </w:rPr>
              <w:t xml:space="preserve"> </w:t>
            </w:r>
            <w:r w:rsidRPr="008B2E61">
              <w:rPr>
                <w:color w:val="auto"/>
                <w:sz w:val="24"/>
                <w:szCs w:val="24"/>
                <w:shd w:val="clear" w:color="auto" w:fill="FFFFFF"/>
                <w:lang w:eastAsia="en-US"/>
              </w:rPr>
              <w:t xml:space="preserve">During initial discussions with the Adult Safeguarding Team I was satisfied that I had taken all necessary steps to mitigate the immediate risk to P2 by seeking out the designated safeguarding person (DSP) who was available to discuss the concerns and manage any immediate actions required to ensure the individual at risk is safe from abuse </w:t>
            </w:r>
            <w:r w:rsidRPr="008B2E61">
              <w:rPr>
                <w:color w:val="auto"/>
                <w:sz w:val="24"/>
                <w:szCs w:val="24"/>
                <w:shd w:val="clear" w:color="auto" w:fill="FFFFFF"/>
                <w:lang w:eastAsia="en-US"/>
              </w:rPr>
              <w:lastRenderedPageBreak/>
              <w:t xml:space="preserve">(SCW, 2023c). P2 was subsequently allocated an Adult Safeguarding social worker from the local authority who carried out their investigations. I worked in partnership with the Adult Safeguarding social worker to provide background information regarding P2 and any relevant information to help them with their investigation.  </w:t>
            </w:r>
          </w:p>
          <w:p w14:paraId="213F086B" w14:textId="755CC282" w:rsidR="008B2E61" w:rsidRPr="008B2E61" w:rsidRDefault="008B2E61" w:rsidP="008B2E61">
            <w:pPr>
              <w:shd w:val="clear" w:color="auto" w:fill="FFFFFF"/>
              <w:overflowPunct/>
              <w:autoSpaceDE/>
              <w:autoSpaceDN/>
              <w:adjustRightInd/>
              <w:spacing w:before="100" w:beforeAutospacing="1" w:after="100" w:afterAutospacing="1"/>
              <w:textAlignment w:val="auto"/>
              <w:rPr>
                <w:color w:val="auto"/>
                <w:sz w:val="24"/>
                <w:szCs w:val="24"/>
                <w:lang w:eastAsia="en-US"/>
              </w:rPr>
            </w:pPr>
            <w:r w:rsidRPr="008B2E61">
              <w:rPr>
                <w:color w:val="auto"/>
                <w:sz w:val="24"/>
                <w:szCs w:val="24"/>
                <w:lang w:eastAsia="en-US"/>
              </w:rPr>
              <w:t xml:space="preserve">In line with the Wales Safeguarding Procedures I was invited to attend a multi-agency strategy meeting from which initial strategy discussions took place. This meeting determined whether the matter met the threshold for progressing to a formal professional strategy meeting, which in this case it did not. The Adult Safeguarding concluded their investigations under s.126 of the SSWBWA14 and decided for no further investigation, and the safeguarding enquiry subsequently closed on the premise that I continued to develop and implement a care and support plan reflective of P2’s personal outcomes and one that set out to overcome the barriers and risks. I used supervision to critically reflect on and manage the influence and impact of my personal values, to acknowledge my own feelings and to navigate a way forward in a way that placed P2 at the centre of the decisions. I had feelings of apprehension about visiting P2 to share the outcome of the Adult Safeguarding investigation. Despite inviting the Adult Safeguarding Social Worker to join me on my visit, he declined due to high workload. On reflection, I would argue that he would have been best position to deliver this information as this is where his working relationship with P2 ended. I was worried that P2 would felt disbelieved or that her concerns were not taken seriously, which could have </w:t>
            </w:r>
            <w:r w:rsidR="00E361ED" w:rsidRPr="008B2E61">
              <w:rPr>
                <w:color w:val="auto"/>
                <w:sz w:val="24"/>
                <w:szCs w:val="24"/>
                <w:lang w:eastAsia="en-US"/>
              </w:rPr>
              <w:t>led</w:t>
            </w:r>
            <w:r w:rsidRPr="008B2E61">
              <w:rPr>
                <w:color w:val="auto"/>
                <w:sz w:val="24"/>
                <w:szCs w:val="24"/>
                <w:lang w:eastAsia="en-US"/>
              </w:rPr>
              <w:t xml:space="preserve"> to feelings of mistrust and reduced confidence in me as her Social Worker. </w:t>
            </w:r>
          </w:p>
          <w:p w14:paraId="0A32B702" w14:textId="18A76CE5" w:rsidR="008B2E61" w:rsidRPr="00E841F3" w:rsidRDefault="008B2E61" w:rsidP="00E841F3">
            <w:pPr>
              <w:shd w:val="clear" w:color="auto" w:fill="FFFFFF"/>
              <w:overflowPunct/>
              <w:autoSpaceDE/>
              <w:autoSpaceDN/>
              <w:adjustRightInd/>
              <w:spacing w:before="100" w:beforeAutospacing="1" w:after="100" w:afterAutospacing="1"/>
              <w:textAlignment w:val="auto"/>
              <w:rPr>
                <w:color w:val="auto"/>
                <w:sz w:val="24"/>
                <w:szCs w:val="24"/>
                <w:shd w:val="clear" w:color="auto" w:fill="FFFFFF"/>
                <w:lang w:eastAsia="en-US"/>
              </w:rPr>
            </w:pPr>
            <w:r w:rsidRPr="008B2E61">
              <w:rPr>
                <w:color w:val="auto"/>
                <w:sz w:val="24"/>
                <w:szCs w:val="24"/>
                <w:shd w:val="clear" w:color="auto" w:fill="FFFFFF"/>
                <w:lang w:eastAsia="en-US"/>
              </w:rPr>
              <w:t>The key principles of the SSWBWA14 apply across all parts, including part 7 Safeguarding. There are two key values in safeguarding practice, the first being that  ‘</w:t>
            </w:r>
            <w:r w:rsidRPr="008B2E61">
              <w:rPr>
                <w:i/>
                <w:color w:val="auto"/>
                <w:sz w:val="24"/>
                <w:szCs w:val="24"/>
                <w:shd w:val="clear" w:color="auto" w:fill="FFFFFF"/>
                <w:lang w:eastAsia="en-US"/>
              </w:rPr>
              <w:t>Safeguarding is everyone’s responsibility’</w:t>
            </w:r>
            <w:r w:rsidRPr="008B2E61">
              <w:rPr>
                <w:color w:val="auto"/>
                <w:sz w:val="24"/>
                <w:szCs w:val="24"/>
                <w:shd w:val="clear" w:color="auto" w:fill="FFFFFF"/>
                <w:lang w:eastAsia="en-US"/>
              </w:rPr>
              <w:t xml:space="preserve"> and taking </w:t>
            </w:r>
            <w:r w:rsidRPr="008B2E61">
              <w:rPr>
                <w:i/>
                <w:color w:val="auto"/>
                <w:sz w:val="24"/>
                <w:szCs w:val="24"/>
                <w:shd w:val="clear" w:color="auto" w:fill="FFFFFF"/>
                <w:lang w:eastAsia="en-US"/>
              </w:rPr>
              <w:t>‘A person centred approach’</w:t>
            </w:r>
            <w:r w:rsidRPr="008B2E61">
              <w:rPr>
                <w:color w:val="auto"/>
                <w:sz w:val="24"/>
                <w:szCs w:val="24"/>
                <w:shd w:val="clear" w:color="auto" w:fill="FFFFFF"/>
                <w:lang w:eastAsia="en-US"/>
              </w:rPr>
              <w:t xml:space="preserve"> (SCW, 2023c). Person-centred care relies on a number of aspects. These include placing people at the centre of their care and decision making (SCW, 2023c) and moves away from professionals deciding what is best for individuals and places them as an expert of their own experience (SCIE, 2017)</w:t>
            </w:r>
            <w:r w:rsidR="00E841F3">
              <w:rPr>
                <w:color w:val="auto"/>
                <w:sz w:val="24"/>
                <w:szCs w:val="24"/>
                <w:shd w:val="clear" w:color="auto" w:fill="FFFFFF"/>
                <w:lang w:eastAsia="en-US"/>
              </w:rPr>
              <w:t>. W</w:t>
            </w:r>
            <w:r w:rsidR="00E841F3" w:rsidRPr="00E841F3">
              <w:rPr>
                <w:color w:val="auto"/>
                <w:sz w:val="24"/>
                <w:szCs w:val="24"/>
                <w:shd w:val="clear" w:color="auto" w:fill="FFFFFF"/>
                <w:lang w:eastAsia="en-US"/>
              </w:rPr>
              <w:t>orking with individual</w:t>
            </w:r>
            <w:r w:rsidR="00E841F3">
              <w:rPr>
                <w:color w:val="auto"/>
                <w:sz w:val="24"/>
                <w:szCs w:val="24"/>
                <w:shd w:val="clear" w:color="auto" w:fill="FFFFFF"/>
                <w:lang w:eastAsia="en-US"/>
              </w:rPr>
              <w:t xml:space="preserve">s in person </w:t>
            </w:r>
            <w:r w:rsidR="00E841F3" w:rsidRPr="00E841F3">
              <w:rPr>
                <w:color w:val="auto"/>
                <w:sz w:val="24"/>
                <w:szCs w:val="24"/>
                <w:shd w:val="clear" w:color="auto" w:fill="FFFFFF"/>
                <w:lang w:eastAsia="en-US"/>
              </w:rPr>
              <w:t>centred wa</w:t>
            </w:r>
            <w:r w:rsidR="00E841F3">
              <w:rPr>
                <w:color w:val="auto"/>
                <w:sz w:val="24"/>
                <w:szCs w:val="24"/>
                <w:shd w:val="clear" w:color="auto" w:fill="FFFFFF"/>
                <w:lang w:eastAsia="en-US"/>
              </w:rPr>
              <w:t xml:space="preserve">ys and using this as the basis </w:t>
            </w:r>
            <w:r w:rsidR="00E841F3" w:rsidRPr="00E841F3">
              <w:rPr>
                <w:color w:val="auto"/>
                <w:sz w:val="24"/>
                <w:szCs w:val="24"/>
                <w:shd w:val="clear" w:color="auto" w:fill="FFFFFF"/>
                <w:lang w:eastAsia="en-US"/>
              </w:rPr>
              <w:t>for social care and support</w:t>
            </w:r>
            <w:r w:rsidR="00E841F3">
              <w:rPr>
                <w:color w:val="auto"/>
                <w:sz w:val="24"/>
                <w:szCs w:val="24"/>
                <w:shd w:val="clear" w:color="auto" w:fill="FFFFFF"/>
                <w:lang w:eastAsia="en-US"/>
              </w:rPr>
              <w:t xml:space="preserve"> is a key principle of the COPP17 (SCW, 2017) under s.1</w:t>
            </w:r>
            <w:r w:rsidRPr="008B2E61">
              <w:rPr>
                <w:color w:val="auto"/>
                <w:sz w:val="24"/>
                <w:szCs w:val="24"/>
                <w:shd w:val="clear" w:color="auto" w:fill="FFFFFF"/>
                <w:lang w:eastAsia="en-US"/>
              </w:rPr>
              <w:t xml:space="preserve">. By reaching a shared understanding with P2 of the concerns, I was able to offer appropriate support to help her participate in decisions that affected her in line with guidance and legislation. </w:t>
            </w:r>
            <w:r w:rsidRPr="008B2E61">
              <w:rPr>
                <w:color w:val="auto"/>
                <w:sz w:val="24"/>
                <w:szCs w:val="24"/>
                <w:lang w:eastAsia="en-US"/>
              </w:rPr>
              <w:t>I planned a face to face visit with P2 alongside her advocate and the home manager to discuss the findings of the safeguarding enquiry and as a collective, it was agreed that the carer, who was a new recruit to the care team would receive further training to support her with carrying out her role. P2 also asked that this carer no longer supported her, which the home manager felt was a proportionate response. It was also agreed that a new manual handling assessment would be completed to ensure that carers were able to carry out their work safely, causing as little pain and distress to P2 as possible. According to P2’s records, she should have been administered time specific pain relief medication prior to personal care interventions, but it was highlighted in this meeting that this was no happening consistently. A request from the GP was made for a medication review to offer further advice.</w:t>
            </w:r>
          </w:p>
          <w:p w14:paraId="56A37BCD" w14:textId="77777777" w:rsidR="008B2E61" w:rsidRPr="008B2E61" w:rsidRDefault="008B2E61" w:rsidP="008B2E61">
            <w:pPr>
              <w:overflowPunct/>
              <w:autoSpaceDE/>
              <w:autoSpaceDN/>
              <w:adjustRightInd/>
              <w:spacing w:after="160" w:line="259" w:lineRule="auto"/>
              <w:textAlignment w:val="auto"/>
              <w:rPr>
                <w:color w:val="auto"/>
                <w:sz w:val="24"/>
                <w:szCs w:val="24"/>
                <w:lang w:eastAsia="en-US"/>
              </w:rPr>
            </w:pPr>
            <w:r w:rsidRPr="008B2E61">
              <w:rPr>
                <w:color w:val="auto"/>
                <w:sz w:val="24"/>
                <w:szCs w:val="24"/>
                <w:shd w:val="clear" w:color="auto" w:fill="FFFFFF"/>
                <w:lang w:eastAsia="en-US"/>
              </w:rPr>
              <w:t xml:space="preserve">A key safeguarding principle which underpins the person centred approach is identifying the individual’s personal outcomes and ensure that they are able to communicate them </w:t>
            </w:r>
            <w:r w:rsidRPr="008B2E61">
              <w:rPr>
                <w:color w:val="auto"/>
                <w:sz w:val="24"/>
                <w:szCs w:val="24"/>
                <w:shd w:val="clear" w:color="auto" w:fill="FFFFFF"/>
                <w:lang w:eastAsia="en-US"/>
              </w:rPr>
              <w:lastRenderedPageBreak/>
              <w:t>effectively (SCW, 2023b).</w:t>
            </w:r>
            <w:r w:rsidRPr="008B2E61">
              <w:rPr>
                <w:color w:val="auto"/>
                <w:sz w:val="24"/>
                <w:szCs w:val="24"/>
                <w:lang w:eastAsia="en-US"/>
              </w:rPr>
              <w:t xml:space="preserve"> I worked holistically and in partnership with Person 2 to gain an understanding of her outcomes as well as involving her in identifying her strengths, needs and risks. Through the application of the biographical approach with Person 2, I uncovered information about her current and previous relationships and her interests and values which are linked to self-esteem and mental wellbeing (SCIE, 2023). She spoke positively about her hobbies and interests prior to the stroke; she was an avid reader and enjoyed sewing and gardening. Due to immobility and having no use in her left arm, she was no longer able to engage in these activities. According to Mills (1997), the quality of staff-user interactions can be influenced by the deeper knowledge of a person which biographical knowledge brings. This approach enabled me to take account of how P2 sees herself and how she interpreted the world and her ‘reality’ and was a useful tool to explore and gain a better understanding of her identity (Maclean, 2023). In terms of P2’s identity, The biographical and narrative approaches applied with Person 2 were both useful in recognising mechanisms of oppression such as invisibilisation, labelling, stereotyping, dehumanisation and infantilisation which have very negative; Raising the vital importance of anti-oppressive practice in promoting identity (Maclean, 2023). This illustrates a direct link to empowerment which involves celebrating diversity and anti-oppressive practice (Maclean, 2023) which is central to social work values and practice.</w:t>
            </w:r>
          </w:p>
          <w:p w14:paraId="58D14A87" w14:textId="77777777" w:rsidR="008B2E61" w:rsidRPr="008B2E61" w:rsidRDefault="008B2E61" w:rsidP="008B2E61">
            <w:pPr>
              <w:overflowPunct/>
              <w:autoSpaceDE/>
              <w:autoSpaceDN/>
              <w:adjustRightInd/>
              <w:spacing w:after="160" w:line="259" w:lineRule="auto"/>
              <w:textAlignment w:val="auto"/>
              <w:rPr>
                <w:color w:val="auto"/>
                <w:sz w:val="24"/>
                <w:szCs w:val="24"/>
                <w:lang w:eastAsia="en-US"/>
              </w:rPr>
            </w:pPr>
            <w:r w:rsidRPr="008B2E61">
              <w:rPr>
                <w:color w:val="auto"/>
                <w:sz w:val="24"/>
                <w:szCs w:val="24"/>
                <w:lang w:eastAsia="en-US"/>
              </w:rPr>
              <w:t xml:space="preserve">Applying the strengths perspective meant that P2 was seen as a unique individual with traits, talent and resources which add up to strengths as opposed to being ‘a case’ with a set of symptoms which add up to a diagnosis (Maclean, 2023). A key aspect of the strengths perspective also includes a belief that trauma, abuse and difficulties can be hurtful but they can also be seen as sources of opportunity (Maclean, 2023). I worked in partnership with P2 to identify the strengths, needs and risks and the barriers to overcome to help her achieve her outcomes. This collaborative approach to assessment promoted P2’s involvement and empowerment to explore creative solutions to bring about positive changes to improve her wellbeing. A bird feeder was placed next to P2’s window, and her chair was positioned in a way that would allow her to watch the birds in the morning. P2 purchased her own device that enabled her to listen to audiobooks in her room; demonstrating a person centred approach in its simplest terms.  </w:t>
            </w:r>
          </w:p>
          <w:p w14:paraId="7024FBD3" w14:textId="77777777" w:rsidR="008B2E61" w:rsidRPr="008B2E61" w:rsidRDefault="008B2E61" w:rsidP="008B2E61">
            <w:pPr>
              <w:overflowPunct/>
              <w:autoSpaceDE/>
              <w:autoSpaceDN/>
              <w:adjustRightInd/>
              <w:spacing w:after="160" w:line="259" w:lineRule="auto"/>
              <w:textAlignment w:val="auto"/>
              <w:rPr>
                <w:color w:val="auto"/>
                <w:sz w:val="24"/>
                <w:szCs w:val="24"/>
                <w:lang w:eastAsia="en-US"/>
              </w:rPr>
            </w:pPr>
            <w:r w:rsidRPr="008B2E61">
              <w:rPr>
                <w:color w:val="auto"/>
                <w:sz w:val="24"/>
                <w:szCs w:val="24"/>
                <w:lang w:eastAsia="en-US"/>
              </w:rPr>
              <w:t xml:space="preserve">Involved in P2’s care and support was the Community Psychiatric Nurse (CPN), whose role was to assess P2’s mental health under The Mental Health (Wales) Measure 2010 (MHWM, 2010) (Welsh Government, 2017). Under Part 2 of the MHWM 2010, P2 has a right to have a Care Coordinator appointed to work with her to coordinate her care and treatment, and the right to an individual and comprehensive Care and Treatment Plan to assist her recovery (Mental Health Wales, 2023). A district nurse was also involved in assessing P2’s nursing needs. I also referred P2 to be assessed by a specialist Personal Care Consultant to assess P2’s manual handling and transfers. This specialist advice and information was analysed and used to feed into P2’s care plan; and latterly the GP, who carried out a full review of P2’s medication was also involved. An explanation for the behaviour needed to be developed from information gathered about the P2, taking into consideration her physical </w:t>
            </w:r>
            <w:r w:rsidRPr="008B2E61">
              <w:rPr>
                <w:color w:val="auto"/>
                <w:sz w:val="24"/>
                <w:szCs w:val="24"/>
                <w:lang w:eastAsia="en-US"/>
              </w:rPr>
              <w:lastRenderedPageBreak/>
              <w:t>health, medication, recognising triggers of the behaviour and her social and physical environment (Welsh Government, 2018).</w:t>
            </w:r>
          </w:p>
          <w:p w14:paraId="55DDC53D" w14:textId="77777777" w:rsidR="008B2E61" w:rsidRPr="008B2E61" w:rsidRDefault="008B2E61" w:rsidP="008B2E61">
            <w:pPr>
              <w:overflowPunct/>
              <w:autoSpaceDE/>
              <w:autoSpaceDN/>
              <w:adjustRightInd/>
              <w:spacing w:after="160" w:line="259" w:lineRule="auto"/>
              <w:textAlignment w:val="auto"/>
              <w:rPr>
                <w:color w:val="auto"/>
                <w:sz w:val="24"/>
                <w:szCs w:val="24"/>
                <w:lang w:eastAsia="en-US"/>
              </w:rPr>
            </w:pPr>
            <w:r w:rsidRPr="008B2E61">
              <w:rPr>
                <w:color w:val="auto"/>
                <w:sz w:val="24"/>
                <w:szCs w:val="24"/>
                <w:lang w:eastAsia="en-US"/>
              </w:rPr>
              <w:t>I coordinated a multi-agency meeting with all involved professionals which facilitated communication in a manner that supported legal, ethical, organisational and professional boundaries. The range of assessments and reports from other professionals were shared with me prior to the meeting, including an in depth Advocacy report which reflected P2’s wellbeing outcomes, views, preferences, and feelings all of which informed my analysis. In simple terms, a good analysis can be interpreted in for stages; Making sense of the information to self and others, Interpreting the data, planning and decision making and lastly, presenting the analysis effectively (Boahen</w:t>
            </w:r>
            <w:bookmarkStart w:id="0" w:name="_GoBack"/>
            <w:bookmarkEnd w:id="0"/>
            <w:r w:rsidRPr="008B2E61">
              <w:rPr>
                <w:color w:val="auto"/>
                <w:sz w:val="24"/>
                <w:szCs w:val="24"/>
                <w:lang w:eastAsia="en-US"/>
              </w:rPr>
              <w:t xml:space="preserve"> &amp; Wilkins, 2013 Cited in BASW). According to Whittington (2007) the analysis in assessment in social work addresses the nature of assessment, its contexts and participants, and values and ethics (Whittington, 2007).  </w:t>
            </w:r>
          </w:p>
          <w:p w14:paraId="37E48B1B" w14:textId="07C09C68" w:rsidR="008B2E61" w:rsidRPr="008B2E61" w:rsidRDefault="008B2E61" w:rsidP="00522E6D">
            <w:pPr>
              <w:overflowPunct/>
              <w:autoSpaceDE/>
              <w:autoSpaceDN/>
              <w:adjustRightInd/>
              <w:spacing w:after="160" w:line="259" w:lineRule="auto"/>
              <w:textAlignment w:val="auto"/>
              <w:rPr>
                <w:color w:val="auto"/>
                <w:sz w:val="24"/>
                <w:szCs w:val="24"/>
                <w:lang w:eastAsia="en-US"/>
              </w:rPr>
            </w:pPr>
            <w:r w:rsidRPr="008B2E61">
              <w:rPr>
                <w:color w:val="auto"/>
                <w:sz w:val="24"/>
                <w:szCs w:val="24"/>
                <w:lang w:eastAsia="en-US"/>
              </w:rPr>
              <w:t>As well as giving consideration to the safeguarding enquiry in the decisions and care planning process, there were other complex factors to this case that required the input and expertise of other professionals</w:t>
            </w:r>
            <w:r w:rsidR="00522E6D">
              <w:rPr>
                <w:color w:val="auto"/>
                <w:sz w:val="24"/>
                <w:szCs w:val="24"/>
                <w:lang w:eastAsia="en-US"/>
              </w:rPr>
              <w:t>. R</w:t>
            </w:r>
            <w:r w:rsidR="00522E6D" w:rsidRPr="00522E6D">
              <w:rPr>
                <w:color w:val="auto"/>
                <w:sz w:val="24"/>
                <w:szCs w:val="24"/>
                <w:lang w:eastAsia="en-US"/>
              </w:rPr>
              <w:t>ecogn</w:t>
            </w:r>
            <w:r w:rsidR="00522E6D">
              <w:rPr>
                <w:color w:val="auto"/>
                <w:sz w:val="24"/>
                <w:szCs w:val="24"/>
                <w:lang w:eastAsia="en-US"/>
              </w:rPr>
              <w:t xml:space="preserve">ising and respecting the roles </w:t>
            </w:r>
            <w:r w:rsidR="00522E6D" w:rsidRPr="00522E6D">
              <w:rPr>
                <w:color w:val="auto"/>
                <w:sz w:val="24"/>
                <w:szCs w:val="24"/>
                <w:lang w:eastAsia="en-US"/>
              </w:rPr>
              <w:t>and expert</w:t>
            </w:r>
            <w:r w:rsidR="00522E6D">
              <w:rPr>
                <w:color w:val="auto"/>
                <w:sz w:val="24"/>
                <w:szCs w:val="24"/>
                <w:lang w:eastAsia="en-US"/>
              </w:rPr>
              <w:t xml:space="preserve">ise of other professionals and </w:t>
            </w:r>
            <w:r w:rsidR="00522E6D" w:rsidRPr="00522E6D">
              <w:rPr>
                <w:color w:val="auto"/>
                <w:sz w:val="24"/>
                <w:szCs w:val="24"/>
                <w:lang w:eastAsia="en-US"/>
              </w:rPr>
              <w:t>working in partnership with them</w:t>
            </w:r>
            <w:r w:rsidR="00522E6D">
              <w:rPr>
                <w:color w:val="auto"/>
                <w:sz w:val="24"/>
                <w:szCs w:val="24"/>
                <w:lang w:eastAsia="en-US"/>
              </w:rPr>
              <w:t xml:space="preserve"> is an expectation for Social Work practitioners under s.6 of COPP17 (SCW, 2017)</w:t>
            </w:r>
            <w:r w:rsidRPr="008B2E61">
              <w:rPr>
                <w:color w:val="auto"/>
                <w:sz w:val="24"/>
                <w:szCs w:val="24"/>
                <w:lang w:eastAsia="en-US"/>
              </w:rPr>
              <w:t>. It was necessary to try and determine the trigger for P2’s aggression during personal care interventions before considering a change in care category. Everything we do that might restrict a person’s freedom of action must be the least restrictive option that will meet the need (Community Care, 2012b), so in P2’s case is was important that all other avenues were explored before considering a change of accommodation to try and restrict her rights and freedoms as little as possible (Community Care, 2012b) The analysis of the assessments provided me with the evidence required to make sound professional judgments and to inform the appropriate course of intervention to manage risks and needs and to meet P2’s identified outcomes.</w:t>
            </w:r>
          </w:p>
          <w:p w14:paraId="55B94B65" w14:textId="10B877BC" w:rsidR="008B2E61" w:rsidRPr="008B2E61" w:rsidRDefault="008B2E61" w:rsidP="005E16AA">
            <w:pPr>
              <w:overflowPunct/>
              <w:autoSpaceDE/>
              <w:autoSpaceDN/>
              <w:adjustRightInd/>
              <w:spacing w:after="160" w:line="259" w:lineRule="auto"/>
              <w:textAlignment w:val="auto"/>
              <w:rPr>
                <w:color w:val="auto"/>
                <w:sz w:val="24"/>
                <w:szCs w:val="24"/>
                <w:lang w:eastAsia="en-US"/>
              </w:rPr>
            </w:pPr>
            <w:r w:rsidRPr="008B2E61">
              <w:rPr>
                <w:color w:val="auto"/>
                <w:sz w:val="24"/>
                <w:szCs w:val="24"/>
                <w:lang w:eastAsia="en-US"/>
              </w:rPr>
              <w:t>I have demonstrated in this case study how social work practice in the context of safeguarding is based on person centred, systematic, evidence based, analytical and reflective approach. I believe I practiced in a person centred way which fully involved and actively encouraged P2’s participation in the decision making and planning process. Kirby et al. (2003) argues that participation is not simply about being present or taking part but should be based upon having some influence over decisions and actions. I was aware of the dynamics and imbalances of power in this case. Involving the advocate was an important step to try to redress the imbalance, to transfer power and control and to achieve successful participation (SCIE, 2017). I have identified a need to develop my knowledge around the causes and management of dementia.</w:t>
            </w:r>
            <w:r w:rsidR="005E16AA">
              <w:rPr>
                <w:color w:val="auto"/>
                <w:sz w:val="24"/>
                <w:szCs w:val="24"/>
                <w:lang w:eastAsia="en-US"/>
              </w:rPr>
              <w:t xml:space="preserve"> Improving knowledge and skills by </w:t>
            </w:r>
            <w:r w:rsidR="005E16AA" w:rsidRPr="005E16AA">
              <w:rPr>
                <w:color w:val="auto"/>
                <w:sz w:val="24"/>
                <w:szCs w:val="24"/>
                <w:lang w:eastAsia="en-US"/>
              </w:rPr>
              <w:t>und</w:t>
            </w:r>
            <w:r w:rsidR="005E16AA">
              <w:rPr>
                <w:color w:val="auto"/>
                <w:sz w:val="24"/>
                <w:szCs w:val="24"/>
                <w:lang w:eastAsia="en-US"/>
              </w:rPr>
              <w:t xml:space="preserve">ertaking relevant learning is a requirement for practitioners under s.6 of the COPP17 (SCW, 2017). </w:t>
            </w:r>
            <w:r w:rsidRPr="008B2E61">
              <w:rPr>
                <w:color w:val="auto"/>
                <w:sz w:val="24"/>
                <w:szCs w:val="24"/>
                <w:lang w:eastAsia="en-US"/>
              </w:rPr>
              <w:t xml:space="preserve">In P2’s case, where the level of distress during personal care was severe, I lacked knowledge around appropriate uses of medication such as anti-psychotic medications and how these should only be seen as short term interventions.  Continued research will enable me to strengthen working relationships with health professionals in order to collaboratively </w:t>
            </w:r>
            <w:r w:rsidRPr="008B2E61">
              <w:rPr>
                <w:color w:val="auto"/>
                <w:sz w:val="24"/>
                <w:szCs w:val="24"/>
                <w:lang w:eastAsia="en-US"/>
              </w:rPr>
              <w:lastRenderedPageBreak/>
              <w:t xml:space="preserve">produce develop new treatment and care approaches that reflect specialist knowledge and compassion for people with living Dementia. </w:t>
            </w:r>
          </w:p>
          <w:p w14:paraId="408E518F" w14:textId="77777777" w:rsidR="008B2E61" w:rsidRPr="008B2E61" w:rsidRDefault="008B2E61" w:rsidP="008B2E61">
            <w:pPr>
              <w:overflowPunct/>
              <w:autoSpaceDE/>
              <w:autoSpaceDN/>
              <w:adjustRightInd/>
              <w:spacing w:after="160" w:line="259" w:lineRule="auto"/>
              <w:textAlignment w:val="auto"/>
              <w:rPr>
                <w:color w:val="auto"/>
                <w:sz w:val="24"/>
                <w:szCs w:val="24"/>
                <w:lang w:eastAsia="en-US"/>
              </w:rPr>
            </w:pPr>
          </w:p>
          <w:p w14:paraId="2EDBBC0F" w14:textId="1432F5CC" w:rsidR="008B2E61" w:rsidRPr="008B2E61" w:rsidRDefault="00CD7A7C" w:rsidP="008B2E61">
            <w:pPr>
              <w:overflowPunct/>
              <w:autoSpaceDE/>
              <w:autoSpaceDN/>
              <w:adjustRightInd/>
              <w:spacing w:after="160" w:line="259" w:lineRule="auto"/>
              <w:textAlignment w:val="auto"/>
              <w:rPr>
                <w:color w:val="auto"/>
                <w:sz w:val="24"/>
                <w:szCs w:val="24"/>
                <w:lang w:eastAsia="en-US"/>
              </w:rPr>
            </w:pPr>
            <w:r>
              <w:rPr>
                <w:color w:val="auto"/>
                <w:sz w:val="24"/>
                <w:szCs w:val="24"/>
                <w:lang w:eastAsia="en-US"/>
              </w:rPr>
              <w:t>4365</w:t>
            </w:r>
          </w:p>
          <w:p w14:paraId="79588ABD" w14:textId="77777777" w:rsidR="008B2E61" w:rsidRDefault="008B2E61" w:rsidP="00FF7EBB">
            <w:pPr>
              <w:jc w:val="both"/>
              <w:rPr>
                <w:i/>
                <w:sz w:val="24"/>
                <w:szCs w:val="24"/>
              </w:rPr>
            </w:pP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B50787" w14:textId="77777777" w:rsidR="00E361ED" w:rsidRDefault="00E361ED">
      <w:r>
        <w:separator/>
      </w:r>
    </w:p>
  </w:endnote>
  <w:endnote w:type="continuationSeparator" w:id="0">
    <w:p w14:paraId="66F4E6C3" w14:textId="77777777" w:rsidR="00E361ED" w:rsidRDefault="00E361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A3DEAF" w14:textId="311829FB" w:rsidR="00E361ED" w:rsidRDefault="00E361ED">
    <w:pPr>
      <w:pStyle w:val="Footer"/>
      <w:jc w:val="right"/>
    </w:pPr>
    <w:r>
      <w:fldChar w:fldCharType="begin"/>
    </w:r>
    <w:r>
      <w:instrText xml:space="preserve"> PAGE   \* MERGEFORMAT </w:instrText>
    </w:r>
    <w:r>
      <w:fldChar w:fldCharType="separate"/>
    </w:r>
    <w:r w:rsidR="0089563E">
      <w:rPr>
        <w:noProof/>
      </w:rPr>
      <w:t>7</w:t>
    </w:r>
    <w:r>
      <w:rPr>
        <w:noProof/>
      </w:rPr>
      <w:fldChar w:fldCharType="end"/>
    </w:r>
  </w:p>
  <w:p w14:paraId="5CA2AEEC" w14:textId="77777777" w:rsidR="00E361ED" w:rsidRPr="00E60F42" w:rsidRDefault="00E361ED" w:rsidP="004C2D3A">
    <w:pPr>
      <w:pStyle w:val="Footer"/>
      <w:ind w:right="360"/>
      <w:jc w:val="center"/>
      <w:rPr>
        <w:lang w:val="en-GB"/>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8C8CAB" w14:textId="77777777" w:rsidR="00E361ED" w:rsidRDefault="00E361ED">
      <w:r>
        <w:separator/>
      </w:r>
    </w:p>
  </w:footnote>
  <w:footnote w:type="continuationSeparator" w:id="0">
    <w:p w14:paraId="62146FDA" w14:textId="77777777" w:rsidR="00E361ED" w:rsidRDefault="00E361ED">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053128E" w14:textId="52E03DEF" w:rsidR="00E361ED" w:rsidRDefault="00E361ED">
    <w:pPr>
      <w:pStyle w:val="Header"/>
    </w:pPr>
    <w:r>
      <w:t xml:space="preserve">Version 1_Cohort 15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91B"/>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15FFF"/>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22E6D"/>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6A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2A1"/>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63E"/>
    <w:rsid w:val="00895FCE"/>
    <w:rsid w:val="00897F3E"/>
    <w:rsid w:val="008A21B4"/>
    <w:rsid w:val="008B07DE"/>
    <w:rsid w:val="008B1309"/>
    <w:rsid w:val="008B28E7"/>
    <w:rsid w:val="008B2E61"/>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3840"/>
    <w:rsid w:val="0094495F"/>
    <w:rsid w:val="009544C0"/>
    <w:rsid w:val="00954FA4"/>
    <w:rsid w:val="00956AE9"/>
    <w:rsid w:val="00964CC6"/>
    <w:rsid w:val="00967BFA"/>
    <w:rsid w:val="0098262C"/>
    <w:rsid w:val="0098427C"/>
    <w:rsid w:val="00986B43"/>
    <w:rsid w:val="00986C0B"/>
    <w:rsid w:val="00986D46"/>
    <w:rsid w:val="00991FDA"/>
    <w:rsid w:val="00992ACA"/>
    <w:rsid w:val="009934D5"/>
    <w:rsid w:val="009A5F3B"/>
    <w:rsid w:val="009A5F79"/>
    <w:rsid w:val="009A6F87"/>
    <w:rsid w:val="009B0B61"/>
    <w:rsid w:val="009B28C0"/>
    <w:rsid w:val="009B3178"/>
    <w:rsid w:val="009B3E46"/>
    <w:rsid w:val="009B430F"/>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A7C"/>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361ED"/>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1F3"/>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7E56"/>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0294D945-B851-4638-839F-2C4FD548C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FDAC43C2</Template>
  <TotalTime>44</TotalTime>
  <Pages>10</Pages>
  <Words>4571</Words>
  <Characters>24007</Characters>
  <Application>Microsoft Office Word</Application>
  <DocSecurity>0</DocSecurity>
  <Lines>200</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28521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Roberts</cp:lastModifiedBy>
  <cp:revision>14</cp:revision>
  <cp:lastPrinted>2020-02-11T19:20:00Z</cp:lastPrinted>
  <dcterms:created xsi:type="dcterms:W3CDTF">2023-02-23T21:30:00Z</dcterms:created>
  <dcterms:modified xsi:type="dcterms:W3CDTF">2023-02-26T12:25:00Z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