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28DB8" w14:textId="77777777" w:rsidR="00196DA2" w:rsidRDefault="00196DA2" w:rsidP="00AD4810">
      <w:pPr>
        <w:ind w:firstLine="0"/>
      </w:pPr>
    </w:p>
    <w:p w14:paraId="2A0D8574" w14:textId="77777777" w:rsidR="00AD4810" w:rsidRDefault="00AD4810" w:rsidP="00AD4810">
      <w:pPr>
        <w:spacing w:line="360" w:lineRule="auto"/>
      </w:pPr>
    </w:p>
    <w:p w14:paraId="63C580B1" w14:textId="77777777" w:rsidR="00AD4810" w:rsidRDefault="00AD4810" w:rsidP="00AD4810">
      <w:pPr>
        <w:spacing w:line="360" w:lineRule="auto"/>
        <w:ind w:firstLine="0"/>
        <w:rPr>
          <w:sz w:val="28"/>
          <w:szCs w:val="28"/>
        </w:rPr>
      </w:pPr>
      <w:r>
        <w:rPr>
          <w:sz w:val="28"/>
          <w:szCs w:val="28"/>
        </w:rPr>
        <w:t xml:space="preserve">BA Business Management </w:t>
      </w:r>
    </w:p>
    <w:p w14:paraId="2AE6E011" w14:textId="728FBB61" w:rsidR="00AD4810" w:rsidRDefault="00712DCC" w:rsidP="00AD4810">
      <w:pPr>
        <w:spacing w:line="360" w:lineRule="auto"/>
        <w:ind w:firstLine="0"/>
        <w:rPr>
          <w:sz w:val="28"/>
          <w:szCs w:val="28"/>
        </w:rPr>
      </w:pPr>
      <w:r>
        <w:rPr>
          <w:sz w:val="28"/>
          <w:szCs w:val="28"/>
        </w:rPr>
        <w:t>International Financial Management</w:t>
      </w:r>
      <w:r w:rsidR="00AD4810">
        <w:rPr>
          <w:sz w:val="28"/>
          <w:szCs w:val="28"/>
        </w:rPr>
        <w:t>– LCBB</w:t>
      </w:r>
      <w:r w:rsidR="00F80402">
        <w:rPr>
          <w:sz w:val="28"/>
          <w:szCs w:val="28"/>
        </w:rPr>
        <w:t>6002</w:t>
      </w:r>
    </w:p>
    <w:p w14:paraId="762EB6E0" w14:textId="6CA626B5" w:rsidR="00AD4810" w:rsidRDefault="00AD4810" w:rsidP="00AD4810">
      <w:pPr>
        <w:pStyle w:val="Title0"/>
        <w:shd w:val="clear" w:color="auto" w:fill="FFFFFF"/>
        <w:spacing w:before="80" w:after="160" w:line="360" w:lineRule="auto"/>
        <w:jc w:val="both"/>
        <w:rPr>
          <w:sz w:val="28"/>
          <w:szCs w:val="28"/>
        </w:rPr>
      </w:pPr>
      <w:r>
        <w:rPr>
          <w:sz w:val="28"/>
          <w:szCs w:val="28"/>
        </w:rPr>
        <w:t xml:space="preserve">Lecturer: </w:t>
      </w:r>
      <w:r w:rsidR="00A62CF7">
        <w:rPr>
          <w:sz w:val="28"/>
          <w:szCs w:val="28"/>
        </w:rPr>
        <w:t>Zainab Atta</w:t>
      </w:r>
    </w:p>
    <w:p w14:paraId="792AB33F" w14:textId="77777777" w:rsidR="00AD4810" w:rsidRDefault="00AD4810" w:rsidP="00AD4810">
      <w:pPr>
        <w:pStyle w:val="Title0"/>
        <w:shd w:val="clear" w:color="auto" w:fill="FFFFFF"/>
        <w:spacing w:before="80" w:after="160" w:line="360" w:lineRule="auto"/>
        <w:jc w:val="both"/>
        <w:rPr>
          <w:sz w:val="28"/>
          <w:szCs w:val="28"/>
        </w:rPr>
      </w:pPr>
      <w:r>
        <w:rPr>
          <w:sz w:val="28"/>
          <w:szCs w:val="28"/>
        </w:rPr>
        <w:t>ASSIGNMENT 1</w:t>
      </w:r>
    </w:p>
    <w:p w14:paraId="762B6C19" w14:textId="77777777" w:rsidR="00AD4810" w:rsidRDefault="00AD4810" w:rsidP="00AD4810">
      <w:pPr>
        <w:pStyle w:val="Title0"/>
        <w:shd w:val="clear" w:color="auto" w:fill="FFFFFF"/>
        <w:spacing w:before="80" w:after="160" w:line="360" w:lineRule="auto"/>
        <w:jc w:val="both"/>
        <w:rPr>
          <w:sz w:val="28"/>
          <w:szCs w:val="28"/>
        </w:rPr>
      </w:pPr>
      <w:r>
        <w:rPr>
          <w:sz w:val="28"/>
          <w:szCs w:val="28"/>
        </w:rPr>
        <w:t xml:space="preserve">Boris Vladimirov – 2124687   </w:t>
      </w:r>
    </w:p>
    <w:p w14:paraId="55C8835F" w14:textId="77777777" w:rsidR="00AD4810" w:rsidRDefault="00AD4810" w:rsidP="00AD4810">
      <w:pPr>
        <w:pStyle w:val="Title0"/>
        <w:shd w:val="clear" w:color="auto" w:fill="FFFFFF"/>
        <w:spacing w:before="80" w:after="160" w:line="360" w:lineRule="auto"/>
        <w:jc w:val="both"/>
        <w:rPr>
          <w:sz w:val="28"/>
          <w:szCs w:val="28"/>
        </w:rPr>
      </w:pPr>
    </w:p>
    <w:p w14:paraId="0864B572" w14:textId="77777777" w:rsidR="00AD4810" w:rsidRDefault="00AD4810" w:rsidP="00AD4810">
      <w:pPr>
        <w:pStyle w:val="Title0"/>
        <w:shd w:val="clear" w:color="auto" w:fill="FFFFFF"/>
        <w:spacing w:before="80" w:after="160" w:line="360" w:lineRule="auto"/>
        <w:jc w:val="both"/>
        <w:rPr>
          <w:sz w:val="28"/>
          <w:szCs w:val="28"/>
        </w:rPr>
      </w:pPr>
    </w:p>
    <w:p w14:paraId="1A919967" w14:textId="77777777" w:rsidR="00AD4810" w:rsidRDefault="00AD4810" w:rsidP="00AD4810">
      <w:pPr>
        <w:pStyle w:val="Title0"/>
        <w:shd w:val="clear" w:color="auto" w:fill="FFFFFF"/>
        <w:spacing w:before="80" w:after="160" w:line="360" w:lineRule="auto"/>
        <w:jc w:val="center"/>
        <w:rPr>
          <w:sz w:val="28"/>
          <w:szCs w:val="28"/>
        </w:rPr>
      </w:pPr>
      <w:r>
        <w:rPr>
          <w:noProof/>
          <w:sz w:val="28"/>
          <w:szCs w:val="28"/>
        </w:rPr>
        <w:drawing>
          <wp:inline distT="0" distB="0" distL="0" distR="0" wp14:anchorId="2F4CACF7" wp14:editId="2B945F6A">
            <wp:extent cx="2857143" cy="571429"/>
            <wp:effectExtent l="0" t="0" r="635" b="635"/>
            <wp:docPr id="785514419"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514419" name="Picture 1" descr="A black background with white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p w14:paraId="24F2C442" w14:textId="77777777" w:rsidR="00AD4810" w:rsidRDefault="00AD4810" w:rsidP="00AD4810">
      <w:pPr>
        <w:ind w:firstLine="0"/>
      </w:pPr>
    </w:p>
    <w:p w14:paraId="105FE707" w14:textId="77777777" w:rsidR="00AD4810" w:rsidRPr="00CA4568" w:rsidRDefault="00AD4810" w:rsidP="00AD4810"/>
    <w:p w14:paraId="4A2EC338" w14:textId="79217D5A" w:rsidR="00AD4810" w:rsidRPr="00AC5525" w:rsidRDefault="008505B7" w:rsidP="00AD4810">
      <w:pPr>
        <w:pStyle w:val="Title0"/>
        <w:shd w:val="clear" w:color="auto" w:fill="FFFFFF"/>
        <w:spacing w:before="80" w:after="160" w:line="360" w:lineRule="auto"/>
        <w:jc w:val="center"/>
        <w:rPr>
          <w:b/>
          <w:bCs/>
          <w:sz w:val="40"/>
          <w:szCs w:val="40"/>
        </w:rPr>
      </w:pPr>
      <w:r>
        <w:rPr>
          <w:b/>
          <w:bCs/>
          <w:sz w:val="40"/>
          <w:szCs w:val="40"/>
        </w:rPr>
        <w:t xml:space="preserve">International </w:t>
      </w:r>
      <w:r w:rsidR="00E06722">
        <w:rPr>
          <w:b/>
          <w:bCs/>
          <w:sz w:val="40"/>
          <w:szCs w:val="40"/>
        </w:rPr>
        <w:t xml:space="preserve">Financial </w:t>
      </w:r>
      <w:r w:rsidR="00E14DC0">
        <w:rPr>
          <w:b/>
          <w:bCs/>
          <w:sz w:val="40"/>
          <w:szCs w:val="40"/>
        </w:rPr>
        <w:t>Management</w:t>
      </w:r>
    </w:p>
    <w:p w14:paraId="7F0426B6" w14:textId="77777777" w:rsidR="00AD4810" w:rsidRDefault="00AD4810" w:rsidP="00AD4810">
      <w:pPr>
        <w:pStyle w:val="Title0"/>
        <w:shd w:val="clear" w:color="auto" w:fill="FFFFFF"/>
        <w:spacing w:before="80" w:after="160" w:line="360" w:lineRule="auto"/>
        <w:jc w:val="center"/>
        <w:rPr>
          <w:b/>
          <w:bCs/>
          <w:sz w:val="40"/>
          <w:szCs w:val="40"/>
        </w:rPr>
      </w:pPr>
      <w:r w:rsidRPr="00AC5525">
        <w:rPr>
          <w:b/>
          <w:bCs/>
          <w:sz w:val="40"/>
          <w:szCs w:val="40"/>
        </w:rPr>
        <w:t>Assignment 1</w:t>
      </w:r>
    </w:p>
    <w:p w14:paraId="5D4E1F7B" w14:textId="77777777" w:rsidR="00AD4810" w:rsidRPr="00B76230" w:rsidRDefault="00AD4810" w:rsidP="00AD4810"/>
    <w:p w14:paraId="191AAC32" w14:textId="2E81093D" w:rsidR="00AD4810" w:rsidRPr="00AC5525" w:rsidRDefault="00737D24" w:rsidP="00AD4810">
      <w:pPr>
        <w:pStyle w:val="Title0"/>
        <w:shd w:val="clear" w:color="auto" w:fill="FFFFFF"/>
        <w:spacing w:before="80" w:after="160" w:line="360" w:lineRule="auto"/>
        <w:jc w:val="center"/>
        <w:rPr>
          <w:b/>
          <w:bCs/>
          <w:sz w:val="40"/>
          <w:szCs w:val="40"/>
        </w:rPr>
      </w:pPr>
      <w:r>
        <w:rPr>
          <w:b/>
          <w:bCs/>
          <w:sz w:val="40"/>
          <w:szCs w:val="40"/>
        </w:rPr>
        <w:t>Strategies</w:t>
      </w:r>
      <w:r w:rsidR="00F06AEE">
        <w:rPr>
          <w:b/>
          <w:bCs/>
          <w:sz w:val="40"/>
          <w:szCs w:val="40"/>
        </w:rPr>
        <w:t xml:space="preserve"> for managing foreign exchange risk</w:t>
      </w:r>
    </w:p>
    <w:p w14:paraId="25139D25" w14:textId="77777777" w:rsidR="00196DA2" w:rsidRDefault="00196DA2" w:rsidP="00196DA2">
      <w:pPr>
        <w:jc w:val="center"/>
      </w:pPr>
    </w:p>
    <w:p w14:paraId="7C804AFC" w14:textId="77777777" w:rsidR="00196DA2" w:rsidRDefault="00196DA2" w:rsidP="00196DA2">
      <w:pPr>
        <w:jc w:val="center"/>
      </w:pPr>
    </w:p>
    <w:p w14:paraId="60C9AEBD" w14:textId="77777777" w:rsidR="00196DA2" w:rsidRDefault="00196DA2" w:rsidP="00196DA2">
      <w:pPr>
        <w:jc w:val="center"/>
      </w:pPr>
    </w:p>
    <w:p w14:paraId="0D108D84" w14:textId="263907B9" w:rsidR="00196DA2" w:rsidRDefault="00196DA2" w:rsidP="00AD4810">
      <w:pPr>
        <w:spacing w:line="256" w:lineRule="auto"/>
        <w:ind w:firstLine="0"/>
        <w:jc w:val="left"/>
      </w:pPr>
    </w:p>
    <w:sdt>
      <w:sdtPr>
        <w:id w:val="1221247956"/>
        <w:docPartObj>
          <w:docPartGallery w:val="Table of Contents"/>
          <w:docPartUnique/>
        </w:docPartObj>
      </w:sdtPr>
      <w:sdtContent>
        <w:p w14:paraId="4F11B507" w14:textId="77777777" w:rsidR="00196DA2" w:rsidRDefault="00196DA2" w:rsidP="00196DA2">
          <w:pPr>
            <w:jc w:val="center"/>
          </w:pPr>
          <w:r>
            <w:rPr>
              <w:b/>
              <w:bCs/>
              <w:sz w:val="28"/>
              <w:szCs w:val="24"/>
            </w:rPr>
            <w:t>Table of Contents</w:t>
          </w:r>
        </w:p>
        <w:p w14:paraId="071BAF89" w14:textId="2B69B8CE" w:rsidR="009C2DFE" w:rsidRDefault="00196DA2">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162798604" w:history="1">
            <w:r w:rsidR="009C2DFE" w:rsidRPr="00460C07">
              <w:rPr>
                <w:rStyle w:val="Hyperlink"/>
                <w:noProof/>
              </w:rPr>
              <w:t>Introduction</w:t>
            </w:r>
            <w:r w:rsidR="009C2DFE">
              <w:rPr>
                <w:noProof/>
                <w:webHidden/>
              </w:rPr>
              <w:tab/>
            </w:r>
            <w:r w:rsidR="009C2DFE">
              <w:rPr>
                <w:noProof/>
                <w:webHidden/>
              </w:rPr>
              <w:fldChar w:fldCharType="begin"/>
            </w:r>
            <w:r w:rsidR="009C2DFE">
              <w:rPr>
                <w:noProof/>
                <w:webHidden/>
              </w:rPr>
              <w:instrText xml:space="preserve"> PAGEREF _Toc162798604 \h </w:instrText>
            </w:r>
            <w:r w:rsidR="009C2DFE">
              <w:rPr>
                <w:noProof/>
                <w:webHidden/>
              </w:rPr>
            </w:r>
            <w:r w:rsidR="009C2DFE">
              <w:rPr>
                <w:noProof/>
                <w:webHidden/>
              </w:rPr>
              <w:fldChar w:fldCharType="separate"/>
            </w:r>
            <w:r w:rsidR="009C2DFE">
              <w:rPr>
                <w:noProof/>
                <w:webHidden/>
              </w:rPr>
              <w:t>2</w:t>
            </w:r>
            <w:r w:rsidR="009C2DFE">
              <w:rPr>
                <w:noProof/>
                <w:webHidden/>
              </w:rPr>
              <w:fldChar w:fldCharType="end"/>
            </w:r>
          </w:hyperlink>
        </w:p>
        <w:p w14:paraId="4C29C6AD" w14:textId="45D22149" w:rsidR="009C2DFE" w:rsidRDefault="0000000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62798605" w:history="1">
            <w:r w:rsidR="009C2DFE" w:rsidRPr="00460C07">
              <w:rPr>
                <w:rStyle w:val="Hyperlink"/>
                <w:noProof/>
              </w:rPr>
              <w:t>Discussion and Analysis</w:t>
            </w:r>
            <w:r w:rsidR="009C2DFE">
              <w:rPr>
                <w:noProof/>
                <w:webHidden/>
              </w:rPr>
              <w:tab/>
            </w:r>
            <w:r w:rsidR="009C2DFE">
              <w:rPr>
                <w:noProof/>
                <w:webHidden/>
              </w:rPr>
              <w:fldChar w:fldCharType="begin"/>
            </w:r>
            <w:r w:rsidR="009C2DFE">
              <w:rPr>
                <w:noProof/>
                <w:webHidden/>
              </w:rPr>
              <w:instrText xml:space="preserve"> PAGEREF _Toc162798605 \h </w:instrText>
            </w:r>
            <w:r w:rsidR="009C2DFE">
              <w:rPr>
                <w:noProof/>
                <w:webHidden/>
              </w:rPr>
            </w:r>
            <w:r w:rsidR="009C2DFE">
              <w:rPr>
                <w:noProof/>
                <w:webHidden/>
              </w:rPr>
              <w:fldChar w:fldCharType="separate"/>
            </w:r>
            <w:r w:rsidR="009C2DFE">
              <w:rPr>
                <w:noProof/>
                <w:webHidden/>
              </w:rPr>
              <w:t>2</w:t>
            </w:r>
            <w:r w:rsidR="009C2DFE">
              <w:rPr>
                <w:noProof/>
                <w:webHidden/>
              </w:rPr>
              <w:fldChar w:fldCharType="end"/>
            </w:r>
          </w:hyperlink>
        </w:p>
        <w:p w14:paraId="79B7C59E" w14:textId="6D435508" w:rsidR="009C2DFE" w:rsidRDefault="0000000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62798606" w:history="1">
            <w:r w:rsidR="009C2DFE" w:rsidRPr="00460C07">
              <w:rPr>
                <w:rStyle w:val="Hyperlink"/>
                <w:noProof/>
              </w:rPr>
              <w:t>Forward Contract</w:t>
            </w:r>
            <w:r w:rsidR="009C2DFE">
              <w:rPr>
                <w:noProof/>
                <w:webHidden/>
              </w:rPr>
              <w:tab/>
            </w:r>
            <w:r w:rsidR="009C2DFE">
              <w:rPr>
                <w:noProof/>
                <w:webHidden/>
              </w:rPr>
              <w:fldChar w:fldCharType="begin"/>
            </w:r>
            <w:r w:rsidR="009C2DFE">
              <w:rPr>
                <w:noProof/>
                <w:webHidden/>
              </w:rPr>
              <w:instrText xml:space="preserve"> PAGEREF _Toc162798606 \h </w:instrText>
            </w:r>
            <w:r w:rsidR="009C2DFE">
              <w:rPr>
                <w:noProof/>
                <w:webHidden/>
              </w:rPr>
            </w:r>
            <w:r w:rsidR="009C2DFE">
              <w:rPr>
                <w:noProof/>
                <w:webHidden/>
              </w:rPr>
              <w:fldChar w:fldCharType="separate"/>
            </w:r>
            <w:r w:rsidR="009C2DFE">
              <w:rPr>
                <w:noProof/>
                <w:webHidden/>
              </w:rPr>
              <w:t>3</w:t>
            </w:r>
            <w:r w:rsidR="009C2DFE">
              <w:rPr>
                <w:noProof/>
                <w:webHidden/>
              </w:rPr>
              <w:fldChar w:fldCharType="end"/>
            </w:r>
          </w:hyperlink>
        </w:p>
        <w:p w14:paraId="1A253862" w14:textId="7C05A647" w:rsidR="009C2DFE" w:rsidRDefault="0000000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62798607" w:history="1">
            <w:r w:rsidR="009C2DFE" w:rsidRPr="00460C07">
              <w:rPr>
                <w:rStyle w:val="Hyperlink"/>
                <w:noProof/>
              </w:rPr>
              <w:t>Currency Future Contract</w:t>
            </w:r>
            <w:r w:rsidR="009C2DFE">
              <w:rPr>
                <w:noProof/>
                <w:webHidden/>
              </w:rPr>
              <w:tab/>
            </w:r>
            <w:r w:rsidR="009C2DFE">
              <w:rPr>
                <w:noProof/>
                <w:webHidden/>
              </w:rPr>
              <w:fldChar w:fldCharType="begin"/>
            </w:r>
            <w:r w:rsidR="009C2DFE">
              <w:rPr>
                <w:noProof/>
                <w:webHidden/>
              </w:rPr>
              <w:instrText xml:space="preserve"> PAGEREF _Toc162798607 \h </w:instrText>
            </w:r>
            <w:r w:rsidR="009C2DFE">
              <w:rPr>
                <w:noProof/>
                <w:webHidden/>
              </w:rPr>
            </w:r>
            <w:r w:rsidR="009C2DFE">
              <w:rPr>
                <w:noProof/>
                <w:webHidden/>
              </w:rPr>
              <w:fldChar w:fldCharType="separate"/>
            </w:r>
            <w:r w:rsidR="009C2DFE">
              <w:rPr>
                <w:noProof/>
                <w:webHidden/>
              </w:rPr>
              <w:t>3</w:t>
            </w:r>
            <w:r w:rsidR="009C2DFE">
              <w:rPr>
                <w:noProof/>
                <w:webHidden/>
              </w:rPr>
              <w:fldChar w:fldCharType="end"/>
            </w:r>
          </w:hyperlink>
        </w:p>
        <w:p w14:paraId="20F0D65A" w14:textId="583BD199" w:rsidR="009C2DFE" w:rsidRDefault="0000000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62798608" w:history="1">
            <w:r w:rsidR="009C2DFE" w:rsidRPr="00460C07">
              <w:rPr>
                <w:rStyle w:val="Hyperlink"/>
                <w:noProof/>
              </w:rPr>
              <w:t>Options</w:t>
            </w:r>
            <w:r w:rsidR="009C2DFE">
              <w:rPr>
                <w:noProof/>
                <w:webHidden/>
              </w:rPr>
              <w:tab/>
            </w:r>
            <w:r w:rsidR="009C2DFE">
              <w:rPr>
                <w:noProof/>
                <w:webHidden/>
              </w:rPr>
              <w:fldChar w:fldCharType="begin"/>
            </w:r>
            <w:r w:rsidR="009C2DFE">
              <w:rPr>
                <w:noProof/>
                <w:webHidden/>
              </w:rPr>
              <w:instrText xml:space="preserve"> PAGEREF _Toc162798608 \h </w:instrText>
            </w:r>
            <w:r w:rsidR="009C2DFE">
              <w:rPr>
                <w:noProof/>
                <w:webHidden/>
              </w:rPr>
            </w:r>
            <w:r w:rsidR="009C2DFE">
              <w:rPr>
                <w:noProof/>
                <w:webHidden/>
              </w:rPr>
              <w:fldChar w:fldCharType="separate"/>
            </w:r>
            <w:r w:rsidR="009C2DFE">
              <w:rPr>
                <w:noProof/>
                <w:webHidden/>
              </w:rPr>
              <w:t>4</w:t>
            </w:r>
            <w:r w:rsidR="009C2DFE">
              <w:rPr>
                <w:noProof/>
                <w:webHidden/>
              </w:rPr>
              <w:fldChar w:fldCharType="end"/>
            </w:r>
          </w:hyperlink>
        </w:p>
        <w:p w14:paraId="525C10DD" w14:textId="3B842F4A" w:rsidR="009C2DFE" w:rsidRDefault="0000000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62798609" w:history="1">
            <w:r w:rsidR="009C2DFE" w:rsidRPr="00460C07">
              <w:rPr>
                <w:rStyle w:val="Hyperlink"/>
                <w:noProof/>
              </w:rPr>
              <w:t>Currency swaps</w:t>
            </w:r>
            <w:r w:rsidR="009C2DFE">
              <w:rPr>
                <w:noProof/>
                <w:webHidden/>
              </w:rPr>
              <w:tab/>
            </w:r>
            <w:r w:rsidR="009C2DFE">
              <w:rPr>
                <w:noProof/>
                <w:webHidden/>
              </w:rPr>
              <w:fldChar w:fldCharType="begin"/>
            </w:r>
            <w:r w:rsidR="009C2DFE">
              <w:rPr>
                <w:noProof/>
                <w:webHidden/>
              </w:rPr>
              <w:instrText xml:space="preserve"> PAGEREF _Toc162798609 \h </w:instrText>
            </w:r>
            <w:r w:rsidR="009C2DFE">
              <w:rPr>
                <w:noProof/>
                <w:webHidden/>
              </w:rPr>
            </w:r>
            <w:r w:rsidR="009C2DFE">
              <w:rPr>
                <w:noProof/>
                <w:webHidden/>
              </w:rPr>
              <w:fldChar w:fldCharType="separate"/>
            </w:r>
            <w:r w:rsidR="009C2DFE">
              <w:rPr>
                <w:noProof/>
                <w:webHidden/>
              </w:rPr>
              <w:t>5</w:t>
            </w:r>
            <w:r w:rsidR="009C2DFE">
              <w:rPr>
                <w:noProof/>
                <w:webHidden/>
              </w:rPr>
              <w:fldChar w:fldCharType="end"/>
            </w:r>
          </w:hyperlink>
        </w:p>
        <w:p w14:paraId="30FFC3C8" w14:textId="19129521" w:rsidR="009C2DFE" w:rsidRDefault="0000000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62798610" w:history="1">
            <w:r w:rsidR="009C2DFE" w:rsidRPr="00460C07">
              <w:rPr>
                <w:rStyle w:val="Hyperlink"/>
                <w:noProof/>
              </w:rPr>
              <w:t>Conclusion</w:t>
            </w:r>
            <w:r w:rsidR="009C2DFE">
              <w:rPr>
                <w:noProof/>
                <w:webHidden/>
              </w:rPr>
              <w:tab/>
            </w:r>
            <w:r w:rsidR="009C2DFE">
              <w:rPr>
                <w:noProof/>
                <w:webHidden/>
              </w:rPr>
              <w:fldChar w:fldCharType="begin"/>
            </w:r>
            <w:r w:rsidR="009C2DFE">
              <w:rPr>
                <w:noProof/>
                <w:webHidden/>
              </w:rPr>
              <w:instrText xml:space="preserve"> PAGEREF _Toc162798610 \h </w:instrText>
            </w:r>
            <w:r w:rsidR="009C2DFE">
              <w:rPr>
                <w:noProof/>
                <w:webHidden/>
              </w:rPr>
            </w:r>
            <w:r w:rsidR="009C2DFE">
              <w:rPr>
                <w:noProof/>
                <w:webHidden/>
              </w:rPr>
              <w:fldChar w:fldCharType="separate"/>
            </w:r>
            <w:r w:rsidR="009C2DFE">
              <w:rPr>
                <w:noProof/>
                <w:webHidden/>
              </w:rPr>
              <w:t>6</w:t>
            </w:r>
            <w:r w:rsidR="009C2DFE">
              <w:rPr>
                <w:noProof/>
                <w:webHidden/>
              </w:rPr>
              <w:fldChar w:fldCharType="end"/>
            </w:r>
          </w:hyperlink>
        </w:p>
        <w:p w14:paraId="5F068CCC" w14:textId="25938957" w:rsidR="009C2DFE" w:rsidRDefault="0000000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62798611" w:history="1">
            <w:r w:rsidR="009C2DFE" w:rsidRPr="00460C07">
              <w:rPr>
                <w:rStyle w:val="Hyperlink"/>
                <w:noProof/>
              </w:rPr>
              <w:t>Reference List</w:t>
            </w:r>
            <w:r w:rsidR="009C2DFE">
              <w:rPr>
                <w:noProof/>
                <w:webHidden/>
              </w:rPr>
              <w:tab/>
            </w:r>
            <w:r w:rsidR="009C2DFE">
              <w:rPr>
                <w:noProof/>
                <w:webHidden/>
              </w:rPr>
              <w:fldChar w:fldCharType="begin"/>
            </w:r>
            <w:r w:rsidR="009C2DFE">
              <w:rPr>
                <w:noProof/>
                <w:webHidden/>
              </w:rPr>
              <w:instrText xml:space="preserve"> PAGEREF _Toc162798611 \h </w:instrText>
            </w:r>
            <w:r w:rsidR="009C2DFE">
              <w:rPr>
                <w:noProof/>
                <w:webHidden/>
              </w:rPr>
            </w:r>
            <w:r w:rsidR="009C2DFE">
              <w:rPr>
                <w:noProof/>
                <w:webHidden/>
              </w:rPr>
              <w:fldChar w:fldCharType="separate"/>
            </w:r>
            <w:r w:rsidR="009C2DFE">
              <w:rPr>
                <w:noProof/>
                <w:webHidden/>
              </w:rPr>
              <w:t>7</w:t>
            </w:r>
            <w:r w:rsidR="009C2DFE">
              <w:rPr>
                <w:noProof/>
                <w:webHidden/>
              </w:rPr>
              <w:fldChar w:fldCharType="end"/>
            </w:r>
          </w:hyperlink>
        </w:p>
        <w:p w14:paraId="2FF57EE5" w14:textId="19545058" w:rsidR="00196DA2" w:rsidRDefault="00196DA2" w:rsidP="00196DA2">
          <w:pPr>
            <w:rPr>
              <w:rFonts w:eastAsia="Arial" w:cs="Arial"/>
              <w:lang w:val="en"/>
            </w:rPr>
          </w:pPr>
          <w:r>
            <w:rPr>
              <w:b/>
              <w:bCs/>
              <w:noProof/>
            </w:rPr>
            <w:fldChar w:fldCharType="end"/>
          </w:r>
        </w:p>
      </w:sdtContent>
    </w:sdt>
    <w:p w14:paraId="7811E258" w14:textId="77777777" w:rsidR="00196DA2" w:rsidRDefault="00196DA2" w:rsidP="00196DA2">
      <w:pPr>
        <w:rPr>
          <w:rFonts w:eastAsia="Times New Roman" w:cs="Times New Roman"/>
          <w:color w:val="000000"/>
          <w:szCs w:val="32"/>
          <w:lang w:val="en-US"/>
        </w:rPr>
      </w:pPr>
      <w:r>
        <w:br w:type="page"/>
      </w:r>
    </w:p>
    <w:p w14:paraId="6125366D" w14:textId="77777777" w:rsidR="00196DA2" w:rsidRDefault="00196DA2" w:rsidP="00196DA2">
      <w:pPr>
        <w:pStyle w:val="Heading1"/>
        <w:rPr>
          <w:rFonts w:eastAsia="Times New Roman" w:cs="Times New Roman"/>
          <w:color w:val="000000"/>
          <w:lang w:val="en-US"/>
        </w:rPr>
      </w:pPr>
      <w:bookmarkStart w:id="0" w:name="_Toc162798604"/>
      <w:r>
        <w:lastRenderedPageBreak/>
        <w:t>Introduction</w:t>
      </w:r>
      <w:bookmarkEnd w:id="0"/>
    </w:p>
    <w:p w14:paraId="6BA5DDC5" w14:textId="18A87D27" w:rsidR="00196DA2" w:rsidRDefault="00196DA2" w:rsidP="00B957AE">
      <w:pPr>
        <w:spacing w:line="360" w:lineRule="auto"/>
        <w:rPr>
          <w:lang w:val="en-US"/>
        </w:rPr>
      </w:pPr>
      <w:r>
        <w:rPr>
          <w:lang w:val="en-US"/>
        </w:rPr>
        <w:tab/>
        <w:t>International financial management, alternatively regarded as international finance, signifies the management of business finance in the global business environment which means trading and generating money via the exchange of foreign currencies (</w:t>
      </w:r>
      <w:r>
        <w:rPr>
          <w:shd w:val="clear" w:color="auto" w:fill="FFFFFF"/>
        </w:rPr>
        <w:t>Madura, Hoque</w:t>
      </w:r>
      <w:r w:rsidR="00B45D4E">
        <w:rPr>
          <w:shd w:val="clear" w:color="auto" w:fill="FFFFFF"/>
        </w:rPr>
        <w:t>,</w:t>
      </w:r>
      <w:r>
        <w:rPr>
          <w:shd w:val="clear" w:color="auto" w:fill="FFFFFF"/>
        </w:rPr>
        <w:t xml:space="preserve"> and </w:t>
      </w:r>
      <w:proofErr w:type="spellStart"/>
      <w:r>
        <w:rPr>
          <w:shd w:val="clear" w:color="auto" w:fill="FFFFFF"/>
        </w:rPr>
        <w:t>Krishnamrti</w:t>
      </w:r>
      <w:proofErr w:type="spellEnd"/>
      <w:r w:rsidR="00EC3FE6">
        <w:rPr>
          <w:shd w:val="clear" w:color="auto" w:fill="FFFFFF"/>
        </w:rPr>
        <w:t>,</w:t>
      </w:r>
      <w:r>
        <w:rPr>
          <w:shd w:val="clear" w:color="auto" w:fill="FFFFFF"/>
        </w:rPr>
        <w:t xml:space="preserve"> 2018)</w:t>
      </w:r>
      <w:r>
        <w:rPr>
          <w:lang w:val="en-US"/>
        </w:rPr>
        <w:t>.</w:t>
      </w:r>
      <w:r w:rsidR="00D312F0">
        <w:rPr>
          <w:lang w:val="en-US"/>
        </w:rPr>
        <w:t xml:space="preserve"> </w:t>
      </w:r>
      <w:r w:rsidR="00581E86">
        <w:rPr>
          <w:lang w:val="en-US"/>
        </w:rPr>
        <w:t>When a comp</w:t>
      </w:r>
      <w:r w:rsidR="00D312F0">
        <w:rPr>
          <w:lang w:val="en-US"/>
        </w:rPr>
        <w:t>any engages in foreign currency transactions, it faces the risk of exchange</w:t>
      </w:r>
      <w:r w:rsidR="000D53DE">
        <w:rPr>
          <w:lang w:val="en-US"/>
        </w:rPr>
        <w:t xml:space="preserve"> rate fluctuations, which can </w:t>
      </w:r>
      <w:r w:rsidR="00652C0F">
        <w:rPr>
          <w:lang w:val="en-US"/>
        </w:rPr>
        <w:t>affect</w:t>
      </w:r>
      <w:r w:rsidR="00DB3DA4">
        <w:rPr>
          <w:lang w:val="en-US"/>
        </w:rPr>
        <w:t xml:space="preserve"> its financial position due to </w:t>
      </w:r>
      <w:r w:rsidR="00892C68">
        <w:rPr>
          <w:lang w:val="en-US"/>
        </w:rPr>
        <w:t>changes</w:t>
      </w:r>
      <w:r w:rsidR="00DB3DA4">
        <w:rPr>
          <w:lang w:val="en-US"/>
        </w:rPr>
        <w:t xml:space="preserve"> in currency value</w:t>
      </w:r>
      <w:r>
        <w:rPr>
          <w:lang w:val="en-US"/>
        </w:rPr>
        <w:t xml:space="preserve">. For a multinational corporation, foreign exchange risk is one of the major financial risks because due to </w:t>
      </w:r>
      <w:r w:rsidR="00893C9C">
        <w:rPr>
          <w:lang w:val="en-US"/>
        </w:rPr>
        <w:t>its</w:t>
      </w:r>
      <w:r>
        <w:rPr>
          <w:lang w:val="en-US"/>
        </w:rPr>
        <w:t xml:space="preserve"> global presence</w:t>
      </w:r>
      <w:r w:rsidR="00763098">
        <w:rPr>
          <w:lang w:val="en-US"/>
        </w:rPr>
        <w:t>,</w:t>
      </w:r>
      <w:r>
        <w:rPr>
          <w:lang w:val="en-US"/>
        </w:rPr>
        <w:t xml:space="preserve"> the corporation needs to </w:t>
      </w:r>
      <w:r w:rsidR="00AA5DE0">
        <w:rPr>
          <w:lang w:val="en-US"/>
        </w:rPr>
        <w:t>be involved</w:t>
      </w:r>
      <w:r>
        <w:rPr>
          <w:lang w:val="en-US"/>
        </w:rPr>
        <w:t xml:space="preserve"> into numerous foreign currency </w:t>
      </w:r>
      <w:r w:rsidR="00893C9C">
        <w:rPr>
          <w:lang w:val="en-US"/>
        </w:rPr>
        <w:t>transactions</w:t>
      </w:r>
      <w:r>
        <w:rPr>
          <w:lang w:val="en-US"/>
        </w:rPr>
        <w:t xml:space="preserve"> (</w:t>
      </w:r>
      <w:r>
        <w:rPr>
          <w:shd w:val="clear" w:color="auto" w:fill="FFFFFF"/>
        </w:rPr>
        <w:t>Salomao and Varela</w:t>
      </w:r>
      <w:r w:rsidR="00B45D4E">
        <w:rPr>
          <w:shd w:val="clear" w:color="auto" w:fill="FFFFFF"/>
        </w:rPr>
        <w:t>,</w:t>
      </w:r>
      <w:r>
        <w:rPr>
          <w:shd w:val="clear" w:color="auto" w:fill="FFFFFF"/>
        </w:rPr>
        <w:t xml:space="preserve"> 2022)</w:t>
      </w:r>
      <w:r>
        <w:rPr>
          <w:lang w:val="en-US"/>
        </w:rPr>
        <w:t xml:space="preserve">. </w:t>
      </w:r>
      <w:r w:rsidR="00377F38">
        <w:rPr>
          <w:lang w:val="en-US"/>
        </w:rPr>
        <w:t xml:space="preserve">International </w:t>
      </w:r>
      <w:r w:rsidR="00452B31">
        <w:rPr>
          <w:lang w:val="en-US"/>
        </w:rPr>
        <w:t>financial management theory offers various strategies for</w:t>
      </w:r>
      <w:r w:rsidR="000F7AE8">
        <w:rPr>
          <w:lang w:val="en-US"/>
        </w:rPr>
        <w:t xml:space="preserve"> </w:t>
      </w:r>
      <w:r w:rsidR="00452B31">
        <w:rPr>
          <w:lang w:val="en-US"/>
        </w:rPr>
        <w:t xml:space="preserve">corporations </w:t>
      </w:r>
      <w:r w:rsidR="00BC4639">
        <w:rPr>
          <w:lang w:val="en-US"/>
        </w:rPr>
        <w:t xml:space="preserve">to manage their exposure to foreign exchange risk. </w:t>
      </w:r>
      <w:r>
        <w:rPr>
          <w:lang w:val="en-US"/>
        </w:rPr>
        <w:t>This paper discusses and evaluates different strategies with the adoption of which a multinational corporation can manage its foreign exchange risk.</w:t>
      </w:r>
    </w:p>
    <w:p w14:paraId="5539B72A" w14:textId="77777777" w:rsidR="00196DA2" w:rsidRDefault="00196DA2" w:rsidP="00196DA2">
      <w:pPr>
        <w:pStyle w:val="Heading1"/>
        <w:rPr>
          <w:lang w:val="en-US"/>
        </w:rPr>
      </w:pPr>
      <w:bookmarkStart w:id="1" w:name="_Toc162798605"/>
      <w:r>
        <w:t>Discussion and Analysis</w:t>
      </w:r>
      <w:bookmarkEnd w:id="1"/>
    </w:p>
    <w:p w14:paraId="2234B5FA" w14:textId="20951D9D" w:rsidR="00196DA2" w:rsidRDefault="00196DA2" w:rsidP="00B957AE">
      <w:pPr>
        <w:spacing w:line="360" w:lineRule="auto"/>
        <w:rPr>
          <w:lang w:val="en-US"/>
        </w:rPr>
      </w:pPr>
      <w:r>
        <w:rPr>
          <w:lang w:val="en-US"/>
        </w:rPr>
        <w:tab/>
        <w:t xml:space="preserve">Exposure to foreign exchange risk refers to the chance of </w:t>
      </w:r>
      <w:r w:rsidR="00FD2E82">
        <w:rPr>
          <w:lang w:val="en-US"/>
        </w:rPr>
        <w:t>losing</w:t>
      </w:r>
      <w:r>
        <w:rPr>
          <w:lang w:val="en-US"/>
        </w:rPr>
        <w:t xml:space="preserve"> money by a company in international trade </w:t>
      </w:r>
      <w:r w:rsidR="00454CE7">
        <w:rPr>
          <w:lang w:val="en-US"/>
        </w:rPr>
        <w:t>because of</w:t>
      </w:r>
      <w:r>
        <w:rPr>
          <w:lang w:val="en-US"/>
        </w:rPr>
        <w:t xml:space="preserve"> currency fluctuation</w:t>
      </w:r>
      <w:r w:rsidR="00273BF0">
        <w:rPr>
          <w:lang w:val="en-US"/>
        </w:rPr>
        <w:t>s</w:t>
      </w:r>
      <w:r>
        <w:rPr>
          <w:lang w:val="en-US"/>
        </w:rPr>
        <w:t xml:space="preserve">. It </w:t>
      </w:r>
      <w:r w:rsidR="0044276C">
        <w:rPr>
          <w:lang w:val="en-US"/>
        </w:rPr>
        <w:t>regards</w:t>
      </w:r>
      <w:r>
        <w:rPr>
          <w:lang w:val="en-US"/>
        </w:rPr>
        <w:t xml:space="preserve"> the possibility that the investment </w:t>
      </w:r>
      <w:r w:rsidR="001520E5">
        <w:rPr>
          <w:lang w:val="en-US"/>
        </w:rPr>
        <w:t xml:space="preserve">value </w:t>
      </w:r>
      <w:r>
        <w:rPr>
          <w:lang w:val="en-US"/>
        </w:rPr>
        <w:t xml:space="preserve">might fall because of the fluctuations in the value of the currencies </w:t>
      </w:r>
      <w:r w:rsidR="00263592">
        <w:rPr>
          <w:lang w:val="en-US"/>
        </w:rPr>
        <w:t>participating</w:t>
      </w:r>
      <w:r>
        <w:rPr>
          <w:lang w:val="en-US"/>
        </w:rPr>
        <w:t>. The foreign exchange risk occurs when two parties signed a contract specifically mentioning the date of payment and the amount of payment. If the value of the currency fluctuates between the</w:t>
      </w:r>
      <w:r w:rsidR="00EF1828">
        <w:rPr>
          <w:lang w:val="en-US"/>
        </w:rPr>
        <w:t xml:space="preserve"> agreement signing</w:t>
      </w:r>
      <w:r>
        <w:rPr>
          <w:lang w:val="en-US"/>
        </w:rPr>
        <w:t xml:space="preserve"> date and the date of payment due, then either of the parties will face a loss. </w:t>
      </w:r>
      <w:r w:rsidRPr="00094B8B">
        <w:rPr>
          <w:lang w:val="en-US"/>
        </w:rPr>
        <w:t xml:space="preserve">Generally, the company faces three types of foreign exchange exposures, namely economic risk, translation risk, and transaction risk. Economic risk or forecast risk signifies the situation when the market value of a company is at risk due to unavoidable fluctuations in the exchange rate due to fluctuating macroeconomic conditions. Translation risk is faced by an </w:t>
      </w:r>
      <w:proofErr w:type="spellStart"/>
      <w:r w:rsidRPr="00094B8B">
        <w:rPr>
          <w:lang w:val="en-US"/>
        </w:rPr>
        <w:t>organisation</w:t>
      </w:r>
      <w:proofErr w:type="spellEnd"/>
      <w:r w:rsidRPr="00094B8B">
        <w:rPr>
          <w:lang w:val="en-US"/>
        </w:rPr>
        <w:t xml:space="preserve"> when it has foreign operations and at the end of the financial period, it translates the financial performance of its foreign operations </w:t>
      </w:r>
      <w:r w:rsidR="00667679">
        <w:rPr>
          <w:lang w:val="en-US"/>
        </w:rPr>
        <w:t>to</w:t>
      </w:r>
      <w:r w:rsidRPr="00094B8B">
        <w:rPr>
          <w:lang w:val="en-US"/>
        </w:rPr>
        <w:t xml:space="preserve"> consolidate the subsidiaries operations with the head </w:t>
      </w:r>
      <w:r w:rsidR="00667679">
        <w:rPr>
          <w:lang w:val="en-US"/>
        </w:rPr>
        <w:t>offices'</w:t>
      </w:r>
      <w:r w:rsidRPr="00094B8B">
        <w:rPr>
          <w:lang w:val="en-US"/>
        </w:rPr>
        <w:t xml:space="preserve"> financial performance. Lastly, transaction risk occurs when a company </w:t>
      </w:r>
      <w:r w:rsidR="0080461C">
        <w:rPr>
          <w:lang w:val="en-US"/>
        </w:rPr>
        <w:t>enters</w:t>
      </w:r>
      <w:r w:rsidRPr="00094B8B">
        <w:rPr>
          <w:lang w:val="en-US"/>
        </w:rPr>
        <w:t xml:space="preserve"> financial transactions with </w:t>
      </w:r>
      <w:r w:rsidR="003E5D51">
        <w:rPr>
          <w:lang w:val="en-US"/>
        </w:rPr>
        <w:t>a</w:t>
      </w:r>
      <w:r w:rsidRPr="00094B8B">
        <w:rPr>
          <w:lang w:val="en-US"/>
        </w:rPr>
        <w:t xml:space="preserve"> foreign country and the exchange rate fluctuates at the time of the settlement of the transaction </w:t>
      </w:r>
      <w:r>
        <w:rPr>
          <w:lang w:val="en-US"/>
        </w:rPr>
        <w:t>(</w:t>
      </w:r>
      <w:r>
        <w:rPr>
          <w:shd w:val="clear" w:color="auto" w:fill="FFFFFF"/>
        </w:rPr>
        <w:t>Jayashree and Priya</w:t>
      </w:r>
      <w:r w:rsidR="00B45D4E">
        <w:rPr>
          <w:shd w:val="clear" w:color="auto" w:fill="FFFFFF"/>
        </w:rPr>
        <w:t>,</w:t>
      </w:r>
      <w:r>
        <w:rPr>
          <w:shd w:val="clear" w:color="auto" w:fill="FFFFFF"/>
        </w:rPr>
        <w:t xml:space="preserve"> 2019)</w:t>
      </w:r>
      <w:r>
        <w:rPr>
          <w:lang w:val="en-US"/>
        </w:rPr>
        <w:t>.</w:t>
      </w:r>
    </w:p>
    <w:p w14:paraId="5B360AFD" w14:textId="2E27103D" w:rsidR="00196DA2" w:rsidRDefault="00196DA2" w:rsidP="00B957AE">
      <w:pPr>
        <w:spacing w:line="360" w:lineRule="auto"/>
        <w:rPr>
          <w:lang w:val="en-US"/>
        </w:rPr>
      </w:pPr>
      <w:r>
        <w:rPr>
          <w:lang w:val="en-US"/>
        </w:rPr>
        <w:tab/>
        <w:t xml:space="preserve">For </w:t>
      </w:r>
      <w:r w:rsidR="001D3EDB">
        <w:rPr>
          <w:lang w:val="en-US"/>
        </w:rPr>
        <w:t>multi</w:t>
      </w:r>
      <w:r w:rsidR="0003728E">
        <w:rPr>
          <w:lang w:val="en-US"/>
        </w:rPr>
        <w:t>national companies</w:t>
      </w:r>
      <w:r>
        <w:rPr>
          <w:lang w:val="en-US"/>
        </w:rPr>
        <w:t xml:space="preserve"> is quite difficult to avoid these exposures; however, with the help of proper strategies, the company can manage those risks and their impact. Some of the strategies </w:t>
      </w:r>
      <w:r w:rsidR="00B30BF3">
        <w:rPr>
          <w:lang w:val="en-US"/>
        </w:rPr>
        <w:t>u</w:t>
      </w:r>
      <w:r>
        <w:rPr>
          <w:lang w:val="en-US"/>
        </w:rPr>
        <w:t xml:space="preserve">sed by companies </w:t>
      </w:r>
      <w:r w:rsidR="00785AB9">
        <w:rPr>
          <w:lang w:val="en-US"/>
        </w:rPr>
        <w:t>to</w:t>
      </w:r>
      <w:r>
        <w:rPr>
          <w:lang w:val="en-US"/>
        </w:rPr>
        <w:t xml:space="preserve"> manage their foreign exchange exposure </w:t>
      </w:r>
      <w:r>
        <w:rPr>
          <w:lang w:val="en-US"/>
        </w:rPr>
        <w:lastRenderedPageBreak/>
        <w:t xml:space="preserve">are forward </w:t>
      </w:r>
      <w:r w:rsidR="00B30BF3">
        <w:rPr>
          <w:lang w:val="en-US"/>
        </w:rPr>
        <w:t>contracts</w:t>
      </w:r>
      <w:r>
        <w:rPr>
          <w:lang w:val="en-US"/>
        </w:rPr>
        <w:t>, currency contracts</w:t>
      </w:r>
      <w:r w:rsidR="00C135A6">
        <w:rPr>
          <w:lang w:val="en-US"/>
        </w:rPr>
        <w:t>,</w:t>
      </w:r>
      <w:r w:rsidR="005735E4">
        <w:rPr>
          <w:lang w:val="en-US"/>
        </w:rPr>
        <w:t xml:space="preserve"> swaps</w:t>
      </w:r>
      <w:r w:rsidR="00B30BF3">
        <w:rPr>
          <w:lang w:val="en-US"/>
        </w:rPr>
        <w:t>,</w:t>
      </w:r>
      <w:r>
        <w:rPr>
          <w:lang w:val="en-US"/>
        </w:rPr>
        <w:t xml:space="preserve"> and options. The paper evaluates these strategies as a method to manage the exposure to foreign exchange risks.</w:t>
      </w:r>
    </w:p>
    <w:p w14:paraId="43507D94" w14:textId="77777777" w:rsidR="00196DA2" w:rsidRPr="000A0800" w:rsidRDefault="00196DA2" w:rsidP="00AD4810">
      <w:pPr>
        <w:pStyle w:val="Heading1"/>
        <w:rPr>
          <w:lang w:val="en-US"/>
        </w:rPr>
      </w:pPr>
      <w:bookmarkStart w:id="2" w:name="_Toc162798606"/>
      <w:r w:rsidRPr="000A0800">
        <w:t>Forward Contract</w:t>
      </w:r>
      <w:bookmarkEnd w:id="2"/>
    </w:p>
    <w:p w14:paraId="01EE5F4D" w14:textId="756918F3" w:rsidR="00196DA2" w:rsidRDefault="00196DA2" w:rsidP="00B957AE">
      <w:pPr>
        <w:spacing w:line="360" w:lineRule="auto"/>
        <w:rPr>
          <w:lang w:val="en-US"/>
        </w:rPr>
      </w:pPr>
      <w:r>
        <w:rPr>
          <w:lang w:val="en-US"/>
        </w:rPr>
        <w:tab/>
        <w:t xml:space="preserve">A forward contract signifies </w:t>
      </w:r>
      <w:r w:rsidR="00725330">
        <w:rPr>
          <w:lang w:val="en-US"/>
        </w:rPr>
        <w:t>a</w:t>
      </w:r>
      <w:r>
        <w:rPr>
          <w:lang w:val="en-US"/>
        </w:rPr>
        <w:t xml:space="preserve"> </w:t>
      </w:r>
      <w:r w:rsidR="00725330">
        <w:rPr>
          <w:lang w:val="en-US"/>
        </w:rPr>
        <w:t>deal</w:t>
      </w:r>
      <w:r>
        <w:rPr>
          <w:lang w:val="en-US"/>
        </w:rPr>
        <w:t xml:space="preserve"> </w:t>
      </w:r>
      <w:r w:rsidR="00827BDD">
        <w:rPr>
          <w:lang w:val="en-US"/>
        </w:rPr>
        <w:t>between</w:t>
      </w:r>
      <w:r>
        <w:rPr>
          <w:lang w:val="en-US"/>
        </w:rPr>
        <w:t xml:space="preserve"> two </w:t>
      </w:r>
      <w:r w:rsidR="00933B7F">
        <w:rPr>
          <w:lang w:val="en-US"/>
        </w:rPr>
        <w:t>sides</w:t>
      </w:r>
      <w:r>
        <w:rPr>
          <w:lang w:val="en-US"/>
        </w:rPr>
        <w:t xml:space="preserve"> to buy or sell an asset for a specific price at a specific </w:t>
      </w:r>
      <w:r w:rsidR="00B50FB8">
        <w:rPr>
          <w:lang w:val="en-US"/>
        </w:rPr>
        <w:t>time</w:t>
      </w:r>
      <w:r>
        <w:rPr>
          <w:lang w:val="en-US"/>
        </w:rPr>
        <w:t xml:space="preserve">. A forward contract is </w:t>
      </w:r>
      <w:proofErr w:type="spellStart"/>
      <w:r>
        <w:rPr>
          <w:lang w:val="en-US"/>
        </w:rPr>
        <w:t>utilised</w:t>
      </w:r>
      <w:proofErr w:type="spellEnd"/>
      <w:r>
        <w:rPr>
          <w:lang w:val="en-US"/>
        </w:rPr>
        <w:t xml:space="preserve"> to lock a specific price at </w:t>
      </w:r>
      <w:r w:rsidR="00C135A6">
        <w:rPr>
          <w:lang w:val="en-US"/>
        </w:rPr>
        <w:t>a</w:t>
      </w:r>
      <w:r>
        <w:rPr>
          <w:lang w:val="en-US"/>
        </w:rPr>
        <w:t xml:space="preserve"> specific future date </w:t>
      </w:r>
      <w:r w:rsidR="00C135A6">
        <w:rPr>
          <w:lang w:val="en-US"/>
        </w:rPr>
        <w:t>to avoid</w:t>
      </w:r>
      <w:r>
        <w:rPr>
          <w:lang w:val="en-US"/>
        </w:rPr>
        <w:t xml:space="preserve"> any kind of volatility in the pricing. The </w:t>
      </w:r>
      <w:r w:rsidR="00793DCA">
        <w:rPr>
          <w:lang w:val="en-US"/>
        </w:rPr>
        <w:t xml:space="preserve">forward contract </w:t>
      </w:r>
      <w:r w:rsidR="0011445F">
        <w:rPr>
          <w:lang w:val="en-US"/>
        </w:rPr>
        <w:t>purchaser</w:t>
      </w:r>
      <w:r>
        <w:rPr>
          <w:lang w:val="en-US"/>
        </w:rPr>
        <w:t xml:space="preserve"> </w:t>
      </w:r>
      <w:r w:rsidR="007F0E82">
        <w:rPr>
          <w:lang w:val="en-US"/>
        </w:rPr>
        <w:t>moves into</w:t>
      </w:r>
      <w:r>
        <w:rPr>
          <w:lang w:val="en-US"/>
        </w:rPr>
        <w:t xml:space="preserve"> the long </w:t>
      </w:r>
      <w:r w:rsidR="00A8538C">
        <w:rPr>
          <w:lang w:val="en-US"/>
        </w:rPr>
        <w:t>position,</w:t>
      </w:r>
      <w:r>
        <w:rPr>
          <w:lang w:val="en-US"/>
        </w:rPr>
        <w:t xml:space="preserve"> </w:t>
      </w:r>
      <w:r w:rsidR="00F97B1A">
        <w:rPr>
          <w:lang w:val="en-US"/>
        </w:rPr>
        <w:t>while</w:t>
      </w:r>
      <w:r>
        <w:rPr>
          <w:lang w:val="en-US"/>
        </w:rPr>
        <w:t xml:space="preserve"> the</w:t>
      </w:r>
      <w:r w:rsidR="00F97B1A">
        <w:rPr>
          <w:lang w:val="en-US"/>
        </w:rPr>
        <w:t xml:space="preserve"> contract</w:t>
      </w:r>
      <w:r>
        <w:rPr>
          <w:lang w:val="en-US"/>
        </w:rPr>
        <w:t xml:space="preserve"> seller </w:t>
      </w:r>
      <w:r w:rsidR="00F97B1A">
        <w:rPr>
          <w:lang w:val="en-US"/>
        </w:rPr>
        <w:t>moves into</w:t>
      </w:r>
      <w:r>
        <w:rPr>
          <w:lang w:val="en-US"/>
        </w:rPr>
        <w:t xml:space="preserve"> the short position. The long position is benefitted when the asset’s price increases. Alternatively, the short position is benefitted when the underlying asset’s price declines. Multinational corporations often use forward </w:t>
      </w:r>
      <w:r w:rsidR="00B1700D">
        <w:rPr>
          <w:lang w:val="en-US"/>
        </w:rPr>
        <w:t>contracts</w:t>
      </w:r>
      <w:r>
        <w:rPr>
          <w:lang w:val="en-US"/>
        </w:rPr>
        <w:t xml:space="preserve"> for dealing with foreign exchange exposure. Each forward contract is an </w:t>
      </w:r>
      <w:r w:rsidR="00242B41">
        <w:rPr>
          <w:lang w:val="en-US"/>
        </w:rPr>
        <w:t>over-the-counter</w:t>
      </w:r>
      <w:r>
        <w:rPr>
          <w:lang w:val="en-US"/>
        </w:rPr>
        <w:t xml:space="preserve"> </w:t>
      </w:r>
      <w:proofErr w:type="spellStart"/>
      <w:r>
        <w:rPr>
          <w:lang w:val="en-US"/>
        </w:rPr>
        <w:t>customised</w:t>
      </w:r>
      <w:proofErr w:type="spellEnd"/>
      <w:r>
        <w:rPr>
          <w:lang w:val="en-US"/>
        </w:rPr>
        <w:t xml:space="preserve"> contract between two parties. A forward agreement is an obligation where the parties must </w:t>
      </w:r>
      <w:r w:rsidR="00457BC0">
        <w:rPr>
          <w:lang w:val="en-US"/>
        </w:rPr>
        <w:t>purchase</w:t>
      </w:r>
      <w:r>
        <w:rPr>
          <w:lang w:val="en-US"/>
        </w:rPr>
        <w:t xml:space="preserve"> or sell the asset at the maturity date </w:t>
      </w:r>
      <w:r w:rsidR="00E83DC1">
        <w:rPr>
          <w:lang w:val="en-US"/>
        </w:rPr>
        <w:t>regardless of</w:t>
      </w:r>
      <w:r>
        <w:rPr>
          <w:lang w:val="en-US"/>
        </w:rPr>
        <w:t xml:space="preserve"> whether they are benefitted or not. One party will make payment of the agreed price, while another party delivers the underlying asset</w:t>
      </w:r>
      <w:r w:rsidR="00086ECB">
        <w:rPr>
          <w:lang w:val="en-US"/>
        </w:rPr>
        <w:t xml:space="preserve"> </w:t>
      </w:r>
      <w:r w:rsidR="00EB3535">
        <w:t>(Clarke et al., 2013)</w:t>
      </w:r>
      <w:r w:rsidRPr="00EB3535">
        <w:rPr>
          <w:lang w:val="en-US"/>
        </w:rPr>
        <w:t>.</w:t>
      </w:r>
    </w:p>
    <w:p w14:paraId="30CAB9DB" w14:textId="73753E5A" w:rsidR="00196DA2" w:rsidRDefault="00196DA2" w:rsidP="00B957AE">
      <w:pPr>
        <w:spacing w:line="360" w:lineRule="auto"/>
        <w:rPr>
          <w:lang w:val="en-US"/>
        </w:rPr>
      </w:pPr>
      <w:r>
        <w:rPr>
          <w:lang w:val="en-US"/>
        </w:rPr>
        <w:tab/>
        <w:t xml:space="preserve">Using forward </w:t>
      </w:r>
      <w:r w:rsidR="00AB7F9E">
        <w:rPr>
          <w:lang w:val="en-US"/>
        </w:rPr>
        <w:t>contracts</w:t>
      </w:r>
      <w:r>
        <w:rPr>
          <w:lang w:val="en-US"/>
        </w:rPr>
        <w:t xml:space="preserve">, companies hedge themselves against the exposure of foreign exchange risks </w:t>
      </w:r>
      <w:r w:rsidR="00C10043">
        <w:rPr>
          <w:lang w:val="en-US"/>
        </w:rPr>
        <w:t>because of</w:t>
      </w:r>
      <w:r>
        <w:rPr>
          <w:lang w:val="en-US"/>
        </w:rPr>
        <w:t xml:space="preserve"> the </w:t>
      </w:r>
      <w:r w:rsidR="00AB3A71">
        <w:rPr>
          <w:lang w:val="en-US"/>
        </w:rPr>
        <w:t>fluctuations</w:t>
      </w:r>
      <w:r>
        <w:rPr>
          <w:lang w:val="en-US"/>
        </w:rPr>
        <w:t xml:space="preserve"> in the currency exchange rate. Since the forward contract guarantees the future price, the fluctuations in the price will not affect the company’s performance. Therefore, by fixing the future price, forward contracts help </w:t>
      </w:r>
      <w:r w:rsidR="00BA1837">
        <w:rPr>
          <w:lang w:val="en-US"/>
        </w:rPr>
        <w:t>manage</w:t>
      </w:r>
      <w:r>
        <w:rPr>
          <w:lang w:val="en-US"/>
        </w:rPr>
        <w:t xml:space="preserve"> foreign exchange exposure. This price guarantee of the forward contract is crucial for industries like oil industry where the companies witness significant price volatility (</w:t>
      </w:r>
      <w:proofErr w:type="spellStart"/>
      <w:r>
        <w:rPr>
          <w:shd w:val="clear" w:color="auto" w:fill="FFFFFF"/>
        </w:rPr>
        <w:t>Shiraya</w:t>
      </w:r>
      <w:proofErr w:type="spellEnd"/>
      <w:r>
        <w:rPr>
          <w:shd w:val="clear" w:color="auto" w:fill="FFFFFF"/>
        </w:rPr>
        <w:t xml:space="preserve"> and Takahashi</w:t>
      </w:r>
      <w:r w:rsidR="00B45D4E">
        <w:rPr>
          <w:shd w:val="clear" w:color="auto" w:fill="FFFFFF"/>
        </w:rPr>
        <w:t>,</w:t>
      </w:r>
      <w:r>
        <w:rPr>
          <w:shd w:val="clear" w:color="auto" w:fill="FFFFFF"/>
        </w:rPr>
        <w:t xml:space="preserve"> 2022)</w:t>
      </w:r>
      <w:r>
        <w:rPr>
          <w:lang w:val="en-US"/>
        </w:rPr>
        <w:t>.</w:t>
      </w:r>
    </w:p>
    <w:p w14:paraId="6C48D8D4" w14:textId="77777777" w:rsidR="00196DA2" w:rsidRPr="000A0800" w:rsidRDefault="00196DA2" w:rsidP="00AD4810">
      <w:pPr>
        <w:pStyle w:val="Heading1"/>
        <w:rPr>
          <w:lang w:val="en-US"/>
        </w:rPr>
      </w:pPr>
      <w:bookmarkStart w:id="3" w:name="_Toc162798607"/>
      <w:r w:rsidRPr="000A0800">
        <w:t>Currency Future Contract</w:t>
      </w:r>
      <w:bookmarkEnd w:id="3"/>
    </w:p>
    <w:p w14:paraId="41B33ECB" w14:textId="2C22C1F4" w:rsidR="00196DA2" w:rsidRDefault="00196DA2" w:rsidP="00B957AE">
      <w:pPr>
        <w:spacing w:line="360" w:lineRule="auto"/>
        <w:rPr>
          <w:lang w:val="en-US"/>
        </w:rPr>
      </w:pPr>
      <w:r>
        <w:rPr>
          <w:lang w:val="en-US"/>
        </w:rPr>
        <w:tab/>
        <w:t xml:space="preserve">Currency future contract is a type of future contract where two </w:t>
      </w:r>
      <w:r w:rsidR="00337CC9">
        <w:rPr>
          <w:lang w:val="en-US"/>
        </w:rPr>
        <w:t>companies</w:t>
      </w:r>
      <w:r>
        <w:rPr>
          <w:lang w:val="en-US"/>
        </w:rPr>
        <w:t xml:space="preserve"> </w:t>
      </w:r>
      <w:r w:rsidR="00DC5BEE">
        <w:rPr>
          <w:lang w:val="en-US"/>
        </w:rPr>
        <w:t>agreeing</w:t>
      </w:r>
      <w:r>
        <w:rPr>
          <w:lang w:val="en-US"/>
        </w:rPr>
        <w:t xml:space="preserve"> to exchange a specific amount of a specific currency on a future particular date at a </w:t>
      </w:r>
      <w:r w:rsidR="001F261E">
        <w:rPr>
          <w:lang w:val="en-US"/>
        </w:rPr>
        <w:t xml:space="preserve">fixed </w:t>
      </w:r>
      <w:r>
        <w:rPr>
          <w:lang w:val="en-US"/>
        </w:rPr>
        <w:t xml:space="preserve">price. Currency futures are similar to forward contracts; however, future contracts are more </w:t>
      </w:r>
      <w:proofErr w:type="spellStart"/>
      <w:r>
        <w:rPr>
          <w:lang w:val="en-US"/>
        </w:rPr>
        <w:t>standardised</w:t>
      </w:r>
      <w:proofErr w:type="spellEnd"/>
      <w:r>
        <w:rPr>
          <w:lang w:val="en-US"/>
        </w:rPr>
        <w:t xml:space="preserve"> instead of </w:t>
      </w:r>
      <w:proofErr w:type="spellStart"/>
      <w:r>
        <w:rPr>
          <w:lang w:val="en-US"/>
        </w:rPr>
        <w:t>customised</w:t>
      </w:r>
      <w:proofErr w:type="spellEnd"/>
      <w:r>
        <w:rPr>
          <w:lang w:val="en-US"/>
        </w:rPr>
        <w:t xml:space="preserve">. The currency futures may be settled by transfer of the underlying </w:t>
      </w:r>
      <w:r w:rsidR="00793B40">
        <w:rPr>
          <w:lang w:val="en-US"/>
        </w:rPr>
        <w:t>currency,</w:t>
      </w:r>
      <w:r>
        <w:rPr>
          <w:lang w:val="en-US"/>
        </w:rPr>
        <w:t xml:space="preserve"> or they may be reversed or settled before maturity. At the time of currency future trading, the currency price is determined via the calculated future sport rate (</w:t>
      </w:r>
      <w:proofErr w:type="spellStart"/>
      <w:r>
        <w:rPr>
          <w:shd w:val="clear" w:color="auto" w:fill="FFFFFF"/>
        </w:rPr>
        <w:t>Nekhili</w:t>
      </w:r>
      <w:proofErr w:type="spellEnd"/>
      <w:r>
        <w:rPr>
          <w:shd w:val="clear" w:color="auto" w:fill="FFFFFF"/>
        </w:rPr>
        <w:t xml:space="preserve"> and Sultan</w:t>
      </w:r>
      <w:r w:rsidR="00B45D4E">
        <w:rPr>
          <w:shd w:val="clear" w:color="auto" w:fill="FFFFFF"/>
        </w:rPr>
        <w:t>,</w:t>
      </w:r>
      <w:r>
        <w:rPr>
          <w:shd w:val="clear" w:color="auto" w:fill="FFFFFF"/>
        </w:rPr>
        <w:t xml:space="preserve"> 2022)</w:t>
      </w:r>
      <w:r>
        <w:rPr>
          <w:lang w:val="en-US"/>
        </w:rPr>
        <w:t>.</w:t>
      </w:r>
    </w:p>
    <w:p w14:paraId="147CBC4D" w14:textId="17C12D05" w:rsidR="00196DA2" w:rsidRDefault="00196DA2" w:rsidP="00B957AE">
      <w:pPr>
        <w:spacing w:line="360" w:lineRule="auto"/>
        <w:rPr>
          <w:lang w:val="en-US"/>
        </w:rPr>
      </w:pPr>
      <w:r>
        <w:rPr>
          <w:lang w:val="en-US"/>
        </w:rPr>
        <w:tab/>
      </w:r>
      <w:r w:rsidR="00FD4092">
        <w:rPr>
          <w:lang w:val="en-US"/>
        </w:rPr>
        <w:t>Multinational</w:t>
      </w:r>
      <w:r>
        <w:rPr>
          <w:lang w:val="en-US"/>
        </w:rPr>
        <w:t xml:space="preserve"> companies widely use the currency future contracts to hedge themselves from the exposure of foreign exchange risk. Generally, a company purchases </w:t>
      </w:r>
      <w:r>
        <w:rPr>
          <w:lang w:val="en-US"/>
        </w:rPr>
        <w:lastRenderedPageBreak/>
        <w:t xml:space="preserve">currency future contract when it knows that the foreign currency will be needed at a future </w:t>
      </w:r>
      <w:r w:rsidR="00CB2FB4">
        <w:rPr>
          <w:lang w:val="en-US"/>
        </w:rPr>
        <w:t>date,</w:t>
      </w:r>
      <w:r>
        <w:rPr>
          <w:lang w:val="en-US"/>
        </w:rPr>
        <w:t xml:space="preserve"> but it does not want to buy the curren</w:t>
      </w:r>
      <w:r w:rsidR="00665ACF">
        <w:rPr>
          <w:lang w:val="en-US"/>
        </w:rPr>
        <w:t>cy</w:t>
      </w:r>
      <w:r>
        <w:rPr>
          <w:lang w:val="en-US"/>
        </w:rPr>
        <w:t xml:space="preserve"> at the present date. This currency future contract guarantees a specific exchange price for the specific future date at which currencies can be bought at the maturity date. Therefore, with the help of the currency future, the company will be able to hedge its position against any potential future volatilities in the exchange rate. If the future exchange rate increases, the company will buy the currency at the pre-determined future rate; however, if the future exchange rate declines, the company will not exercise the future contract; instead, will buy the currency at the prevailing rate (</w:t>
      </w:r>
      <w:r w:rsidRPr="00B45D4E">
        <w:rPr>
          <w:shd w:val="clear" w:color="auto" w:fill="FFFFFF"/>
        </w:rPr>
        <w:t>Chance and Brooks</w:t>
      </w:r>
      <w:r w:rsidR="00B45D4E" w:rsidRPr="00B45D4E">
        <w:rPr>
          <w:shd w:val="clear" w:color="auto" w:fill="FFFFFF"/>
        </w:rPr>
        <w:t>,</w:t>
      </w:r>
      <w:r w:rsidRPr="00B45D4E">
        <w:rPr>
          <w:shd w:val="clear" w:color="auto" w:fill="FFFFFF"/>
        </w:rPr>
        <w:t xml:space="preserve"> 2021)</w:t>
      </w:r>
      <w:r w:rsidRPr="00B45D4E">
        <w:rPr>
          <w:lang w:val="en-US"/>
        </w:rPr>
        <w:t>.</w:t>
      </w:r>
    </w:p>
    <w:p w14:paraId="1050A58D" w14:textId="77777777" w:rsidR="00196DA2" w:rsidRPr="000A0800" w:rsidRDefault="00196DA2" w:rsidP="00AD4810">
      <w:pPr>
        <w:pStyle w:val="Heading1"/>
        <w:rPr>
          <w:lang w:val="en-US"/>
        </w:rPr>
      </w:pPr>
      <w:bookmarkStart w:id="4" w:name="_Toc162798608"/>
      <w:r w:rsidRPr="000A0800">
        <w:t>Options</w:t>
      </w:r>
      <w:bookmarkEnd w:id="4"/>
    </w:p>
    <w:p w14:paraId="00EBC1F5" w14:textId="5AF902A7" w:rsidR="00196DA2" w:rsidRDefault="00196DA2" w:rsidP="00B957AE">
      <w:pPr>
        <w:spacing w:line="360" w:lineRule="auto"/>
        <w:rPr>
          <w:lang w:val="en-US"/>
        </w:rPr>
      </w:pPr>
      <w:r>
        <w:rPr>
          <w:lang w:val="en-US"/>
        </w:rPr>
        <w:tab/>
        <w:t xml:space="preserve">Options are </w:t>
      </w:r>
      <w:r w:rsidR="00E3337D">
        <w:rPr>
          <w:lang w:val="en-US"/>
        </w:rPr>
        <w:t xml:space="preserve">highly favored hedging tools due to their </w:t>
      </w:r>
      <w:r w:rsidR="002D5AA9">
        <w:rPr>
          <w:lang w:val="en-US"/>
        </w:rPr>
        <w:t xml:space="preserve">exceptional flexibility and ability </w:t>
      </w:r>
      <w:r w:rsidR="00017192">
        <w:rPr>
          <w:lang w:val="en-US"/>
        </w:rPr>
        <w:t>to mitigate foreign exchange risks for multinational companies effectively</w:t>
      </w:r>
      <w:r w:rsidR="005A30E5">
        <w:rPr>
          <w:lang w:val="en-US"/>
        </w:rPr>
        <w:t xml:space="preserve">. </w:t>
      </w:r>
      <w:r w:rsidR="00D76B3A">
        <w:rPr>
          <w:lang w:val="en-US"/>
        </w:rPr>
        <w:t>O</w:t>
      </w:r>
      <w:r>
        <w:rPr>
          <w:lang w:val="en-US"/>
        </w:rPr>
        <w:t xml:space="preserve">ptions are hedging contracts where the holder of an option gets the right to sell or buy an asset when the price of the asset reaches the strike price before or at </w:t>
      </w:r>
      <w:r w:rsidR="00AA5972">
        <w:rPr>
          <w:lang w:val="en-US"/>
        </w:rPr>
        <w:t xml:space="preserve">the </w:t>
      </w:r>
      <w:r>
        <w:rPr>
          <w:lang w:val="en-US"/>
        </w:rPr>
        <w:t xml:space="preserve">maturity date. Options have value only when the strike price is reached (at-the-money option) or surpassed (in-the-money option); </w:t>
      </w:r>
      <w:r w:rsidR="0014647E">
        <w:rPr>
          <w:lang w:val="en-US"/>
        </w:rPr>
        <w:t>before</w:t>
      </w:r>
      <w:r>
        <w:rPr>
          <w:lang w:val="en-US"/>
        </w:rPr>
        <w:t xml:space="preserve"> the strike price </w:t>
      </w:r>
      <w:r w:rsidR="005E6C20">
        <w:rPr>
          <w:lang w:val="en-US"/>
        </w:rPr>
        <w:t xml:space="preserve">being </w:t>
      </w:r>
      <w:r>
        <w:rPr>
          <w:lang w:val="en-US"/>
        </w:rPr>
        <w:t>reached, options do not have any intrinsic value (out of the money) (</w:t>
      </w:r>
      <w:r w:rsidRPr="00B45D4E">
        <w:rPr>
          <w:shd w:val="clear" w:color="auto" w:fill="FFFFFF"/>
        </w:rPr>
        <w:t>Bartram</w:t>
      </w:r>
      <w:r w:rsidR="00B45D4E" w:rsidRPr="00B45D4E">
        <w:rPr>
          <w:shd w:val="clear" w:color="auto" w:fill="FFFFFF"/>
        </w:rPr>
        <w:t>,</w:t>
      </w:r>
      <w:r w:rsidRPr="00B45D4E">
        <w:rPr>
          <w:shd w:val="clear" w:color="auto" w:fill="FFFFFF"/>
        </w:rPr>
        <w:t xml:space="preserve"> 2019)</w:t>
      </w:r>
      <w:r w:rsidRPr="00B45D4E">
        <w:rPr>
          <w:lang w:val="en-US"/>
        </w:rPr>
        <w:t xml:space="preserve">. </w:t>
      </w:r>
      <w:r w:rsidR="00964D4C">
        <w:rPr>
          <w:lang w:val="en-US"/>
        </w:rPr>
        <w:t>C</w:t>
      </w:r>
      <w:r w:rsidR="00486911">
        <w:rPr>
          <w:lang w:val="en-US"/>
        </w:rPr>
        <w:t>ompanies can hedge against foreign</w:t>
      </w:r>
      <w:r>
        <w:rPr>
          <w:lang w:val="en-US"/>
        </w:rPr>
        <w:t xml:space="preserve"> exchange</w:t>
      </w:r>
      <w:r w:rsidR="004110A4">
        <w:rPr>
          <w:lang w:val="en-US"/>
        </w:rPr>
        <w:t xml:space="preserve"> exposure using two </w:t>
      </w:r>
      <w:r w:rsidR="0053174E">
        <w:rPr>
          <w:lang w:val="en-US"/>
        </w:rPr>
        <w:t>sets</w:t>
      </w:r>
      <w:r w:rsidR="00E034CD">
        <w:rPr>
          <w:lang w:val="en-US"/>
        </w:rPr>
        <w:t xml:space="preserve"> of options</w:t>
      </w:r>
      <w:r>
        <w:rPr>
          <w:lang w:val="en-US"/>
        </w:rPr>
        <w:t xml:space="preserve">: call option and put option. </w:t>
      </w:r>
      <w:r w:rsidR="002C4D84">
        <w:rPr>
          <w:lang w:val="en-US"/>
        </w:rPr>
        <w:t>The call</w:t>
      </w:r>
      <w:r>
        <w:rPr>
          <w:lang w:val="en-US"/>
        </w:rPr>
        <w:t xml:space="preserve"> option </w:t>
      </w:r>
      <w:r w:rsidR="00B2403C">
        <w:rPr>
          <w:lang w:val="en-US"/>
        </w:rPr>
        <w:t>gives</w:t>
      </w:r>
      <w:r>
        <w:rPr>
          <w:lang w:val="en-US"/>
        </w:rPr>
        <w:t xml:space="preserve"> the option holder a right to </w:t>
      </w:r>
      <w:r w:rsidR="004F1D2F">
        <w:rPr>
          <w:lang w:val="en-US"/>
        </w:rPr>
        <w:t>purchase</w:t>
      </w:r>
      <w:r w:rsidR="00CE6AA0">
        <w:rPr>
          <w:lang w:val="en-US"/>
        </w:rPr>
        <w:t xml:space="preserve"> </w:t>
      </w:r>
      <w:r>
        <w:rPr>
          <w:lang w:val="en-US"/>
        </w:rPr>
        <w:t xml:space="preserve">the assets and </w:t>
      </w:r>
      <w:r w:rsidR="00BE3B8A">
        <w:rPr>
          <w:lang w:val="en-US"/>
        </w:rPr>
        <w:t xml:space="preserve">the </w:t>
      </w:r>
      <w:r>
        <w:rPr>
          <w:lang w:val="en-US"/>
        </w:rPr>
        <w:t>put option provides the option holder a right to sell the assets. When a company buys put or call options, its risks are limited; however, when the company sells put or call options, its risks are potentially unlimited (</w:t>
      </w:r>
      <w:proofErr w:type="spellStart"/>
      <w:r>
        <w:rPr>
          <w:shd w:val="clear" w:color="auto" w:fill="FFFFFF"/>
        </w:rPr>
        <w:t>Halkos</w:t>
      </w:r>
      <w:proofErr w:type="spellEnd"/>
      <w:r>
        <w:rPr>
          <w:shd w:val="clear" w:color="auto" w:fill="FFFFFF"/>
        </w:rPr>
        <w:t xml:space="preserve"> and </w:t>
      </w:r>
      <w:proofErr w:type="spellStart"/>
      <w:r>
        <w:rPr>
          <w:shd w:val="clear" w:color="auto" w:fill="FFFFFF"/>
        </w:rPr>
        <w:t>Tsirivis</w:t>
      </w:r>
      <w:proofErr w:type="spellEnd"/>
      <w:r w:rsidR="00EC3FE6">
        <w:rPr>
          <w:shd w:val="clear" w:color="auto" w:fill="FFFFFF"/>
        </w:rPr>
        <w:t>,</w:t>
      </w:r>
      <w:r>
        <w:rPr>
          <w:shd w:val="clear" w:color="auto" w:fill="FFFFFF"/>
        </w:rPr>
        <w:t xml:space="preserve"> 2019)</w:t>
      </w:r>
      <w:r>
        <w:rPr>
          <w:lang w:val="en-US"/>
        </w:rPr>
        <w:t>.</w:t>
      </w:r>
    </w:p>
    <w:p w14:paraId="6F7C7C2A" w14:textId="2F077E0A" w:rsidR="00196DA2" w:rsidRDefault="00196DA2" w:rsidP="00B957AE">
      <w:pPr>
        <w:spacing w:line="360" w:lineRule="auto"/>
        <w:rPr>
          <w:lang w:val="en-US"/>
        </w:rPr>
      </w:pPr>
      <w:r>
        <w:rPr>
          <w:lang w:val="en-US"/>
        </w:rPr>
        <w:tab/>
      </w:r>
      <w:r w:rsidR="005B3F93" w:rsidRPr="005B3F93">
        <w:rPr>
          <w:lang w:val="en-US"/>
        </w:rPr>
        <w:t>Using options for hedging enables companies to benefit from opposite movements in exchange rates, providing a means to mitigate adverse price fluctuations and protect their positions.</w:t>
      </w:r>
      <w:r>
        <w:rPr>
          <w:lang w:val="en-US"/>
        </w:rPr>
        <w:t xml:space="preserve"> </w:t>
      </w:r>
      <w:r w:rsidR="00B207E3">
        <w:rPr>
          <w:lang w:val="en-US"/>
        </w:rPr>
        <w:t>W</w:t>
      </w:r>
      <w:r>
        <w:rPr>
          <w:lang w:val="en-US"/>
        </w:rPr>
        <w:t xml:space="preserve">hen </w:t>
      </w:r>
      <w:r w:rsidR="00B828EC">
        <w:rPr>
          <w:lang w:val="en-US"/>
        </w:rPr>
        <w:t>a</w:t>
      </w:r>
      <w:r>
        <w:rPr>
          <w:lang w:val="en-US"/>
        </w:rPr>
        <w:t xml:space="preserve"> company </w:t>
      </w:r>
      <w:r w:rsidR="00106012">
        <w:rPr>
          <w:lang w:val="en-US"/>
        </w:rPr>
        <w:t>forecasts</w:t>
      </w:r>
      <w:r w:rsidR="00B21300">
        <w:rPr>
          <w:lang w:val="en-US"/>
        </w:rPr>
        <w:t xml:space="preserve"> a rise in the value of </w:t>
      </w:r>
      <w:r w:rsidR="008B1A14">
        <w:rPr>
          <w:lang w:val="en-US"/>
        </w:rPr>
        <w:t>an</w:t>
      </w:r>
      <w:r w:rsidR="00B21300">
        <w:rPr>
          <w:lang w:val="en-US"/>
        </w:rPr>
        <w:t xml:space="preserve"> </w:t>
      </w:r>
      <w:r w:rsidR="00C84A38">
        <w:rPr>
          <w:lang w:val="en-US"/>
        </w:rPr>
        <w:t>underlying asset (bullish sentiment)</w:t>
      </w:r>
      <w:r w:rsidR="00D15F7C">
        <w:rPr>
          <w:lang w:val="en-US"/>
        </w:rPr>
        <w:t xml:space="preserve">, it can safeguard against potential price declines by </w:t>
      </w:r>
      <w:r w:rsidR="008B1A14">
        <w:rPr>
          <w:lang w:val="en-US"/>
        </w:rPr>
        <w:t xml:space="preserve">purchasing </w:t>
      </w:r>
      <w:r>
        <w:rPr>
          <w:lang w:val="en-US"/>
        </w:rPr>
        <w:t xml:space="preserve">a call option or selling a put option. </w:t>
      </w:r>
      <w:r w:rsidR="00B51D0C">
        <w:rPr>
          <w:lang w:val="en-US"/>
        </w:rPr>
        <w:t>The purchase</w:t>
      </w:r>
      <w:r>
        <w:rPr>
          <w:lang w:val="en-US"/>
        </w:rPr>
        <w:t xml:space="preserve"> of call option will provide the company with </w:t>
      </w:r>
      <w:r w:rsidR="008144B1">
        <w:rPr>
          <w:lang w:val="en-US"/>
        </w:rPr>
        <w:t xml:space="preserve">the </w:t>
      </w:r>
      <w:r>
        <w:rPr>
          <w:lang w:val="en-US"/>
        </w:rPr>
        <w:t xml:space="preserve">right to </w:t>
      </w:r>
      <w:r w:rsidR="00540665">
        <w:rPr>
          <w:lang w:val="en-US"/>
        </w:rPr>
        <w:t>buy</w:t>
      </w:r>
      <w:r>
        <w:rPr>
          <w:lang w:val="en-US"/>
        </w:rPr>
        <w:t xml:space="preserve"> the asset at a pre-determined price that is lower than the present market </w:t>
      </w:r>
      <w:r w:rsidR="00BB2E24">
        <w:rPr>
          <w:lang w:val="en-US"/>
        </w:rPr>
        <w:t>value</w:t>
      </w:r>
      <w:r>
        <w:rPr>
          <w:lang w:val="en-US"/>
        </w:rPr>
        <w:t xml:space="preserve">, </w:t>
      </w:r>
      <w:r w:rsidR="008144B1">
        <w:rPr>
          <w:lang w:val="en-US"/>
        </w:rPr>
        <w:t>before</w:t>
      </w:r>
      <w:r>
        <w:rPr>
          <w:lang w:val="en-US"/>
        </w:rPr>
        <w:t xml:space="preserve"> the </w:t>
      </w:r>
      <w:r w:rsidR="00BB2E24">
        <w:rPr>
          <w:lang w:val="en-US"/>
        </w:rPr>
        <w:t>ending</w:t>
      </w:r>
      <w:r>
        <w:rPr>
          <w:lang w:val="en-US"/>
        </w:rPr>
        <w:t xml:space="preserve"> date. Alternatively, </w:t>
      </w:r>
      <w:r w:rsidR="008A3416">
        <w:rPr>
          <w:lang w:val="en-US"/>
        </w:rPr>
        <w:t xml:space="preserve">the </w:t>
      </w:r>
      <w:r>
        <w:rPr>
          <w:lang w:val="en-US"/>
        </w:rPr>
        <w:t>sale of the put option obliges the company to purchase the asset at a pre-determined price that is higher than the present market price, in case the option is exercised (</w:t>
      </w:r>
      <w:r>
        <w:rPr>
          <w:shd w:val="clear" w:color="auto" w:fill="FFFFFF"/>
        </w:rPr>
        <w:t>Yang</w:t>
      </w:r>
      <w:r w:rsidR="00B45D4E">
        <w:rPr>
          <w:shd w:val="clear" w:color="auto" w:fill="FFFFFF"/>
        </w:rPr>
        <w:t>,</w:t>
      </w:r>
      <w:r>
        <w:rPr>
          <w:shd w:val="clear" w:color="auto" w:fill="FFFFFF"/>
        </w:rPr>
        <w:t xml:space="preserve"> 2023)</w:t>
      </w:r>
      <w:r>
        <w:rPr>
          <w:lang w:val="en-US"/>
        </w:rPr>
        <w:t>. Similarly, when the company is bearish on a</w:t>
      </w:r>
      <w:r w:rsidR="00914687">
        <w:rPr>
          <w:lang w:val="en-US"/>
        </w:rPr>
        <w:t>n</w:t>
      </w:r>
      <w:r>
        <w:rPr>
          <w:lang w:val="en-US"/>
        </w:rPr>
        <w:t xml:space="preserve"> underlying asset, which means it is expected the value of </w:t>
      </w:r>
      <w:r w:rsidR="008A3416">
        <w:rPr>
          <w:lang w:val="en-US"/>
        </w:rPr>
        <w:t xml:space="preserve">an </w:t>
      </w:r>
      <w:r>
        <w:rPr>
          <w:lang w:val="en-US"/>
        </w:rPr>
        <w:t xml:space="preserve">asset will decline, then the company can protect itself from potential price fluctuation </w:t>
      </w:r>
      <w:r w:rsidR="00112261">
        <w:rPr>
          <w:lang w:val="en-US"/>
        </w:rPr>
        <w:t xml:space="preserve">by </w:t>
      </w:r>
      <w:r w:rsidR="008B422A">
        <w:rPr>
          <w:lang w:val="en-US"/>
        </w:rPr>
        <w:t>purchasing</w:t>
      </w:r>
      <w:r>
        <w:rPr>
          <w:lang w:val="en-US"/>
        </w:rPr>
        <w:t xml:space="preserve"> a put option or selling a call option. Purchase of the put option will </w:t>
      </w:r>
      <w:r w:rsidR="008741A7">
        <w:rPr>
          <w:lang w:val="en-US"/>
        </w:rPr>
        <w:t>grant</w:t>
      </w:r>
      <w:r>
        <w:rPr>
          <w:lang w:val="en-US"/>
        </w:rPr>
        <w:t xml:space="preserve"> the company the right to sell the asset at </w:t>
      </w:r>
      <w:r w:rsidR="00093B92">
        <w:rPr>
          <w:lang w:val="en-US"/>
        </w:rPr>
        <w:t xml:space="preserve">a </w:t>
      </w:r>
      <w:r>
        <w:rPr>
          <w:lang w:val="en-US"/>
        </w:rPr>
        <w:t xml:space="preserve">pre-determined price that is </w:t>
      </w:r>
      <w:r w:rsidR="00632A93">
        <w:rPr>
          <w:lang w:val="en-US"/>
        </w:rPr>
        <w:lastRenderedPageBreak/>
        <w:t>greater</w:t>
      </w:r>
      <w:r>
        <w:rPr>
          <w:lang w:val="en-US"/>
        </w:rPr>
        <w:t xml:space="preserve"> than the present market </w:t>
      </w:r>
      <w:r w:rsidR="009B37EA">
        <w:rPr>
          <w:lang w:val="en-US"/>
        </w:rPr>
        <w:t>price</w:t>
      </w:r>
      <w:r>
        <w:rPr>
          <w:lang w:val="en-US"/>
        </w:rPr>
        <w:t xml:space="preserve">, </w:t>
      </w:r>
      <w:r w:rsidR="007B2F35">
        <w:rPr>
          <w:lang w:val="en-US"/>
        </w:rPr>
        <w:t>before</w:t>
      </w:r>
      <w:r>
        <w:rPr>
          <w:lang w:val="en-US"/>
        </w:rPr>
        <w:t xml:space="preserve"> the </w:t>
      </w:r>
      <w:r w:rsidR="00BB564D">
        <w:rPr>
          <w:lang w:val="en-US"/>
        </w:rPr>
        <w:t>ending</w:t>
      </w:r>
      <w:r>
        <w:rPr>
          <w:lang w:val="en-US"/>
        </w:rPr>
        <w:t xml:space="preserve"> date. Alternatively, </w:t>
      </w:r>
      <w:r w:rsidR="008A3416">
        <w:rPr>
          <w:lang w:val="en-US"/>
        </w:rPr>
        <w:t xml:space="preserve">the </w:t>
      </w:r>
      <w:r>
        <w:rPr>
          <w:lang w:val="en-US"/>
        </w:rPr>
        <w:t>sale of the call option obliges the company to sell the asset at a pre</w:t>
      </w:r>
      <w:r w:rsidR="009B37EA">
        <w:rPr>
          <w:lang w:val="en-US"/>
        </w:rPr>
        <w:t>-</w:t>
      </w:r>
      <w:r>
        <w:rPr>
          <w:lang w:val="en-US"/>
        </w:rPr>
        <w:t>determined price that is lower than the present market price, in case the option is exercised (</w:t>
      </w:r>
      <w:proofErr w:type="spellStart"/>
      <w:r>
        <w:rPr>
          <w:shd w:val="clear" w:color="auto" w:fill="FFFFFF"/>
        </w:rPr>
        <w:t>Thanekar</w:t>
      </w:r>
      <w:proofErr w:type="spellEnd"/>
      <w:r>
        <w:rPr>
          <w:shd w:val="clear" w:color="auto" w:fill="FFFFFF"/>
        </w:rPr>
        <w:t xml:space="preserve"> and Shaikh</w:t>
      </w:r>
      <w:r w:rsidR="00B45D4E">
        <w:rPr>
          <w:shd w:val="clear" w:color="auto" w:fill="FFFFFF"/>
        </w:rPr>
        <w:t>,</w:t>
      </w:r>
      <w:r>
        <w:rPr>
          <w:shd w:val="clear" w:color="auto" w:fill="FFFFFF"/>
        </w:rPr>
        <w:t xml:space="preserve"> 2021)</w:t>
      </w:r>
      <w:r>
        <w:rPr>
          <w:lang w:val="en-US"/>
        </w:rPr>
        <w:t>.</w:t>
      </w:r>
    </w:p>
    <w:p w14:paraId="5ED777EC" w14:textId="111E7BFA" w:rsidR="003D19E0" w:rsidRDefault="003D19E0" w:rsidP="00B957AE">
      <w:pPr>
        <w:spacing w:line="360" w:lineRule="auto"/>
        <w:jc w:val="center"/>
        <w:rPr>
          <w:lang w:val="en-US"/>
        </w:rPr>
      </w:pPr>
      <w:r>
        <w:rPr>
          <w:noProof/>
          <w:lang w:val="en-US"/>
        </w:rPr>
        <w:drawing>
          <wp:anchor distT="0" distB="0" distL="114300" distR="114300" simplePos="0" relativeHeight="251658240" behindDoc="0" locked="0" layoutInCell="1" allowOverlap="1" wp14:anchorId="3BBC91F5" wp14:editId="257DACE9">
            <wp:simplePos x="0" y="0"/>
            <wp:positionH relativeFrom="column">
              <wp:posOffset>640080</wp:posOffset>
            </wp:positionH>
            <wp:positionV relativeFrom="paragraph">
              <wp:posOffset>-1905</wp:posOffset>
            </wp:positionV>
            <wp:extent cx="4907280" cy="2585787"/>
            <wp:effectExtent l="0" t="0" r="7620" b="5080"/>
            <wp:wrapSquare wrapText="bothSides"/>
            <wp:docPr id="1484736532" name="Picture 1" descr="A diagram of a security syste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736532" name="Picture 1" descr="A diagram of a security system&#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4907280" cy="2585787"/>
                    </a:xfrm>
                    <a:prstGeom prst="rect">
                      <a:avLst/>
                    </a:prstGeom>
                  </pic:spPr>
                </pic:pic>
              </a:graphicData>
            </a:graphic>
          </wp:anchor>
        </w:drawing>
      </w:r>
      <w:r w:rsidR="000D7520">
        <w:t>(Clarke et al., 2013)</w:t>
      </w:r>
    </w:p>
    <w:p w14:paraId="1F711894" w14:textId="0390F6F9" w:rsidR="00EC2924" w:rsidRDefault="00F73C03" w:rsidP="00196DA2">
      <w:pPr>
        <w:pStyle w:val="Heading1"/>
      </w:pPr>
      <w:bookmarkStart w:id="5" w:name="_Toc162798609"/>
      <w:r>
        <w:t>Currency swaps</w:t>
      </w:r>
      <w:bookmarkEnd w:id="5"/>
    </w:p>
    <w:p w14:paraId="5E769173" w14:textId="4FED6ACF" w:rsidR="00F509E3" w:rsidRDefault="00A0181F" w:rsidP="00B957AE">
      <w:pPr>
        <w:spacing w:line="360" w:lineRule="auto"/>
      </w:pPr>
      <w:r>
        <w:t>Cross-currency swaps are u</w:t>
      </w:r>
      <w:r w:rsidR="00CA12F3">
        <w:t xml:space="preserve">tilised by market </w:t>
      </w:r>
      <w:r w:rsidR="001F5BA7">
        <w:t>participants</w:t>
      </w:r>
      <w:r w:rsidR="00CA12F3">
        <w:t xml:space="preserve"> for hedging currency exposure or spe</w:t>
      </w:r>
      <w:r w:rsidR="001F5BA7">
        <w:t>culating on currency movements within a defined timeframe. T</w:t>
      </w:r>
      <w:r w:rsidR="00A20842">
        <w:t>his</w:t>
      </w:r>
      <w:r w:rsidR="001F5BA7">
        <w:t xml:space="preserve"> </w:t>
      </w:r>
      <w:r w:rsidR="00A20842">
        <w:t>involves</w:t>
      </w:r>
      <w:r w:rsidR="001F5BA7">
        <w:t xml:space="preserve"> two parties</w:t>
      </w:r>
      <w:r w:rsidR="004629A2">
        <w:t xml:space="preserve"> simultaneously lending and borrowing equivalen</w:t>
      </w:r>
      <w:r w:rsidR="00574835">
        <w:t xml:space="preserve">t amounts in </w:t>
      </w:r>
      <w:r w:rsidR="006955AC">
        <w:t>various</w:t>
      </w:r>
      <w:r w:rsidR="00574835">
        <w:t xml:space="preserve"> currencies for a</w:t>
      </w:r>
      <w:r w:rsidR="00234830">
        <w:t xml:space="preserve"> certain time frame</w:t>
      </w:r>
      <w:r w:rsidR="00C94FFF">
        <w:t xml:space="preserve">. </w:t>
      </w:r>
      <w:r w:rsidR="0099799D">
        <w:t>It includes</w:t>
      </w:r>
      <w:r w:rsidR="00C94FFF">
        <w:t xml:space="preserve"> exchanging interest payments in one currency for those in another</w:t>
      </w:r>
      <w:r w:rsidR="00AB4BDE">
        <w:t>, with rates being fixed, floating</w:t>
      </w:r>
      <w:r w:rsidR="003E5AD7">
        <w:t>(variable)</w:t>
      </w:r>
      <w:r w:rsidR="00AB4BDE">
        <w:t>, or both</w:t>
      </w:r>
      <w:r w:rsidR="003606C9">
        <w:t>. Additionally, there’s an exchange of principals</w:t>
      </w:r>
      <w:r w:rsidR="009E51AE">
        <w:t xml:space="preserve"> in the two currencies at the contract’s initiation and ending</w:t>
      </w:r>
      <w:r w:rsidR="00F10BEC">
        <w:t>, based on prevailing spot rate.</w:t>
      </w:r>
    </w:p>
    <w:p w14:paraId="6E1742A2" w14:textId="0FACCD3B" w:rsidR="00CD6620" w:rsidRPr="00F73C03" w:rsidRDefault="00CD6620" w:rsidP="00B957AE">
      <w:pPr>
        <w:spacing w:line="360" w:lineRule="auto"/>
      </w:pPr>
      <w:r>
        <w:t xml:space="preserve">The two </w:t>
      </w:r>
      <w:r w:rsidR="007C280F">
        <w:t>main</w:t>
      </w:r>
      <w:r>
        <w:t xml:space="preserve"> types of cross-</w:t>
      </w:r>
      <w:r w:rsidR="00140E73">
        <w:t>currency swaps are</w:t>
      </w:r>
      <w:r w:rsidR="001A5141" w:rsidRPr="001A5141">
        <w:t xml:space="preserve"> </w:t>
      </w:r>
      <w:r w:rsidR="001A5141">
        <w:t>the cross-currency basis swaps</w:t>
      </w:r>
      <w:r w:rsidR="001A5141">
        <w:t xml:space="preserve"> and</w:t>
      </w:r>
      <w:r w:rsidR="00140E73">
        <w:t xml:space="preserve"> the cross-currency coupon </w:t>
      </w:r>
      <w:r w:rsidR="001A5141">
        <w:t>swaps</w:t>
      </w:r>
      <w:r w:rsidR="00140E73">
        <w:t xml:space="preserve">. </w:t>
      </w:r>
      <w:r w:rsidR="00BA4285">
        <w:t>In a cross-currency coupon swap, a company</w:t>
      </w:r>
      <w:r w:rsidR="00FB6969">
        <w:t xml:space="preserve"> buys a currency swap and simultaneously pays fixed while </w:t>
      </w:r>
      <w:r w:rsidR="009D78F5">
        <w:t>collecting</w:t>
      </w:r>
      <w:r w:rsidR="00F212CB">
        <w:t xml:space="preserve"> </w:t>
      </w:r>
      <w:r w:rsidR="006C72E2">
        <w:t>variable</w:t>
      </w:r>
      <w:r w:rsidR="00F212CB">
        <w:t xml:space="preserve"> interest payments. This provides</w:t>
      </w:r>
      <w:r w:rsidR="0083451D">
        <w:t xml:space="preserve"> flexibility for companies to </w:t>
      </w:r>
      <w:r w:rsidR="00861E3F">
        <w:t>supervise</w:t>
      </w:r>
      <w:r w:rsidR="0083451D">
        <w:t xml:space="preserve"> their</w:t>
      </w:r>
      <w:r w:rsidR="00C13B05">
        <w:t xml:space="preserve"> foreign exchange and interest rate risk</w:t>
      </w:r>
      <w:r w:rsidR="00B93754">
        <w:t>s</w:t>
      </w:r>
      <w:r w:rsidR="00AD6C5B">
        <w:t xml:space="preserve"> but exposes them to both</w:t>
      </w:r>
      <w:r w:rsidR="006857CF">
        <w:t xml:space="preserve"> interest rate and</w:t>
      </w:r>
      <w:r w:rsidR="00AD6C5B">
        <w:t xml:space="preserve"> currency </w:t>
      </w:r>
      <w:r w:rsidR="005865D8">
        <w:t xml:space="preserve">fluctuations. </w:t>
      </w:r>
      <w:r w:rsidR="00DF4ED4">
        <w:t>C</w:t>
      </w:r>
      <w:r w:rsidR="00675029">
        <w:t xml:space="preserve">ross-currency basis swap involves buying </w:t>
      </w:r>
      <w:r w:rsidR="00A46697">
        <w:t xml:space="preserve">a currency swap and paying </w:t>
      </w:r>
      <w:r w:rsidR="003E5AD7">
        <w:t>variable</w:t>
      </w:r>
      <w:r w:rsidR="00A46697">
        <w:t xml:space="preserve"> interest in </w:t>
      </w:r>
      <w:r w:rsidR="00A91F53">
        <w:t>a certain</w:t>
      </w:r>
      <w:r w:rsidR="00A46697">
        <w:t xml:space="preserve"> </w:t>
      </w:r>
      <w:r w:rsidR="006D2248">
        <w:t xml:space="preserve">currency while </w:t>
      </w:r>
      <w:r w:rsidR="00224802">
        <w:t>collecting</w:t>
      </w:r>
      <w:r w:rsidR="00D325AF">
        <w:t xml:space="preserve"> variable</w:t>
      </w:r>
      <w:r w:rsidR="006D2248">
        <w:t xml:space="preserve"> interest in </w:t>
      </w:r>
      <w:r w:rsidR="00E82CA7">
        <w:t>a different currency</w:t>
      </w:r>
      <w:r w:rsidR="006D2248">
        <w:t>.</w:t>
      </w:r>
      <w:r w:rsidR="00060C08">
        <w:t xml:space="preserve"> While it shares similar currency risk with standard swaps</w:t>
      </w:r>
      <w:r w:rsidR="001D4DB6">
        <w:t>, it enables companies to leverage prevailing interest rate</w:t>
      </w:r>
      <w:r w:rsidR="007B4F63">
        <w:t xml:space="preserve"> differentials. The </w:t>
      </w:r>
      <w:r w:rsidR="00833CC7">
        <w:t>main</w:t>
      </w:r>
      <w:r w:rsidR="007B4F63">
        <w:t xml:space="preserve"> risk for </w:t>
      </w:r>
      <w:r w:rsidR="000F34CD">
        <w:t xml:space="preserve">firms is interest rate fluctuations rather than currency </w:t>
      </w:r>
      <w:r w:rsidR="005435D1">
        <w:t xml:space="preserve">movements </w:t>
      </w:r>
      <w:r w:rsidR="005435D1" w:rsidRPr="005435D1">
        <w:t>(</w:t>
      </w:r>
      <w:r w:rsidR="005435D1">
        <w:t>Papaioannou, 2006)</w:t>
      </w:r>
      <w:r w:rsidR="000F34CD">
        <w:t>.</w:t>
      </w:r>
    </w:p>
    <w:p w14:paraId="15B43EE3" w14:textId="7AD6D9DE" w:rsidR="00196DA2" w:rsidRDefault="00196DA2" w:rsidP="00B957AE">
      <w:pPr>
        <w:pStyle w:val="Heading1"/>
        <w:spacing w:line="360" w:lineRule="auto"/>
        <w:rPr>
          <w:lang w:val="en-US"/>
        </w:rPr>
      </w:pPr>
      <w:bookmarkStart w:id="6" w:name="_Toc162798610"/>
      <w:r>
        <w:lastRenderedPageBreak/>
        <w:t>Conclusion</w:t>
      </w:r>
      <w:bookmarkEnd w:id="6"/>
    </w:p>
    <w:p w14:paraId="3EDD5192" w14:textId="705D8777" w:rsidR="00196DA2" w:rsidRDefault="00196DA2" w:rsidP="00B957AE">
      <w:pPr>
        <w:spacing w:line="360" w:lineRule="auto"/>
        <w:rPr>
          <w:lang w:val="en-US"/>
        </w:rPr>
      </w:pPr>
      <w:r>
        <w:rPr>
          <w:lang w:val="en-US"/>
        </w:rPr>
        <w:tab/>
      </w:r>
      <w:r w:rsidR="00D96CD2">
        <w:rPr>
          <w:lang w:val="en-US"/>
        </w:rPr>
        <w:t>In international finance management, multinational corporations</w:t>
      </w:r>
      <w:r w:rsidR="003A6C7D">
        <w:rPr>
          <w:lang w:val="en-US"/>
        </w:rPr>
        <w:t xml:space="preserve"> face foreign exchange risk that affects </w:t>
      </w:r>
      <w:r w:rsidR="009A3080">
        <w:rPr>
          <w:lang w:val="en-US"/>
        </w:rPr>
        <w:t>their</w:t>
      </w:r>
      <w:r w:rsidR="003A6C7D">
        <w:rPr>
          <w:lang w:val="en-US"/>
        </w:rPr>
        <w:t xml:space="preserve"> financial performance. </w:t>
      </w:r>
      <w:r w:rsidR="00D66DC3">
        <w:rPr>
          <w:lang w:val="en-US"/>
        </w:rPr>
        <w:t>To mitigate this risk, companies adopt</w:t>
      </w:r>
      <w:r w:rsidR="009A3080">
        <w:rPr>
          <w:lang w:val="en-US"/>
        </w:rPr>
        <w:t xml:space="preserve"> various hedging strategies</w:t>
      </w:r>
      <w:r w:rsidR="00282FA6">
        <w:rPr>
          <w:lang w:val="en-US"/>
        </w:rPr>
        <w:t xml:space="preserve"> </w:t>
      </w:r>
      <w:r w:rsidR="00306CB3">
        <w:rPr>
          <w:lang w:val="en-US"/>
        </w:rPr>
        <w:t>including</w:t>
      </w:r>
      <w:r>
        <w:rPr>
          <w:lang w:val="en-US"/>
        </w:rPr>
        <w:t xml:space="preserve"> forward contract, currency future contract</w:t>
      </w:r>
      <w:r w:rsidR="00A73A30">
        <w:rPr>
          <w:lang w:val="en-US"/>
        </w:rPr>
        <w:t>,</w:t>
      </w:r>
      <w:r>
        <w:rPr>
          <w:lang w:val="en-US"/>
        </w:rPr>
        <w:t xml:space="preserve"> </w:t>
      </w:r>
      <w:r w:rsidR="00A91F2F">
        <w:rPr>
          <w:lang w:val="en-US"/>
        </w:rPr>
        <w:t>s</w:t>
      </w:r>
      <w:r w:rsidR="004C0962">
        <w:rPr>
          <w:lang w:val="en-US"/>
        </w:rPr>
        <w:t xml:space="preserve">waps, </w:t>
      </w:r>
      <w:r>
        <w:rPr>
          <w:lang w:val="en-US"/>
        </w:rPr>
        <w:t xml:space="preserve">and options. </w:t>
      </w:r>
      <w:r w:rsidR="000C2E3A">
        <w:rPr>
          <w:lang w:val="en-US"/>
        </w:rPr>
        <w:t>In</w:t>
      </w:r>
      <w:r>
        <w:rPr>
          <w:lang w:val="en-US"/>
        </w:rPr>
        <w:t xml:space="preserve"> forward contract and currency future contract</w:t>
      </w:r>
      <w:r w:rsidR="00924366">
        <w:rPr>
          <w:lang w:val="en-US"/>
        </w:rPr>
        <w:t>,</w:t>
      </w:r>
      <w:r>
        <w:rPr>
          <w:lang w:val="en-US"/>
        </w:rPr>
        <w:t xml:space="preserve"> the company fixed a pre-determined price of t</w:t>
      </w:r>
      <w:r w:rsidR="0098298F">
        <w:rPr>
          <w:lang w:val="en-US"/>
        </w:rPr>
        <w:t>he</w:t>
      </w:r>
      <w:r>
        <w:rPr>
          <w:lang w:val="en-US"/>
        </w:rPr>
        <w:t xml:space="preserve"> asset </w:t>
      </w:r>
      <w:r w:rsidR="00924366">
        <w:rPr>
          <w:lang w:val="en-US"/>
        </w:rPr>
        <w:t>on</w:t>
      </w:r>
      <w:r>
        <w:rPr>
          <w:lang w:val="en-US"/>
        </w:rPr>
        <w:t xml:space="preserve"> a particular future date. The difference </w:t>
      </w:r>
      <w:r w:rsidR="0072700F">
        <w:rPr>
          <w:lang w:val="en-US"/>
        </w:rPr>
        <w:t>is that</w:t>
      </w:r>
      <w:r>
        <w:rPr>
          <w:lang w:val="en-US"/>
        </w:rPr>
        <w:t xml:space="preserve"> </w:t>
      </w:r>
      <w:r w:rsidR="0072700F">
        <w:rPr>
          <w:lang w:val="en-US"/>
        </w:rPr>
        <w:t xml:space="preserve">the </w:t>
      </w:r>
      <w:r>
        <w:rPr>
          <w:lang w:val="en-US"/>
        </w:rPr>
        <w:t>exercise of a forward contract is obligatory</w:t>
      </w:r>
      <w:r w:rsidR="009440DB">
        <w:rPr>
          <w:lang w:val="en-US"/>
        </w:rPr>
        <w:t>,</w:t>
      </w:r>
      <w:r>
        <w:rPr>
          <w:lang w:val="en-US"/>
        </w:rPr>
        <w:t xml:space="preserve"> </w:t>
      </w:r>
      <w:r w:rsidR="009440DB">
        <w:rPr>
          <w:lang w:val="en-US"/>
        </w:rPr>
        <w:t>while with</w:t>
      </w:r>
      <w:r>
        <w:rPr>
          <w:lang w:val="en-US"/>
        </w:rPr>
        <w:t xml:space="preserve"> </w:t>
      </w:r>
      <w:r w:rsidR="00504376">
        <w:rPr>
          <w:lang w:val="en-US"/>
        </w:rPr>
        <w:t xml:space="preserve">a </w:t>
      </w:r>
      <w:r>
        <w:rPr>
          <w:lang w:val="en-US"/>
        </w:rPr>
        <w:t xml:space="preserve">future contract, the company can decide </w:t>
      </w:r>
      <w:r w:rsidR="00403E1F">
        <w:rPr>
          <w:lang w:val="en-US"/>
        </w:rPr>
        <w:t>whether</w:t>
      </w:r>
      <w:r>
        <w:rPr>
          <w:lang w:val="en-US"/>
        </w:rPr>
        <w:t xml:space="preserve"> to exercise the contract. Since a future price is already decided </w:t>
      </w:r>
      <w:r w:rsidR="0023002B">
        <w:rPr>
          <w:lang w:val="en-US"/>
        </w:rPr>
        <w:t>at present</w:t>
      </w:r>
      <w:r>
        <w:rPr>
          <w:lang w:val="en-US"/>
        </w:rPr>
        <w:t xml:space="preserve">, the company is protected from any unpredicted foreign exchange fluctuation. In the case of options, the company has two choices: call or put. Considering the nature of the asset, that is, bullish or </w:t>
      </w:r>
      <w:r w:rsidR="001D70E6">
        <w:rPr>
          <w:lang w:val="en-US"/>
        </w:rPr>
        <w:t>bearish,</w:t>
      </w:r>
      <w:r>
        <w:rPr>
          <w:lang w:val="en-US"/>
        </w:rPr>
        <w:t xml:space="preserve"> the company decided whether to purchase or sell the call or put option to protect itself from the exposure of foreign exchange fluctuation.</w:t>
      </w:r>
    </w:p>
    <w:p w14:paraId="4B8F3657" w14:textId="77777777" w:rsidR="00196DA2" w:rsidRDefault="00196DA2" w:rsidP="00196DA2">
      <w:pPr>
        <w:spacing w:line="256" w:lineRule="auto"/>
        <w:jc w:val="left"/>
        <w:rPr>
          <w:lang w:val="en-US"/>
        </w:rPr>
      </w:pPr>
      <w:r>
        <w:rPr>
          <w:lang w:val="en-US"/>
        </w:rPr>
        <w:br w:type="page"/>
      </w:r>
    </w:p>
    <w:p w14:paraId="50247B73" w14:textId="77777777" w:rsidR="00196DA2" w:rsidRPr="00D73E0C" w:rsidRDefault="00196DA2" w:rsidP="00196DA2">
      <w:pPr>
        <w:pStyle w:val="Heading1"/>
        <w:rPr>
          <w:lang w:val="en-US"/>
        </w:rPr>
      </w:pPr>
      <w:bookmarkStart w:id="7" w:name="_Toc162798611"/>
      <w:r w:rsidRPr="00D73E0C">
        <w:lastRenderedPageBreak/>
        <w:t>Reference List</w:t>
      </w:r>
      <w:bookmarkEnd w:id="7"/>
    </w:p>
    <w:p w14:paraId="22A0CE6F" w14:textId="77777777" w:rsidR="00196DA2" w:rsidRPr="00D73E0C" w:rsidRDefault="00196DA2" w:rsidP="00B957AE">
      <w:pPr>
        <w:spacing w:line="360" w:lineRule="auto"/>
        <w:rPr>
          <w:shd w:val="clear" w:color="auto" w:fill="FFFFFF"/>
        </w:rPr>
      </w:pPr>
      <w:r w:rsidRPr="00D73E0C">
        <w:rPr>
          <w:shd w:val="clear" w:color="auto" w:fill="FFFFFF"/>
        </w:rPr>
        <w:t>Bartram, S.M., 2019. Corporate hedging and speculation with derivatives. Journal of Corporate Finance, 57, pp.9-34.</w:t>
      </w:r>
    </w:p>
    <w:p w14:paraId="0E1C4222" w14:textId="77777777" w:rsidR="00196DA2" w:rsidRDefault="00196DA2" w:rsidP="00B957AE">
      <w:pPr>
        <w:spacing w:line="360" w:lineRule="auto"/>
        <w:rPr>
          <w:shd w:val="clear" w:color="auto" w:fill="FFFFFF"/>
        </w:rPr>
      </w:pPr>
      <w:r w:rsidRPr="00D73E0C">
        <w:rPr>
          <w:shd w:val="clear" w:color="auto" w:fill="FFFFFF"/>
        </w:rPr>
        <w:t>Chance, D.M. and Brooks, R., 2021. An introduction to derivatives and risk management. South-Western, Cengage Learning.</w:t>
      </w:r>
    </w:p>
    <w:p w14:paraId="78607C4C" w14:textId="7575327B" w:rsidR="0047164F" w:rsidRDefault="0047164F" w:rsidP="00B957AE">
      <w:pPr>
        <w:pStyle w:val="NormalWeb"/>
        <w:spacing w:line="360" w:lineRule="auto"/>
        <w:ind w:left="567" w:hanging="567"/>
      </w:pPr>
      <w:r>
        <w:t xml:space="preserve">Clarke, R.G., Silva, H. and Thorley, S. (2013) </w:t>
      </w:r>
      <w:r>
        <w:rPr>
          <w:i/>
          <w:iCs/>
        </w:rPr>
        <w:t>Fundamentals of Futures and Options</w:t>
      </w:r>
      <w:r>
        <w:t xml:space="preserve">, pp. 9–64. </w:t>
      </w:r>
    </w:p>
    <w:p w14:paraId="6D21C29A" w14:textId="77777777" w:rsidR="00196DA2" w:rsidRDefault="00196DA2" w:rsidP="00B957AE">
      <w:pPr>
        <w:spacing w:line="360" w:lineRule="auto"/>
        <w:rPr>
          <w:shd w:val="clear" w:color="auto" w:fill="FFFFFF"/>
        </w:rPr>
      </w:pPr>
      <w:proofErr w:type="spellStart"/>
      <w:r>
        <w:rPr>
          <w:shd w:val="clear" w:color="auto" w:fill="FFFFFF"/>
        </w:rPr>
        <w:t>Halkos</w:t>
      </w:r>
      <w:proofErr w:type="spellEnd"/>
      <w:r>
        <w:rPr>
          <w:shd w:val="clear" w:color="auto" w:fill="FFFFFF"/>
        </w:rPr>
        <w:t xml:space="preserve">, G.E. and </w:t>
      </w:r>
      <w:proofErr w:type="spellStart"/>
      <w:r>
        <w:rPr>
          <w:shd w:val="clear" w:color="auto" w:fill="FFFFFF"/>
        </w:rPr>
        <w:t>Tsirivis</w:t>
      </w:r>
      <w:proofErr w:type="spellEnd"/>
      <w:r>
        <w:rPr>
          <w:shd w:val="clear" w:color="auto" w:fill="FFFFFF"/>
        </w:rPr>
        <w:t>, A.S., 2019. Energy commodities: A review of optimal hedging strategies. </w:t>
      </w:r>
      <w:r>
        <w:rPr>
          <w:i/>
          <w:iCs/>
          <w:shd w:val="clear" w:color="auto" w:fill="FFFFFF"/>
        </w:rPr>
        <w:t>Energies</w:t>
      </w:r>
      <w:r>
        <w:rPr>
          <w:shd w:val="clear" w:color="auto" w:fill="FFFFFF"/>
        </w:rPr>
        <w:t>, </w:t>
      </w:r>
      <w:r>
        <w:rPr>
          <w:i/>
          <w:iCs/>
          <w:shd w:val="clear" w:color="auto" w:fill="FFFFFF"/>
        </w:rPr>
        <w:t>12</w:t>
      </w:r>
      <w:r>
        <w:rPr>
          <w:shd w:val="clear" w:color="auto" w:fill="FFFFFF"/>
        </w:rPr>
        <w:t>(20), p.3979.</w:t>
      </w:r>
    </w:p>
    <w:p w14:paraId="43338D40" w14:textId="77777777" w:rsidR="00196DA2" w:rsidRDefault="00196DA2" w:rsidP="00B957AE">
      <w:pPr>
        <w:spacing w:line="360" w:lineRule="auto"/>
        <w:rPr>
          <w:shd w:val="clear" w:color="auto" w:fill="FFFFFF"/>
        </w:rPr>
      </w:pPr>
      <w:r>
        <w:rPr>
          <w:shd w:val="clear" w:color="auto" w:fill="FFFFFF"/>
        </w:rPr>
        <w:t>Jayashree, G. and Priya, I.C.M., 2019. An Empirical Study on the Various Risks in Foreign Exchange Market and its Impact in Global Business Transactions. </w:t>
      </w:r>
      <w:r>
        <w:rPr>
          <w:i/>
          <w:iCs/>
          <w:shd w:val="clear" w:color="auto" w:fill="FFFFFF"/>
        </w:rPr>
        <w:t>International Journal of Trend in Scientific Research and Development</w:t>
      </w:r>
      <w:r>
        <w:rPr>
          <w:shd w:val="clear" w:color="auto" w:fill="FFFFFF"/>
        </w:rPr>
        <w:t>, </w:t>
      </w:r>
      <w:r>
        <w:rPr>
          <w:i/>
          <w:iCs/>
          <w:shd w:val="clear" w:color="auto" w:fill="FFFFFF"/>
        </w:rPr>
        <w:t>5</w:t>
      </w:r>
      <w:r>
        <w:rPr>
          <w:shd w:val="clear" w:color="auto" w:fill="FFFFFF"/>
        </w:rPr>
        <w:t>(3), pp.2613-2615.</w:t>
      </w:r>
    </w:p>
    <w:p w14:paraId="2BBE9B1B" w14:textId="77777777" w:rsidR="00196DA2" w:rsidRDefault="00196DA2" w:rsidP="00B957AE">
      <w:pPr>
        <w:spacing w:line="360" w:lineRule="auto"/>
        <w:rPr>
          <w:shd w:val="clear" w:color="auto" w:fill="FFFFFF"/>
        </w:rPr>
      </w:pPr>
      <w:r>
        <w:rPr>
          <w:shd w:val="clear" w:color="auto" w:fill="FFFFFF"/>
        </w:rPr>
        <w:t xml:space="preserve">Madura, J., Hoque, A. and </w:t>
      </w:r>
      <w:proofErr w:type="spellStart"/>
      <w:r>
        <w:rPr>
          <w:shd w:val="clear" w:color="auto" w:fill="FFFFFF"/>
        </w:rPr>
        <w:t>Krishnamrti</w:t>
      </w:r>
      <w:proofErr w:type="spellEnd"/>
      <w:r>
        <w:rPr>
          <w:shd w:val="clear" w:color="auto" w:fill="FFFFFF"/>
        </w:rPr>
        <w:t>, C., 2018. </w:t>
      </w:r>
      <w:r>
        <w:rPr>
          <w:i/>
          <w:iCs/>
          <w:shd w:val="clear" w:color="auto" w:fill="FFFFFF"/>
        </w:rPr>
        <w:t>International financial management</w:t>
      </w:r>
      <w:r>
        <w:rPr>
          <w:shd w:val="clear" w:color="auto" w:fill="FFFFFF"/>
        </w:rPr>
        <w:t>. Cengage AU.</w:t>
      </w:r>
    </w:p>
    <w:p w14:paraId="4A511FE4" w14:textId="77777777" w:rsidR="00196DA2" w:rsidRDefault="00196DA2" w:rsidP="00B957AE">
      <w:pPr>
        <w:spacing w:line="360" w:lineRule="auto"/>
        <w:rPr>
          <w:shd w:val="clear" w:color="auto" w:fill="FFFFFF"/>
        </w:rPr>
      </w:pPr>
      <w:proofErr w:type="spellStart"/>
      <w:r>
        <w:rPr>
          <w:shd w:val="clear" w:color="auto" w:fill="FFFFFF"/>
        </w:rPr>
        <w:t>Nekhili</w:t>
      </w:r>
      <w:proofErr w:type="spellEnd"/>
      <w:r>
        <w:rPr>
          <w:shd w:val="clear" w:color="auto" w:fill="FFFFFF"/>
        </w:rPr>
        <w:t>, R. and Sultan, J., 2022. Hedging Bitcoin with conventional assets. </w:t>
      </w:r>
      <w:r>
        <w:rPr>
          <w:i/>
          <w:iCs/>
          <w:shd w:val="clear" w:color="auto" w:fill="FFFFFF"/>
        </w:rPr>
        <w:t>Borsa Istanbul Review</w:t>
      </w:r>
      <w:r>
        <w:rPr>
          <w:shd w:val="clear" w:color="auto" w:fill="FFFFFF"/>
        </w:rPr>
        <w:t>, </w:t>
      </w:r>
      <w:r>
        <w:rPr>
          <w:i/>
          <w:iCs/>
          <w:shd w:val="clear" w:color="auto" w:fill="FFFFFF"/>
        </w:rPr>
        <w:t>22</w:t>
      </w:r>
      <w:r>
        <w:rPr>
          <w:shd w:val="clear" w:color="auto" w:fill="FFFFFF"/>
        </w:rPr>
        <w:t>(4), pp.641-652.</w:t>
      </w:r>
    </w:p>
    <w:p w14:paraId="3C487886" w14:textId="304366FA" w:rsidR="0080330C" w:rsidRPr="004C4D47" w:rsidRDefault="0080330C" w:rsidP="00B957AE">
      <w:pPr>
        <w:pStyle w:val="NormalWeb"/>
        <w:spacing w:line="360" w:lineRule="auto"/>
        <w:ind w:left="567" w:hanging="567"/>
        <w:jc w:val="both"/>
      </w:pPr>
      <w:r>
        <w:t xml:space="preserve">Papaioannou, M.G. (2006) ‘Exchange rate risk measurement and management: Issues and approaches for firms’, </w:t>
      </w:r>
      <w:r>
        <w:rPr>
          <w:i/>
          <w:iCs/>
        </w:rPr>
        <w:t>Monetary and Capital Markets</w:t>
      </w:r>
      <w:r>
        <w:t xml:space="preserve">, p. 11. </w:t>
      </w:r>
    </w:p>
    <w:p w14:paraId="254159CD" w14:textId="77777777" w:rsidR="00196DA2" w:rsidRDefault="00196DA2" w:rsidP="00B957AE">
      <w:pPr>
        <w:spacing w:line="360" w:lineRule="auto"/>
        <w:rPr>
          <w:shd w:val="clear" w:color="auto" w:fill="FFFFFF"/>
        </w:rPr>
      </w:pPr>
      <w:r>
        <w:rPr>
          <w:shd w:val="clear" w:color="auto" w:fill="FFFFFF"/>
        </w:rPr>
        <w:t>Salomao, J. and Varela, L., 2022. Exchange rate exposure and firm dynamics. </w:t>
      </w:r>
      <w:r>
        <w:rPr>
          <w:i/>
          <w:iCs/>
          <w:shd w:val="clear" w:color="auto" w:fill="FFFFFF"/>
        </w:rPr>
        <w:t>The Review of Economic Studies</w:t>
      </w:r>
      <w:r>
        <w:rPr>
          <w:shd w:val="clear" w:color="auto" w:fill="FFFFFF"/>
        </w:rPr>
        <w:t>, </w:t>
      </w:r>
      <w:r>
        <w:rPr>
          <w:i/>
          <w:iCs/>
          <w:shd w:val="clear" w:color="auto" w:fill="FFFFFF"/>
        </w:rPr>
        <w:t>89</w:t>
      </w:r>
      <w:r>
        <w:rPr>
          <w:shd w:val="clear" w:color="auto" w:fill="FFFFFF"/>
        </w:rPr>
        <w:t>(1), pp.481-514.</w:t>
      </w:r>
    </w:p>
    <w:p w14:paraId="571EDD7F" w14:textId="77777777" w:rsidR="00196DA2" w:rsidRDefault="00196DA2" w:rsidP="00B957AE">
      <w:pPr>
        <w:spacing w:line="360" w:lineRule="auto"/>
        <w:rPr>
          <w:shd w:val="clear" w:color="auto" w:fill="FFFFFF"/>
        </w:rPr>
      </w:pPr>
      <w:proofErr w:type="spellStart"/>
      <w:r>
        <w:rPr>
          <w:shd w:val="clear" w:color="auto" w:fill="FFFFFF"/>
        </w:rPr>
        <w:t>Shiraya</w:t>
      </w:r>
      <w:proofErr w:type="spellEnd"/>
      <w:r>
        <w:rPr>
          <w:shd w:val="clear" w:color="auto" w:fill="FFFFFF"/>
        </w:rPr>
        <w:t>, K. and Takahashi, A., 2022. Pricing and Hedging of Long-Term Futures and Forward Contracts with a Three-Factor Model. In </w:t>
      </w:r>
      <w:r>
        <w:rPr>
          <w:i/>
          <w:iCs/>
          <w:shd w:val="clear" w:color="auto" w:fill="FFFFFF"/>
        </w:rPr>
        <w:t>Commodities</w:t>
      </w:r>
      <w:r>
        <w:rPr>
          <w:shd w:val="clear" w:color="auto" w:fill="FFFFFF"/>
        </w:rPr>
        <w:t> (pp. 49-72). Chapman and Hall/CRC.</w:t>
      </w:r>
    </w:p>
    <w:p w14:paraId="56242AAD" w14:textId="77777777" w:rsidR="00196DA2" w:rsidRDefault="00196DA2" w:rsidP="00B957AE">
      <w:pPr>
        <w:spacing w:line="360" w:lineRule="auto"/>
        <w:rPr>
          <w:shd w:val="clear" w:color="auto" w:fill="FFFFFF"/>
        </w:rPr>
      </w:pPr>
      <w:proofErr w:type="spellStart"/>
      <w:r>
        <w:rPr>
          <w:shd w:val="clear" w:color="auto" w:fill="FFFFFF"/>
        </w:rPr>
        <w:t>Thanekar</w:t>
      </w:r>
      <w:proofErr w:type="spellEnd"/>
      <w:r>
        <w:rPr>
          <w:shd w:val="clear" w:color="auto" w:fill="FFFFFF"/>
        </w:rPr>
        <w:t>, G.S. and Shaikh, Z.S., 2021, March. Hedging The Portfolio Using Options Strategies. In </w:t>
      </w:r>
      <w:r>
        <w:rPr>
          <w:i/>
          <w:iCs/>
          <w:shd w:val="clear" w:color="auto" w:fill="FFFFFF"/>
        </w:rPr>
        <w:t>2021 7th International Conference on Advanced Computing and Communication Systems (ICACCS)</w:t>
      </w:r>
      <w:r>
        <w:rPr>
          <w:shd w:val="clear" w:color="auto" w:fill="FFFFFF"/>
        </w:rPr>
        <w:t> (Vol. 1, pp. 586-591). IEEE.</w:t>
      </w:r>
    </w:p>
    <w:p w14:paraId="65613599" w14:textId="77777777" w:rsidR="00196DA2" w:rsidRDefault="00196DA2" w:rsidP="00B957AE">
      <w:pPr>
        <w:spacing w:line="360" w:lineRule="auto"/>
        <w:rPr>
          <w:shd w:val="clear" w:color="auto" w:fill="FFFFFF"/>
          <w:lang w:val="en" w:eastAsia="en-IN"/>
        </w:rPr>
      </w:pPr>
      <w:r>
        <w:rPr>
          <w:shd w:val="clear" w:color="auto" w:fill="FFFFFF"/>
        </w:rPr>
        <w:t>Yang, S., 2023. Analysis on Hedging and Risk Management of Options and Futures. </w:t>
      </w:r>
      <w:r>
        <w:rPr>
          <w:i/>
          <w:iCs/>
          <w:shd w:val="clear" w:color="auto" w:fill="FFFFFF"/>
        </w:rPr>
        <w:t>Highlights in Business, Economics and Management</w:t>
      </w:r>
      <w:r>
        <w:rPr>
          <w:shd w:val="clear" w:color="auto" w:fill="FFFFFF"/>
        </w:rPr>
        <w:t>, </w:t>
      </w:r>
      <w:r>
        <w:rPr>
          <w:i/>
          <w:iCs/>
          <w:shd w:val="clear" w:color="auto" w:fill="FFFFFF"/>
        </w:rPr>
        <w:t>15</w:t>
      </w:r>
      <w:r>
        <w:rPr>
          <w:shd w:val="clear" w:color="auto" w:fill="FFFFFF"/>
        </w:rPr>
        <w:t>, pp.273-280.</w:t>
      </w:r>
    </w:p>
    <w:p w14:paraId="2C74D30E" w14:textId="77777777" w:rsidR="002A704C" w:rsidRPr="00944658" w:rsidRDefault="002A704C" w:rsidP="00944658"/>
    <w:sectPr w:rsidR="002A704C" w:rsidRPr="00944658" w:rsidSect="00E375AF">
      <w:headerReference w:type="default" r:id="rId10"/>
      <w:head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CE693" w14:textId="77777777" w:rsidR="00E375AF" w:rsidRDefault="00E375AF">
      <w:pPr>
        <w:spacing w:after="0" w:line="240" w:lineRule="auto"/>
      </w:pPr>
      <w:r>
        <w:separator/>
      </w:r>
    </w:p>
  </w:endnote>
  <w:endnote w:type="continuationSeparator" w:id="0">
    <w:p w14:paraId="23EAF3F7" w14:textId="77777777" w:rsidR="00E375AF" w:rsidRDefault="00E37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89C58" w14:textId="77777777" w:rsidR="00E375AF" w:rsidRDefault="00E375AF">
      <w:pPr>
        <w:spacing w:after="0" w:line="240" w:lineRule="auto"/>
      </w:pPr>
      <w:r>
        <w:separator/>
      </w:r>
    </w:p>
  </w:footnote>
  <w:footnote w:type="continuationSeparator" w:id="0">
    <w:p w14:paraId="309325BA" w14:textId="77777777" w:rsidR="00E375AF" w:rsidRDefault="00E375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6CDD6" w14:textId="6C4E6C0C" w:rsidR="00E76162" w:rsidRDefault="00E416DA" w:rsidP="00DE4E02">
    <w:pPr>
      <w:pStyle w:val="Header"/>
      <w:jc w:val="center"/>
    </w:pPr>
    <w:r>
      <w:rPr>
        <w:noProof/>
      </w:rPr>
      <w:drawing>
        <wp:anchor distT="0" distB="0" distL="114300" distR="114300" simplePos="0" relativeHeight="251662336" behindDoc="0" locked="0" layoutInCell="1" allowOverlap="1" wp14:anchorId="17940B7D" wp14:editId="43769AF1">
          <wp:simplePos x="0" y="0"/>
          <wp:positionH relativeFrom="margin">
            <wp:align>center</wp:align>
          </wp:positionH>
          <wp:positionV relativeFrom="paragraph">
            <wp:posOffset>-251460</wp:posOffset>
          </wp:positionV>
          <wp:extent cx="2857143" cy="571429"/>
          <wp:effectExtent l="0" t="0" r="635" b="635"/>
          <wp:wrapSquare wrapText="bothSides"/>
          <wp:docPr id="911953046"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953046" name="Picture 2" descr="A black background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anchor>
      </w:drawing>
    </w:r>
    <w:r w:rsidR="00E76162">
      <w:rPr>
        <w:noProof/>
      </w:rPr>
      <mc:AlternateContent>
        <mc:Choice Requires="wps">
          <w:drawing>
            <wp:anchor distT="0" distB="0" distL="114300" distR="114300" simplePos="0" relativeHeight="251660288" behindDoc="0" locked="0" layoutInCell="0" allowOverlap="1" wp14:anchorId="28D23B57" wp14:editId="01993C70">
              <wp:simplePos x="0" y="0"/>
              <wp:positionH relativeFrom="margin">
                <wp:align>right</wp:align>
              </wp:positionH>
              <wp:positionV relativeFrom="topMargin">
                <wp:posOffset>304800</wp:posOffset>
              </wp:positionV>
              <wp:extent cx="5943600" cy="304800"/>
              <wp:effectExtent l="0" t="0" r="0" b="0"/>
              <wp:wrapNone/>
              <wp:docPr id="22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A40DF8" w14:textId="77777777" w:rsidR="00E76162" w:rsidRDefault="00E76162">
                          <w:pPr>
                            <w:spacing w:after="0" w:line="240" w:lineRule="auto"/>
                            <w:jc w:val="right"/>
                            <w:rPr>
                              <w:noProof/>
                            </w:rPr>
                          </w:pPr>
                        </w:p>
                      </w:txbxContent>
                    </wps:txbx>
                    <wps:bodyPr rot="0" vert="horz" wrap="square" lIns="91440" tIns="0" rIns="91440" bIns="0" anchor="ctr" anchorCtr="0" upright="1">
                      <a:noAutofit/>
                    </wps:bodyPr>
                  </wps:wsp>
                </a:graphicData>
              </a:graphic>
              <wp14:sizeRelH relativeFrom="margin">
                <wp14:pctWidth>100000</wp14:pctWidth>
              </wp14:sizeRelH>
              <wp14:sizeRelV relativeFrom="page">
                <wp14:pctHeight>0</wp14:pctHeight>
              </wp14:sizeRelV>
            </wp:anchor>
          </w:drawing>
        </mc:Choice>
        <mc:Fallback>
          <w:pict>
            <v:shapetype w14:anchorId="28D23B57" id="_x0000_t202" coordsize="21600,21600" o:spt="202" path="m,l,21600r21600,l21600,xe">
              <v:stroke joinstyle="miter"/>
              <v:path gradientshapeok="t" o:connecttype="rect"/>
            </v:shapetype>
            <v:shape id="Text Box 70" o:spid="_x0000_s1026" type="#_x0000_t202" style="position:absolute;left:0;text-align:left;margin-left:416.8pt;margin-top:24pt;width:468pt;height:24pt;z-index:251660288;visibility:visible;mso-wrap-style:square;mso-width-percent:1000;mso-height-percent:0;mso-wrap-distance-left:9pt;mso-wrap-distance-top:0;mso-wrap-distance-right:9pt;mso-wrap-distance-bottom:0;mso-position-horizontal:right;mso-position-horizontal-relative:margin;mso-position-vertical:absolute;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" o:allowincell="f" filled="f" stroked="f">
              <v:textbox inset=",0,,0">
                <w:txbxContent>
                  <w:p w14:paraId="5CA40DF8" w14:textId="77777777" w:rsidR="00E76162" w:rsidRDefault="00E76162">
                    <w:pPr>
                      <w:spacing w:after="0" w:line="240" w:lineRule="auto"/>
                      <w:jc w:val="right"/>
                      <w:rPr>
                        <w:noProof/>
                      </w:rPr>
                    </w:pP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2501B" w14:textId="067BE9F4" w:rsidR="00E76162" w:rsidRDefault="000A0800" w:rsidP="000A0800">
    <w:pPr>
      <w:spacing w:after="0" w:line="240" w:lineRule="auto"/>
      <w:jc w:val="center"/>
      <w:rPr>
        <w:noProof/>
      </w:rPr>
    </w:pPr>
    <w:r>
      <w:rPr>
        <w:noProof/>
      </w:rPr>
      <w:drawing>
        <wp:anchor distT="0" distB="0" distL="114300" distR="114300" simplePos="0" relativeHeight="251661312" behindDoc="1" locked="0" layoutInCell="1" allowOverlap="1" wp14:anchorId="5ACADE07" wp14:editId="2BB4EC9E">
          <wp:simplePos x="0" y="0"/>
          <wp:positionH relativeFrom="margin">
            <wp:align>center</wp:align>
          </wp:positionH>
          <wp:positionV relativeFrom="paragraph">
            <wp:posOffset>-274320</wp:posOffset>
          </wp:positionV>
          <wp:extent cx="2856865" cy="570865"/>
          <wp:effectExtent l="0" t="0" r="635" b="635"/>
          <wp:wrapSquare wrapText="bothSides"/>
          <wp:docPr id="676194231" name="Picture 3"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194231" name="Picture 3" descr="A black background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856865" cy="570865"/>
                  </a:xfrm>
                  <a:prstGeom prst="rect">
                    <a:avLst/>
                  </a:prstGeom>
                </pic:spPr>
              </pic:pic>
            </a:graphicData>
          </a:graphic>
        </wp:anchor>
      </w:drawing>
    </w:r>
  </w:p>
  <w:p w14:paraId="5127FFD6" w14:textId="77777777" w:rsidR="00E76162" w:rsidRDefault="00E76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4F48C8"/>
    <w:multiLevelType w:val="hybridMultilevel"/>
    <w:tmpl w:val="E6AC034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FE2313E"/>
    <w:multiLevelType w:val="hybridMultilevel"/>
    <w:tmpl w:val="3FEA814C"/>
    <w:lvl w:ilvl="0" w:tplc="0809000B">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16cid:durableId="1214925112">
    <w:abstractNumId w:val="1"/>
  </w:num>
  <w:num w:numId="2" w16cid:durableId="1564486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A1E"/>
    <w:rsid w:val="000131F4"/>
    <w:rsid w:val="00017192"/>
    <w:rsid w:val="000227D2"/>
    <w:rsid w:val="00036485"/>
    <w:rsid w:val="00036F00"/>
    <w:rsid w:val="0003728E"/>
    <w:rsid w:val="00040685"/>
    <w:rsid w:val="00060C08"/>
    <w:rsid w:val="00064DDC"/>
    <w:rsid w:val="00067761"/>
    <w:rsid w:val="000677E4"/>
    <w:rsid w:val="000701BD"/>
    <w:rsid w:val="00071209"/>
    <w:rsid w:val="0007656A"/>
    <w:rsid w:val="00086668"/>
    <w:rsid w:val="00086ECB"/>
    <w:rsid w:val="000908F3"/>
    <w:rsid w:val="00093B92"/>
    <w:rsid w:val="00094B8B"/>
    <w:rsid w:val="00094BAA"/>
    <w:rsid w:val="000A0800"/>
    <w:rsid w:val="000B0B40"/>
    <w:rsid w:val="000B1E75"/>
    <w:rsid w:val="000B3077"/>
    <w:rsid w:val="000B6F58"/>
    <w:rsid w:val="000B7C2C"/>
    <w:rsid w:val="000C2E3A"/>
    <w:rsid w:val="000D09D5"/>
    <w:rsid w:val="000D53DE"/>
    <w:rsid w:val="000D7520"/>
    <w:rsid w:val="000E1400"/>
    <w:rsid w:val="000E1837"/>
    <w:rsid w:val="000F2B54"/>
    <w:rsid w:val="000F34CD"/>
    <w:rsid w:val="000F66DE"/>
    <w:rsid w:val="000F7AE8"/>
    <w:rsid w:val="00100B66"/>
    <w:rsid w:val="00106012"/>
    <w:rsid w:val="00110378"/>
    <w:rsid w:val="00110BC4"/>
    <w:rsid w:val="001115D1"/>
    <w:rsid w:val="00112261"/>
    <w:rsid w:val="00113438"/>
    <w:rsid w:val="0011445F"/>
    <w:rsid w:val="00117C1C"/>
    <w:rsid w:val="00133904"/>
    <w:rsid w:val="00134E57"/>
    <w:rsid w:val="0013581E"/>
    <w:rsid w:val="00140E73"/>
    <w:rsid w:val="0014647E"/>
    <w:rsid w:val="001520E5"/>
    <w:rsid w:val="00155278"/>
    <w:rsid w:val="00170F53"/>
    <w:rsid w:val="00171E20"/>
    <w:rsid w:val="001919E0"/>
    <w:rsid w:val="001937A9"/>
    <w:rsid w:val="0019644E"/>
    <w:rsid w:val="00196DA2"/>
    <w:rsid w:val="001A1756"/>
    <w:rsid w:val="001A2E64"/>
    <w:rsid w:val="001A5141"/>
    <w:rsid w:val="001A5164"/>
    <w:rsid w:val="001B2178"/>
    <w:rsid w:val="001B409F"/>
    <w:rsid w:val="001B428E"/>
    <w:rsid w:val="001C7B23"/>
    <w:rsid w:val="001D3EDB"/>
    <w:rsid w:val="001D4DB6"/>
    <w:rsid w:val="001D6DC0"/>
    <w:rsid w:val="001D70E6"/>
    <w:rsid w:val="001E29E4"/>
    <w:rsid w:val="001F261E"/>
    <w:rsid w:val="001F451B"/>
    <w:rsid w:val="001F5BA7"/>
    <w:rsid w:val="001F79A8"/>
    <w:rsid w:val="002040CB"/>
    <w:rsid w:val="0020570C"/>
    <w:rsid w:val="00205D6B"/>
    <w:rsid w:val="0022139A"/>
    <w:rsid w:val="00222E95"/>
    <w:rsid w:val="002244BA"/>
    <w:rsid w:val="00224802"/>
    <w:rsid w:val="002268DF"/>
    <w:rsid w:val="00226AC1"/>
    <w:rsid w:val="00226CCB"/>
    <w:rsid w:val="0023002B"/>
    <w:rsid w:val="00234830"/>
    <w:rsid w:val="00242155"/>
    <w:rsid w:val="0024271F"/>
    <w:rsid w:val="00242B41"/>
    <w:rsid w:val="0024573F"/>
    <w:rsid w:val="00260B42"/>
    <w:rsid w:val="00261470"/>
    <w:rsid w:val="00263592"/>
    <w:rsid w:val="00273BF0"/>
    <w:rsid w:val="00274815"/>
    <w:rsid w:val="00282FA6"/>
    <w:rsid w:val="002864E4"/>
    <w:rsid w:val="002A0CDC"/>
    <w:rsid w:val="002A22E2"/>
    <w:rsid w:val="002A63ED"/>
    <w:rsid w:val="002A704C"/>
    <w:rsid w:val="002B07D1"/>
    <w:rsid w:val="002B46F5"/>
    <w:rsid w:val="002C1F38"/>
    <w:rsid w:val="002C4D84"/>
    <w:rsid w:val="002D01E8"/>
    <w:rsid w:val="002D5AA9"/>
    <w:rsid w:val="002E7DE7"/>
    <w:rsid w:val="002F1AD0"/>
    <w:rsid w:val="002F4D9E"/>
    <w:rsid w:val="002F7073"/>
    <w:rsid w:val="00305766"/>
    <w:rsid w:val="00306CB3"/>
    <w:rsid w:val="00311730"/>
    <w:rsid w:val="003255BB"/>
    <w:rsid w:val="00332587"/>
    <w:rsid w:val="00337CC9"/>
    <w:rsid w:val="0035252F"/>
    <w:rsid w:val="0035411F"/>
    <w:rsid w:val="003606C9"/>
    <w:rsid w:val="0036512A"/>
    <w:rsid w:val="00365D50"/>
    <w:rsid w:val="00377F38"/>
    <w:rsid w:val="00390EB5"/>
    <w:rsid w:val="00390F77"/>
    <w:rsid w:val="00393E30"/>
    <w:rsid w:val="003963E0"/>
    <w:rsid w:val="003A6C7D"/>
    <w:rsid w:val="003B3CF3"/>
    <w:rsid w:val="003B7AA2"/>
    <w:rsid w:val="003C6FD8"/>
    <w:rsid w:val="003D19E0"/>
    <w:rsid w:val="003E5AD7"/>
    <w:rsid w:val="003E5D51"/>
    <w:rsid w:val="003E74E0"/>
    <w:rsid w:val="003F5420"/>
    <w:rsid w:val="00401838"/>
    <w:rsid w:val="00403E1F"/>
    <w:rsid w:val="004076A1"/>
    <w:rsid w:val="004110A4"/>
    <w:rsid w:val="004236D9"/>
    <w:rsid w:val="0044232A"/>
    <w:rsid w:val="0044276C"/>
    <w:rsid w:val="0044582F"/>
    <w:rsid w:val="00452985"/>
    <w:rsid w:val="00452B31"/>
    <w:rsid w:val="00454997"/>
    <w:rsid w:val="00454CE7"/>
    <w:rsid w:val="0045767E"/>
    <w:rsid w:val="00457BC0"/>
    <w:rsid w:val="00461DB5"/>
    <w:rsid w:val="004629A2"/>
    <w:rsid w:val="00466878"/>
    <w:rsid w:val="00466C4A"/>
    <w:rsid w:val="0047164F"/>
    <w:rsid w:val="0047451C"/>
    <w:rsid w:val="00483081"/>
    <w:rsid w:val="00486911"/>
    <w:rsid w:val="00487B03"/>
    <w:rsid w:val="004A0534"/>
    <w:rsid w:val="004A3603"/>
    <w:rsid w:val="004A4959"/>
    <w:rsid w:val="004A661D"/>
    <w:rsid w:val="004B11E7"/>
    <w:rsid w:val="004B62D6"/>
    <w:rsid w:val="004C0962"/>
    <w:rsid w:val="004C4D47"/>
    <w:rsid w:val="004C5FE0"/>
    <w:rsid w:val="004D05DD"/>
    <w:rsid w:val="004D1278"/>
    <w:rsid w:val="004D3D62"/>
    <w:rsid w:val="004D4CE6"/>
    <w:rsid w:val="004F1D2F"/>
    <w:rsid w:val="004F2169"/>
    <w:rsid w:val="004F4965"/>
    <w:rsid w:val="004F509F"/>
    <w:rsid w:val="00504376"/>
    <w:rsid w:val="005078C7"/>
    <w:rsid w:val="00507920"/>
    <w:rsid w:val="0051177A"/>
    <w:rsid w:val="005156D5"/>
    <w:rsid w:val="00521C5D"/>
    <w:rsid w:val="005220F6"/>
    <w:rsid w:val="0053174E"/>
    <w:rsid w:val="00540665"/>
    <w:rsid w:val="005435D1"/>
    <w:rsid w:val="00547347"/>
    <w:rsid w:val="00557016"/>
    <w:rsid w:val="0056461F"/>
    <w:rsid w:val="005735E4"/>
    <w:rsid w:val="00574835"/>
    <w:rsid w:val="00581E86"/>
    <w:rsid w:val="005865D8"/>
    <w:rsid w:val="00592611"/>
    <w:rsid w:val="00592F6D"/>
    <w:rsid w:val="005A30E5"/>
    <w:rsid w:val="005A636E"/>
    <w:rsid w:val="005B3F93"/>
    <w:rsid w:val="005C423D"/>
    <w:rsid w:val="005C5026"/>
    <w:rsid w:val="005D0914"/>
    <w:rsid w:val="005D4F8F"/>
    <w:rsid w:val="005D67DF"/>
    <w:rsid w:val="005E6C20"/>
    <w:rsid w:val="005F2325"/>
    <w:rsid w:val="006061AB"/>
    <w:rsid w:val="00613B82"/>
    <w:rsid w:val="006217AB"/>
    <w:rsid w:val="006277AA"/>
    <w:rsid w:val="0063036D"/>
    <w:rsid w:val="00632A93"/>
    <w:rsid w:val="006340ED"/>
    <w:rsid w:val="00641B85"/>
    <w:rsid w:val="00643D4F"/>
    <w:rsid w:val="00644B82"/>
    <w:rsid w:val="00652C0F"/>
    <w:rsid w:val="00654DD4"/>
    <w:rsid w:val="0065662B"/>
    <w:rsid w:val="00665ACF"/>
    <w:rsid w:val="00667679"/>
    <w:rsid w:val="00673953"/>
    <w:rsid w:val="00675029"/>
    <w:rsid w:val="00682502"/>
    <w:rsid w:val="00682549"/>
    <w:rsid w:val="0068273C"/>
    <w:rsid w:val="006834E9"/>
    <w:rsid w:val="006857CF"/>
    <w:rsid w:val="006863BA"/>
    <w:rsid w:val="006923F6"/>
    <w:rsid w:val="006955AC"/>
    <w:rsid w:val="006A1700"/>
    <w:rsid w:val="006B1FE3"/>
    <w:rsid w:val="006C4330"/>
    <w:rsid w:val="006C72E2"/>
    <w:rsid w:val="006D16EF"/>
    <w:rsid w:val="006D1DA3"/>
    <w:rsid w:val="006D2248"/>
    <w:rsid w:val="006D2DA4"/>
    <w:rsid w:val="006D6EC4"/>
    <w:rsid w:val="006E46E8"/>
    <w:rsid w:val="006E5B9B"/>
    <w:rsid w:val="006F652D"/>
    <w:rsid w:val="00702DB7"/>
    <w:rsid w:val="0070537B"/>
    <w:rsid w:val="007065F8"/>
    <w:rsid w:val="00712DCC"/>
    <w:rsid w:val="00725330"/>
    <w:rsid w:val="0072695E"/>
    <w:rsid w:val="0072700F"/>
    <w:rsid w:val="0073042A"/>
    <w:rsid w:val="00730D1A"/>
    <w:rsid w:val="00734B17"/>
    <w:rsid w:val="00735835"/>
    <w:rsid w:val="00737D24"/>
    <w:rsid w:val="007469EC"/>
    <w:rsid w:val="00750ECD"/>
    <w:rsid w:val="00751096"/>
    <w:rsid w:val="007526F3"/>
    <w:rsid w:val="007605B3"/>
    <w:rsid w:val="00760F96"/>
    <w:rsid w:val="00763098"/>
    <w:rsid w:val="00765D50"/>
    <w:rsid w:val="0077035B"/>
    <w:rsid w:val="007729A4"/>
    <w:rsid w:val="00775174"/>
    <w:rsid w:val="00785639"/>
    <w:rsid w:val="00785AB9"/>
    <w:rsid w:val="007870CE"/>
    <w:rsid w:val="007909F0"/>
    <w:rsid w:val="00792977"/>
    <w:rsid w:val="007929B4"/>
    <w:rsid w:val="00793B40"/>
    <w:rsid w:val="00793DCA"/>
    <w:rsid w:val="00794DB0"/>
    <w:rsid w:val="007A11ED"/>
    <w:rsid w:val="007A51BB"/>
    <w:rsid w:val="007B0C1E"/>
    <w:rsid w:val="007B13AB"/>
    <w:rsid w:val="007B1EB0"/>
    <w:rsid w:val="007B27CA"/>
    <w:rsid w:val="007B2F35"/>
    <w:rsid w:val="007B4F63"/>
    <w:rsid w:val="007B7D67"/>
    <w:rsid w:val="007C280F"/>
    <w:rsid w:val="007C53E0"/>
    <w:rsid w:val="007D32B9"/>
    <w:rsid w:val="007D4B37"/>
    <w:rsid w:val="007D5390"/>
    <w:rsid w:val="007F0E82"/>
    <w:rsid w:val="007F17ED"/>
    <w:rsid w:val="007F23D1"/>
    <w:rsid w:val="0080330C"/>
    <w:rsid w:val="0080461C"/>
    <w:rsid w:val="0081062D"/>
    <w:rsid w:val="0081360A"/>
    <w:rsid w:val="008144B1"/>
    <w:rsid w:val="00816478"/>
    <w:rsid w:val="00816C25"/>
    <w:rsid w:val="00817064"/>
    <w:rsid w:val="008172E6"/>
    <w:rsid w:val="00821A12"/>
    <w:rsid w:val="00822A32"/>
    <w:rsid w:val="0082420D"/>
    <w:rsid w:val="00827344"/>
    <w:rsid w:val="00827BDD"/>
    <w:rsid w:val="00833CC7"/>
    <w:rsid w:val="0083451D"/>
    <w:rsid w:val="0083476F"/>
    <w:rsid w:val="00842B37"/>
    <w:rsid w:val="00846361"/>
    <w:rsid w:val="008505B7"/>
    <w:rsid w:val="008544F6"/>
    <w:rsid w:val="00857262"/>
    <w:rsid w:val="00861E3F"/>
    <w:rsid w:val="0086349E"/>
    <w:rsid w:val="00864B70"/>
    <w:rsid w:val="00865929"/>
    <w:rsid w:val="00871E23"/>
    <w:rsid w:val="00873E60"/>
    <w:rsid w:val="008740B5"/>
    <w:rsid w:val="008741A7"/>
    <w:rsid w:val="0089193E"/>
    <w:rsid w:val="008923AB"/>
    <w:rsid w:val="00892C68"/>
    <w:rsid w:val="00893C9C"/>
    <w:rsid w:val="008A3416"/>
    <w:rsid w:val="008B1A14"/>
    <w:rsid w:val="008B210B"/>
    <w:rsid w:val="008B422A"/>
    <w:rsid w:val="008B46DB"/>
    <w:rsid w:val="008B4937"/>
    <w:rsid w:val="008B5CB5"/>
    <w:rsid w:val="008B6EB6"/>
    <w:rsid w:val="008E4F8C"/>
    <w:rsid w:val="008E7282"/>
    <w:rsid w:val="008F0154"/>
    <w:rsid w:val="008F2784"/>
    <w:rsid w:val="008F293C"/>
    <w:rsid w:val="008F40A2"/>
    <w:rsid w:val="008F77AA"/>
    <w:rsid w:val="00904AD1"/>
    <w:rsid w:val="00914687"/>
    <w:rsid w:val="00914CE3"/>
    <w:rsid w:val="00920D2A"/>
    <w:rsid w:val="009235AE"/>
    <w:rsid w:val="00924366"/>
    <w:rsid w:val="00933B7F"/>
    <w:rsid w:val="009440DB"/>
    <w:rsid w:val="00944658"/>
    <w:rsid w:val="00950214"/>
    <w:rsid w:val="009558B6"/>
    <w:rsid w:val="00964D4C"/>
    <w:rsid w:val="009672E3"/>
    <w:rsid w:val="009811E4"/>
    <w:rsid w:val="0098298F"/>
    <w:rsid w:val="0098327A"/>
    <w:rsid w:val="009849EF"/>
    <w:rsid w:val="009955F4"/>
    <w:rsid w:val="0099799D"/>
    <w:rsid w:val="009A3080"/>
    <w:rsid w:val="009A5FFD"/>
    <w:rsid w:val="009A6F64"/>
    <w:rsid w:val="009B10AF"/>
    <w:rsid w:val="009B37EA"/>
    <w:rsid w:val="009B5570"/>
    <w:rsid w:val="009B77D9"/>
    <w:rsid w:val="009C2DFE"/>
    <w:rsid w:val="009D0026"/>
    <w:rsid w:val="009D1F3E"/>
    <w:rsid w:val="009D237B"/>
    <w:rsid w:val="009D337D"/>
    <w:rsid w:val="009D78F5"/>
    <w:rsid w:val="009E2A79"/>
    <w:rsid w:val="009E51AE"/>
    <w:rsid w:val="00A0181F"/>
    <w:rsid w:val="00A0452E"/>
    <w:rsid w:val="00A04E88"/>
    <w:rsid w:val="00A05D10"/>
    <w:rsid w:val="00A13348"/>
    <w:rsid w:val="00A15E2D"/>
    <w:rsid w:val="00A20842"/>
    <w:rsid w:val="00A231C8"/>
    <w:rsid w:val="00A26914"/>
    <w:rsid w:val="00A30519"/>
    <w:rsid w:val="00A30C40"/>
    <w:rsid w:val="00A46697"/>
    <w:rsid w:val="00A529D1"/>
    <w:rsid w:val="00A57C31"/>
    <w:rsid w:val="00A605B2"/>
    <w:rsid w:val="00A62CF7"/>
    <w:rsid w:val="00A707A3"/>
    <w:rsid w:val="00A71C46"/>
    <w:rsid w:val="00A73894"/>
    <w:rsid w:val="00A73A30"/>
    <w:rsid w:val="00A8538C"/>
    <w:rsid w:val="00A91F2F"/>
    <w:rsid w:val="00A91F53"/>
    <w:rsid w:val="00A95334"/>
    <w:rsid w:val="00A96252"/>
    <w:rsid w:val="00AA5972"/>
    <w:rsid w:val="00AA5DE0"/>
    <w:rsid w:val="00AA6E18"/>
    <w:rsid w:val="00AB3A71"/>
    <w:rsid w:val="00AB4BDE"/>
    <w:rsid w:val="00AB7F9E"/>
    <w:rsid w:val="00AC177C"/>
    <w:rsid w:val="00AC2BF3"/>
    <w:rsid w:val="00AC6A9E"/>
    <w:rsid w:val="00AD077C"/>
    <w:rsid w:val="00AD3AF7"/>
    <w:rsid w:val="00AD4810"/>
    <w:rsid w:val="00AD6C5B"/>
    <w:rsid w:val="00AF068E"/>
    <w:rsid w:val="00AF45DE"/>
    <w:rsid w:val="00B00619"/>
    <w:rsid w:val="00B04E31"/>
    <w:rsid w:val="00B13180"/>
    <w:rsid w:val="00B1700D"/>
    <w:rsid w:val="00B207E3"/>
    <w:rsid w:val="00B21300"/>
    <w:rsid w:val="00B2403C"/>
    <w:rsid w:val="00B27B00"/>
    <w:rsid w:val="00B30862"/>
    <w:rsid w:val="00B30BF3"/>
    <w:rsid w:val="00B36568"/>
    <w:rsid w:val="00B37454"/>
    <w:rsid w:val="00B423A3"/>
    <w:rsid w:val="00B452BC"/>
    <w:rsid w:val="00B45D4E"/>
    <w:rsid w:val="00B50FB8"/>
    <w:rsid w:val="00B51D0C"/>
    <w:rsid w:val="00B521A1"/>
    <w:rsid w:val="00B55712"/>
    <w:rsid w:val="00B6786A"/>
    <w:rsid w:val="00B80AAC"/>
    <w:rsid w:val="00B828EC"/>
    <w:rsid w:val="00B82B93"/>
    <w:rsid w:val="00B93754"/>
    <w:rsid w:val="00B93824"/>
    <w:rsid w:val="00B957AE"/>
    <w:rsid w:val="00BA1837"/>
    <w:rsid w:val="00BA4285"/>
    <w:rsid w:val="00BB2E24"/>
    <w:rsid w:val="00BB31FD"/>
    <w:rsid w:val="00BB564D"/>
    <w:rsid w:val="00BC45CA"/>
    <w:rsid w:val="00BC4639"/>
    <w:rsid w:val="00BD155A"/>
    <w:rsid w:val="00BD271E"/>
    <w:rsid w:val="00BD5B08"/>
    <w:rsid w:val="00BE00E8"/>
    <w:rsid w:val="00BE332B"/>
    <w:rsid w:val="00BE3B8A"/>
    <w:rsid w:val="00BE4773"/>
    <w:rsid w:val="00C0207D"/>
    <w:rsid w:val="00C0712C"/>
    <w:rsid w:val="00C07EB9"/>
    <w:rsid w:val="00C07F9E"/>
    <w:rsid w:val="00C10043"/>
    <w:rsid w:val="00C135A6"/>
    <w:rsid w:val="00C13AFC"/>
    <w:rsid w:val="00C13B05"/>
    <w:rsid w:val="00C16255"/>
    <w:rsid w:val="00C17860"/>
    <w:rsid w:val="00C22242"/>
    <w:rsid w:val="00C24F27"/>
    <w:rsid w:val="00C355D7"/>
    <w:rsid w:val="00C358CC"/>
    <w:rsid w:val="00C41917"/>
    <w:rsid w:val="00C54345"/>
    <w:rsid w:val="00C55B01"/>
    <w:rsid w:val="00C56917"/>
    <w:rsid w:val="00C60A8A"/>
    <w:rsid w:val="00C667D5"/>
    <w:rsid w:val="00C84A38"/>
    <w:rsid w:val="00C8610E"/>
    <w:rsid w:val="00C935A6"/>
    <w:rsid w:val="00C93F89"/>
    <w:rsid w:val="00C94FFF"/>
    <w:rsid w:val="00C95BB3"/>
    <w:rsid w:val="00CA12F3"/>
    <w:rsid w:val="00CA289E"/>
    <w:rsid w:val="00CA4B25"/>
    <w:rsid w:val="00CA5D31"/>
    <w:rsid w:val="00CA5DED"/>
    <w:rsid w:val="00CB2FB4"/>
    <w:rsid w:val="00CC2786"/>
    <w:rsid w:val="00CC4AEF"/>
    <w:rsid w:val="00CD0E24"/>
    <w:rsid w:val="00CD3700"/>
    <w:rsid w:val="00CD6620"/>
    <w:rsid w:val="00CD7755"/>
    <w:rsid w:val="00CE6AA0"/>
    <w:rsid w:val="00CF43D6"/>
    <w:rsid w:val="00CF50C1"/>
    <w:rsid w:val="00CF543C"/>
    <w:rsid w:val="00D02FC5"/>
    <w:rsid w:val="00D07810"/>
    <w:rsid w:val="00D112ED"/>
    <w:rsid w:val="00D13A1E"/>
    <w:rsid w:val="00D13F16"/>
    <w:rsid w:val="00D15F7C"/>
    <w:rsid w:val="00D178B9"/>
    <w:rsid w:val="00D2077A"/>
    <w:rsid w:val="00D21405"/>
    <w:rsid w:val="00D254CD"/>
    <w:rsid w:val="00D3095F"/>
    <w:rsid w:val="00D30BC2"/>
    <w:rsid w:val="00D312F0"/>
    <w:rsid w:val="00D325AF"/>
    <w:rsid w:val="00D33A2E"/>
    <w:rsid w:val="00D40AEA"/>
    <w:rsid w:val="00D52E58"/>
    <w:rsid w:val="00D54E18"/>
    <w:rsid w:val="00D61CE2"/>
    <w:rsid w:val="00D66DC3"/>
    <w:rsid w:val="00D71D59"/>
    <w:rsid w:val="00D73D03"/>
    <w:rsid w:val="00D73E0C"/>
    <w:rsid w:val="00D76B3A"/>
    <w:rsid w:val="00D81EAB"/>
    <w:rsid w:val="00D839AF"/>
    <w:rsid w:val="00D96CD2"/>
    <w:rsid w:val="00DA179F"/>
    <w:rsid w:val="00DB1D0C"/>
    <w:rsid w:val="00DB3DA4"/>
    <w:rsid w:val="00DB53D2"/>
    <w:rsid w:val="00DB7F54"/>
    <w:rsid w:val="00DC5BEE"/>
    <w:rsid w:val="00DE1E52"/>
    <w:rsid w:val="00DE4E02"/>
    <w:rsid w:val="00DF4ED4"/>
    <w:rsid w:val="00E034CD"/>
    <w:rsid w:val="00E03BE3"/>
    <w:rsid w:val="00E05856"/>
    <w:rsid w:val="00E05D5C"/>
    <w:rsid w:val="00E06722"/>
    <w:rsid w:val="00E14DC0"/>
    <w:rsid w:val="00E17749"/>
    <w:rsid w:val="00E326FD"/>
    <w:rsid w:val="00E32889"/>
    <w:rsid w:val="00E3337D"/>
    <w:rsid w:val="00E35D5E"/>
    <w:rsid w:val="00E3688D"/>
    <w:rsid w:val="00E375AF"/>
    <w:rsid w:val="00E416DA"/>
    <w:rsid w:val="00E43F7B"/>
    <w:rsid w:val="00E51395"/>
    <w:rsid w:val="00E57E38"/>
    <w:rsid w:val="00E6023F"/>
    <w:rsid w:val="00E603ED"/>
    <w:rsid w:val="00E76162"/>
    <w:rsid w:val="00E82CA7"/>
    <w:rsid w:val="00E83396"/>
    <w:rsid w:val="00E83DC1"/>
    <w:rsid w:val="00E85016"/>
    <w:rsid w:val="00E879DE"/>
    <w:rsid w:val="00E93A1B"/>
    <w:rsid w:val="00E93B1F"/>
    <w:rsid w:val="00EA0F47"/>
    <w:rsid w:val="00EA51EC"/>
    <w:rsid w:val="00EB1465"/>
    <w:rsid w:val="00EB2E44"/>
    <w:rsid w:val="00EB3535"/>
    <w:rsid w:val="00EB62B7"/>
    <w:rsid w:val="00EC2924"/>
    <w:rsid w:val="00EC3FE6"/>
    <w:rsid w:val="00EC5060"/>
    <w:rsid w:val="00ED2071"/>
    <w:rsid w:val="00ED713B"/>
    <w:rsid w:val="00EE3BA0"/>
    <w:rsid w:val="00EE56DB"/>
    <w:rsid w:val="00EF1828"/>
    <w:rsid w:val="00F0037A"/>
    <w:rsid w:val="00F02F99"/>
    <w:rsid w:val="00F0423D"/>
    <w:rsid w:val="00F06AEE"/>
    <w:rsid w:val="00F10BEC"/>
    <w:rsid w:val="00F1493D"/>
    <w:rsid w:val="00F15654"/>
    <w:rsid w:val="00F16BC4"/>
    <w:rsid w:val="00F212CB"/>
    <w:rsid w:val="00F22386"/>
    <w:rsid w:val="00F32473"/>
    <w:rsid w:val="00F36F79"/>
    <w:rsid w:val="00F37992"/>
    <w:rsid w:val="00F509E3"/>
    <w:rsid w:val="00F54473"/>
    <w:rsid w:val="00F70918"/>
    <w:rsid w:val="00F709FD"/>
    <w:rsid w:val="00F710E9"/>
    <w:rsid w:val="00F73C03"/>
    <w:rsid w:val="00F77A0C"/>
    <w:rsid w:val="00F77E8A"/>
    <w:rsid w:val="00F803BC"/>
    <w:rsid w:val="00F80402"/>
    <w:rsid w:val="00F8280F"/>
    <w:rsid w:val="00F84F96"/>
    <w:rsid w:val="00F86AED"/>
    <w:rsid w:val="00F904DE"/>
    <w:rsid w:val="00F91658"/>
    <w:rsid w:val="00F93117"/>
    <w:rsid w:val="00F9367C"/>
    <w:rsid w:val="00F93F42"/>
    <w:rsid w:val="00F97B1A"/>
    <w:rsid w:val="00FA1CEE"/>
    <w:rsid w:val="00FA1DFB"/>
    <w:rsid w:val="00FA74EE"/>
    <w:rsid w:val="00FB6969"/>
    <w:rsid w:val="00FD211C"/>
    <w:rsid w:val="00FD2E82"/>
    <w:rsid w:val="00FD4092"/>
    <w:rsid w:val="00FE1249"/>
    <w:rsid w:val="00FE6C73"/>
    <w:rsid w:val="00FE72FA"/>
    <w:rsid w:val="00FF2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045FB"/>
  <w15:chartTrackingRefBased/>
  <w15:docId w15:val="{1E2AE8F7-C3A3-4BFE-A730-06ADE10BA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3438"/>
    <w:pPr>
      <w:spacing w:line="480" w:lineRule="auto"/>
      <w:ind w:firstLine="720"/>
      <w:jc w:val="both"/>
    </w:pPr>
    <w:rPr>
      <w:rFonts w:ascii="Times New Roman" w:hAnsi="Times New Roman"/>
      <w:sz w:val="24"/>
    </w:rPr>
  </w:style>
  <w:style w:type="paragraph" w:styleId="Heading1">
    <w:name w:val="heading 1"/>
    <w:basedOn w:val="Normal"/>
    <w:next w:val="Normal"/>
    <w:link w:val="Heading1Char"/>
    <w:uiPriority w:val="9"/>
    <w:qFormat/>
    <w:rsid w:val="00113438"/>
    <w:pPr>
      <w:keepNext/>
      <w:keepLines/>
      <w:spacing w:before="240" w:after="0"/>
      <w:ind w:firstLine="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F84F9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438"/>
    <w:rPr>
      <w:rFonts w:ascii="Times New Roman" w:eastAsiaTheme="majorEastAsia" w:hAnsi="Times New Roman" w:cstheme="majorBidi"/>
      <w:b/>
      <w:sz w:val="28"/>
      <w:szCs w:val="32"/>
    </w:rPr>
  </w:style>
  <w:style w:type="paragraph" w:styleId="Header">
    <w:name w:val="header"/>
    <w:basedOn w:val="Normal"/>
    <w:link w:val="HeaderChar"/>
    <w:uiPriority w:val="99"/>
    <w:unhideWhenUsed/>
    <w:rsid w:val="001134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3438"/>
    <w:rPr>
      <w:rFonts w:ascii="Times New Roman" w:hAnsi="Times New Roman"/>
      <w:sz w:val="24"/>
    </w:rPr>
  </w:style>
  <w:style w:type="table" w:styleId="TableGrid">
    <w:name w:val="Table Grid"/>
    <w:basedOn w:val="TableNormal"/>
    <w:uiPriority w:val="39"/>
    <w:rsid w:val="001134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13438"/>
    <w:pPr>
      <w:ind w:left="720"/>
      <w:contextualSpacing/>
    </w:pPr>
  </w:style>
  <w:style w:type="paragraph" w:styleId="NormalWeb">
    <w:name w:val="Normal (Web)"/>
    <w:basedOn w:val="Normal"/>
    <w:uiPriority w:val="99"/>
    <w:unhideWhenUsed/>
    <w:rsid w:val="00113438"/>
    <w:pPr>
      <w:spacing w:before="100" w:beforeAutospacing="1" w:after="100" w:afterAutospacing="1" w:line="240" w:lineRule="auto"/>
      <w:ind w:firstLine="0"/>
      <w:jc w:val="left"/>
    </w:pPr>
    <w:rPr>
      <w:rFonts w:eastAsia="Times New Roman" w:cs="Times New Roman"/>
      <w:szCs w:val="24"/>
      <w:lang w:eastAsia="en-GB"/>
    </w:rPr>
  </w:style>
  <w:style w:type="paragraph" w:styleId="TOCHeading">
    <w:name w:val="TOC Heading"/>
    <w:basedOn w:val="Heading1"/>
    <w:next w:val="Normal"/>
    <w:uiPriority w:val="39"/>
    <w:unhideWhenUsed/>
    <w:qFormat/>
    <w:rsid w:val="00E76162"/>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76162"/>
    <w:pPr>
      <w:spacing w:after="100"/>
    </w:pPr>
  </w:style>
  <w:style w:type="character" w:styleId="Hyperlink">
    <w:name w:val="Hyperlink"/>
    <w:basedOn w:val="DefaultParagraphFont"/>
    <w:uiPriority w:val="99"/>
    <w:unhideWhenUsed/>
    <w:rsid w:val="00E76162"/>
    <w:rPr>
      <w:color w:val="0563C1" w:themeColor="hyperlink"/>
      <w:u w:val="single"/>
    </w:rPr>
  </w:style>
  <w:style w:type="character" w:customStyle="1" w:styleId="Heading2Char">
    <w:name w:val="Heading 2 Char"/>
    <w:basedOn w:val="DefaultParagraphFont"/>
    <w:link w:val="Heading2"/>
    <w:uiPriority w:val="9"/>
    <w:rsid w:val="00F84F96"/>
    <w:rPr>
      <w:rFonts w:asciiTheme="majorHAnsi" w:eastAsiaTheme="majorEastAsia" w:hAnsiTheme="majorHAnsi" w:cstheme="majorBidi"/>
      <w:color w:val="2F5496" w:themeColor="accent1" w:themeShade="BF"/>
      <w:sz w:val="26"/>
      <w:szCs w:val="26"/>
    </w:rPr>
  </w:style>
  <w:style w:type="paragraph" w:customStyle="1" w:styleId="Title0">
    <w:name w:val="Title_0"/>
    <w:basedOn w:val="Normal"/>
    <w:next w:val="Normal"/>
    <w:rsid w:val="006834E9"/>
    <w:pPr>
      <w:keepNext/>
      <w:keepLines/>
      <w:spacing w:after="60"/>
      <w:ind w:firstLine="0"/>
      <w:jc w:val="left"/>
    </w:pPr>
    <w:rPr>
      <w:rFonts w:eastAsia="Times New Roman" w:cs="Times New Roman"/>
      <w:sz w:val="52"/>
      <w:szCs w:val="52"/>
    </w:rPr>
  </w:style>
  <w:style w:type="paragraph" w:styleId="Footer">
    <w:name w:val="footer"/>
    <w:basedOn w:val="Normal"/>
    <w:link w:val="FooterChar"/>
    <w:uiPriority w:val="99"/>
    <w:unhideWhenUsed/>
    <w:rsid w:val="00DB53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3D2"/>
    <w:rPr>
      <w:rFonts w:ascii="Times New Roman" w:hAnsi="Times New Roman"/>
      <w:sz w:val="24"/>
    </w:rPr>
  </w:style>
  <w:style w:type="paragraph" w:styleId="TOC2">
    <w:name w:val="toc 2"/>
    <w:basedOn w:val="Normal"/>
    <w:next w:val="Normal"/>
    <w:autoRedefine/>
    <w:uiPriority w:val="39"/>
    <w:unhideWhenUsed/>
    <w:rsid w:val="00DB53D2"/>
    <w:pPr>
      <w:spacing w:after="100"/>
      <w:ind w:left="240"/>
    </w:pPr>
  </w:style>
  <w:style w:type="character" w:customStyle="1" w:styleId="url">
    <w:name w:val="url"/>
    <w:basedOn w:val="DefaultParagraphFont"/>
    <w:rsid w:val="003B7AA2"/>
  </w:style>
  <w:style w:type="character" w:styleId="UnresolvedMention">
    <w:name w:val="Unresolved Mention"/>
    <w:basedOn w:val="DefaultParagraphFont"/>
    <w:uiPriority w:val="99"/>
    <w:semiHidden/>
    <w:unhideWhenUsed/>
    <w:rsid w:val="00461D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655359">
      <w:bodyDiv w:val="1"/>
      <w:marLeft w:val="0"/>
      <w:marRight w:val="0"/>
      <w:marTop w:val="0"/>
      <w:marBottom w:val="0"/>
      <w:divBdr>
        <w:top w:val="none" w:sz="0" w:space="0" w:color="auto"/>
        <w:left w:val="none" w:sz="0" w:space="0" w:color="auto"/>
        <w:bottom w:val="none" w:sz="0" w:space="0" w:color="auto"/>
        <w:right w:val="none" w:sz="0" w:space="0" w:color="auto"/>
      </w:divBdr>
    </w:div>
    <w:div w:id="130098842">
      <w:bodyDiv w:val="1"/>
      <w:marLeft w:val="0"/>
      <w:marRight w:val="0"/>
      <w:marTop w:val="0"/>
      <w:marBottom w:val="0"/>
      <w:divBdr>
        <w:top w:val="none" w:sz="0" w:space="0" w:color="auto"/>
        <w:left w:val="none" w:sz="0" w:space="0" w:color="auto"/>
        <w:bottom w:val="none" w:sz="0" w:space="0" w:color="auto"/>
        <w:right w:val="none" w:sz="0" w:space="0" w:color="auto"/>
      </w:divBdr>
    </w:div>
    <w:div w:id="176703267">
      <w:bodyDiv w:val="1"/>
      <w:marLeft w:val="0"/>
      <w:marRight w:val="0"/>
      <w:marTop w:val="0"/>
      <w:marBottom w:val="0"/>
      <w:divBdr>
        <w:top w:val="none" w:sz="0" w:space="0" w:color="auto"/>
        <w:left w:val="none" w:sz="0" w:space="0" w:color="auto"/>
        <w:bottom w:val="none" w:sz="0" w:space="0" w:color="auto"/>
        <w:right w:val="none" w:sz="0" w:space="0" w:color="auto"/>
      </w:divBdr>
    </w:div>
    <w:div w:id="198249442">
      <w:bodyDiv w:val="1"/>
      <w:marLeft w:val="0"/>
      <w:marRight w:val="0"/>
      <w:marTop w:val="0"/>
      <w:marBottom w:val="0"/>
      <w:divBdr>
        <w:top w:val="none" w:sz="0" w:space="0" w:color="auto"/>
        <w:left w:val="none" w:sz="0" w:space="0" w:color="auto"/>
        <w:bottom w:val="none" w:sz="0" w:space="0" w:color="auto"/>
        <w:right w:val="none" w:sz="0" w:space="0" w:color="auto"/>
      </w:divBdr>
    </w:div>
    <w:div w:id="217937973">
      <w:bodyDiv w:val="1"/>
      <w:marLeft w:val="0"/>
      <w:marRight w:val="0"/>
      <w:marTop w:val="0"/>
      <w:marBottom w:val="0"/>
      <w:divBdr>
        <w:top w:val="none" w:sz="0" w:space="0" w:color="auto"/>
        <w:left w:val="none" w:sz="0" w:space="0" w:color="auto"/>
        <w:bottom w:val="none" w:sz="0" w:space="0" w:color="auto"/>
        <w:right w:val="none" w:sz="0" w:space="0" w:color="auto"/>
      </w:divBdr>
    </w:div>
    <w:div w:id="1035814893">
      <w:bodyDiv w:val="1"/>
      <w:marLeft w:val="0"/>
      <w:marRight w:val="0"/>
      <w:marTop w:val="0"/>
      <w:marBottom w:val="0"/>
      <w:divBdr>
        <w:top w:val="none" w:sz="0" w:space="0" w:color="auto"/>
        <w:left w:val="none" w:sz="0" w:space="0" w:color="auto"/>
        <w:bottom w:val="none" w:sz="0" w:space="0" w:color="auto"/>
        <w:right w:val="none" w:sz="0" w:space="0" w:color="auto"/>
      </w:divBdr>
    </w:div>
    <w:div w:id="1369065330">
      <w:bodyDiv w:val="1"/>
      <w:marLeft w:val="0"/>
      <w:marRight w:val="0"/>
      <w:marTop w:val="0"/>
      <w:marBottom w:val="0"/>
      <w:divBdr>
        <w:top w:val="none" w:sz="0" w:space="0" w:color="auto"/>
        <w:left w:val="none" w:sz="0" w:space="0" w:color="auto"/>
        <w:bottom w:val="none" w:sz="0" w:space="0" w:color="auto"/>
        <w:right w:val="none" w:sz="0" w:space="0" w:color="auto"/>
      </w:divBdr>
    </w:div>
    <w:div w:id="1780449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55D16-41DF-4653-86EA-B0D07114C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996</TotalTime>
  <Pages>9</Pages>
  <Words>1942</Words>
  <Characters>10902</Characters>
  <Application>Microsoft Office Word</Application>
  <DocSecurity>0</DocSecurity>
  <Lines>186</Lines>
  <Paragraphs>50</Paragraphs>
  <ScaleCrop>false</ScaleCrop>
  <Company/>
  <LinksUpToDate>false</LinksUpToDate>
  <CharactersWithSpaces>12810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 Vladimirov</dc:creator>
  <cp:keywords/>
  <dc:description/>
  <cp:lastModifiedBy>Boris Vladimirov</cp:lastModifiedBy>
  <cp:revision>588</cp:revision>
  <dcterms:created xsi:type="dcterms:W3CDTF">2023-11-23T17:22:00Z</dcterms:created>
  <dcterms:modified xsi:type="dcterms:W3CDTF">2024-03-31T18:04:00Z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f9dc63286b1f26a1bf748a26fad1acedc96454f289cf139477d9a79c3e5cd0d8</vt:lpwstr>
  </property>
</Properties>
</file>