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254"/>
        <w:gridCol w:w="2254"/>
        <w:gridCol w:w="2254"/>
        <w:gridCol w:w="2254"/>
      </w:tblGrid>
      <w:tr w:rsidR="00965C27" w14:paraId="72FF6D31" w14:textId="77777777" w:rsidTr="00965C27">
        <w:tc>
          <w:tcPr>
            <w:tcW w:w="9016" w:type="dxa"/>
            <w:gridSpan w:val="4"/>
            <w:shd w:val="clear" w:color="auto" w:fill="153D63" w:themeFill="text2" w:themeFillTint="E6"/>
          </w:tcPr>
          <w:p w14:paraId="12BCE08E" w14:textId="4AED6409" w:rsidR="00965C27" w:rsidRDefault="00965C27" w:rsidP="00965C27">
            <w:pPr>
              <w:pStyle w:val="Title"/>
              <w:jc w:val="center"/>
            </w:pPr>
            <w:r>
              <w:t>Fault Tree Analysis Exercise</w:t>
            </w:r>
          </w:p>
        </w:tc>
      </w:tr>
      <w:tr w:rsidR="00965C27" w14:paraId="402E422D" w14:textId="77777777" w:rsidTr="00965C27">
        <w:tc>
          <w:tcPr>
            <w:tcW w:w="2254" w:type="dxa"/>
          </w:tcPr>
          <w:p w14:paraId="4C0CE730" w14:textId="5C57FE58" w:rsidR="00965C27" w:rsidRPr="00965C27" w:rsidRDefault="00965C27" w:rsidP="00965C27">
            <w:pPr>
              <w:rPr>
                <w:b/>
                <w:bCs/>
              </w:rPr>
            </w:pPr>
            <w:r w:rsidRPr="00965C27">
              <w:rPr>
                <w:b/>
                <w:bCs/>
              </w:rPr>
              <w:t>Author:</w:t>
            </w:r>
          </w:p>
        </w:tc>
        <w:tc>
          <w:tcPr>
            <w:tcW w:w="2254" w:type="dxa"/>
          </w:tcPr>
          <w:p w14:paraId="260DF5FB" w14:textId="4F9938F7" w:rsidR="00965C27" w:rsidRDefault="00965C27">
            <w:r>
              <w:t>Leo Smith (2217998)</w:t>
            </w:r>
          </w:p>
        </w:tc>
        <w:tc>
          <w:tcPr>
            <w:tcW w:w="2254" w:type="dxa"/>
          </w:tcPr>
          <w:p w14:paraId="00A253FC" w14:textId="625DC67E" w:rsidR="00965C27" w:rsidRPr="00965C27" w:rsidRDefault="00965C27">
            <w:pPr>
              <w:rPr>
                <w:b/>
                <w:bCs/>
              </w:rPr>
            </w:pPr>
            <w:r w:rsidRPr="00965C27">
              <w:rPr>
                <w:b/>
                <w:bCs/>
              </w:rPr>
              <w:t>Module Name:</w:t>
            </w:r>
          </w:p>
        </w:tc>
        <w:tc>
          <w:tcPr>
            <w:tcW w:w="2254" w:type="dxa"/>
          </w:tcPr>
          <w:p w14:paraId="6E7CAE0E" w14:textId="07E5BA58" w:rsidR="00965C27" w:rsidRDefault="00965C27">
            <w:r>
              <w:t>Systems Engineering</w:t>
            </w:r>
          </w:p>
        </w:tc>
      </w:tr>
      <w:tr w:rsidR="00965C27" w14:paraId="779B86B5" w14:textId="77777777" w:rsidTr="00965C27">
        <w:tc>
          <w:tcPr>
            <w:tcW w:w="2254" w:type="dxa"/>
          </w:tcPr>
          <w:p w14:paraId="49AD9DBA" w14:textId="14447FB6" w:rsidR="00965C27" w:rsidRPr="00965C27" w:rsidRDefault="00965C27">
            <w:pPr>
              <w:rPr>
                <w:b/>
                <w:bCs/>
              </w:rPr>
            </w:pPr>
            <w:r w:rsidRPr="00965C27">
              <w:rPr>
                <w:b/>
                <w:bCs/>
              </w:rPr>
              <w:t>Date:</w:t>
            </w:r>
          </w:p>
        </w:tc>
        <w:tc>
          <w:tcPr>
            <w:tcW w:w="2254" w:type="dxa"/>
          </w:tcPr>
          <w:p w14:paraId="2488B932" w14:textId="002AC349" w:rsidR="00965C27" w:rsidRDefault="00965C27">
            <w:r>
              <w:t>12/04/2025</w:t>
            </w:r>
          </w:p>
        </w:tc>
        <w:tc>
          <w:tcPr>
            <w:tcW w:w="2254" w:type="dxa"/>
          </w:tcPr>
          <w:p w14:paraId="2C3577BA" w14:textId="7255A5BA" w:rsidR="00965C27" w:rsidRPr="00965C27" w:rsidRDefault="00965C27">
            <w:pPr>
              <w:rPr>
                <w:b/>
                <w:bCs/>
              </w:rPr>
            </w:pPr>
            <w:r w:rsidRPr="00965C27">
              <w:rPr>
                <w:b/>
                <w:bCs/>
              </w:rPr>
              <w:t>Module Code:</w:t>
            </w:r>
          </w:p>
        </w:tc>
        <w:tc>
          <w:tcPr>
            <w:tcW w:w="2254" w:type="dxa"/>
          </w:tcPr>
          <w:p w14:paraId="1A3ED5C4" w14:textId="0DD88753" w:rsidR="00965C27" w:rsidRDefault="00965C27">
            <w:r>
              <w:t>ACDA 5021</w:t>
            </w:r>
          </w:p>
        </w:tc>
      </w:tr>
      <w:tr w:rsidR="00965C27" w14:paraId="27DF8212" w14:textId="77777777" w:rsidTr="00965C27">
        <w:tc>
          <w:tcPr>
            <w:tcW w:w="9016" w:type="dxa"/>
            <w:gridSpan w:val="4"/>
            <w:shd w:val="clear" w:color="auto" w:fill="153D63" w:themeFill="text2" w:themeFillTint="E6"/>
          </w:tcPr>
          <w:p w14:paraId="4DB15A3C" w14:textId="0137D24B" w:rsidR="00965C27" w:rsidRPr="00965C27" w:rsidRDefault="00965C27">
            <w:pPr>
              <w:rPr>
                <w:b/>
                <w:bCs/>
              </w:rPr>
            </w:pPr>
            <w:r w:rsidRPr="00965C27">
              <w:rPr>
                <w:b/>
                <w:bCs/>
              </w:rPr>
              <w:t>Introduction:</w:t>
            </w:r>
          </w:p>
        </w:tc>
      </w:tr>
      <w:tr w:rsidR="00965C27" w14:paraId="0ACA2DE7" w14:textId="77777777" w:rsidTr="004539C3">
        <w:tc>
          <w:tcPr>
            <w:tcW w:w="9016" w:type="dxa"/>
            <w:gridSpan w:val="4"/>
          </w:tcPr>
          <w:p w14:paraId="27F91487" w14:textId="77777777" w:rsidR="0024114C" w:rsidRDefault="0024114C"/>
          <w:p w14:paraId="3F6C2ED4" w14:textId="10B5C2A6" w:rsidR="00F9627F" w:rsidRDefault="00F9627F">
            <w:r>
              <w:t xml:space="preserve">When designing a system, be that a product or a process, it is crucial to understand where this system may fail. As such, many methods have been developed to critically analyse a systems functionality and highlight areas of vulnerability where engineering resource should be applied. In doing so the systems reliability can be improved in an efficient manner ensuring safety and efficacy at a reduced cost. This report will explore the use of Fault Tree Analysis (FTA) as a method for understanding system failure, human factors, and failure mitigation approaches. </w:t>
            </w:r>
          </w:p>
          <w:p w14:paraId="16F0C7C8" w14:textId="77777777" w:rsidR="00F9627F" w:rsidRDefault="00F9627F"/>
          <w:p w14:paraId="5DDFCC45" w14:textId="02246FD8" w:rsidR="00F9627F" w:rsidRDefault="00F9627F">
            <w:r>
              <w:t xml:space="preserve">FTA was first developed within the US Military during the 1960’s as a method for improving the reliability of missile systems </w:t>
            </w:r>
            <w:sdt>
              <w:sdtPr>
                <w:id w:val="-1982916698"/>
                <w:citation/>
              </w:sdtPr>
              <w:sdtContent>
                <w:r w:rsidR="008C383C">
                  <w:fldChar w:fldCharType="begin"/>
                </w:r>
                <w:r w:rsidR="008C383C">
                  <w:instrText xml:space="preserve"> CITATION Fli19 \l 2057 </w:instrText>
                </w:r>
                <w:r w:rsidR="008C383C">
                  <w:fldChar w:fldCharType="separate"/>
                </w:r>
                <w:r w:rsidR="008C383C" w:rsidRPr="008C383C">
                  <w:rPr>
                    <w:noProof/>
                  </w:rPr>
                  <w:t>[1]</w:t>
                </w:r>
                <w:r w:rsidR="008C383C">
                  <w:fldChar w:fldCharType="end"/>
                </w:r>
              </w:sdtContent>
            </w:sdt>
            <w:r>
              <w:t xml:space="preserve">. Since then, however, it has found application in almost all engineering industries from petrochemical manufacture to nuclear safety </w:t>
            </w:r>
            <w:sdt>
              <w:sdtPr>
                <w:id w:val="1074473853"/>
                <w:citation/>
              </w:sdtPr>
              <w:sdtContent>
                <w:r w:rsidR="008C383C">
                  <w:fldChar w:fldCharType="begin"/>
                </w:r>
                <w:r w:rsidR="008C383C">
                  <w:instrText xml:space="preserve"> CITATION Men16 \l 2057 </w:instrText>
                </w:r>
                <w:r w:rsidR="008C383C">
                  <w:fldChar w:fldCharType="separate"/>
                </w:r>
                <w:r w:rsidR="008C383C" w:rsidRPr="008C383C">
                  <w:rPr>
                    <w:noProof/>
                  </w:rPr>
                  <w:t>[2]</w:t>
                </w:r>
                <w:r w:rsidR="008C383C">
                  <w:fldChar w:fldCharType="end"/>
                </w:r>
              </w:sdtContent>
            </w:sdt>
            <w:r>
              <w:t>,</w:t>
            </w:r>
            <w:sdt>
              <w:sdtPr>
                <w:id w:val="1134068377"/>
                <w:citation/>
              </w:sdtPr>
              <w:sdtContent>
                <w:r w:rsidR="00366486">
                  <w:fldChar w:fldCharType="begin"/>
                </w:r>
                <w:r w:rsidR="00366486">
                  <w:instrText xml:space="preserve"> CITATION Smi80 \l 2057 </w:instrText>
                </w:r>
                <w:r w:rsidR="00366486">
                  <w:fldChar w:fldCharType="separate"/>
                </w:r>
                <w:r w:rsidR="00366486">
                  <w:rPr>
                    <w:noProof/>
                  </w:rPr>
                  <w:t xml:space="preserve"> </w:t>
                </w:r>
                <w:r w:rsidR="00366486" w:rsidRPr="00366486">
                  <w:rPr>
                    <w:noProof/>
                  </w:rPr>
                  <w:t>[3]</w:t>
                </w:r>
                <w:r w:rsidR="00366486">
                  <w:fldChar w:fldCharType="end"/>
                </w:r>
              </w:sdtContent>
            </w:sdt>
            <w:r>
              <w:t xml:space="preserve">. FTA unlike other analysis methods such as Failure Mode Effect Analysis (FMEA), uses a top-down approach </w:t>
            </w:r>
            <w:sdt>
              <w:sdtPr>
                <w:id w:val="323396264"/>
                <w:citation/>
              </w:sdtPr>
              <w:sdtContent>
                <w:r w:rsidR="00366486">
                  <w:fldChar w:fldCharType="begin"/>
                </w:r>
                <w:r w:rsidR="00366486">
                  <w:instrText xml:space="preserve"> CITATION Men16 \l 2057 </w:instrText>
                </w:r>
                <w:r w:rsidR="00366486">
                  <w:fldChar w:fldCharType="separate"/>
                </w:r>
                <w:r w:rsidR="00366486" w:rsidRPr="00366486">
                  <w:rPr>
                    <w:noProof/>
                  </w:rPr>
                  <w:t>[2]</w:t>
                </w:r>
                <w:r w:rsidR="00366486">
                  <w:fldChar w:fldCharType="end"/>
                </w:r>
              </w:sdtContent>
            </w:sdt>
            <w:r>
              <w:t xml:space="preserve">. Here a critical top event is taken, and all the potential causes of this event are identified. Each of these causes is then subjected to the same treatment until the cause of the failure cannot be broken down any further, these are known as basic events </w:t>
            </w:r>
            <w:sdt>
              <w:sdtPr>
                <w:id w:val="-2066398284"/>
                <w:citation/>
              </w:sdtPr>
              <w:sdtContent>
                <w:r w:rsidR="008C383C">
                  <w:fldChar w:fldCharType="begin"/>
                </w:r>
                <w:r w:rsidR="008C383C">
                  <w:instrText xml:space="preserve"> CITATION Fli19 \l 2057 </w:instrText>
                </w:r>
                <w:r w:rsidR="008C383C">
                  <w:fldChar w:fldCharType="separate"/>
                </w:r>
                <w:r w:rsidR="008C383C">
                  <w:rPr>
                    <w:noProof/>
                  </w:rPr>
                  <w:t xml:space="preserve"> </w:t>
                </w:r>
                <w:r w:rsidR="008C383C" w:rsidRPr="008C383C">
                  <w:rPr>
                    <w:noProof/>
                  </w:rPr>
                  <w:t>[1]</w:t>
                </w:r>
                <w:r w:rsidR="008C383C">
                  <w:fldChar w:fldCharType="end"/>
                </w:r>
              </w:sdtContent>
            </w:sdt>
            <w:r>
              <w:t>,</w:t>
            </w:r>
            <w:sdt>
              <w:sdtPr>
                <w:id w:val="1675382857"/>
                <w:citation/>
              </w:sdtPr>
              <w:sdtContent>
                <w:r w:rsidR="00366486">
                  <w:fldChar w:fldCharType="begin"/>
                </w:r>
                <w:r w:rsidR="00366486">
                  <w:instrText xml:space="preserve"> CITATION Men16 \l 2057 </w:instrText>
                </w:r>
                <w:r w:rsidR="00366486">
                  <w:fldChar w:fldCharType="separate"/>
                </w:r>
                <w:r w:rsidR="00366486">
                  <w:rPr>
                    <w:noProof/>
                  </w:rPr>
                  <w:t xml:space="preserve"> </w:t>
                </w:r>
                <w:r w:rsidR="00366486" w:rsidRPr="00366486">
                  <w:rPr>
                    <w:noProof/>
                  </w:rPr>
                  <w:t>[2]</w:t>
                </w:r>
                <w:r w:rsidR="00366486">
                  <w:fldChar w:fldCharType="end"/>
                </w:r>
              </w:sdtContent>
            </w:sdt>
            <w:r w:rsidR="00366486">
              <w:t>,</w:t>
            </w:r>
            <w:sdt>
              <w:sdtPr>
                <w:id w:val="-905534117"/>
                <w:citation/>
              </w:sdtPr>
              <w:sdtContent>
                <w:r w:rsidR="00366486">
                  <w:fldChar w:fldCharType="begin"/>
                </w:r>
                <w:r w:rsidR="00366486">
                  <w:instrText xml:space="preserve"> CITATION Smi80 \l 2057 </w:instrText>
                </w:r>
                <w:r w:rsidR="00366486">
                  <w:fldChar w:fldCharType="separate"/>
                </w:r>
                <w:r w:rsidR="00366486">
                  <w:rPr>
                    <w:noProof/>
                  </w:rPr>
                  <w:t xml:space="preserve"> </w:t>
                </w:r>
                <w:r w:rsidR="00366486" w:rsidRPr="00366486">
                  <w:rPr>
                    <w:noProof/>
                  </w:rPr>
                  <w:t>[3]</w:t>
                </w:r>
                <w:r w:rsidR="00366486">
                  <w:fldChar w:fldCharType="end"/>
                </w:r>
              </w:sdtContent>
            </w:sdt>
            <w:r>
              <w:t xml:space="preserve">. During this process other failure analysis tools, such as FMEA, are often also used to help identify the events cause </w:t>
            </w:r>
            <w:sdt>
              <w:sdtPr>
                <w:id w:val="-14537430"/>
                <w:citation/>
              </w:sdtPr>
              <w:sdtContent>
                <w:r w:rsidR="008C383C">
                  <w:fldChar w:fldCharType="begin"/>
                </w:r>
                <w:r w:rsidR="008C383C">
                  <w:instrText xml:space="preserve"> CITATION Fli19 \l 2057 </w:instrText>
                </w:r>
                <w:r w:rsidR="008C383C">
                  <w:fldChar w:fldCharType="separate"/>
                </w:r>
                <w:r w:rsidR="008C383C" w:rsidRPr="008C383C">
                  <w:rPr>
                    <w:noProof/>
                  </w:rPr>
                  <w:t>[1]</w:t>
                </w:r>
                <w:r w:rsidR="008C383C">
                  <w:fldChar w:fldCharType="end"/>
                </w:r>
              </w:sdtContent>
            </w:sdt>
            <w:r>
              <w:t xml:space="preserve">. </w:t>
            </w:r>
          </w:p>
          <w:p w14:paraId="09DDA61E" w14:textId="77777777" w:rsidR="00602F1E" w:rsidRDefault="00602F1E"/>
          <w:p w14:paraId="30C87A8C" w14:textId="30A922EB" w:rsidR="00602F1E" w:rsidRDefault="00602F1E">
            <w:r>
              <w:t xml:space="preserve">The interactions between events in an FTA is managed using Boolean Logic </w:t>
            </w:r>
            <w:sdt>
              <w:sdtPr>
                <w:id w:val="-1954545235"/>
                <w:citation/>
              </w:sdtPr>
              <w:sdtContent>
                <w:r w:rsidR="008C383C">
                  <w:fldChar w:fldCharType="begin"/>
                </w:r>
                <w:r w:rsidR="008C383C">
                  <w:instrText xml:space="preserve"> CITATION Fli19 \l 2057 </w:instrText>
                </w:r>
                <w:r w:rsidR="008C383C">
                  <w:fldChar w:fldCharType="separate"/>
                </w:r>
                <w:r w:rsidR="008C383C">
                  <w:rPr>
                    <w:noProof/>
                  </w:rPr>
                  <w:t xml:space="preserve"> </w:t>
                </w:r>
                <w:r w:rsidR="008C383C" w:rsidRPr="008C383C">
                  <w:rPr>
                    <w:noProof/>
                  </w:rPr>
                  <w:t>[1]</w:t>
                </w:r>
                <w:r w:rsidR="008C383C">
                  <w:fldChar w:fldCharType="end"/>
                </w:r>
              </w:sdtContent>
            </w:sdt>
            <w:r w:rsidR="00366486">
              <w:t>,</w:t>
            </w:r>
            <w:sdt>
              <w:sdtPr>
                <w:id w:val="1391840415"/>
                <w:citation/>
              </w:sdtPr>
              <w:sdtContent>
                <w:r w:rsidR="00366486">
                  <w:fldChar w:fldCharType="begin"/>
                </w:r>
                <w:r w:rsidR="00366486">
                  <w:instrText xml:space="preserve"> CITATION Men16 \l 2057 </w:instrText>
                </w:r>
                <w:r w:rsidR="00366486">
                  <w:fldChar w:fldCharType="separate"/>
                </w:r>
                <w:r w:rsidR="00366486">
                  <w:rPr>
                    <w:noProof/>
                  </w:rPr>
                  <w:t xml:space="preserve"> </w:t>
                </w:r>
                <w:r w:rsidR="00366486" w:rsidRPr="00366486">
                  <w:rPr>
                    <w:noProof/>
                  </w:rPr>
                  <w:t>[2]</w:t>
                </w:r>
                <w:r w:rsidR="00366486">
                  <w:fldChar w:fldCharType="end"/>
                </w:r>
              </w:sdtContent>
            </w:sdt>
            <w:r>
              <w:t xml:space="preserve">. Here logic gates dictate which precursor events must have occurred for a failure to manifest. A simple fault tree primarily uses the “AND” and “OR” logic gates alongside event symbols as shown in Figure 1. This allows fault trees to explore complex systems with many failure sources with relative ease </w:t>
            </w:r>
            <w:sdt>
              <w:sdtPr>
                <w:id w:val="-1307781329"/>
                <w:citation/>
              </w:sdtPr>
              <w:sdtContent>
                <w:r w:rsidR="008C383C">
                  <w:fldChar w:fldCharType="begin"/>
                </w:r>
                <w:r w:rsidR="008C383C">
                  <w:instrText xml:space="preserve"> CITATION Fli19 \l 2057 </w:instrText>
                </w:r>
                <w:r w:rsidR="008C383C">
                  <w:fldChar w:fldCharType="separate"/>
                </w:r>
                <w:r w:rsidR="008C383C" w:rsidRPr="008C383C">
                  <w:rPr>
                    <w:noProof/>
                  </w:rPr>
                  <w:t>[1]</w:t>
                </w:r>
                <w:r w:rsidR="008C383C">
                  <w:fldChar w:fldCharType="end"/>
                </w:r>
              </w:sdtContent>
            </w:sdt>
            <w:r>
              <w:t xml:space="preserve">. </w:t>
            </w:r>
          </w:p>
          <w:p w14:paraId="56E14CF6" w14:textId="77777777" w:rsidR="00174B87" w:rsidRDefault="00602F1E" w:rsidP="00174B87">
            <w:pPr>
              <w:keepNext/>
              <w:jc w:val="center"/>
            </w:pPr>
            <w:r w:rsidRPr="00726CBE">
              <w:rPr>
                <w:noProof/>
              </w:rPr>
              <w:drawing>
                <wp:inline distT="0" distB="0" distL="0" distR="0" wp14:anchorId="21877B86" wp14:editId="52FF132A">
                  <wp:extent cx="3815861" cy="1218565"/>
                  <wp:effectExtent l="0" t="0" r="0" b="635"/>
                  <wp:docPr id="1884411534" name="Picture 1" descr="A diagram of basic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11534" name="Picture 1" descr="A diagram of basic event&#10;&#10;AI-generated content may be incorrect."/>
                          <pic:cNvPicPr/>
                        </pic:nvPicPr>
                        <pic:blipFill rotWithShape="1">
                          <a:blip r:embed="rId6"/>
                          <a:srcRect l="21635" r="2610" b="20497"/>
                          <a:stretch/>
                        </pic:blipFill>
                        <pic:spPr bwMode="auto">
                          <a:xfrm>
                            <a:off x="0" y="0"/>
                            <a:ext cx="3818037" cy="1219260"/>
                          </a:xfrm>
                          <a:prstGeom prst="rect">
                            <a:avLst/>
                          </a:prstGeom>
                          <a:ln>
                            <a:noFill/>
                          </a:ln>
                          <a:extLst>
                            <a:ext uri="{53640926-AAD7-44D8-BBD7-CCE9431645EC}">
                              <a14:shadowObscured xmlns:a14="http://schemas.microsoft.com/office/drawing/2010/main"/>
                            </a:ext>
                          </a:extLst>
                        </pic:spPr>
                      </pic:pic>
                    </a:graphicData>
                  </a:graphic>
                </wp:inline>
              </w:drawing>
            </w:r>
          </w:p>
          <w:p w14:paraId="3B3DB0BF" w14:textId="451F35F8" w:rsidR="00602F1E" w:rsidRDefault="00174B87" w:rsidP="00174B87">
            <w:pPr>
              <w:pStyle w:val="Caption"/>
              <w:jc w:val="center"/>
            </w:pPr>
            <w:r>
              <w:t xml:space="preserve">Figure </w:t>
            </w:r>
            <w:fldSimple w:instr=" SEQ Figure \* ARABIC ">
              <w:r w:rsidR="0024114C">
                <w:rPr>
                  <w:noProof/>
                </w:rPr>
                <w:t>1</w:t>
              </w:r>
            </w:fldSimple>
            <w:r>
              <w:t xml:space="preserve"> - Symbols for Fault Tree Analysis </w:t>
            </w:r>
            <w:sdt>
              <w:sdtPr>
                <w:id w:val="-1323492823"/>
                <w:citation/>
              </w:sdtPr>
              <w:sdtContent>
                <w:r w:rsidR="00366486">
                  <w:fldChar w:fldCharType="begin"/>
                </w:r>
                <w:r w:rsidR="00366486">
                  <w:instrText xml:space="preserve"> CITATION Men16 \l 2057 </w:instrText>
                </w:r>
                <w:r w:rsidR="00366486">
                  <w:fldChar w:fldCharType="separate"/>
                </w:r>
                <w:r w:rsidR="00366486" w:rsidRPr="00366486">
                  <w:rPr>
                    <w:noProof/>
                  </w:rPr>
                  <w:t>[2]</w:t>
                </w:r>
                <w:r w:rsidR="00366486">
                  <w:fldChar w:fldCharType="end"/>
                </w:r>
              </w:sdtContent>
            </w:sdt>
            <w:r w:rsidR="0024114C">
              <w:t>.</w:t>
            </w:r>
          </w:p>
          <w:p w14:paraId="720E3FA8" w14:textId="77777777" w:rsidR="00602F1E" w:rsidRDefault="00602F1E" w:rsidP="00602F1E"/>
          <w:p w14:paraId="2B2AA906" w14:textId="7E1C2F94" w:rsidR="00602F1E" w:rsidRDefault="00602F1E" w:rsidP="00602F1E">
            <w:r>
              <w:t xml:space="preserve">Due to the modelling of event interactions a fault tree can trace how a fault propagates from basic events to critical failures </w:t>
            </w:r>
            <w:sdt>
              <w:sdtPr>
                <w:id w:val="639240292"/>
                <w:citation/>
              </w:sdtPr>
              <w:sdtContent>
                <w:r w:rsidR="00366486">
                  <w:fldChar w:fldCharType="begin"/>
                </w:r>
                <w:r w:rsidR="00366486">
                  <w:instrText xml:space="preserve"> CITATION Smi80 \l 2057 </w:instrText>
                </w:r>
                <w:r w:rsidR="00366486">
                  <w:fldChar w:fldCharType="separate"/>
                </w:r>
                <w:r w:rsidR="00366486" w:rsidRPr="00366486">
                  <w:rPr>
                    <w:noProof/>
                  </w:rPr>
                  <w:t>[3]</w:t>
                </w:r>
                <w:r w:rsidR="00366486">
                  <w:fldChar w:fldCharType="end"/>
                </w:r>
              </w:sdtContent>
            </w:sdt>
            <w:r>
              <w:t xml:space="preserve">. As such, if the probability of the Basic events is known the total probability of system failure can easily be calculated using Boolean statistics </w:t>
            </w:r>
            <w:sdt>
              <w:sdtPr>
                <w:id w:val="303204108"/>
                <w:citation/>
              </w:sdtPr>
              <w:sdtContent>
                <w:r w:rsidR="00366486">
                  <w:fldChar w:fldCharType="begin"/>
                </w:r>
                <w:r w:rsidR="00366486">
                  <w:instrText xml:space="preserve"> CITATION Men16 \l 2057 </w:instrText>
                </w:r>
                <w:r w:rsidR="00366486">
                  <w:fldChar w:fldCharType="separate"/>
                </w:r>
                <w:r w:rsidR="00366486" w:rsidRPr="00366486">
                  <w:rPr>
                    <w:noProof/>
                  </w:rPr>
                  <w:t>[2]</w:t>
                </w:r>
                <w:r w:rsidR="00366486">
                  <w:fldChar w:fldCharType="end"/>
                </w:r>
              </w:sdtContent>
            </w:sdt>
            <w:r>
              <w:t>. The inverse is also true with a mix of known probabilities for the critical event and other ba</w:t>
            </w:r>
            <w:r w:rsidR="00946171">
              <w:t>sic</w:t>
            </w:r>
            <w:r>
              <w:t xml:space="preserve"> events allowing the likelihood of an unknown ba</w:t>
            </w:r>
            <w:r w:rsidR="00946171">
              <w:t>sic</w:t>
            </w:r>
            <w:r>
              <w:t xml:space="preserve"> </w:t>
            </w:r>
            <w:r w:rsidR="00174B87">
              <w:t>e</w:t>
            </w:r>
            <w:r>
              <w:t xml:space="preserve">vent to be </w:t>
            </w:r>
            <w:r w:rsidR="00174B87">
              <w:t xml:space="preserve">determined where historical data is not available </w:t>
            </w:r>
            <w:sdt>
              <w:sdtPr>
                <w:id w:val="1586891382"/>
                <w:citation/>
              </w:sdtPr>
              <w:sdtContent>
                <w:r w:rsidR="00366486">
                  <w:fldChar w:fldCharType="begin"/>
                </w:r>
                <w:r w:rsidR="00366486">
                  <w:instrText xml:space="preserve"> CITATION Fla13 \l 2057 </w:instrText>
                </w:r>
                <w:r w:rsidR="00366486">
                  <w:fldChar w:fldCharType="separate"/>
                </w:r>
                <w:r w:rsidR="00366486" w:rsidRPr="00366486">
                  <w:rPr>
                    <w:noProof/>
                  </w:rPr>
                  <w:t>[4]</w:t>
                </w:r>
                <w:r w:rsidR="00366486">
                  <w:fldChar w:fldCharType="end"/>
                </w:r>
              </w:sdtContent>
            </w:sdt>
            <w:r>
              <w:t xml:space="preserve">. </w:t>
            </w:r>
          </w:p>
          <w:p w14:paraId="70F5E356" w14:textId="77777777" w:rsidR="00602F1E" w:rsidRDefault="00602F1E" w:rsidP="00602F1E"/>
          <w:p w14:paraId="78908292" w14:textId="6039FA63" w:rsidR="00602F1E" w:rsidRDefault="00602F1E" w:rsidP="00602F1E">
            <w:r>
              <w:t xml:space="preserve">These features of </w:t>
            </w:r>
            <w:r w:rsidR="00174B87">
              <w:t xml:space="preserve">an FTA allow it to easily identify areas of design risk and areas where redundancy may effectively mitigate failure </w:t>
            </w:r>
            <w:sdt>
              <w:sdtPr>
                <w:id w:val="1041254373"/>
                <w:citation/>
              </w:sdtPr>
              <w:sdtContent>
                <w:r w:rsidR="008C383C">
                  <w:fldChar w:fldCharType="begin"/>
                </w:r>
                <w:r w:rsidR="008C383C">
                  <w:instrText xml:space="preserve"> CITATION Fli19 \l 2057 </w:instrText>
                </w:r>
                <w:r w:rsidR="008C383C">
                  <w:fldChar w:fldCharType="separate"/>
                </w:r>
                <w:r w:rsidR="008C383C" w:rsidRPr="008C383C">
                  <w:rPr>
                    <w:noProof/>
                  </w:rPr>
                  <w:t>[1]</w:t>
                </w:r>
                <w:r w:rsidR="008C383C">
                  <w:fldChar w:fldCharType="end"/>
                </w:r>
              </w:sdtContent>
            </w:sdt>
            <w:r w:rsidR="00174B87">
              <w:t xml:space="preserve">. This then allows engineers to focus resources on mitigating these challenges and further exploring the influence of variance and human factors on key areas of risk </w:t>
            </w:r>
            <w:sdt>
              <w:sdtPr>
                <w:id w:val="-53555804"/>
                <w:citation/>
              </w:sdtPr>
              <w:sdtContent>
                <w:r w:rsidR="008C383C">
                  <w:fldChar w:fldCharType="begin"/>
                </w:r>
                <w:r w:rsidR="008C383C">
                  <w:instrText xml:space="preserve"> CITATION Fli19 \l 2057 </w:instrText>
                </w:r>
                <w:r w:rsidR="008C383C">
                  <w:fldChar w:fldCharType="separate"/>
                </w:r>
                <w:r w:rsidR="008C383C" w:rsidRPr="008C383C">
                  <w:rPr>
                    <w:noProof/>
                  </w:rPr>
                  <w:t>[1]</w:t>
                </w:r>
                <w:r w:rsidR="008C383C">
                  <w:fldChar w:fldCharType="end"/>
                </w:r>
              </w:sdtContent>
            </w:sdt>
            <w:r w:rsidR="00174B87">
              <w:t>,</w:t>
            </w:r>
            <w:sdt>
              <w:sdtPr>
                <w:id w:val="-1679959007"/>
                <w:citation/>
              </w:sdtPr>
              <w:sdtContent>
                <w:r w:rsidR="00366486">
                  <w:fldChar w:fldCharType="begin"/>
                </w:r>
                <w:r w:rsidR="00366486">
                  <w:instrText xml:space="preserve"> CITATION Fla13 \l 2057 </w:instrText>
                </w:r>
                <w:r w:rsidR="00366486">
                  <w:fldChar w:fldCharType="separate"/>
                </w:r>
                <w:r w:rsidR="00366486">
                  <w:rPr>
                    <w:noProof/>
                  </w:rPr>
                  <w:t xml:space="preserve"> </w:t>
                </w:r>
                <w:r w:rsidR="00366486" w:rsidRPr="00366486">
                  <w:rPr>
                    <w:noProof/>
                  </w:rPr>
                  <w:t>[4]</w:t>
                </w:r>
                <w:r w:rsidR="00366486">
                  <w:fldChar w:fldCharType="end"/>
                </w:r>
              </w:sdtContent>
            </w:sdt>
            <w:r w:rsidR="00366486">
              <w:t>.</w:t>
            </w:r>
          </w:p>
          <w:p w14:paraId="5661BF05" w14:textId="77777777" w:rsidR="00C21991" w:rsidRDefault="00C21991" w:rsidP="00602F1E"/>
          <w:p w14:paraId="7A75AF55" w14:textId="77777777" w:rsidR="00174B87" w:rsidRDefault="00174B87" w:rsidP="00602F1E"/>
          <w:p w14:paraId="43CD0A43" w14:textId="1A5A3788" w:rsidR="00174B87" w:rsidRDefault="00174B87" w:rsidP="00602F1E">
            <w:r>
              <w:t>To demonstrate the applications of FTA this report will now explore the simplistic challenge of making a hot drink. The fault tree for this task can be seen in Figure 2 with the probabilities of success at each stage given in Table 1.</w:t>
            </w:r>
          </w:p>
          <w:p w14:paraId="399CEC6B" w14:textId="77777777" w:rsidR="00D255AC" w:rsidRDefault="00D255AC" w:rsidP="00602F1E"/>
          <w:p w14:paraId="56017EB1" w14:textId="77777777" w:rsidR="00174B87" w:rsidRDefault="00174B87" w:rsidP="00602F1E"/>
          <w:p w14:paraId="493441AB" w14:textId="77777777" w:rsidR="00174B87" w:rsidRDefault="00174B87" w:rsidP="00174B87">
            <w:pPr>
              <w:keepNext/>
              <w:jc w:val="center"/>
            </w:pPr>
            <w:r>
              <w:rPr>
                <w:noProof/>
              </w:rPr>
              <w:drawing>
                <wp:inline distT="0" distB="0" distL="0" distR="0" wp14:anchorId="406FF7C4" wp14:editId="479DC17D">
                  <wp:extent cx="5400000" cy="3038400"/>
                  <wp:effectExtent l="0" t="0" r="0" b="0"/>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400000" cy="3038400"/>
                          </a:xfrm>
                          <a:prstGeom prst="rect">
                            <a:avLst/>
                          </a:prstGeom>
                        </pic:spPr>
                      </pic:pic>
                    </a:graphicData>
                  </a:graphic>
                </wp:inline>
              </w:drawing>
            </w:r>
          </w:p>
          <w:p w14:paraId="72763465" w14:textId="1F1BE1D9" w:rsidR="00174B87" w:rsidRDefault="00174B87" w:rsidP="00174B87">
            <w:pPr>
              <w:pStyle w:val="Caption"/>
              <w:jc w:val="center"/>
            </w:pPr>
            <w:r>
              <w:t xml:space="preserve">Figure </w:t>
            </w:r>
            <w:fldSimple w:instr=" SEQ Figure \* ARABIC ">
              <w:r w:rsidR="0024114C">
                <w:rPr>
                  <w:noProof/>
                </w:rPr>
                <w:t>2</w:t>
              </w:r>
            </w:fldSimple>
            <w:r>
              <w:t xml:space="preserve"> - Fault Tree example for the making of a hot drink</w:t>
            </w:r>
            <w:r w:rsidR="00366486">
              <w:t xml:space="preserve"> </w:t>
            </w:r>
            <w:sdt>
              <w:sdtPr>
                <w:id w:val="163449833"/>
                <w:citation/>
              </w:sdtPr>
              <w:sdtContent>
                <w:r w:rsidR="00366486">
                  <w:fldChar w:fldCharType="begin"/>
                </w:r>
                <w:r w:rsidR="00366486">
                  <w:instrText xml:space="preserve"> CITATION Hol25 \l 2057 </w:instrText>
                </w:r>
                <w:r w:rsidR="00366486">
                  <w:fldChar w:fldCharType="separate"/>
                </w:r>
                <w:r w:rsidR="00366486" w:rsidRPr="00366486">
                  <w:rPr>
                    <w:noProof/>
                  </w:rPr>
                  <w:t>[5]</w:t>
                </w:r>
                <w:r w:rsidR="00366486">
                  <w:fldChar w:fldCharType="end"/>
                </w:r>
              </w:sdtContent>
            </w:sdt>
            <w:r w:rsidR="0024114C">
              <w:t>.</w:t>
            </w:r>
          </w:p>
          <w:p w14:paraId="69A91205" w14:textId="77777777" w:rsidR="00D255AC" w:rsidRPr="00D255AC" w:rsidRDefault="00D255AC" w:rsidP="00D255AC"/>
          <w:p w14:paraId="0F9D8383" w14:textId="073202C4" w:rsidR="00D255AC" w:rsidRDefault="00D255AC" w:rsidP="00D255AC">
            <w:pPr>
              <w:pStyle w:val="Caption"/>
              <w:keepNext/>
              <w:jc w:val="center"/>
            </w:pPr>
            <w:r>
              <w:t xml:space="preserve">Table </w:t>
            </w:r>
            <w:fldSimple w:instr=" SEQ Table \* ARABIC ">
              <w:r>
                <w:rPr>
                  <w:noProof/>
                </w:rPr>
                <w:t>1</w:t>
              </w:r>
            </w:fldSimple>
            <w:r>
              <w:t xml:space="preserve"> - The probability of Basic Events is the Fault Tree</w:t>
            </w:r>
            <w:r w:rsidR="00366486">
              <w:t xml:space="preserve"> </w:t>
            </w:r>
            <w:sdt>
              <w:sdtPr>
                <w:id w:val="1423454850"/>
                <w:citation/>
              </w:sdtPr>
              <w:sdtContent>
                <w:r w:rsidR="00366486">
                  <w:fldChar w:fldCharType="begin"/>
                </w:r>
                <w:r w:rsidR="00366486">
                  <w:instrText xml:space="preserve"> CITATION Hol25 \l 2057 </w:instrText>
                </w:r>
                <w:r w:rsidR="00366486">
                  <w:fldChar w:fldCharType="separate"/>
                </w:r>
                <w:r w:rsidR="00366486" w:rsidRPr="00366486">
                  <w:rPr>
                    <w:noProof/>
                  </w:rPr>
                  <w:t>[5]</w:t>
                </w:r>
                <w:r w:rsidR="00366486">
                  <w:fldChar w:fldCharType="end"/>
                </w:r>
              </w:sdtContent>
            </w:sdt>
            <w:r w:rsidR="0024114C">
              <w:t>.</w:t>
            </w:r>
          </w:p>
          <w:tbl>
            <w:tblPr>
              <w:tblW w:w="7127" w:type="dxa"/>
              <w:jc w:val="center"/>
              <w:tblLook w:val="04A0" w:firstRow="1" w:lastRow="0" w:firstColumn="1" w:lastColumn="0" w:noHBand="0" w:noVBand="1"/>
            </w:tblPr>
            <w:tblGrid>
              <w:gridCol w:w="3304"/>
              <w:gridCol w:w="1843"/>
              <w:gridCol w:w="1980"/>
            </w:tblGrid>
            <w:tr w:rsidR="00174B87" w:rsidRPr="00174B87" w14:paraId="78D1947E" w14:textId="40D878A1" w:rsidTr="00D255AC">
              <w:trPr>
                <w:trHeight w:val="275"/>
                <w:jc w:val="center"/>
              </w:trPr>
              <w:tc>
                <w:tcPr>
                  <w:tcW w:w="3304" w:type="dxa"/>
                  <w:tcBorders>
                    <w:top w:val="single" w:sz="4" w:space="0" w:color="auto"/>
                    <w:left w:val="single" w:sz="4" w:space="0" w:color="auto"/>
                    <w:bottom w:val="single" w:sz="4" w:space="0" w:color="auto"/>
                    <w:right w:val="single" w:sz="4" w:space="0" w:color="auto"/>
                  </w:tcBorders>
                  <w:shd w:val="clear" w:color="auto" w:fill="153D63" w:themeFill="text2" w:themeFillTint="E6"/>
                  <w:noWrap/>
                  <w:hideMark/>
                </w:tcPr>
                <w:p w14:paraId="217D5A76" w14:textId="77777777" w:rsidR="00174B87" w:rsidRPr="00174B87" w:rsidRDefault="00174B87" w:rsidP="00174B87">
                  <w:pPr>
                    <w:spacing w:after="0" w:line="240" w:lineRule="auto"/>
                    <w:rPr>
                      <w:rFonts w:eastAsia="Times New Roman" w:cs="Arial"/>
                      <w:b/>
                      <w:bCs/>
                      <w:color w:val="FFFFFF" w:themeColor="background1"/>
                      <w:kern w:val="0"/>
                      <w14:ligatures w14:val="none"/>
                    </w:rPr>
                  </w:pPr>
                  <w:r w:rsidRPr="00174B87">
                    <w:rPr>
                      <w:rFonts w:eastAsia="Times New Roman" w:cs="Arial"/>
                      <w:b/>
                      <w:bCs/>
                      <w:color w:val="FFFFFF" w:themeColor="background1"/>
                      <w:kern w:val="0"/>
                      <w14:ligatures w14:val="none"/>
                    </w:rPr>
                    <w:t>Event</w:t>
                  </w:r>
                </w:p>
              </w:tc>
              <w:tc>
                <w:tcPr>
                  <w:tcW w:w="1843" w:type="dxa"/>
                  <w:tcBorders>
                    <w:top w:val="single" w:sz="4" w:space="0" w:color="auto"/>
                    <w:left w:val="nil"/>
                    <w:bottom w:val="single" w:sz="4" w:space="0" w:color="auto"/>
                    <w:right w:val="single" w:sz="4" w:space="0" w:color="auto"/>
                  </w:tcBorders>
                  <w:shd w:val="clear" w:color="auto" w:fill="153D63" w:themeFill="text2" w:themeFillTint="E6"/>
                  <w:noWrap/>
                  <w:hideMark/>
                </w:tcPr>
                <w:p w14:paraId="610430D0" w14:textId="720664AB" w:rsidR="00174B87" w:rsidRPr="00174B87" w:rsidRDefault="00174B87" w:rsidP="00174B87">
                  <w:pPr>
                    <w:spacing w:after="0" w:line="240" w:lineRule="auto"/>
                    <w:rPr>
                      <w:rFonts w:eastAsia="Times New Roman" w:cs="Arial"/>
                      <w:b/>
                      <w:bCs/>
                      <w:color w:val="FFFFFF" w:themeColor="background1"/>
                      <w:kern w:val="0"/>
                      <w14:ligatures w14:val="none"/>
                    </w:rPr>
                  </w:pPr>
                  <w:r w:rsidRPr="00174B87">
                    <w:rPr>
                      <w:rFonts w:eastAsia="Times New Roman" w:cs="Arial"/>
                      <w:b/>
                      <w:bCs/>
                      <w:color w:val="FFFFFF" w:themeColor="background1"/>
                      <w:kern w:val="0"/>
                      <w14:ligatures w14:val="none"/>
                    </w:rPr>
                    <w:t>Probability</w:t>
                  </w:r>
                  <w:r>
                    <w:rPr>
                      <w:rFonts w:eastAsia="Times New Roman" w:cs="Arial"/>
                      <w:b/>
                      <w:bCs/>
                      <w:color w:val="FFFFFF" w:themeColor="background1"/>
                      <w:kern w:val="0"/>
                      <w14:ligatures w14:val="none"/>
                    </w:rPr>
                    <w:t xml:space="preserve"> of Event</w:t>
                  </w:r>
                </w:p>
              </w:tc>
              <w:tc>
                <w:tcPr>
                  <w:tcW w:w="1980" w:type="dxa"/>
                  <w:tcBorders>
                    <w:top w:val="single" w:sz="4" w:space="0" w:color="auto"/>
                    <w:left w:val="nil"/>
                    <w:bottom w:val="single" w:sz="4" w:space="0" w:color="auto"/>
                    <w:right w:val="single" w:sz="4" w:space="0" w:color="auto"/>
                  </w:tcBorders>
                  <w:shd w:val="clear" w:color="auto" w:fill="153D63" w:themeFill="text2" w:themeFillTint="E6"/>
                </w:tcPr>
                <w:p w14:paraId="4B9893C0" w14:textId="48969F61" w:rsidR="00174B87" w:rsidRPr="00174B87" w:rsidRDefault="00174B87" w:rsidP="00174B87">
                  <w:pPr>
                    <w:spacing w:after="0" w:line="240" w:lineRule="auto"/>
                    <w:rPr>
                      <w:rFonts w:eastAsia="Times New Roman" w:cs="Arial"/>
                      <w:b/>
                      <w:bCs/>
                      <w:color w:val="FFFFFF" w:themeColor="background1"/>
                      <w:kern w:val="0"/>
                      <w14:ligatures w14:val="none"/>
                    </w:rPr>
                  </w:pPr>
                  <w:r>
                    <w:rPr>
                      <w:rFonts w:eastAsia="Times New Roman" w:cs="Arial"/>
                      <w:b/>
                      <w:bCs/>
                      <w:color w:val="FFFFFF" w:themeColor="background1"/>
                      <w:kern w:val="0"/>
                      <w14:ligatures w14:val="none"/>
                    </w:rPr>
                    <w:t>Probability of Success</w:t>
                  </w:r>
                </w:p>
              </w:tc>
            </w:tr>
            <w:tr w:rsidR="00174B87" w:rsidRPr="00174B87" w14:paraId="469AE2A1" w14:textId="37690FBB"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1B3AAC6C"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Tea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34F56E72"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0.8</w:t>
                  </w:r>
                </w:p>
              </w:tc>
              <w:tc>
                <w:tcPr>
                  <w:tcW w:w="1980" w:type="dxa"/>
                  <w:tcBorders>
                    <w:top w:val="nil"/>
                    <w:left w:val="nil"/>
                    <w:bottom w:val="single" w:sz="4" w:space="0" w:color="auto"/>
                    <w:right w:val="single" w:sz="4" w:space="0" w:color="auto"/>
                  </w:tcBorders>
                </w:tcPr>
                <w:p w14:paraId="548D50C0" w14:textId="4BE09421"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0.8</w:t>
                  </w:r>
                </w:p>
              </w:tc>
            </w:tr>
            <w:tr w:rsidR="00174B87" w:rsidRPr="00174B87" w14:paraId="477286C6" w14:textId="4C5FAB18"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3EF524D0"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Coffee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5D920FBC"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0.9</w:t>
                  </w:r>
                </w:p>
              </w:tc>
              <w:tc>
                <w:tcPr>
                  <w:tcW w:w="1980" w:type="dxa"/>
                  <w:tcBorders>
                    <w:top w:val="nil"/>
                    <w:left w:val="nil"/>
                    <w:bottom w:val="single" w:sz="4" w:space="0" w:color="auto"/>
                    <w:right w:val="single" w:sz="4" w:space="0" w:color="auto"/>
                  </w:tcBorders>
                </w:tcPr>
                <w:p w14:paraId="0D338D4A" w14:textId="28B5ABA3"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0.8</w:t>
                  </w:r>
                </w:p>
              </w:tc>
            </w:tr>
            <w:tr w:rsidR="00174B87" w:rsidRPr="00174B87" w14:paraId="7E26F62F" w14:textId="0DC013FF"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0FA92DDA" w14:textId="5C060C29"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Chance of leaky Kettle</w:t>
                  </w:r>
                  <w:r w:rsidR="00D255AC">
                    <w:rPr>
                      <w:rFonts w:eastAsia="Times New Roman" w:cs="Arial"/>
                      <w:color w:val="000000"/>
                      <w:kern w:val="0"/>
                      <w14:ligatures w14:val="none"/>
                    </w:rPr>
                    <w:t>*</w:t>
                  </w:r>
                </w:p>
              </w:tc>
              <w:tc>
                <w:tcPr>
                  <w:tcW w:w="1843" w:type="dxa"/>
                  <w:tcBorders>
                    <w:top w:val="nil"/>
                    <w:left w:val="nil"/>
                    <w:bottom w:val="single" w:sz="4" w:space="0" w:color="auto"/>
                    <w:right w:val="single" w:sz="4" w:space="0" w:color="auto"/>
                  </w:tcBorders>
                  <w:shd w:val="clear" w:color="auto" w:fill="auto"/>
                  <w:noWrap/>
                  <w:vAlign w:val="bottom"/>
                  <w:hideMark/>
                </w:tcPr>
                <w:p w14:paraId="6850C874"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0.1</w:t>
                  </w:r>
                </w:p>
              </w:tc>
              <w:tc>
                <w:tcPr>
                  <w:tcW w:w="1980" w:type="dxa"/>
                  <w:tcBorders>
                    <w:top w:val="nil"/>
                    <w:left w:val="nil"/>
                    <w:bottom w:val="single" w:sz="4" w:space="0" w:color="auto"/>
                    <w:right w:val="single" w:sz="4" w:space="0" w:color="auto"/>
                  </w:tcBorders>
                </w:tcPr>
                <w:p w14:paraId="1CCBD563" w14:textId="19513A92"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w:t>
                  </w:r>
                </w:p>
              </w:tc>
            </w:tr>
            <w:tr w:rsidR="00174B87" w:rsidRPr="00174B87" w14:paraId="7C5FC8A4" w14:textId="52C5EFD6"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37BF666E" w14:textId="6F0D5D0E"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Chance of water supply failure</w:t>
                  </w:r>
                  <w:r w:rsidR="00D255AC">
                    <w:rPr>
                      <w:rFonts w:eastAsia="Times New Roman" w:cs="Arial"/>
                      <w:color w:val="000000"/>
                      <w:kern w:val="0"/>
                      <w14:ligatures w14:val="none"/>
                    </w:rPr>
                    <w:t>*</w:t>
                  </w:r>
                </w:p>
              </w:tc>
              <w:tc>
                <w:tcPr>
                  <w:tcW w:w="1843" w:type="dxa"/>
                  <w:tcBorders>
                    <w:top w:val="nil"/>
                    <w:left w:val="nil"/>
                    <w:bottom w:val="single" w:sz="4" w:space="0" w:color="auto"/>
                    <w:right w:val="single" w:sz="4" w:space="0" w:color="auto"/>
                  </w:tcBorders>
                  <w:shd w:val="clear" w:color="auto" w:fill="auto"/>
                  <w:noWrap/>
                  <w:vAlign w:val="bottom"/>
                  <w:hideMark/>
                </w:tcPr>
                <w:p w14:paraId="44C95F74"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0.01</w:t>
                  </w:r>
                </w:p>
              </w:tc>
              <w:tc>
                <w:tcPr>
                  <w:tcW w:w="1980" w:type="dxa"/>
                  <w:tcBorders>
                    <w:top w:val="nil"/>
                    <w:left w:val="nil"/>
                    <w:bottom w:val="single" w:sz="4" w:space="0" w:color="auto"/>
                    <w:right w:val="single" w:sz="4" w:space="0" w:color="auto"/>
                  </w:tcBorders>
                </w:tcPr>
                <w:p w14:paraId="0E8EB96A" w14:textId="68A818F8"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0.99</w:t>
                  </w:r>
                </w:p>
              </w:tc>
            </w:tr>
            <w:tr w:rsidR="00174B87" w:rsidRPr="00174B87" w14:paraId="67985887" w14:textId="146BD4BA"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01A1442D"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Kettle reliability</w:t>
                  </w:r>
                </w:p>
              </w:tc>
              <w:tc>
                <w:tcPr>
                  <w:tcW w:w="1843" w:type="dxa"/>
                  <w:tcBorders>
                    <w:top w:val="nil"/>
                    <w:left w:val="nil"/>
                    <w:bottom w:val="single" w:sz="4" w:space="0" w:color="auto"/>
                    <w:right w:val="single" w:sz="4" w:space="0" w:color="auto"/>
                  </w:tcBorders>
                  <w:shd w:val="clear" w:color="auto" w:fill="auto"/>
                  <w:noWrap/>
                  <w:vAlign w:val="bottom"/>
                  <w:hideMark/>
                </w:tcPr>
                <w:p w14:paraId="22C12AEC"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0.99</w:t>
                  </w:r>
                </w:p>
              </w:tc>
              <w:tc>
                <w:tcPr>
                  <w:tcW w:w="1980" w:type="dxa"/>
                  <w:tcBorders>
                    <w:top w:val="nil"/>
                    <w:left w:val="nil"/>
                    <w:bottom w:val="single" w:sz="4" w:space="0" w:color="auto"/>
                    <w:right w:val="single" w:sz="4" w:space="0" w:color="auto"/>
                  </w:tcBorders>
                </w:tcPr>
                <w:p w14:paraId="07CCA669" w14:textId="6DEB1DB8"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0.99</w:t>
                  </w:r>
                </w:p>
              </w:tc>
            </w:tr>
            <w:tr w:rsidR="00174B87" w:rsidRPr="00174B87" w14:paraId="040F3835" w14:textId="5118BE85"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5A89329B"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Plug in operation reliability</w:t>
                  </w:r>
                </w:p>
              </w:tc>
              <w:tc>
                <w:tcPr>
                  <w:tcW w:w="1843" w:type="dxa"/>
                  <w:tcBorders>
                    <w:top w:val="nil"/>
                    <w:left w:val="nil"/>
                    <w:bottom w:val="single" w:sz="4" w:space="0" w:color="auto"/>
                    <w:right w:val="single" w:sz="4" w:space="0" w:color="auto"/>
                  </w:tcBorders>
                  <w:shd w:val="clear" w:color="auto" w:fill="auto"/>
                  <w:noWrap/>
                  <w:vAlign w:val="bottom"/>
                  <w:hideMark/>
                </w:tcPr>
                <w:p w14:paraId="5C675AB2"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0.7</w:t>
                  </w:r>
                </w:p>
              </w:tc>
              <w:tc>
                <w:tcPr>
                  <w:tcW w:w="1980" w:type="dxa"/>
                  <w:tcBorders>
                    <w:top w:val="nil"/>
                    <w:left w:val="nil"/>
                    <w:bottom w:val="single" w:sz="4" w:space="0" w:color="auto"/>
                    <w:right w:val="single" w:sz="4" w:space="0" w:color="auto"/>
                  </w:tcBorders>
                </w:tcPr>
                <w:p w14:paraId="3D51CCE2" w14:textId="003EA21C"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0.7</w:t>
                  </w:r>
                </w:p>
              </w:tc>
            </w:tr>
            <w:tr w:rsidR="00174B87" w:rsidRPr="00174B87" w14:paraId="5FBFDD4F" w14:textId="062DC868"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56EBFF0D"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Switch on reliability</w:t>
                  </w:r>
                </w:p>
              </w:tc>
              <w:tc>
                <w:tcPr>
                  <w:tcW w:w="1843" w:type="dxa"/>
                  <w:tcBorders>
                    <w:top w:val="nil"/>
                    <w:left w:val="nil"/>
                    <w:bottom w:val="single" w:sz="4" w:space="0" w:color="auto"/>
                    <w:right w:val="single" w:sz="4" w:space="0" w:color="auto"/>
                  </w:tcBorders>
                  <w:shd w:val="clear" w:color="auto" w:fill="auto"/>
                  <w:noWrap/>
                  <w:vAlign w:val="bottom"/>
                  <w:hideMark/>
                </w:tcPr>
                <w:p w14:paraId="36A47F99"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0.7</w:t>
                  </w:r>
                </w:p>
              </w:tc>
              <w:tc>
                <w:tcPr>
                  <w:tcW w:w="1980" w:type="dxa"/>
                  <w:tcBorders>
                    <w:top w:val="nil"/>
                    <w:left w:val="nil"/>
                    <w:bottom w:val="single" w:sz="4" w:space="0" w:color="auto"/>
                    <w:right w:val="single" w:sz="4" w:space="0" w:color="auto"/>
                  </w:tcBorders>
                </w:tcPr>
                <w:p w14:paraId="256DEA24" w14:textId="55C4A2A6"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0.7</w:t>
                  </w:r>
                </w:p>
              </w:tc>
            </w:tr>
            <w:tr w:rsidR="00174B87" w:rsidRPr="00174B87" w14:paraId="29EA5C3A" w14:textId="04BC2EF0"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5E99F989" w14:textId="6EB7CBF5"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Mains supply failure chance</w:t>
                  </w:r>
                  <w:r w:rsidR="00D255AC">
                    <w:rPr>
                      <w:rFonts w:eastAsia="Times New Roman" w:cs="Arial"/>
                      <w:color w:val="000000"/>
                      <w:kern w:val="0"/>
                      <w14:ligatures w14:val="none"/>
                    </w:rPr>
                    <w:t>*</w:t>
                  </w:r>
                </w:p>
              </w:tc>
              <w:tc>
                <w:tcPr>
                  <w:tcW w:w="1843" w:type="dxa"/>
                  <w:tcBorders>
                    <w:top w:val="nil"/>
                    <w:left w:val="nil"/>
                    <w:bottom w:val="single" w:sz="4" w:space="0" w:color="auto"/>
                    <w:right w:val="single" w:sz="4" w:space="0" w:color="auto"/>
                  </w:tcBorders>
                  <w:shd w:val="clear" w:color="auto" w:fill="auto"/>
                  <w:noWrap/>
                  <w:vAlign w:val="bottom"/>
                  <w:hideMark/>
                </w:tcPr>
                <w:p w14:paraId="5406F4CE"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0.01</w:t>
                  </w:r>
                </w:p>
              </w:tc>
              <w:tc>
                <w:tcPr>
                  <w:tcW w:w="1980" w:type="dxa"/>
                  <w:tcBorders>
                    <w:top w:val="nil"/>
                    <w:left w:val="nil"/>
                    <w:bottom w:val="single" w:sz="4" w:space="0" w:color="auto"/>
                    <w:right w:val="single" w:sz="4" w:space="0" w:color="auto"/>
                  </w:tcBorders>
                </w:tcPr>
                <w:p w14:paraId="42616815" w14:textId="2E3EE445"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0.99</w:t>
                  </w:r>
                </w:p>
              </w:tc>
            </w:tr>
            <w:tr w:rsidR="00174B87" w:rsidRPr="00174B87" w14:paraId="2AF551C4" w14:textId="2DE2BEA1"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1EE0EB4C"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Cup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35AF8E5D"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1</w:t>
                  </w:r>
                </w:p>
              </w:tc>
              <w:tc>
                <w:tcPr>
                  <w:tcW w:w="1980" w:type="dxa"/>
                  <w:tcBorders>
                    <w:top w:val="nil"/>
                    <w:left w:val="nil"/>
                    <w:bottom w:val="single" w:sz="4" w:space="0" w:color="auto"/>
                    <w:right w:val="single" w:sz="4" w:space="0" w:color="auto"/>
                  </w:tcBorders>
                </w:tcPr>
                <w:p w14:paraId="6EB7E786" w14:textId="3DC7FCBD"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1</w:t>
                  </w:r>
                </w:p>
              </w:tc>
            </w:tr>
            <w:tr w:rsidR="00174B87" w:rsidRPr="00174B87" w14:paraId="4E672436" w14:textId="2039F2FF"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204E86B9"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Cup reliability</w:t>
                  </w:r>
                </w:p>
              </w:tc>
              <w:tc>
                <w:tcPr>
                  <w:tcW w:w="1843" w:type="dxa"/>
                  <w:tcBorders>
                    <w:top w:val="nil"/>
                    <w:left w:val="nil"/>
                    <w:bottom w:val="single" w:sz="4" w:space="0" w:color="auto"/>
                    <w:right w:val="single" w:sz="4" w:space="0" w:color="auto"/>
                  </w:tcBorders>
                  <w:shd w:val="clear" w:color="auto" w:fill="auto"/>
                  <w:noWrap/>
                  <w:vAlign w:val="bottom"/>
                  <w:hideMark/>
                </w:tcPr>
                <w:p w14:paraId="7F933BB9"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0.7</w:t>
                  </w:r>
                </w:p>
              </w:tc>
              <w:tc>
                <w:tcPr>
                  <w:tcW w:w="1980" w:type="dxa"/>
                  <w:tcBorders>
                    <w:top w:val="nil"/>
                    <w:left w:val="nil"/>
                    <w:bottom w:val="single" w:sz="4" w:space="0" w:color="auto"/>
                    <w:right w:val="single" w:sz="4" w:space="0" w:color="auto"/>
                  </w:tcBorders>
                </w:tcPr>
                <w:p w14:paraId="6A2BE917" w14:textId="52A46E07"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0.7</w:t>
                  </w:r>
                </w:p>
              </w:tc>
            </w:tr>
            <w:tr w:rsidR="00174B87" w:rsidRPr="00174B87" w14:paraId="65E2EC2F" w14:textId="319A09FF"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65E51D22"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Milk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219B8250"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0.9</w:t>
                  </w:r>
                </w:p>
              </w:tc>
              <w:tc>
                <w:tcPr>
                  <w:tcW w:w="1980" w:type="dxa"/>
                  <w:tcBorders>
                    <w:top w:val="nil"/>
                    <w:left w:val="nil"/>
                    <w:bottom w:val="single" w:sz="4" w:space="0" w:color="auto"/>
                    <w:right w:val="single" w:sz="4" w:space="0" w:color="auto"/>
                  </w:tcBorders>
                </w:tcPr>
                <w:p w14:paraId="7D7E5207" w14:textId="3D0A3211"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w:t>
                  </w:r>
                </w:p>
              </w:tc>
            </w:tr>
            <w:tr w:rsidR="00174B87" w:rsidRPr="00174B87" w14:paraId="2B2484C2" w14:textId="721DC0F0"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4D8BBEF5"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Milk freshness</w:t>
                  </w:r>
                </w:p>
              </w:tc>
              <w:tc>
                <w:tcPr>
                  <w:tcW w:w="1843" w:type="dxa"/>
                  <w:tcBorders>
                    <w:top w:val="nil"/>
                    <w:left w:val="nil"/>
                    <w:bottom w:val="single" w:sz="4" w:space="0" w:color="auto"/>
                    <w:right w:val="single" w:sz="4" w:space="0" w:color="auto"/>
                  </w:tcBorders>
                  <w:shd w:val="clear" w:color="auto" w:fill="auto"/>
                  <w:noWrap/>
                  <w:vAlign w:val="bottom"/>
                  <w:hideMark/>
                </w:tcPr>
                <w:p w14:paraId="0529AED3"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0.8</w:t>
                  </w:r>
                </w:p>
              </w:tc>
              <w:tc>
                <w:tcPr>
                  <w:tcW w:w="1980" w:type="dxa"/>
                  <w:tcBorders>
                    <w:top w:val="nil"/>
                    <w:left w:val="nil"/>
                    <w:bottom w:val="single" w:sz="4" w:space="0" w:color="auto"/>
                    <w:right w:val="single" w:sz="4" w:space="0" w:color="auto"/>
                  </w:tcBorders>
                </w:tcPr>
                <w:p w14:paraId="7A7FB4B0" w14:textId="63146A23"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0.8</w:t>
                  </w:r>
                </w:p>
              </w:tc>
            </w:tr>
            <w:tr w:rsidR="00174B87" w:rsidRPr="00174B87" w14:paraId="6306931E" w14:textId="1043CDBC"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3305D17B"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Sugar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01422EB5"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0.6</w:t>
                  </w:r>
                </w:p>
              </w:tc>
              <w:tc>
                <w:tcPr>
                  <w:tcW w:w="1980" w:type="dxa"/>
                  <w:tcBorders>
                    <w:top w:val="nil"/>
                    <w:left w:val="nil"/>
                    <w:bottom w:val="single" w:sz="4" w:space="0" w:color="auto"/>
                    <w:right w:val="single" w:sz="4" w:space="0" w:color="auto"/>
                  </w:tcBorders>
                </w:tcPr>
                <w:p w14:paraId="14385A46" w14:textId="64C6FFD6"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0.6</w:t>
                  </w:r>
                </w:p>
              </w:tc>
            </w:tr>
            <w:tr w:rsidR="00174B87" w:rsidRPr="00174B87" w14:paraId="753628BA" w14:textId="50EBF304" w:rsidTr="00D255AC">
              <w:trPr>
                <w:trHeight w:val="285"/>
                <w:jc w:val="center"/>
              </w:trPr>
              <w:tc>
                <w:tcPr>
                  <w:tcW w:w="3304" w:type="dxa"/>
                  <w:tcBorders>
                    <w:top w:val="nil"/>
                    <w:left w:val="single" w:sz="4" w:space="0" w:color="auto"/>
                    <w:bottom w:val="single" w:sz="4" w:space="0" w:color="auto"/>
                    <w:right w:val="single" w:sz="4" w:space="0" w:color="auto"/>
                  </w:tcBorders>
                  <w:shd w:val="clear" w:color="auto" w:fill="auto"/>
                  <w:noWrap/>
                  <w:hideMark/>
                </w:tcPr>
                <w:p w14:paraId="0E46DD0A" w14:textId="77777777" w:rsidR="00174B87" w:rsidRPr="00174B87" w:rsidRDefault="00174B87" w:rsidP="00174B87">
                  <w:pPr>
                    <w:spacing w:after="0" w:line="240" w:lineRule="auto"/>
                    <w:rPr>
                      <w:rFonts w:eastAsia="Times New Roman" w:cs="Arial"/>
                      <w:color w:val="000000"/>
                      <w:kern w:val="0"/>
                      <w14:ligatures w14:val="none"/>
                    </w:rPr>
                  </w:pPr>
                  <w:r w:rsidRPr="00174B87">
                    <w:rPr>
                      <w:rFonts w:eastAsia="Times New Roman" w:cs="Arial"/>
                      <w:color w:val="000000"/>
                      <w:kern w:val="0"/>
                      <w14:ligatures w14:val="none"/>
                    </w:rPr>
                    <w:t>Sweetener Availability</w:t>
                  </w:r>
                </w:p>
              </w:tc>
              <w:tc>
                <w:tcPr>
                  <w:tcW w:w="1843" w:type="dxa"/>
                  <w:tcBorders>
                    <w:top w:val="nil"/>
                    <w:left w:val="nil"/>
                    <w:bottom w:val="single" w:sz="4" w:space="0" w:color="auto"/>
                    <w:right w:val="single" w:sz="4" w:space="0" w:color="auto"/>
                  </w:tcBorders>
                  <w:shd w:val="clear" w:color="auto" w:fill="auto"/>
                  <w:noWrap/>
                  <w:vAlign w:val="bottom"/>
                  <w:hideMark/>
                </w:tcPr>
                <w:p w14:paraId="4F9A803B" w14:textId="77777777" w:rsidR="00174B87" w:rsidRPr="00174B87" w:rsidRDefault="00174B87" w:rsidP="00174B87">
                  <w:pPr>
                    <w:spacing w:after="0" w:line="240" w:lineRule="auto"/>
                    <w:jc w:val="center"/>
                    <w:rPr>
                      <w:rFonts w:eastAsia="Times New Roman" w:cs="Arial"/>
                      <w:color w:val="000000"/>
                      <w:kern w:val="0"/>
                      <w14:ligatures w14:val="none"/>
                    </w:rPr>
                  </w:pPr>
                  <w:r w:rsidRPr="00174B87">
                    <w:rPr>
                      <w:rFonts w:eastAsia="Times New Roman" w:cs="Arial"/>
                      <w:color w:val="000000"/>
                      <w:kern w:val="0"/>
                      <w14:ligatures w14:val="none"/>
                    </w:rPr>
                    <w:t>0.9</w:t>
                  </w:r>
                </w:p>
              </w:tc>
              <w:tc>
                <w:tcPr>
                  <w:tcW w:w="1980" w:type="dxa"/>
                  <w:tcBorders>
                    <w:top w:val="nil"/>
                    <w:left w:val="nil"/>
                    <w:bottom w:val="single" w:sz="4" w:space="0" w:color="auto"/>
                    <w:right w:val="single" w:sz="4" w:space="0" w:color="auto"/>
                  </w:tcBorders>
                </w:tcPr>
                <w:p w14:paraId="06D6B427" w14:textId="59EFB52B" w:rsidR="00174B87" w:rsidRPr="00174B87" w:rsidRDefault="00D255AC" w:rsidP="00174B87">
                  <w:pPr>
                    <w:spacing w:after="0" w:line="240" w:lineRule="auto"/>
                    <w:jc w:val="center"/>
                    <w:rPr>
                      <w:rFonts w:eastAsia="Times New Roman" w:cs="Arial"/>
                      <w:color w:val="000000"/>
                      <w:kern w:val="0"/>
                      <w14:ligatures w14:val="none"/>
                    </w:rPr>
                  </w:pPr>
                  <w:r>
                    <w:rPr>
                      <w:rFonts w:eastAsia="Times New Roman" w:cs="Arial"/>
                      <w:color w:val="000000"/>
                      <w:kern w:val="0"/>
                      <w14:ligatures w14:val="none"/>
                    </w:rPr>
                    <w:t>0.9</w:t>
                  </w:r>
                </w:p>
              </w:tc>
            </w:tr>
            <w:tr w:rsidR="00D255AC" w:rsidRPr="00174B87" w14:paraId="57D1C494" w14:textId="77777777" w:rsidTr="00BC5C23">
              <w:trPr>
                <w:trHeight w:val="285"/>
                <w:jc w:val="center"/>
              </w:trPr>
              <w:tc>
                <w:tcPr>
                  <w:tcW w:w="7127" w:type="dxa"/>
                  <w:gridSpan w:val="3"/>
                  <w:tcBorders>
                    <w:top w:val="nil"/>
                    <w:left w:val="single" w:sz="4" w:space="0" w:color="auto"/>
                    <w:bottom w:val="single" w:sz="4" w:space="0" w:color="auto"/>
                    <w:right w:val="single" w:sz="4" w:space="0" w:color="auto"/>
                  </w:tcBorders>
                  <w:shd w:val="clear" w:color="auto" w:fill="auto"/>
                  <w:noWrap/>
                </w:tcPr>
                <w:p w14:paraId="0538318E" w14:textId="5A09B9C7" w:rsidR="00D255AC" w:rsidRPr="00D255AC" w:rsidRDefault="00D255AC" w:rsidP="00D255AC">
                  <w:pPr>
                    <w:spacing w:after="0" w:line="240" w:lineRule="auto"/>
                    <w:rPr>
                      <w:rFonts w:eastAsia="Times New Roman" w:cs="Arial"/>
                      <w:color w:val="000000"/>
                      <w:kern w:val="0"/>
                      <w14:ligatures w14:val="none"/>
                    </w:rPr>
                  </w:pPr>
                  <w:r>
                    <w:rPr>
                      <w:rFonts w:eastAsia="Times New Roman" w:cs="Arial"/>
                      <w:color w:val="000000"/>
                      <w:kern w:val="0"/>
                      <w14:ligatures w14:val="none"/>
                    </w:rPr>
                    <w:t>*Where probabilities of a failure have been provided these have been translated to the probability of success.</w:t>
                  </w:r>
                </w:p>
              </w:tc>
            </w:tr>
          </w:tbl>
          <w:p w14:paraId="01EC082E" w14:textId="77777777" w:rsidR="00174B87" w:rsidRPr="00174B87" w:rsidRDefault="00174B87" w:rsidP="00174B87"/>
          <w:p w14:paraId="0048FDF2" w14:textId="77777777" w:rsidR="00174B87" w:rsidRDefault="00174B87" w:rsidP="00174B87">
            <w:pPr>
              <w:jc w:val="center"/>
            </w:pPr>
          </w:p>
          <w:p w14:paraId="218178AA" w14:textId="77777777" w:rsidR="00C21991" w:rsidRDefault="00C21991" w:rsidP="00174B87">
            <w:pPr>
              <w:jc w:val="center"/>
            </w:pPr>
          </w:p>
          <w:p w14:paraId="448DB0F3" w14:textId="477A7890" w:rsidR="00C21991" w:rsidRDefault="00C21991" w:rsidP="00174B87">
            <w:pPr>
              <w:jc w:val="center"/>
            </w:pPr>
          </w:p>
        </w:tc>
      </w:tr>
      <w:tr w:rsidR="00965C27" w14:paraId="4E9F4981" w14:textId="77777777" w:rsidTr="00965C27">
        <w:tc>
          <w:tcPr>
            <w:tcW w:w="9016" w:type="dxa"/>
            <w:gridSpan w:val="4"/>
            <w:shd w:val="clear" w:color="auto" w:fill="153D63" w:themeFill="text2" w:themeFillTint="E6"/>
          </w:tcPr>
          <w:p w14:paraId="094F9F4F" w14:textId="571DAEC4" w:rsidR="00965C27" w:rsidRPr="00965C27" w:rsidRDefault="00965C27">
            <w:pPr>
              <w:rPr>
                <w:b/>
                <w:bCs/>
              </w:rPr>
            </w:pPr>
            <w:r w:rsidRPr="00965C27">
              <w:rPr>
                <w:b/>
                <w:bCs/>
              </w:rPr>
              <w:lastRenderedPageBreak/>
              <w:t>Probability Calculation:</w:t>
            </w:r>
          </w:p>
        </w:tc>
      </w:tr>
      <w:tr w:rsidR="00965C27" w14:paraId="06FB1991" w14:textId="77777777" w:rsidTr="004539C3">
        <w:tc>
          <w:tcPr>
            <w:tcW w:w="9016" w:type="dxa"/>
            <w:gridSpan w:val="4"/>
          </w:tcPr>
          <w:p w14:paraId="2848ECEB" w14:textId="77777777" w:rsidR="0024114C" w:rsidRDefault="0024114C"/>
          <w:p w14:paraId="53B41717" w14:textId="0F7C23C2" w:rsidR="00965C27" w:rsidRDefault="00D255AC">
            <w:r>
              <w:t xml:space="preserve">As discussed within the </w:t>
            </w:r>
            <w:proofErr w:type="gramStart"/>
            <w:r>
              <w:t xml:space="preserve">introduction </w:t>
            </w:r>
            <w:r w:rsidR="00946171">
              <w:t>,</w:t>
            </w:r>
            <w:r>
              <w:t>the</w:t>
            </w:r>
            <w:proofErr w:type="gramEnd"/>
            <w:r>
              <w:t xml:space="preserve"> Boolean logic utilised within FTA allows the probability of the critical event occurring to be determined from the known probabilities of ba</w:t>
            </w:r>
            <w:r w:rsidR="00946171">
              <w:t>sic</w:t>
            </w:r>
            <w:r>
              <w:t xml:space="preserve"> events. To perform this kind of analysis however, the mathematical equations governing “AND” and “OR” gates must be understood. There fundamental equations are presented in Equation 1 and Equation 2 respectively.</w:t>
            </w:r>
          </w:p>
          <w:p w14:paraId="40B6487A" w14:textId="77777777" w:rsidR="00D255AC" w:rsidRDefault="00D255AC"/>
          <w:p w14:paraId="5FC2F47C" w14:textId="2283DEF3" w:rsidR="00861FF7" w:rsidRDefault="00861FF7" w:rsidP="00861FF7">
            <w:pPr>
              <w:pStyle w:val="Caption"/>
              <w:keepNext/>
              <w:jc w:val="center"/>
            </w:pPr>
            <w:r>
              <w:t xml:space="preserve">Equation </w:t>
            </w:r>
            <w:fldSimple w:instr=" SEQ Equation \* ARABIC ">
              <w:r>
                <w:rPr>
                  <w:noProof/>
                </w:rPr>
                <w:t>1</w:t>
              </w:r>
            </w:fldSimple>
            <w:r>
              <w:t xml:space="preserve"> </w:t>
            </w:r>
            <w:r w:rsidRPr="003C251C">
              <w:t>- The probability calculation across an "AND" gate</w:t>
            </w:r>
            <w:r w:rsidR="00366486">
              <w:t xml:space="preserve"> </w:t>
            </w:r>
            <w:sdt>
              <w:sdtPr>
                <w:id w:val="-690911517"/>
                <w:citation/>
              </w:sdtPr>
              <w:sdtContent>
                <w:r w:rsidR="00366486">
                  <w:fldChar w:fldCharType="begin"/>
                </w:r>
                <w:r w:rsidR="00366486">
                  <w:instrText xml:space="preserve"> CITATION Pro25 \l 2057 </w:instrText>
                </w:r>
                <w:r w:rsidR="00366486">
                  <w:fldChar w:fldCharType="separate"/>
                </w:r>
                <w:r w:rsidR="00366486" w:rsidRPr="00366486">
                  <w:rPr>
                    <w:noProof/>
                  </w:rPr>
                  <w:t>[6]</w:t>
                </w:r>
                <w:r w:rsidR="00366486">
                  <w:fldChar w:fldCharType="end"/>
                </w:r>
              </w:sdtContent>
            </w:sdt>
            <w:r w:rsidRPr="003C251C">
              <w:t>.</w:t>
            </w:r>
          </w:p>
          <w:p w14:paraId="0AA38339" w14:textId="6842E31D" w:rsidR="00D255AC" w:rsidRPr="00861FF7" w:rsidRDefault="00861FF7">
            <w:pP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A and B and…</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m:t>
                </m:r>
                <m:d>
                  <m:dPr>
                    <m:ctrlPr>
                      <w:rPr>
                        <w:rFonts w:ascii="Cambria Math" w:hAnsi="Cambria Math"/>
                        <w:i/>
                      </w:rPr>
                    </m:ctrlPr>
                  </m:dPr>
                  <m:e>
                    <m:r>
                      <w:rPr>
                        <w:rFonts w:ascii="Cambria Math" w:hAnsi="Cambria Math"/>
                      </w:rPr>
                      <m:t>B</m:t>
                    </m:r>
                  </m:e>
                </m:d>
                <m:r>
                  <w:rPr>
                    <w:rFonts w:ascii="Cambria Math" w:hAnsi="Cambria Math"/>
                  </w:rPr>
                  <m:t xml:space="preserve">×… </m:t>
                </m:r>
              </m:oMath>
            </m:oMathPara>
          </w:p>
          <w:p w14:paraId="3A353855" w14:textId="77777777" w:rsidR="00861FF7" w:rsidRPr="00861FF7" w:rsidRDefault="00861FF7">
            <w:pPr>
              <w:rPr>
                <w:rFonts w:eastAsiaTheme="minorEastAsia"/>
              </w:rPr>
            </w:pPr>
          </w:p>
          <w:p w14:paraId="225B4CFF" w14:textId="77777777" w:rsidR="00861FF7" w:rsidRDefault="00861FF7">
            <w:pPr>
              <w:rPr>
                <w:rFonts w:eastAsiaTheme="minorEastAsia"/>
              </w:rPr>
            </w:pPr>
          </w:p>
          <w:p w14:paraId="7F3CEAC1" w14:textId="5CEFA2EA" w:rsidR="00861FF7" w:rsidRDefault="00861FF7" w:rsidP="00861FF7">
            <w:pPr>
              <w:pStyle w:val="Caption"/>
              <w:keepNext/>
              <w:jc w:val="center"/>
            </w:pPr>
            <w:r>
              <w:t xml:space="preserve">Equation </w:t>
            </w:r>
            <w:fldSimple w:instr=" SEQ Equation \* ARABIC ">
              <w:r>
                <w:rPr>
                  <w:noProof/>
                </w:rPr>
                <w:t>2</w:t>
              </w:r>
            </w:fldSimple>
            <w:r>
              <w:t xml:space="preserve"> - the probability calculation across an "OR" gate</w:t>
            </w:r>
            <w:r w:rsidR="00366486">
              <w:t xml:space="preserve"> </w:t>
            </w:r>
            <w:sdt>
              <w:sdtPr>
                <w:id w:val="159504292"/>
                <w:citation/>
              </w:sdtPr>
              <w:sdtContent>
                <w:r w:rsidR="00366486">
                  <w:fldChar w:fldCharType="begin"/>
                </w:r>
                <w:r w:rsidR="00366486">
                  <w:instrText xml:space="preserve"> CITATION Pro25 \l 2057 </w:instrText>
                </w:r>
                <w:r w:rsidR="00366486">
                  <w:fldChar w:fldCharType="separate"/>
                </w:r>
                <w:r w:rsidR="00366486" w:rsidRPr="00366486">
                  <w:rPr>
                    <w:noProof/>
                  </w:rPr>
                  <w:t>[6]</w:t>
                </w:r>
                <w:r w:rsidR="00366486">
                  <w:fldChar w:fldCharType="end"/>
                </w:r>
              </w:sdtContent>
            </w:sdt>
            <w:r>
              <w:t>.</w:t>
            </w:r>
          </w:p>
          <w:p w14:paraId="6370A38E" w14:textId="5F06FCA0" w:rsidR="00861FF7" w:rsidRPr="00861FF7" w:rsidRDefault="00861FF7">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A or B or…</m:t>
                    </m:r>
                  </m:e>
                </m:d>
                <m:r>
                  <w:rPr>
                    <w:rFonts w:ascii="Cambria Math" w:eastAsiaTheme="minorEastAsia" w:hAnsi="Cambria Math"/>
                  </w:rPr>
                  <m:t>=1-[1-P</m:t>
                </m:r>
                <m:d>
                  <m:dPr>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]×[1-P</m:t>
                </m:r>
                <m:d>
                  <m:dPr>
                    <m:ctrlPr>
                      <w:rPr>
                        <w:rFonts w:ascii="Cambria Math" w:eastAsiaTheme="minorEastAsia" w:hAnsi="Cambria Math"/>
                        <w:i/>
                      </w:rPr>
                    </m:ctrlPr>
                  </m:dPr>
                  <m:e>
                    <m:r>
                      <w:rPr>
                        <w:rFonts w:ascii="Cambria Math" w:eastAsiaTheme="minorEastAsia" w:hAnsi="Cambria Math"/>
                      </w:rPr>
                      <m:t>B</m:t>
                    </m:r>
                  </m:e>
                </m:d>
                <m:r>
                  <w:rPr>
                    <w:rFonts w:ascii="Cambria Math" w:eastAsiaTheme="minorEastAsia" w:hAnsi="Cambria Math"/>
                  </w:rPr>
                  <m:t>]×[…]</m:t>
                </m:r>
              </m:oMath>
            </m:oMathPara>
          </w:p>
          <w:p w14:paraId="2596948F" w14:textId="77777777" w:rsidR="00861FF7" w:rsidRPr="00861FF7" w:rsidRDefault="00861FF7">
            <w:pPr>
              <w:rPr>
                <w:rFonts w:eastAsiaTheme="minorEastAsia"/>
              </w:rPr>
            </w:pPr>
          </w:p>
          <w:p w14:paraId="3E7F0C87" w14:textId="77777777" w:rsidR="00D61470" w:rsidRDefault="00D61470">
            <w:pPr>
              <w:rPr>
                <w:rFonts w:eastAsiaTheme="minorEastAsia"/>
              </w:rPr>
            </w:pPr>
          </w:p>
          <w:p w14:paraId="707E1FE7" w14:textId="28748FE9" w:rsidR="00D61470" w:rsidRDefault="00861FF7">
            <w:pPr>
              <w:rPr>
                <w:rFonts w:eastAsiaTheme="minorEastAsia"/>
              </w:rPr>
            </w:pPr>
            <w:r>
              <w:rPr>
                <w:rFonts w:eastAsiaTheme="minorEastAsia"/>
              </w:rPr>
              <w:t>T</w:t>
            </w:r>
            <w:r w:rsidR="00D61470">
              <w:rPr>
                <w:rFonts w:eastAsiaTheme="minorEastAsia"/>
              </w:rPr>
              <w:t xml:space="preserve">o demonstrate the power of these rules the case study presented above was examined to determine the probability of successfully making a cup of tea. It is crucial to note here, as we must make Tea and not Coffee the base event of Coffee Availability is removed from the fault tree. This is because not matter </w:t>
            </w:r>
            <w:proofErr w:type="gramStart"/>
            <w:r w:rsidR="00D61470">
              <w:rPr>
                <w:rFonts w:eastAsiaTheme="minorEastAsia"/>
              </w:rPr>
              <w:t>it’s</w:t>
            </w:r>
            <w:proofErr w:type="gramEnd"/>
            <w:r w:rsidR="00D61470">
              <w:rPr>
                <w:rFonts w:eastAsiaTheme="minorEastAsia"/>
              </w:rPr>
              <w:t xml:space="preserve"> availability</w:t>
            </w:r>
            <w:r w:rsidR="00946171">
              <w:rPr>
                <w:rFonts w:eastAsiaTheme="minorEastAsia"/>
              </w:rPr>
              <w:t>,</w:t>
            </w:r>
            <w:r w:rsidR="00D61470">
              <w:rPr>
                <w:rFonts w:eastAsiaTheme="minorEastAsia"/>
              </w:rPr>
              <w:t xml:space="preserve"> it cannot be selected. An improved fault tree may mitigate this by adding another base event labelled “Correct Drink Selected” to allow for both to be available but the incorrect one to be selected. This however is outside the scope of this work. </w:t>
            </w:r>
          </w:p>
          <w:p w14:paraId="1903EA54" w14:textId="77777777" w:rsidR="00D61470" w:rsidRDefault="00D61470">
            <w:pPr>
              <w:rPr>
                <w:rFonts w:eastAsiaTheme="minorEastAsia"/>
              </w:rPr>
            </w:pPr>
          </w:p>
          <w:p w14:paraId="3E5F461F" w14:textId="63D8D1D9" w:rsidR="00861FF7" w:rsidRDefault="00D61470">
            <w:pPr>
              <w:rPr>
                <w:rFonts w:eastAsiaTheme="minorEastAsia"/>
              </w:rPr>
            </w:pPr>
            <w:r>
              <w:rPr>
                <w:rFonts w:eastAsiaTheme="minorEastAsia"/>
              </w:rPr>
              <w:t xml:space="preserve">The results of this probability analysis can be seen in Figure 3 and determines that the probability of successfully making tea is </w:t>
            </w:r>
            <w:r w:rsidR="00194529">
              <w:rPr>
                <w:rFonts w:eastAsiaTheme="minorEastAsia"/>
              </w:rPr>
              <w:t>0.1656 or approximately 16%</w:t>
            </w:r>
            <w:r>
              <w:rPr>
                <w:rFonts w:eastAsiaTheme="minorEastAsia"/>
              </w:rPr>
              <w:t>.</w:t>
            </w:r>
          </w:p>
          <w:p w14:paraId="36A07E7B" w14:textId="77777777" w:rsidR="00EC09A2" w:rsidRDefault="00EC09A2">
            <w:pPr>
              <w:rPr>
                <w:rFonts w:eastAsiaTheme="minorEastAsia"/>
              </w:rPr>
            </w:pPr>
          </w:p>
          <w:p w14:paraId="7BC70CE7" w14:textId="77777777" w:rsidR="00EC09A2" w:rsidRDefault="00EC09A2">
            <w:pPr>
              <w:rPr>
                <w:rFonts w:eastAsiaTheme="minorEastAsia"/>
              </w:rPr>
            </w:pPr>
          </w:p>
          <w:p w14:paraId="5B3DE267" w14:textId="5E3D7CFA" w:rsidR="00194529" w:rsidRPr="00861FF7" w:rsidRDefault="00194529">
            <w:pPr>
              <w:rPr>
                <w:rFonts w:eastAsiaTheme="minorEastAsia"/>
              </w:rPr>
            </w:pPr>
          </w:p>
          <w:p w14:paraId="7CA089B9" w14:textId="77777777" w:rsidR="00194529" w:rsidRDefault="00194529" w:rsidP="00194529">
            <w:pPr>
              <w:keepNext/>
            </w:pPr>
            <w:r>
              <w:rPr>
                <w:rFonts w:eastAsiaTheme="minorEastAsia"/>
                <w:noProof/>
              </w:rPr>
              <w:drawing>
                <wp:inline distT="0" distB="0" distL="0" distR="0" wp14:anchorId="3A8DDFC7" wp14:editId="662802E5">
                  <wp:extent cx="5400000" cy="3013200"/>
                  <wp:effectExtent l="0" t="0" r="0" b="0"/>
                  <wp:docPr id="46598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0000" cy="3013200"/>
                          </a:xfrm>
                          <a:prstGeom prst="rect">
                            <a:avLst/>
                          </a:prstGeom>
                          <a:noFill/>
                        </pic:spPr>
                      </pic:pic>
                    </a:graphicData>
                  </a:graphic>
                </wp:inline>
              </w:drawing>
            </w:r>
          </w:p>
          <w:p w14:paraId="5CEE472D" w14:textId="77777777" w:rsidR="00194529" w:rsidRDefault="00194529" w:rsidP="00194529">
            <w:pPr>
              <w:pStyle w:val="Caption"/>
            </w:pPr>
          </w:p>
          <w:p w14:paraId="505355B8" w14:textId="7B732F02" w:rsidR="00861FF7" w:rsidRDefault="00194529" w:rsidP="00194529">
            <w:pPr>
              <w:pStyle w:val="Caption"/>
            </w:pPr>
            <w:r>
              <w:t xml:space="preserve">Figure </w:t>
            </w:r>
            <w:fldSimple w:instr=" SEQ Figure \* ARABIC ">
              <w:r w:rsidR="0024114C">
                <w:rPr>
                  <w:noProof/>
                </w:rPr>
                <w:t>3</w:t>
              </w:r>
            </w:fldSimple>
            <w:r>
              <w:t xml:space="preserve"> - Fault Tree Probability Analysis for making a cup of tea.</w:t>
            </w:r>
          </w:p>
          <w:p w14:paraId="4FD3AF5B" w14:textId="30AFD57A" w:rsidR="00D255AC" w:rsidRPr="00D255AC" w:rsidRDefault="00D255AC">
            <w:pPr>
              <w:rPr>
                <w:rFonts w:eastAsiaTheme="minorEastAsia"/>
              </w:rPr>
            </w:pPr>
          </w:p>
        </w:tc>
      </w:tr>
      <w:tr w:rsidR="00965C27" w14:paraId="6DD421C9" w14:textId="77777777" w:rsidTr="00965C27">
        <w:tc>
          <w:tcPr>
            <w:tcW w:w="9016" w:type="dxa"/>
            <w:gridSpan w:val="4"/>
            <w:shd w:val="clear" w:color="auto" w:fill="153D63" w:themeFill="text2" w:themeFillTint="E6"/>
          </w:tcPr>
          <w:p w14:paraId="6C32A440" w14:textId="6E192FE8" w:rsidR="00965C27" w:rsidRPr="00965C27" w:rsidRDefault="00965C27">
            <w:pPr>
              <w:rPr>
                <w:b/>
                <w:bCs/>
              </w:rPr>
            </w:pPr>
            <w:r w:rsidRPr="00965C27">
              <w:rPr>
                <w:b/>
                <w:bCs/>
              </w:rPr>
              <w:lastRenderedPageBreak/>
              <w:t>Influence of Human Factors:</w:t>
            </w:r>
            <w:r>
              <w:rPr>
                <w:b/>
                <w:bCs/>
              </w:rPr>
              <w:t xml:space="preserve"> </w:t>
            </w:r>
          </w:p>
        </w:tc>
      </w:tr>
      <w:tr w:rsidR="00965C27" w14:paraId="5395B2DF" w14:textId="77777777" w:rsidTr="004539C3">
        <w:tc>
          <w:tcPr>
            <w:tcW w:w="9016" w:type="dxa"/>
            <w:gridSpan w:val="4"/>
          </w:tcPr>
          <w:p w14:paraId="0B1C1DFF" w14:textId="77777777" w:rsidR="0024114C" w:rsidRDefault="0024114C" w:rsidP="006F62FF"/>
          <w:p w14:paraId="472BA52A" w14:textId="05EA5DC6" w:rsidR="006F62FF" w:rsidRDefault="00EC09A2" w:rsidP="006F62FF">
            <w:r>
              <w:t>Due to the quantified nature of a</w:t>
            </w:r>
            <w:r w:rsidR="006F62FF">
              <w:t>n</w:t>
            </w:r>
            <w:r>
              <w:t xml:space="preserve"> FTA, it is easy for engineers to understand how changes in the probability of bas</w:t>
            </w:r>
            <w:r w:rsidR="006F62FF">
              <w:t>ic</w:t>
            </w:r>
            <w:r>
              <w:t xml:space="preserve"> events can influence the probability of the critical event. This is especially useful when analysing the influence of noise on the performance of the system. One of the main noise factors within </w:t>
            </w:r>
            <w:r w:rsidR="006F62FF">
              <w:t>product or manufacturing systems is Human Factors.</w:t>
            </w:r>
          </w:p>
          <w:p w14:paraId="02E97F06" w14:textId="77777777" w:rsidR="006F62FF" w:rsidRDefault="006F62FF" w:rsidP="006F62FF"/>
          <w:p w14:paraId="5F5D5C4B" w14:textId="0B295643" w:rsidR="006F62FF" w:rsidRDefault="006F62FF" w:rsidP="006F62FF">
            <w:r>
              <w:t xml:space="preserve">Human Factors engineering explores how </w:t>
            </w:r>
            <w:r w:rsidRPr="006F62FF">
              <w:t>physiology, psychology, engineering and statistics</w:t>
            </w:r>
            <w:r>
              <w:t xml:space="preserve"> can be used to explain variance in human performance and hence</w:t>
            </w:r>
            <w:r w:rsidR="00946171">
              <w:t>,</w:t>
            </w:r>
            <w:r>
              <w:t xml:space="preserve"> is critical for understand</w:t>
            </w:r>
            <w:r w:rsidR="00946171">
              <w:t>ing</w:t>
            </w:r>
            <w:r>
              <w:t xml:space="preserve"> how human operators influence the probability of basic event occurrence</w:t>
            </w:r>
            <w:r w:rsidR="00366486">
              <w:t xml:space="preserve"> </w:t>
            </w:r>
            <w:sdt>
              <w:sdtPr>
                <w:id w:val="2086106019"/>
                <w:citation/>
              </w:sdtPr>
              <w:sdtContent>
                <w:r w:rsidR="00366486">
                  <w:fldChar w:fldCharType="begin"/>
                </w:r>
                <w:r w:rsidR="00366486">
                  <w:instrText xml:space="preserve"> CITATION Tur25 \l 2057 </w:instrText>
                </w:r>
                <w:r w:rsidR="00366486">
                  <w:fldChar w:fldCharType="separate"/>
                </w:r>
                <w:r w:rsidR="00366486" w:rsidRPr="00366486">
                  <w:rPr>
                    <w:noProof/>
                  </w:rPr>
                  <w:t>[7]</w:t>
                </w:r>
                <w:r w:rsidR="00366486">
                  <w:fldChar w:fldCharType="end"/>
                </w:r>
              </w:sdtContent>
            </w:sdt>
            <w:r>
              <w:t>.</w:t>
            </w:r>
          </w:p>
          <w:p w14:paraId="48589A7C" w14:textId="77777777" w:rsidR="006F62FF" w:rsidRDefault="006F62FF" w:rsidP="006F62FF"/>
          <w:p w14:paraId="1AC0F422" w14:textId="309222DA" w:rsidR="000D16A9" w:rsidRDefault="006F62FF" w:rsidP="006F62FF">
            <w:r>
              <w:t>Humans make can make one of four error types when completing a process which sit under two categories, Unintended or Intended actions</w:t>
            </w:r>
            <w:r w:rsidR="000D16A9">
              <w:t>, Figure 4</w:t>
            </w:r>
            <w:r>
              <w:t xml:space="preserve">. </w:t>
            </w:r>
          </w:p>
          <w:p w14:paraId="1AA498EF" w14:textId="77777777" w:rsidR="000D16A9" w:rsidRDefault="000D16A9" w:rsidP="006F62FF"/>
          <w:p w14:paraId="29D8C435" w14:textId="77777777" w:rsidR="0024114C" w:rsidRDefault="00720265" w:rsidP="0024114C">
            <w:pPr>
              <w:keepNext/>
            </w:pPr>
            <w:r>
              <w:rPr>
                <w:noProof/>
              </w:rPr>
              <w:drawing>
                <wp:inline distT="0" distB="0" distL="0" distR="0" wp14:anchorId="7B8F9620" wp14:editId="3728F6A2">
                  <wp:extent cx="5476875" cy="1838325"/>
                  <wp:effectExtent l="38100" t="0" r="9525" b="28575"/>
                  <wp:docPr id="209690804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F104023" w14:textId="77777777" w:rsidR="0024114C" w:rsidRDefault="0024114C" w:rsidP="0024114C">
            <w:pPr>
              <w:pStyle w:val="Caption"/>
            </w:pPr>
          </w:p>
          <w:p w14:paraId="481FE6F4" w14:textId="49A63CA9" w:rsidR="00720265" w:rsidRDefault="0024114C" w:rsidP="0024114C">
            <w:pPr>
              <w:pStyle w:val="Caption"/>
            </w:pPr>
            <w:r>
              <w:t xml:space="preserve">Figure </w:t>
            </w:r>
            <w:fldSimple w:instr=" SEQ Figure \* ARABIC ">
              <w:r>
                <w:rPr>
                  <w:noProof/>
                </w:rPr>
                <w:t>4</w:t>
              </w:r>
            </w:fldSimple>
            <w:r>
              <w:t xml:space="preserve"> - Taxonomy of human factors errors</w:t>
            </w:r>
            <w:r w:rsidR="00366486">
              <w:t xml:space="preserve"> </w:t>
            </w:r>
            <w:sdt>
              <w:sdtPr>
                <w:id w:val="1551034756"/>
                <w:citation/>
              </w:sdtPr>
              <w:sdtContent>
                <w:r w:rsidR="00366486">
                  <w:fldChar w:fldCharType="begin"/>
                </w:r>
                <w:r w:rsidR="00366486">
                  <w:instrText xml:space="preserve"> CITATION Tur25 \l 2057 </w:instrText>
                </w:r>
                <w:r w:rsidR="00366486">
                  <w:fldChar w:fldCharType="separate"/>
                </w:r>
                <w:r w:rsidR="00366486" w:rsidRPr="00366486">
                  <w:rPr>
                    <w:noProof/>
                  </w:rPr>
                  <w:t>[7]</w:t>
                </w:r>
                <w:r w:rsidR="00366486">
                  <w:fldChar w:fldCharType="end"/>
                </w:r>
              </w:sdtContent>
            </w:sdt>
            <w:r w:rsidR="00366486">
              <w:t>.</w:t>
            </w:r>
          </w:p>
          <w:p w14:paraId="3DA49B2A" w14:textId="56D66CED" w:rsidR="000D16A9" w:rsidRDefault="006F62FF" w:rsidP="006F62FF">
            <w:r>
              <w:t xml:space="preserve">The factors influencing a </w:t>
            </w:r>
            <w:r w:rsidR="000D16A9">
              <w:t>human’s</w:t>
            </w:r>
            <w:r>
              <w:t xml:space="preserve"> likelihood of making an </w:t>
            </w:r>
            <w:r w:rsidR="000D16A9">
              <w:t>error,</w:t>
            </w:r>
            <w:r>
              <w:t xml:space="preserve"> however</w:t>
            </w:r>
            <w:r w:rsidR="000D16A9">
              <w:t>,</w:t>
            </w:r>
            <w:r>
              <w:t xml:space="preserve"> </w:t>
            </w:r>
            <w:r w:rsidR="000D16A9">
              <w:t>are</w:t>
            </w:r>
            <w:r>
              <w:t xml:space="preserve"> almost infinite</w:t>
            </w:r>
            <w:r w:rsidR="000D16A9">
              <w:t xml:space="preserve"> posing significant challenges. To help simplify the problem engineers assign these factors to one of three categories, Figure 5, allowing their route courses to be individually addressed.</w:t>
            </w:r>
          </w:p>
          <w:p w14:paraId="19B02671" w14:textId="34424349" w:rsidR="0024114C" w:rsidRDefault="0024114C" w:rsidP="006F62FF">
            <w:r>
              <w:rPr>
                <w:noProof/>
              </w:rPr>
              <w:drawing>
                <wp:anchor distT="0" distB="0" distL="114300" distR="114300" simplePos="0" relativeHeight="251659264" behindDoc="1" locked="0" layoutInCell="1" allowOverlap="1" wp14:anchorId="2F512AAC" wp14:editId="15936DAF">
                  <wp:simplePos x="0" y="0"/>
                  <wp:positionH relativeFrom="column">
                    <wp:posOffset>818515</wp:posOffset>
                  </wp:positionH>
                  <wp:positionV relativeFrom="paragraph">
                    <wp:posOffset>276860</wp:posOffset>
                  </wp:positionV>
                  <wp:extent cx="3795395" cy="2519045"/>
                  <wp:effectExtent l="0" t="0" r="0" b="0"/>
                  <wp:wrapTopAndBottom/>
                  <wp:docPr id="93194583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177DF90F" w14:textId="6D1C26AD" w:rsidR="000D16A9" w:rsidRDefault="0024114C" w:rsidP="006F62FF">
            <w:r>
              <w:rPr>
                <w:noProof/>
              </w:rPr>
              <mc:AlternateContent>
                <mc:Choice Requires="wps">
                  <w:drawing>
                    <wp:anchor distT="0" distB="0" distL="114300" distR="114300" simplePos="0" relativeHeight="251661312" behindDoc="0" locked="0" layoutInCell="1" allowOverlap="1" wp14:anchorId="20C24581" wp14:editId="02F6A008">
                      <wp:simplePos x="0" y="0"/>
                      <wp:positionH relativeFrom="column">
                        <wp:posOffset>-635</wp:posOffset>
                      </wp:positionH>
                      <wp:positionV relativeFrom="paragraph">
                        <wp:posOffset>2886392</wp:posOffset>
                      </wp:positionV>
                      <wp:extent cx="3795395" cy="635"/>
                      <wp:effectExtent l="0" t="0" r="0" b="0"/>
                      <wp:wrapTopAndBottom/>
                      <wp:docPr id="1533515249" name="Text Box 1"/>
                      <wp:cNvGraphicFramePr/>
                      <a:graphic xmlns:a="http://schemas.openxmlformats.org/drawingml/2006/main">
                        <a:graphicData uri="http://schemas.microsoft.com/office/word/2010/wordprocessingShape">
                          <wps:wsp>
                            <wps:cNvSpPr txBox="1"/>
                            <wps:spPr>
                              <a:xfrm>
                                <a:off x="0" y="0"/>
                                <a:ext cx="3795395" cy="635"/>
                              </a:xfrm>
                              <a:prstGeom prst="rect">
                                <a:avLst/>
                              </a:prstGeom>
                              <a:solidFill>
                                <a:prstClr val="white"/>
                              </a:solidFill>
                              <a:ln>
                                <a:noFill/>
                              </a:ln>
                            </wps:spPr>
                            <wps:txbx>
                              <w:txbxContent>
                                <w:p w14:paraId="6B7B81F3" w14:textId="181E7969" w:rsidR="0024114C" w:rsidRPr="00C26C48" w:rsidRDefault="0024114C" w:rsidP="0024114C">
                                  <w:pPr>
                                    <w:pStyle w:val="Caption"/>
                                    <w:rPr>
                                      <w:noProof/>
                                      <w:sz w:val="22"/>
                                      <w:szCs w:val="22"/>
                                    </w:rPr>
                                  </w:pPr>
                                  <w:r>
                                    <w:t xml:space="preserve">Figure </w:t>
                                  </w:r>
                                  <w:fldSimple w:instr=" SEQ Figure \* ARABIC ">
                                    <w:r>
                                      <w:rPr>
                                        <w:noProof/>
                                      </w:rPr>
                                      <w:t>5</w:t>
                                    </w:r>
                                  </w:fldSimple>
                                  <w:r>
                                    <w:t xml:space="preserve"> - Categories of performance influencing factors</w:t>
                                  </w:r>
                                  <w:r w:rsidR="00366486">
                                    <w:t xml:space="preserve"> </w:t>
                                  </w:r>
                                  <w:sdt>
                                    <w:sdtPr>
                                      <w:id w:val="1393927807"/>
                                      <w:citation/>
                                    </w:sdtPr>
                                    <w:sdtContent>
                                      <w:r w:rsidR="00366486">
                                        <w:fldChar w:fldCharType="begin"/>
                                      </w:r>
                                      <w:r w:rsidR="00366486">
                                        <w:instrText xml:space="preserve"> CITATION Tur25 \l 2057 </w:instrText>
                                      </w:r>
                                      <w:r w:rsidR="00366486">
                                        <w:fldChar w:fldCharType="separate"/>
                                      </w:r>
                                      <w:r w:rsidR="00366486" w:rsidRPr="00366486">
                                        <w:rPr>
                                          <w:noProof/>
                                        </w:rPr>
                                        <w:t>[7]</w:t>
                                      </w:r>
                                      <w:r w:rsidR="00366486">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C24581" id="_x0000_t202" coordsize="21600,21600" o:spt="202" path="m,l,21600r21600,l21600,xe">
                      <v:stroke joinstyle="miter"/>
                      <v:path gradientshapeok="t" o:connecttype="rect"/>
                    </v:shapetype>
                    <v:shape id="Text Box 1" o:spid="_x0000_s1026" type="#_x0000_t202" style="position:absolute;margin-left:-.05pt;margin-top:227.25pt;width:298.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" stroked="f">
                      <v:textbox style="mso-fit-shape-to-text:t" inset="0,0,0,0">
                        <w:txbxContent>
                          <w:p w14:paraId="6B7B81F3" w14:textId="181E7969" w:rsidR="0024114C" w:rsidRPr="00C26C48" w:rsidRDefault="0024114C" w:rsidP="0024114C">
                            <w:pPr>
                              <w:pStyle w:val="Caption"/>
                              <w:rPr>
                                <w:noProof/>
                                <w:sz w:val="22"/>
                                <w:szCs w:val="22"/>
                              </w:rPr>
                            </w:pPr>
                            <w:r>
                              <w:t xml:space="preserve">Figure </w:t>
                            </w:r>
                            <w:fldSimple w:instr=" SEQ Figure \* ARABIC ">
                              <w:r>
                                <w:rPr>
                                  <w:noProof/>
                                </w:rPr>
                                <w:t>5</w:t>
                              </w:r>
                            </w:fldSimple>
                            <w:r>
                              <w:t xml:space="preserve"> - Categories of performance influencing factors</w:t>
                            </w:r>
                            <w:r w:rsidR="00366486">
                              <w:t xml:space="preserve"> </w:t>
                            </w:r>
                            <w:sdt>
                              <w:sdtPr>
                                <w:id w:val="1393927807"/>
                                <w:citation/>
                              </w:sdtPr>
                              <w:sdtContent>
                                <w:r w:rsidR="00366486">
                                  <w:fldChar w:fldCharType="begin"/>
                                </w:r>
                                <w:r w:rsidR="00366486">
                                  <w:instrText xml:space="preserve"> CITATION Tur25 \l 2057 </w:instrText>
                                </w:r>
                                <w:r w:rsidR="00366486">
                                  <w:fldChar w:fldCharType="separate"/>
                                </w:r>
                                <w:r w:rsidR="00366486" w:rsidRPr="00366486">
                                  <w:rPr>
                                    <w:noProof/>
                                  </w:rPr>
                                  <w:t>[7]</w:t>
                                </w:r>
                                <w:r w:rsidR="00366486">
                                  <w:fldChar w:fldCharType="end"/>
                                </w:r>
                              </w:sdtContent>
                            </w:sdt>
                            <w:r>
                              <w:t>.</w:t>
                            </w:r>
                          </w:p>
                        </w:txbxContent>
                      </v:textbox>
                      <w10:wrap type="topAndBottom"/>
                    </v:shape>
                  </w:pict>
                </mc:Fallback>
              </mc:AlternateContent>
            </w:r>
          </w:p>
          <w:p w14:paraId="2816A1C6" w14:textId="7E14F02C" w:rsidR="0024114C" w:rsidRDefault="0024114C" w:rsidP="006F62FF"/>
          <w:p w14:paraId="441C93C4" w14:textId="77777777" w:rsidR="0024114C" w:rsidRDefault="0024114C" w:rsidP="000D16A9"/>
          <w:p w14:paraId="02F4D467" w14:textId="02CD2484" w:rsidR="000D16A9" w:rsidRDefault="000D16A9" w:rsidP="000D16A9">
            <w:r>
              <w:t xml:space="preserve">Further to this Human Factors Engineers have also developed quantified methods for evaluating the influence of these factors on error probability. One such method is the </w:t>
            </w:r>
            <w:r w:rsidRPr="000D16A9">
              <w:t>Human error assessment and reduction technique</w:t>
            </w:r>
            <w:r>
              <w:t xml:space="preserve"> (HEART) approach. Here tasks are </w:t>
            </w:r>
            <w:r w:rsidR="00946171">
              <w:t>assigned</w:t>
            </w:r>
            <w:r>
              <w:t xml:space="preserve"> a baseline error rate based on their nature. Then</w:t>
            </w:r>
            <w:r w:rsidR="00946171">
              <w:t>,</w:t>
            </w:r>
            <w:r>
              <w:t xml:space="preserve"> multipliers are applied to this base rate for each </w:t>
            </w:r>
            <w:r w:rsidRPr="000D16A9">
              <w:t>error producing condition</w:t>
            </w:r>
            <w:r>
              <w:t xml:space="preserve"> (EPC) present in the scenario. This gives a quantified value for the likelihood of error, which can be fed into an FTA to understand how human factors will influence the probability of the critical event</w:t>
            </w:r>
            <w:r w:rsidR="00EC2F91">
              <w:t xml:space="preserve"> </w:t>
            </w:r>
            <w:sdt>
              <w:sdtPr>
                <w:id w:val="-1195536608"/>
                <w:citation/>
              </w:sdtPr>
              <w:sdtContent>
                <w:r w:rsidR="00EC2F91">
                  <w:fldChar w:fldCharType="begin"/>
                </w:r>
                <w:r w:rsidR="00EC2F91">
                  <w:instrText xml:space="preserve"> CITATION Tur25 \l 2057 </w:instrText>
                </w:r>
                <w:r w:rsidR="00EC2F91">
                  <w:fldChar w:fldCharType="separate"/>
                </w:r>
                <w:r w:rsidR="00EC2F91" w:rsidRPr="00EC2F91">
                  <w:rPr>
                    <w:noProof/>
                  </w:rPr>
                  <w:t>[7]</w:t>
                </w:r>
                <w:r w:rsidR="00EC2F91">
                  <w:fldChar w:fldCharType="end"/>
                </w:r>
              </w:sdtContent>
            </w:sdt>
            <w:r>
              <w:t>.</w:t>
            </w:r>
          </w:p>
          <w:p w14:paraId="7A5E05F6" w14:textId="77777777" w:rsidR="00A94CB7" w:rsidRDefault="00A94CB7" w:rsidP="000D16A9"/>
          <w:p w14:paraId="0A1BAB31" w14:textId="49D44C04" w:rsidR="00A94CB7" w:rsidRDefault="00A94CB7" w:rsidP="000D16A9">
            <w:r>
              <w:t>To demonstrate the influence of human factors</w:t>
            </w:r>
            <w:r w:rsidR="00946171">
              <w:t>,</w:t>
            </w:r>
            <w:r>
              <w:t xml:space="preserve"> and how methods like the HEART approach are applied</w:t>
            </w:r>
            <w:r w:rsidR="00946171">
              <w:t>,</w:t>
            </w:r>
            <w:r>
              <w:t xml:space="preserve"> the Fault Tree studied in this report has been re-analysed. This time however, the probability of the kettle being plugged in and switched on has been reduced by 75% and the probability of a cup being selected reduced by 90% of the baseline. This is to simulate the effects of being fatigued whilst conducting the process.</w:t>
            </w:r>
          </w:p>
          <w:p w14:paraId="5FD9965B" w14:textId="77777777" w:rsidR="00A94CB7" w:rsidRDefault="00A94CB7" w:rsidP="000D16A9"/>
          <w:p w14:paraId="04522218" w14:textId="77777777" w:rsidR="00A94CB7" w:rsidRDefault="00A94CB7" w:rsidP="000D16A9">
            <w:r>
              <w:t>The new fault tree with probability analysis is presented in Figure 6. This shows the probability of success has dropped from 0.1656 to 0.0838 and highlights how minor changes in the probability of basic events due to human factors can significantly influence the probability of critical failures.</w:t>
            </w:r>
          </w:p>
          <w:p w14:paraId="00277CC6" w14:textId="77777777" w:rsidR="0024114C" w:rsidRDefault="0024114C" w:rsidP="000D16A9"/>
          <w:p w14:paraId="23C6B21F" w14:textId="77777777" w:rsidR="0024114C" w:rsidRDefault="00A94CB7" w:rsidP="0024114C">
            <w:pPr>
              <w:keepNext/>
            </w:pPr>
            <w:r>
              <w:t xml:space="preserve"> </w:t>
            </w:r>
            <w:r>
              <w:rPr>
                <w:noProof/>
              </w:rPr>
              <w:t xml:space="preserve"> </w:t>
            </w:r>
            <w:r>
              <w:rPr>
                <w:noProof/>
              </w:rPr>
              <w:drawing>
                <wp:inline distT="0" distB="0" distL="0" distR="0" wp14:anchorId="4455239F" wp14:editId="77305394">
                  <wp:extent cx="5400000" cy="3027600"/>
                  <wp:effectExtent l="0" t="0" r="0" b="1905"/>
                  <wp:docPr id="140994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0000" cy="3027600"/>
                          </a:xfrm>
                          <a:prstGeom prst="rect">
                            <a:avLst/>
                          </a:prstGeom>
                          <a:noFill/>
                        </pic:spPr>
                      </pic:pic>
                    </a:graphicData>
                  </a:graphic>
                </wp:inline>
              </w:drawing>
            </w:r>
          </w:p>
          <w:p w14:paraId="0EF2EE1A" w14:textId="77777777" w:rsidR="0024114C" w:rsidRDefault="0024114C" w:rsidP="0024114C">
            <w:pPr>
              <w:pStyle w:val="Caption"/>
            </w:pPr>
          </w:p>
          <w:p w14:paraId="7E2103A4" w14:textId="3B356D9C" w:rsidR="000A6780" w:rsidRPr="000A6780" w:rsidRDefault="0024114C" w:rsidP="000A6780">
            <w:pPr>
              <w:pStyle w:val="Caption"/>
            </w:pPr>
            <w:r>
              <w:t xml:space="preserve">Figure </w:t>
            </w:r>
            <w:fldSimple w:instr=" SEQ Figure \* ARABIC ">
              <w:r>
                <w:rPr>
                  <w:noProof/>
                </w:rPr>
                <w:t>6</w:t>
              </w:r>
            </w:fldSimple>
            <w:r>
              <w:t xml:space="preserve"> - Fault Tree Probability Analysis, adjusted for human factors.</w:t>
            </w:r>
          </w:p>
        </w:tc>
      </w:tr>
      <w:tr w:rsidR="00965C27" w14:paraId="4E5CD7F8" w14:textId="77777777" w:rsidTr="00965C27">
        <w:tc>
          <w:tcPr>
            <w:tcW w:w="9016" w:type="dxa"/>
            <w:gridSpan w:val="4"/>
            <w:shd w:val="clear" w:color="auto" w:fill="153D63" w:themeFill="text2" w:themeFillTint="E6"/>
          </w:tcPr>
          <w:p w14:paraId="30FBFE70" w14:textId="5F095164" w:rsidR="00965C27" w:rsidRPr="00965C27" w:rsidRDefault="00965C27">
            <w:pPr>
              <w:rPr>
                <w:b/>
                <w:bCs/>
              </w:rPr>
            </w:pPr>
            <w:r w:rsidRPr="00965C27">
              <w:rPr>
                <w:b/>
                <w:bCs/>
              </w:rPr>
              <w:lastRenderedPageBreak/>
              <w:t>Conclusions:</w:t>
            </w:r>
          </w:p>
        </w:tc>
      </w:tr>
      <w:tr w:rsidR="00965C27" w14:paraId="61626008" w14:textId="77777777" w:rsidTr="004539C3">
        <w:tc>
          <w:tcPr>
            <w:tcW w:w="9016" w:type="dxa"/>
            <w:gridSpan w:val="4"/>
          </w:tcPr>
          <w:p w14:paraId="0F3D9BEE" w14:textId="77777777" w:rsidR="00965C27" w:rsidRDefault="00965C27"/>
          <w:p w14:paraId="6485FAEA" w14:textId="40ED4A8D" w:rsidR="000A6780" w:rsidRDefault="000A6780">
            <w:r>
              <w:t>In conclusion</w:t>
            </w:r>
            <w:r w:rsidR="002F6DCC">
              <w:t>,</w:t>
            </w:r>
            <w:r>
              <w:t xml:space="preserve"> Fault Tree Analysis is a valuable tool for systematically determining the route courses of a failure event</w:t>
            </w:r>
            <w:r w:rsidR="002F6DCC">
              <w:t>,</w:t>
            </w:r>
            <w:r>
              <w:t xml:space="preserve"> by continually breaking down the contributing factors until they can be easily identified and managed. The Boolean algebra used to link the probability of events, then allows </w:t>
            </w:r>
            <w:r w:rsidR="002F6DCC">
              <w:t>engineers to</w:t>
            </w:r>
            <w:r>
              <w:t xml:space="preserve"> understand the likelihood of a critical failure from the probabilities of basic events and, more </w:t>
            </w:r>
            <w:r w:rsidR="007F442C">
              <w:t>importantly, how</w:t>
            </w:r>
            <w:r>
              <w:t xml:space="preserve"> noise factors influencing basic events can propagate through the tree.</w:t>
            </w:r>
          </w:p>
          <w:p w14:paraId="772B4A72" w14:textId="77777777" w:rsidR="000A6780" w:rsidRDefault="000A6780"/>
          <w:p w14:paraId="688C0EF9" w14:textId="77777777" w:rsidR="00723FC0" w:rsidRDefault="00723FC0"/>
          <w:p w14:paraId="616F4084" w14:textId="77777777" w:rsidR="00723FC0" w:rsidRDefault="00723FC0"/>
          <w:p w14:paraId="1985ADA6" w14:textId="60275EDD" w:rsidR="000A6780" w:rsidRDefault="000A6780">
            <w:r>
              <w:t>This report has also covered how Human Factors can significantly influence the probability of basic events occurring and has discussed examples of the systematic methods human factors engineers use to quantify their influence.</w:t>
            </w:r>
          </w:p>
          <w:p w14:paraId="5D2AF9F8" w14:textId="77777777" w:rsidR="000A6780" w:rsidRDefault="000A6780"/>
          <w:p w14:paraId="7FD2D932" w14:textId="4BED5FDB" w:rsidR="002F6DCC" w:rsidRDefault="000A6780">
            <w:r>
              <w:t>The findings of this report have also been demonstrated throughout</w:t>
            </w:r>
            <w:r w:rsidR="002F6DCC">
              <w:t>,</w:t>
            </w:r>
            <w:r>
              <w:t xml:space="preserve"> using a case study. In this case study it c</w:t>
            </w:r>
            <w:r w:rsidR="00E12793">
              <w:t>an</w:t>
            </w:r>
            <w:r>
              <w:t xml:space="preserve"> clearly be seen that the human factor of fatigue reduce</w:t>
            </w:r>
            <w:r w:rsidR="00E12793">
              <w:t>s</w:t>
            </w:r>
            <w:r>
              <w:t xml:space="preserve"> the probability of success by </w:t>
            </w:r>
            <w:r w:rsidR="002F6DCC">
              <w:t>almost</w:t>
            </w:r>
            <w:r>
              <w:t xml:space="preserve"> half</w:t>
            </w:r>
            <w:r w:rsidR="002F6DCC">
              <w:t>, highlighting the importance of understanding and manging these influences.</w:t>
            </w:r>
          </w:p>
          <w:p w14:paraId="6ACE25C9" w14:textId="77777777" w:rsidR="002F6DCC" w:rsidRDefault="002F6DCC"/>
          <w:p w14:paraId="422FA19E" w14:textId="77777777" w:rsidR="002F6DCC" w:rsidRDefault="002F6DCC">
            <w:r>
              <w:t xml:space="preserve">Finally, this report highlights the importance of using techniques such as FTA to systematically identify areas of technical risk. As well as how this approach can be used to prioritise engineering resource to maximise design efficiency. </w:t>
            </w:r>
          </w:p>
          <w:p w14:paraId="5AD6114B" w14:textId="23A9BFCB" w:rsidR="000A6780" w:rsidRDefault="000A6780">
            <w:r>
              <w:t xml:space="preserve"> </w:t>
            </w:r>
          </w:p>
        </w:tc>
      </w:tr>
      <w:tr w:rsidR="00965C27" w14:paraId="2F5F0B32" w14:textId="77777777" w:rsidTr="00965C27">
        <w:tc>
          <w:tcPr>
            <w:tcW w:w="9016" w:type="dxa"/>
            <w:gridSpan w:val="4"/>
            <w:shd w:val="clear" w:color="auto" w:fill="153D63" w:themeFill="text2" w:themeFillTint="E6"/>
          </w:tcPr>
          <w:p w14:paraId="5BC85483" w14:textId="014EFF96" w:rsidR="00965C27" w:rsidRPr="00965C27" w:rsidRDefault="00965C27">
            <w:pPr>
              <w:rPr>
                <w:b/>
                <w:bCs/>
              </w:rPr>
            </w:pPr>
            <w:r w:rsidRPr="00965C27">
              <w:rPr>
                <w:b/>
                <w:bCs/>
              </w:rPr>
              <w:lastRenderedPageBreak/>
              <w:t>References:</w:t>
            </w:r>
          </w:p>
        </w:tc>
      </w:tr>
      <w:tr w:rsidR="00965C27" w14:paraId="04404114" w14:textId="77777777" w:rsidTr="004539C3">
        <w:tc>
          <w:tcPr>
            <w:tcW w:w="9016" w:type="dxa"/>
            <w:gridSpan w:val="4"/>
          </w:tcPr>
          <w:p w14:paraId="01E6767E" w14:textId="77777777" w:rsidR="00EC2F91" w:rsidRDefault="00EC2F91">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477"/>
            </w:tblGrid>
            <w:tr w:rsidR="00EC2F91" w14:paraId="78278F86" w14:textId="77777777">
              <w:trPr>
                <w:divId w:val="561136159"/>
                <w:tblCellSpacing w:w="15" w:type="dxa"/>
              </w:trPr>
              <w:tc>
                <w:tcPr>
                  <w:tcW w:w="50" w:type="pct"/>
                  <w:hideMark/>
                </w:tcPr>
                <w:p w14:paraId="3D160CC6" w14:textId="0DD3656B" w:rsidR="00EC2F91" w:rsidRDefault="00EC2F91">
                  <w:pPr>
                    <w:pStyle w:val="Bibliography"/>
                    <w:rPr>
                      <w:noProof/>
                      <w:kern w:val="0"/>
                      <w:sz w:val="24"/>
                      <w:szCs w:val="24"/>
                      <w14:ligatures w14:val="none"/>
                    </w:rPr>
                  </w:pPr>
                  <w:r>
                    <w:rPr>
                      <w:noProof/>
                    </w:rPr>
                    <w:t xml:space="preserve">[1] </w:t>
                  </w:r>
                </w:p>
              </w:tc>
              <w:tc>
                <w:tcPr>
                  <w:tcW w:w="0" w:type="auto"/>
                  <w:hideMark/>
                </w:tcPr>
                <w:p w14:paraId="11F4D1F6" w14:textId="77777777" w:rsidR="00EC2F91" w:rsidRDefault="00EC2F91">
                  <w:pPr>
                    <w:pStyle w:val="Bibliography"/>
                    <w:rPr>
                      <w:noProof/>
                    </w:rPr>
                  </w:pPr>
                  <w:r>
                    <w:rPr>
                      <w:noProof/>
                    </w:rPr>
                    <w:t xml:space="preserve">P. Flinn, “Identifying and Managing Engineering Risks,” in </w:t>
                  </w:r>
                  <w:r>
                    <w:rPr>
                      <w:i/>
                      <w:iCs/>
                      <w:noProof/>
                    </w:rPr>
                    <w:t>Managing Technology and Product Development Programmes: A Framework for Success</w:t>
                  </w:r>
                  <w:r>
                    <w:rPr>
                      <w:noProof/>
                    </w:rPr>
                    <w:t>, Wiley, 2019, pp. 117-136.</w:t>
                  </w:r>
                </w:p>
              </w:tc>
            </w:tr>
            <w:tr w:rsidR="00EC2F91" w14:paraId="6CAB2069" w14:textId="77777777">
              <w:trPr>
                <w:divId w:val="561136159"/>
                <w:tblCellSpacing w:w="15" w:type="dxa"/>
              </w:trPr>
              <w:tc>
                <w:tcPr>
                  <w:tcW w:w="50" w:type="pct"/>
                  <w:hideMark/>
                </w:tcPr>
                <w:p w14:paraId="20B9FA9F" w14:textId="77777777" w:rsidR="00EC2F91" w:rsidRDefault="00EC2F91">
                  <w:pPr>
                    <w:pStyle w:val="Bibliography"/>
                    <w:rPr>
                      <w:noProof/>
                    </w:rPr>
                  </w:pPr>
                  <w:r>
                    <w:rPr>
                      <w:noProof/>
                    </w:rPr>
                    <w:t xml:space="preserve">[2] </w:t>
                  </w:r>
                </w:p>
              </w:tc>
              <w:tc>
                <w:tcPr>
                  <w:tcW w:w="0" w:type="auto"/>
                  <w:hideMark/>
                </w:tcPr>
                <w:p w14:paraId="19D071D1" w14:textId="77777777" w:rsidR="00EC2F91" w:rsidRDefault="00EC2F91">
                  <w:pPr>
                    <w:pStyle w:val="Bibliography"/>
                    <w:rPr>
                      <w:noProof/>
                    </w:rPr>
                  </w:pPr>
                  <w:r>
                    <w:rPr>
                      <w:noProof/>
                    </w:rPr>
                    <w:t xml:space="preserve">J. Menčík, “Fault Tree Analysis and Reliability Block Diagrams,” in </w:t>
                  </w:r>
                  <w:r>
                    <w:rPr>
                      <w:i/>
                      <w:iCs/>
                      <w:noProof/>
                    </w:rPr>
                    <w:t>IntechOpen</w:t>
                  </w:r>
                  <w:r>
                    <w:rPr>
                      <w:noProof/>
                    </w:rPr>
                    <w:t xml:space="preserve">, 2016. </w:t>
                  </w:r>
                </w:p>
              </w:tc>
            </w:tr>
            <w:tr w:rsidR="00EC2F91" w14:paraId="038B857B" w14:textId="77777777">
              <w:trPr>
                <w:divId w:val="561136159"/>
                <w:tblCellSpacing w:w="15" w:type="dxa"/>
              </w:trPr>
              <w:tc>
                <w:tcPr>
                  <w:tcW w:w="50" w:type="pct"/>
                  <w:hideMark/>
                </w:tcPr>
                <w:p w14:paraId="7C0752E7" w14:textId="77777777" w:rsidR="00EC2F91" w:rsidRDefault="00EC2F91">
                  <w:pPr>
                    <w:pStyle w:val="Bibliography"/>
                    <w:rPr>
                      <w:noProof/>
                    </w:rPr>
                  </w:pPr>
                  <w:r>
                    <w:rPr>
                      <w:noProof/>
                    </w:rPr>
                    <w:t xml:space="preserve">[3] </w:t>
                  </w:r>
                </w:p>
              </w:tc>
              <w:tc>
                <w:tcPr>
                  <w:tcW w:w="0" w:type="auto"/>
                  <w:hideMark/>
                </w:tcPr>
                <w:p w14:paraId="40046460" w14:textId="77777777" w:rsidR="00EC2F91" w:rsidRDefault="00EC2F91">
                  <w:pPr>
                    <w:pStyle w:val="Bibliography"/>
                    <w:rPr>
                      <w:noProof/>
                    </w:rPr>
                  </w:pPr>
                  <w:r>
                    <w:rPr>
                      <w:noProof/>
                    </w:rPr>
                    <w:t>P. D. Smith and G. D. Richard, “Seismic safety margins research program (Phase 1) Interim definition of terms,” Lawrence Livermore Laboratory, Livermore, 1980.</w:t>
                  </w:r>
                </w:p>
              </w:tc>
            </w:tr>
            <w:tr w:rsidR="00EC2F91" w14:paraId="5D1408C2" w14:textId="77777777">
              <w:trPr>
                <w:divId w:val="561136159"/>
                <w:tblCellSpacing w:w="15" w:type="dxa"/>
              </w:trPr>
              <w:tc>
                <w:tcPr>
                  <w:tcW w:w="50" w:type="pct"/>
                  <w:hideMark/>
                </w:tcPr>
                <w:p w14:paraId="1A8C618E" w14:textId="77777777" w:rsidR="00EC2F91" w:rsidRDefault="00EC2F91">
                  <w:pPr>
                    <w:pStyle w:val="Bibliography"/>
                    <w:rPr>
                      <w:noProof/>
                    </w:rPr>
                  </w:pPr>
                  <w:r>
                    <w:rPr>
                      <w:noProof/>
                    </w:rPr>
                    <w:t xml:space="preserve">[4] </w:t>
                  </w:r>
                </w:p>
              </w:tc>
              <w:tc>
                <w:tcPr>
                  <w:tcW w:w="0" w:type="auto"/>
                  <w:hideMark/>
                </w:tcPr>
                <w:p w14:paraId="16873BF6" w14:textId="77777777" w:rsidR="00EC2F91" w:rsidRDefault="00EC2F91">
                  <w:pPr>
                    <w:pStyle w:val="Bibliography"/>
                    <w:rPr>
                      <w:noProof/>
                    </w:rPr>
                  </w:pPr>
                  <w:r>
                    <w:rPr>
                      <w:noProof/>
                    </w:rPr>
                    <w:t xml:space="preserve">R. Flage, P. Baraldi, E. Zio and T. Aven, “Probability and Possibility-Based Representations of Uncertainty in Fault Tree Analysis,” </w:t>
                  </w:r>
                  <w:r>
                    <w:rPr>
                      <w:i/>
                      <w:iCs/>
                      <w:noProof/>
                    </w:rPr>
                    <w:t xml:space="preserve">Risk Analysis, </w:t>
                  </w:r>
                  <w:r>
                    <w:rPr>
                      <w:noProof/>
                    </w:rPr>
                    <w:t xml:space="preserve">vol. 33, no. 1, 2013. </w:t>
                  </w:r>
                </w:p>
              </w:tc>
            </w:tr>
            <w:tr w:rsidR="00EC2F91" w14:paraId="4EF342F3" w14:textId="77777777">
              <w:trPr>
                <w:divId w:val="561136159"/>
                <w:tblCellSpacing w:w="15" w:type="dxa"/>
              </w:trPr>
              <w:tc>
                <w:tcPr>
                  <w:tcW w:w="50" w:type="pct"/>
                  <w:hideMark/>
                </w:tcPr>
                <w:p w14:paraId="64A0E3C0" w14:textId="77777777" w:rsidR="00EC2F91" w:rsidRDefault="00EC2F91">
                  <w:pPr>
                    <w:pStyle w:val="Bibliography"/>
                    <w:rPr>
                      <w:noProof/>
                    </w:rPr>
                  </w:pPr>
                  <w:r>
                    <w:rPr>
                      <w:noProof/>
                    </w:rPr>
                    <w:t xml:space="preserve">[5] </w:t>
                  </w:r>
                </w:p>
              </w:tc>
              <w:tc>
                <w:tcPr>
                  <w:tcW w:w="0" w:type="auto"/>
                  <w:hideMark/>
                </w:tcPr>
                <w:p w14:paraId="0B4E1E76" w14:textId="77777777" w:rsidR="00EC2F91" w:rsidRDefault="00EC2F91">
                  <w:pPr>
                    <w:pStyle w:val="Bibliography"/>
                    <w:rPr>
                      <w:noProof/>
                    </w:rPr>
                  </w:pPr>
                  <w:r>
                    <w:rPr>
                      <w:noProof/>
                    </w:rPr>
                    <w:t>D. Holley, “Fault tree analysis proforma.docx,” [Online]. Available: https://moodle.uwtsd.ac.uk/mod/folder/view.php?id=571837. [Accessed 12 April 2025].</w:t>
                  </w:r>
                </w:p>
              </w:tc>
            </w:tr>
            <w:tr w:rsidR="00EC2F91" w14:paraId="4483D6B8" w14:textId="77777777">
              <w:trPr>
                <w:divId w:val="561136159"/>
                <w:tblCellSpacing w:w="15" w:type="dxa"/>
              </w:trPr>
              <w:tc>
                <w:tcPr>
                  <w:tcW w:w="50" w:type="pct"/>
                  <w:hideMark/>
                </w:tcPr>
                <w:p w14:paraId="655C32F3" w14:textId="77777777" w:rsidR="00EC2F91" w:rsidRDefault="00EC2F91">
                  <w:pPr>
                    <w:pStyle w:val="Bibliography"/>
                    <w:rPr>
                      <w:noProof/>
                    </w:rPr>
                  </w:pPr>
                  <w:r>
                    <w:rPr>
                      <w:noProof/>
                    </w:rPr>
                    <w:t xml:space="preserve">[6] </w:t>
                  </w:r>
                </w:p>
              </w:tc>
              <w:tc>
                <w:tcPr>
                  <w:tcW w:w="0" w:type="auto"/>
                  <w:hideMark/>
                </w:tcPr>
                <w:p w14:paraId="1D1B89D8" w14:textId="77777777" w:rsidR="00EC2F91" w:rsidRDefault="00EC2F91">
                  <w:pPr>
                    <w:pStyle w:val="Bibliography"/>
                    <w:rPr>
                      <w:noProof/>
                    </w:rPr>
                  </w:pPr>
                  <w:r>
                    <w:rPr>
                      <w:noProof/>
                    </w:rPr>
                    <w:t>“Probability Involving AND and OR,” MathBitsNotebook, [Online]. Available: https://mathbitsnotebook.com/Algebra2/Probability/PBAndOr.html. [Accessed 4 April 2025].</w:t>
                  </w:r>
                </w:p>
              </w:tc>
            </w:tr>
            <w:tr w:rsidR="00EC2F91" w14:paraId="243E8DB8" w14:textId="77777777">
              <w:trPr>
                <w:divId w:val="561136159"/>
                <w:tblCellSpacing w:w="15" w:type="dxa"/>
              </w:trPr>
              <w:tc>
                <w:tcPr>
                  <w:tcW w:w="50" w:type="pct"/>
                  <w:hideMark/>
                </w:tcPr>
                <w:p w14:paraId="10D133FA" w14:textId="77777777" w:rsidR="00EC2F91" w:rsidRDefault="00EC2F91">
                  <w:pPr>
                    <w:pStyle w:val="Bibliography"/>
                    <w:rPr>
                      <w:noProof/>
                    </w:rPr>
                  </w:pPr>
                  <w:r>
                    <w:rPr>
                      <w:noProof/>
                    </w:rPr>
                    <w:t xml:space="preserve">[7] </w:t>
                  </w:r>
                </w:p>
              </w:tc>
              <w:tc>
                <w:tcPr>
                  <w:tcW w:w="0" w:type="auto"/>
                  <w:hideMark/>
                </w:tcPr>
                <w:p w14:paraId="44C3BD36" w14:textId="4722AFEF" w:rsidR="00EC2F91" w:rsidRDefault="00EC2F91">
                  <w:pPr>
                    <w:pStyle w:val="Bibliography"/>
                    <w:rPr>
                      <w:noProof/>
                    </w:rPr>
                  </w:pPr>
                  <w:r>
                    <w:rPr>
                      <w:noProof/>
                    </w:rPr>
                    <w:t xml:space="preserve">N. Turner, Writer, </w:t>
                  </w:r>
                  <w:r>
                    <w:rPr>
                      <w:i/>
                      <w:iCs/>
                      <w:noProof/>
                    </w:rPr>
                    <w:t xml:space="preserve">Human Factors in Product and Process Design. </w:t>
                  </w:r>
                  <w:r>
                    <w:rPr>
                      <w:noProof/>
                    </w:rPr>
                    <w:t xml:space="preserve">[Presentation]. TRIMETIS, 2025. </w:t>
                  </w:r>
                </w:p>
              </w:tc>
            </w:tr>
          </w:tbl>
          <w:p w14:paraId="0ECFA22A" w14:textId="77777777" w:rsidR="00EC2F91" w:rsidRDefault="00EC2F91">
            <w:pPr>
              <w:divId w:val="561136159"/>
              <w:rPr>
                <w:rFonts w:eastAsia="Times New Roman"/>
                <w:noProof/>
              </w:rPr>
            </w:pPr>
          </w:p>
          <w:p w14:paraId="6C3D3C54" w14:textId="4E8CE253" w:rsidR="00965C27" w:rsidRDefault="00EC2F91">
            <w:r>
              <w:fldChar w:fldCharType="end"/>
            </w:r>
          </w:p>
        </w:tc>
      </w:tr>
    </w:tbl>
    <w:p w14:paraId="19637AEE" w14:textId="2B7B4877" w:rsidR="00965C27" w:rsidRPr="00965C27" w:rsidRDefault="00965C27" w:rsidP="00965C27"/>
    <w:sectPr w:rsidR="00965C27" w:rsidRPr="00965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111113"/>
    <w:multiLevelType w:val="hybridMultilevel"/>
    <w:tmpl w:val="D584CE72"/>
    <w:lvl w:ilvl="0" w:tplc="42A2AC4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9C2752"/>
    <w:multiLevelType w:val="hybridMultilevel"/>
    <w:tmpl w:val="62666484"/>
    <w:lvl w:ilvl="0" w:tplc="E7D0AAD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3239807">
    <w:abstractNumId w:val="0"/>
  </w:num>
  <w:num w:numId="2" w16cid:durableId="1261915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E4E"/>
    <w:rsid w:val="000A6780"/>
    <w:rsid w:val="000D16A9"/>
    <w:rsid w:val="00174B87"/>
    <w:rsid w:val="00194529"/>
    <w:rsid w:val="0024114C"/>
    <w:rsid w:val="002F6DCC"/>
    <w:rsid w:val="00366486"/>
    <w:rsid w:val="00494CB5"/>
    <w:rsid w:val="00602F1E"/>
    <w:rsid w:val="00626A32"/>
    <w:rsid w:val="006F62FF"/>
    <w:rsid w:val="00720265"/>
    <w:rsid w:val="00723FC0"/>
    <w:rsid w:val="007F442C"/>
    <w:rsid w:val="00861FF7"/>
    <w:rsid w:val="008C383C"/>
    <w:rsid w:val="00946171"/>
    <w:rsid w:val="00965C27"/>
    <w:rsid w:val="0097014A"/>
    <w:rsid w:val="00A94CB7"/>
    <w:rsid w:val="00B0657F"/>
    <w:rsid w:val="00BA2A81"/>
    <w:rsid w:val="00C21991"/>
    <w:rsid w:val="00D255AC"/>
    <w:rsid w:val="00D61470"/>
    <w:rsid w:val="00D95E4E"/>
    <w:rsid w:val="00E12793"/>
    <w:rsid w:val="00E270E8"/>
    <w:rsid w:val="00EC09A2"/>
    <w:rsid w:val="00EC2F91"/>
    <w:rsid w:val="00F96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0CE21"/>
  <w15:chartTrackingRefBased/>
  <w15:docId w15:val="{5D9006E5-FB3C-4308-8B1A-CA62D2A0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E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5E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E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E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E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E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E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E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E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E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5E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E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E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E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E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E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E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E4E"/>
    <w:rPr>
      <w:rFonts w:eastAsiaTheme="majorEastAsia" w:cstheme="majorBidi"/>
      <w:color w:val="272727" w:themeColor="text1" w:themeTint="D8"/>
    </w:rPr>
  </w:style>
  <w:style w:type="paragraph" w:styleId="Title">
    <w:name w:val="Title"/>
    <w:basedOn w:val="Normal"/>
    <w:next w:val="Normal"/>
    <w:link w:val="TitleChar"/>
    <w:uiPriority w:val="10"/>
    <w:qFormat/>
    <w:rsid w:val="00D95E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E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E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E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E4E"/>
    <w:pPr>
      <w:spacing w:before="160"/>
      <w:jc w:val="center"/>
    </w:pPr>
    <w:rPr>
      <w:i/>
      <w:iCs/>
      <w:color w:val="404040" w:themeColor="text1" w:themeTint="BF"/>
    </w:rPr>
  </w:style>
  <w:style w:type="character" w:customStyle="1" w:styleId="QuoteChar">
    <w:name w:val="Quote Char"/>
    <w:basedOn w:val="DefaultParagraphFont"/>
    <w:link w:val="Quote"/>
    <w:uiPriority w:val="29"/>
    <w:rsid w:val="00D95E4E"/>
    <w:rPr>
      <w:i/>
      <w:iCs/>
      <w:color w:val="404040" w:themeColor="text1" w:themeTint="BF"/>
    </w:rPr>
  </w:style>
  <w:style w:type="paragraph" w:styleId="ListParagraph">
    <w:name w:val="List Paragraph"/>
    <w:basedOn w:val="Normal"/>
    <w:uiPriority w:val="34"/>
    <w:qFormat/>
    <w:rsid w:val="00D95E4E"/>
    <w:pPr>
      <w:ind w:left="720"/>
      <w:contextualSpacing/>
    </w:pPr>
  </w:style>
  <w:style w:type="character" w:styleId="IntenseEmphasis">
    <w:name w:val="Intense Emphasis"/>
    <w:basedOn w:val="DefaultParagraphFont"/>
    <w:uiPriority w:val="21"/>
    <w:qFormat/>
    <w:rsid w:val="00D95E4E"/>
    <w:rPr>
      <w:i/>
      <w:iCs/>
      <w:color w:val="0F4761" w:themeColor="accent1" w:themeShade="BF"/>
    </w:rPr>
  </w:style>
  <w:style w:type="paragraph" w:styleId="IntenseQuote">
    <w:name w:val="Intense Quote"/>
    <w:basedOn w:val="Normal"/>
    <w:next w:val="Normal"/>
    <w:link w:val="IntenseQuoteChar"/>
    <w:uiPriority w:val="30"/>
    <w:qFormat/>
    <w:rsid w:val="00D95E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E4E"/>
    <w:rPr>
      <w:i/>
      <w:iCs/>
      <w:color w:val="0F4761" w:themeColor="accent1" w:themeShade="BF"/>
    </w:rPr>
  </w:style>
  <w:style w:type="character" w:styleId="IntenseReference">
    <w:name w:val="Intense Reference"/>
    <w:basedOn w:val="DefaultParagraphFont"/>
    <w:uiPriority w:val="32"/>
    <w:qFormat/>
    <w:rsid w:val="00D95E4E"/>
    <w:rPr>
      <w:b/>
      <w:bCs/>
      <w:smallCaps/>
      <w:color w:val="0F4761" w:themeColor="accent1" w:themeShade="BF"/>
      <w:spacing w:val="5"/>
    </w:rPr>
  </w:style>
  <w:style w:type="table" w:styleId="TableGrid">
    <w:name w:val="Table Grid"/>
    <w:basedOn w:val="TableNormal"/>
    <w:uiPriority w:val="39"/>
    <w:rsid w:val="00965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4B87"/>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D255AC"/>
    <w:rPr>
      <w:color w:val="666666"/>
    </w:rPr>
  </w:style>
  <w:style w:type="character" w:styleId="CommentReference">
    <w:name w:val="annotation reference"/>
    <w:basedOn w:val="DefaultParagraphFont"/>
    <w:uiPriority w:val="99"/>
    <w:semiHidden/>
    <w:unhideWhenUsed/>
    <w:rsid w:val="00861FF7"/>
    <w:rPr>
      <w:sz w:val="16"/>
      <w:szCs w:val="16"/>
    </w:rPr>
  </w:style>
  <w:style w:type="paragraph" w:styleId="CommentText">
    <w:name w:val="annotation text"/>
    <w:basedOn w:val="Normal"/>
    <w:link w:val="CommentTextChar"/>
    <w:uiPriority w:val="99"/>
    <w:unhideWhenUsed/>
    <w:rsid w:val="00861FF7"/>
    <w:pPr>
      <w:spacing w:line="240" w:lineRule="auto"/>
    </w:pPr>
    <w:rPr>
      <w:sz w:val="20"/>
      <w:szCs w:val="20"/>
    </w:rPr>
  </w:style>
  <w:style w:type="character" w:customStyle="1" w:styleId="CommentTextChar">
    <w:name w:val="Comment Text Char"/>
    <w:basedOn w:val="DefaultParagraphFont"/>
    <w:link w:val="CommentText"/>
    <w:uiPriority w:val="99"/>
    <w:rsid w:val="00861FF7"/>
    <w:rPr>
      <w:sz w:val="20"/>
      <w:szCs w:val="20"/>
    </w:rPr>
  </w:style>
  <w:style w:type="paragraph" w:styleId="CommentSubject">
    <w:name w:val="annotation subject"/>
    <w:basedOn w:val="CommentText"/>
    <w:next w:val="CommentText"/>
    <w:link w:val="CommentSubjectChar"/>
    <w:uiPriority w:val="99"/>
    <w:semiHidden/>
    <w:unhideWhenUsed/>
    <w:rsid w:val="00861FF7"/>
    <w:rPr>
      <w:b/>
      <w:bCs/>
    </w:rPr>
  </w:style>
  <w:style w:type="character" w:customStyle="1" w:styleId="CommentSubjectChar">
    <w:name w:val="Comment Subject Char"/>
    <w:basedOn w:val="CommentTextChar"/>
    <w:link w:val="CommentSubject"/>
    <w:uiPriority w:val="99"/>
    <w:semiHidden/>
    <w:rsid w:val="00861FF7"/>
    <w:rPr>
      <w:b/>
      <w:bCs/>
      <w:sz w:val="20"/>
      <w:szCs w:val="20"/>
    </w:rPr>
  </w:style>
  <w:style w:type="character" w:styleId="Hyperlink">
    <w:name w:val="Hyperlink"/>
    <w:basedOn w:val="DefaultParagraphFont"/>
    <w:uiPriority w:val="99"/>
    <w:unhideWhenUsed/>
    <w:rsid w:val="00861FF7"/>
    <w:rPr>
      <w:color w:val="467886" w:themeColor="hyperlink"/>
      <w:u w:val="single"/>
    </w:rPr>
  </w:style>
  <w:style w:type="character" w:styleId="UnresolvedMention">
    <w:name w:val="Unresolved Mention"/>
    <w:basedOn w:val="DefaultParagraphFont"/>
    <w:uiPriority w:val="99"/>
    <w:semiHidden/>
    <w:unhideWhenUsed/>
    <w:rsid w:val="00861FF7"/>
    <w:rPr>
      <w:color w:val="605E5C"/>
      <w:shd w:val="clear" w:color="auto" w:fill="E1DFDD"/>
    </w:rPr>
  </w:style>
  <w:style w:type="paragraph" w:styleId="Bibliography">
    <w:name w:val="Bibliography"/>
    <w:basedOn w:val="Normal"/>
    <w:next w:val="Normal"/>
    <w:uiPriority w:val="37"/>
    <w:unhideWhenUsed/>
    <w:rsid w:val="00EC2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10007">
      <w:bodyDiv w:val="1"/>
      <w:marLeft w:val="0"/>
      <w:marRight w:val="0"/>
      <w:marTop w:val="0"/>
      <w:marBottom w:val="0"/>
      <w:divBdr>
        <w:top w:val="none" w:sz="0" w:space="0" w:color="auto"/>
        <w:left w:val="none" w:sz="0" w:space="0" w:color="auto"/>
        <w:bottom w:val="none" w:sz="0" w:space="0" w:color="auto"/>
        <w:right w:val="none" w:sz="0" w:space="0" w:color="auto"/>
      </w:divBdr>
    </w:div>
    <w:div w:id="108208869">
      <w:bodyDiv w:val="1"/>
      <w:marLeft w:val="0"/>
      <w:marRight w:val="0"/>
      <w:marTop w:val="0"/>
      <w:marBottom w:val="0"/>
      <w:divBdr>
        <w:top w:val="none" w:sz="0" w:space="0" w:color="auto"/>
        <w:left w:val="none" w:sz="0" w:space="0" w:color="auto"/>
        <w:bottom w:val="none" w:sz="0" w:space="0" w:color="auto"/>
        <w:right w:val="none" w:sz="0" w:space="0" w:color="auto"/>
      </w:divBdr>
    </w:div>
    <w:div w:id="122309854">
      <w:bodyDiv w:val="1"/>
      <w:marLeft w:val="0"/>
      <w:marRight w:val="0"/>
      <w:marTop w:val="0"/>
      <w:marBottom w:val="0"/>
      <w:divBdr>
        <w:top w:val="none" w:sz="0" w:space="0" w:color="auto"/>
        <w:left w:val="none" w:sz="0" w:space="0" w:color="auto"/>
        <w:bottom w:val="none" w:sz="0" w:space="0" w:color="auto"/>
        <w:right w:val="none" w:sz="0" w:space="0" w:color="auto"/>
      </w:divBdr>
    </w:div>
    <w:div w:id="256332395">
      <w:bodyDiv w:val="1"/>
      <w:marLeft w:val="0"/>
      <w:marRight w:val="0"/>
      <w:marTop w:val="0"/>
      <w:marBottom w:val="0"/>
      <w:divBdr>
        <w:top w:val="none" w:sz="0" w:space="0" w:color="auto"/>
        <w:left w:val="none" w:sz="0" w:space="0" w:color="auto"/>
        <w:bottom w:val="none" w:sz="0" w:space="0" w:color="auto"/>
        <w:right w:val="none" w:sz="0" w:space="0" w:color="auto"/>
      </w:divBdr>
    </w:div>
    <w:div w:id="279921573">
      <w:bodyDiv w:val="1"/>
      <w:marLeft w:val="0"/>
      <w:marRight w:val="0"/>
      <w:marTop w:val="0"/>
      <w:marBottom w:val="0"/>
      <w:divBdr>
        <w:top w:val="none" w:sz="0" w:space="0" w:color="auto"/>
        <w:left w:val="none" w:sz="0" w:space="0" w:color="auto"/>
        <w:bottom w:val="none" w:sz="0" w:space="0" w:color="auto"/>
        <w:right w:val="none" w:sz="0" w:space="0" w:color="auto"/>
      </w:divBdr>
    </w:div>
    <w:div w:id="281350282">
      <w:bodyDiv w:val="1"/>
      <w:marLeft w:val="0"/>
      <w:marRight w:val="0"/>
      <w:marTop w:val="0"/>
      <w:marBottom w:val="0"/>
      <w:divBdr>
        <w:top w:val="none" w:sz="0" w:space="0" w:color="auto"/>
        <w:left w:val="none" w:sz="0" w:space="0" w:color="auto"/>
        <w:bottom w:val="none" w:sz="0" w:space="0" w:color="auto"/>
        <w:right w:val="none" w:sz="0" w:space="0" w:color="auto"/>
      </w:divBdr>
    </w:div>
    <w:div w:id="349835789">
      <w:bodyDiv w:val="1"/>
      <w:marLeft w:val="0"/>
      <w:marRight w:val="0"/>
      <w:marTop w:val="0"/>
      <w:marBottom w:val="0"/>
      <w:divBdr>
        <w:top w:val="none" w:sz="0" w:space="0" w:color="auto"/>
        <w:left w:val="none" w:sz="0" w:space="0" w:color="auto"/>
        <w:bottom w:val="none" w:sz="0" w:space="0" w:color="auto"/>
        <w:right w:val="none" w:sz="0" w:space="0" w:color="auto"/>
      </w:divBdr>
    </w:div>
    <w:div w:id="405760637">
      <w:bodyDiv w:val="1"/>
      <w:marLeft w:val="0"/>
      <w:marRight w:val="0"/>
      <w:marTop w:val="0"/>
      <w:marBottom w:val="0"/>
      <w:divBdr>
        <w:top w:val="none" w:sz="0" w:space="0" w:color="auto"/>
        <w:left w:val="none" w:sz="0" w:space="0" w:color="auto"/>
        <w:bottom w:val="none" w:sz="0" w:space="0" w:color="auto"/>
        <w:right w:val="none" w:sz="0" w:space="0" w:color="auto"/>
      </w:divBdr>
    </w:div>
    <w:div w:id="452481261">
      <w:bodyDiv w:val="1"/>
      <w:marLeft w:val="0"/>
      <w:marRight w:val="0"/>
      <w:marTop w:val="0"/>
      <w:marBottom w:val="0"/>
      <w:divBdr>
        <w:top w:val="none" w:sz="0" w:space="0" w:color="auto"/>
        <w:left w:val="none" w:sz="0" w:space="0" w:color="auto"/>
        <w:bottom w:val="none" w:sz="0" w:space="0" w:color="auto"/>
        <w:right w:val="none" w:sz="0" w:space="0" w:color="auto"/>
      </w:divBdr>
    </w:div>
    <w:div w:id="470750327">
      <w:bodyDiv w:val="1"/>
      <w:marLeft w:val="0"/>
      <w:marRight w:val="0"/>
      <w:marTop w:val="0"/>
      <w:marBottom w:val="0"/>
      <w:divBdr>
        <w:top w:val="none" w:sz="0" w:space="0" w:color="auto"/>
        <w:left w:val="none" w:sz="0" w:space="0" w:color="auto"/>
        <w:bottom w:val="none" w:sz="0" w:space="0" w:color="auto"/>
        <w:right w:val="none" w:sz="0" w:space="0" w:color="auto"/>
      </w:divBdr>
    </w:div>
    <w:div w:id="561136159">
      <w:bodyDiv w:val="1"/>
      <w:marLeft w:val="0"/>
      <w:marRight w:val="0"/>
      <w:marTop w:val="0"/>
      <w:marBottom w:val="0"/>
      <w:divBdr>
        <w:top w:val="none" w:sz="0" w:space="0" w:color="auto"/>
        <w:left w:val="none" w:sz="0" w:space="0" w:color="auto"/>
        <w:bottom w:val="none" w:sz="0" w:space="0" w:color="auto"/>
        <w:right w:val="none" w:sz="0" w:space="0" w:color="auto"/>
      </w:divBdr>
    </w:div>
    <w:div w:id="701518319">
      <w:bodyDiv w:val="1"/>
      <w:marLeft w:val="0"/>
      <w:marRight w:val="0"/>
      <w:marTop w:val="0"/>
      <w:marBottom w:val="0"/>
      <w:divBdr>
        <w:top w:val="none" w:sz="0" w:space="0" w:color="auto"/>
        <w:left w:val="none" w:sz="0" w:space="0" w:color="auto"/>
        <w:bottom w:val="none" w:sz="0" w:space="0" w:color="auto"/>
        <w:right w:val="none" w:sz="0" w:space="0" w:color="auto"/>
      </w:divBdr>
    </w:div>
    <w:div w:id="723480953">
      <w:bodyDiv w:val="1"/>
      <w:marLeft w:val="0"/>
      <w:marRight w:val="0"/>
      <w:marTop w:val="0"/>
      <w:marBottom w:val="0"/>
      <w:divBdr>
        <w:top w:val="none" w:sz="0" w:space="0" w:color="auto"/>
        <w:left w:val="none" w:sz="0" w:space="0" w:color="auto"/>
        <w:bottom w:val="none" w:sz="0" w:space="0" w:color="auto"/>
        <w:right w:val="none" w:sz="0" w:space="0" w:color="auto"/>
      </w:divBdr>
    </w:div>
    <w:div w:id="882131760">
      <w:bodyDiv w:val="1"/>
      <w:marLeft w:val="0"/>
      <w:marRight w:val="0"/>
      <w:marTop w:val="0"/>
      <w:marBottom w:val="0"/>
      <w:divBdr>
        <w:top w:val="none" w:sz="0" w:space="0" w:color="auto"/>
        <w:left w:val="none" w:sz="0" w:space="0" w:color="auto"/>
        <w:bottom w:val="none" w:sz="0" w:space="0" w:color="auto"/>
        <w:right w:val="none" w:sz="0" w:space="0" w:color="auto"/>
      </w:divBdr>
    </w:div>
    <w:div w:id="901139432">
      <w:bodyDiv w:val="1"/>
      <w:marLeft w:val="0"/>
      <w:marRight w:val="0"/>
      <w:marTop w:val="0"/>
      <w:marBottom w:val="0"/>
      <w:divBdr>
        <w:top w:val="none" w:sz="0" w:space="0" w:color="auto"/>
        <w:left w:val="none" w:sz="0" w:space="0" w:color="auto"/>
        <w:bottom w:val="none" w:sz="0" w:space="0" w:color="auto"/>
        <w:right w:val="none" w:sz="0" w:space="0" w:color="auto"/>
      </w:divBdr>
    </w:div>
    <w:div w:id="903487496">
      <w:bodyDiv w:val="1"/>
      <w:marLeft w:val="0"/>
      <w:marRight w:val="0"/>
      <w:marTop w:val="0"/>
      <w:marBottom w:val="0"/>
      <w:divBdr>
        <w:top w:val="none" w:sz="0" w:space="0" w:color="auto"/>
        <w:left w:val="none" w:sz="0" w:space="0" w:color="auto"/>
        <w:bottom w:val="none" w:sz="0" w:space="0" w:color="auto"/>
        <w:right w:val="none" w:sz="0" w:space="0" w:color="auto"/>
      </w:divBdr>
    </w:div>
    <w:div w:id="1038818787">
      <w:bodyDiv w:val="1"/>
      <w:marLeft w:val="0"/>
      <w:marRight w:val="0"/>
      <w:marTop w:val="0"/>
      <w:marBottom w:val="0"/>
      <w:divBdr>
        <w:top w:val="none" w:sz="0" w:space="0" w:color="auto"/>
        <w:left w:val="none" w:sz="0" w:space="0" w:color="auto"/>
        <w:bottom w:val="none" w:sz="0" w:space="0" w:color="auto"/>
        <w:right w:val="none" w:sz="0" w:space="0" w:color="auto"/>
      </w:divBdr>
    </w:div>
    <w:div w:id="1130973555">
      <w:bodyDiv w:val="1"/>
      <w:marLeft w:val="0"/>
      <w:marRight w:val="0"/>
      <w:marTop w:val="0"/>
      <w:marBottom w:val="0"/>
      <w:divBdr>
        <w:top w:val="none" w:sz="0" w:space="0" w:color="auto"/>
        <w:left w:val="none" w:sz="0" w:space="0" w:color="auto"/>
        <w:bottom w:val="none" w:sz="0" w:space="0" w:color="auto"/>
        <w:right w:val="none" w:sz="0" w:space="0" w:color="auto"/>
      </w:divBdr>
    </w:div>
    <w:div w:id="1136679863">
      <w:bodyDiv w:val="1"/>
      <w:marLeft w:val="0"/>
      <w:marRight w:val="0"/>
      <w:marTop w:val="0"/>
      <w:marBottom w:val="0"/>
      <w:divBdr>
        <w:top w:val="none" w:sz="0" w:space="0" w:color="auto"/>
        <w:left w:val="none" w:sz="0" w:space="0" w:color="auto"/>
        <w:bottom w:val="none" w:sz="0" w:space="0" w:color="auto"/>
        <w:right w:val="none" w:sz="0" w:space="0" w:color="auto"/>
      </w:divBdr>
    </w:div>
    <w:div w:id="1212813516">
      <w:bodyDiv w:val="1"/>
      <w:marLeft w:val="0"/>
      <w:marRight w:val="0"/>
      <w:marTop w:val="0"/>
      <w:marBottom w:val="0"/>
      <w:divBdr>
        <w:top w:val="none" w:sz="0" w:space="0" w:color="auto"/>
        <w:left w:val="none" w:sz="0" w:space="0" w:color="auto"/>
        <w:bottom w:val="none" w:sz="0" w:space="0" w:color="auto"/>
        <w:right w:val="none" w:sz="0" w:space="0" w:color="auto"/>
      </w:divBdr>
    </w:div>
    <w:div w:id="1235815993">
      <w:bodyDiv w:val="1"/>
      <w:marLeft w:val="0"/>
      <w:marRight w:val="0"/>
      <w:marTop w:val="0"/>
      <w:marBottom w:val="0"/>
      <w:divBdr>
        <w:top w:val="none" w:sz="0" w:space="0" w:color="auto"/>
        <w:left w:val="none" w:sz="0" w:space="0" w:color="auto"/>
        <w:bottom w:val="none" w:sz="0" w:space="0" w:color="auto"/>
        <w:right w:val="none" w:sz="0" w:space="0" w:color="auto"/>
      </w:divBdr>
    </w:div>
    <w:div w:id="1245534161">
      <w:bodyDiv w:val="1"/>
      <w:marLeft w:val="0"/>
      <w:marRight w:val="0"/>
      <w:marTop w:val="0"/>
      <w:marBottom w:val="0"/>
      <w:divBdr>
        <w:top w:val="none" w:sz="0" w:space="0" w:color="auto"/>
        <w:left w:val="none" w:sz="0" w:space="0" w:color="auto"/>
        <w:bottom w:val="none" w:sz="0" w:space="0" w:color="auto"/>
        <w:right w:val="none" w:sz="0" w:space="0" w:color="auto"/>
      </w:divBdr>
    </w:div>
    <w:div w:id="1279797570">
      <w:bodyDiv w:val="1"/>
      <w:marLeft w:val="0"/>
      <w:marRight w:val="0"/>
      <w:marTop w:val="0"/>
      <w:marBottom w:val="0"/>
      <w:divBdr>
        <w:top w:val="none" w:sz="0" w:space="0" w:color="auto"/>
        <w:left w:val="none" w:sz="0" w:space="0" w:color="auto"/>
        <w:bottom w:val="none" w:sz="0" w:space="0" w:color="auto"/>
        <w:right w:val="none" w:sz="0" w:space="0" w:color="auto"/>
      </w:divBdr>
    </w:div>
    <w:div w:id="1292709388">
      <w:bodyDiv w:val="1"/>
      <w:marLeft w:val="0"/>
      <w:marRight w:val="0"/>
      <w:marTop w:val="0"/>
      <w:marBottom w:val="0"/>
      <w:divBdr>
        <w:top w:val="none" w:sz="0" w:space="0" w:color="auto"/>
        <w:left w:val="none" w:sz="0" w:space="0" w:color="auto"/>
        <w:bottom w:val="none" w:sz="0" w:space="0" w:color="auto"/>
        <w:right w:val="none" w:sz="0" w:space="0" w:color="auto"/>
      </w:divBdr>
    </w:div>
    <w:div w:id="1331836651">
      <w:bodyDiv w:val="1"/>
      <w:marLeft w:val="0"/>
      <w:marRight w:val="0"/>
      <w:marTop w:val="0"/>
      <w:marBottom w:val="0"/>
      <w:divBdr>
        <w:top w:val="none" w:sz="0" w:space="0" w:color="auto"/>
        <w:left w:val="none" w:sz="0" w:space="0" w:color="auto"/>
        <w:bottom w:val="none" w:sz="0" w:space="0" w:color="auto"/>
        <w:right w:val="none" w:sz="0" w:space="0" w:color="auto"/>
      </w:divBdr>
    </w:div>
    <w:div w:id="1359772185">
      <w:bodyDiv w:val="1"/>
      <w:marLeft w:val="0"/>
      <w:marRight w:val="0"/>
      <w:marTop w:val="0"/>
      <w:marBottom w:val="0"/>
      <w:divBdr>
        <w:top w:val="none" w:sz="0" w:space="0" w:color="auto"/>
        <w:left w:val="none" w:sz="0" w:space="0" w:color="auto"/>
        <w:bottom w:val="none" w:sz="0" w:space="0" w:color="auto"/>
        <w:right w:val="none" w:sz="0" w:space="0" w:color="auto"/>
      </w:divBdr>
    </w:div>
    <w:div w:id="1592817443">
      <w:bodyDiv w:val="1"/>
      <w:marLeft w:val="0"/>
      <w:marRight w:val="0"/>
      <w:marTop w:val="0"/>
      <w:marBottom w:val="0"/>
      <w:divBdr>
        <w:top w:val="none" w:sz="0" w:space="0" w:color="auto"/>
        <w:left w:val="none" w:sz="0" w:space="0" w:color="auto"/>
        <w:bottom w:val="none" w:sz="0" w:space="0" w:color="auto"/>
        <w:right w:val="none" w:sz="0" w:space="0" w:color="auto"/>
      </w:divBdr>
    </w:div>
    <w:div w:id="1760172480">
      <w:bodyDiv w:val="1"/>
      <w:marLeft w:val="0"/>
      <w:marRight w:val="0"/>
      <w:marTop w:val="0"/>
      <w:marBottom w:val="0"/>
      <w:divBdr>
        <w:top w:val="none" w:sz="0" w:space="0" w:color="auto"/>
        <w:left w:val="none" w:sz="0" w:space="0" w:color="auto"/>
        <w:bottom w:val="none" w:sz="0" w:space="0" w:color="auto"/>
        <w:right w:val="none" w:sz="0" w:space="0" w:color="auto"/>
      </w:divBdr>
    </w:div>
    <w:div w:id="1880245483">
      <w:bodyDiv w:val="1"/>
      <w:marLeft w:val="0"/>
      <w:marRight w:val="0"/>
      <w:marTop w:val="0"/>
      <w:marBottom w:val="0"/>
      <w:divBdr>
        <w:top w:val="none" w:sz="0" w:space="0" w:color="auto"/>
        <w:left w:val="none" w:sz="0" w:space="0" w:color="auto"/>
        <w:bottom w:val="none" w:sz="0" w:space="0" w:color="auto"/>
        <w:right w:val="none" w:sz="0" w:space="0" w:color="auto"/>
      </w:divBdr>
    </w:div>
    <w:div w:id="2008098039">
      <w:bodyDiv w:val="1"/>
      <w:marLeft w:val="0"/>
      <w:marRight w:val="0"/>
      <w:marTop w:val="0"/>
      <w:marBottom w:val="0"/>
      <w:divBdr>
        <w:top w:val="none" w:sz="0" w:space="0" w:color="auto"/>
        <w:left w:val="none" w:sz="0" w:space="0" w:color="auto"/>
        <w:bottom w:val="none" w:sz="0" w:space="0" w:color="auto"/>
        <w:right w:val="none" w:sz="0" w:space="0" w:color="auto"/>
      </w:divBdr>
    </w:div>
    <w:div w:id="211559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4.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289DEB-9C77-432B-9395-1617ED1D7DAB}" type="doc">
      <dgm:prSet loTypeId="urn:microsoft.com/office/officeart/2005/8/layout/hierarchy4" loCatId="hierarchy" qsTypeId="urn:microsoft.com/office/officeart/2005/8/quickstyle/simple1" qsCatId="simple" csTypeId="urn:microsoft.com/office/officeart/2005/8/colors/accent1_4" csCatId="accent1" phldr="1"/>
      <dgm:spPr/>
      <dgm:t>
        <a:bodyPr/>
        <a:lstStyle/>
        <a:p>
          <a:endParaRPr lang="en-GB"/>
        </a:p>
      </dgm:t>
    </dgm:pt>
    <dgm:pt modelId="{9B434DC2-D8FD-4FC9-BDB2-91F8EA575E91}">
      <dgm:prSet phldrT="[Text]"/>
      <dgm:spPr/>
      <dgm:t>
        <a:bodyPr/>
        <a:lstStyle/>
        <a:p>
          <a:r>
            <a:rPr lang="en-GB"/>
            <a:t>Unintended Actions</a:t>
          </a:r>
        </a:p>
      </dgm:t>
    </dgm:pt>
    <dgm:pt modelId="{E200AE5E-9168-4251-A8EC-9CBFE1618F1B}" type="parTrans" cxnId="{02A37E05-AF7B-4FFD-8E7B-4217777F6A96}">
      <dgm:prSet/>
      <dgm:spPr/>
      <dgm:t>
        <a:bodyPr/>
        <a:lstStyle/>
        <a:p>
          <a:endParaRPr lang="en-GB"/>
        </a:p>
      </dgm:t>
    </dgm:pt>
    <dgm:pt modelId="{CDC973BC-D668-4036-9C25-F8AF87BCE1DC}" type="sibTrans" cxnId="{02A37E05-AF7B-4FFD-8E7B-4217777F6A96}">
      <dgm:prSet/>
      <dgm:spPr/>
      <dgm:t>
        <a:bodyPr/>
        <a:lstStyle/>
        <a:p>
          <a:endParaRPr lang="en-GB"/>
        </a:p>
      </dgm:t>
    </dgm:pt>
    <dgm:pt modelId="{E595005C-A66D-4E5E-9C19-34D4749AC981}">
      <dgm:prSet phldrT="[Text]"/>
      <dgm:spPr/>
      <dgm:t>
        <a:bodyPr/>
        <a:lstStyle/>
        <a:p>
          <a:r>
            <a:rPr lang="en-GB"/>
            <a:t>Slips</a:t>
          </a:r>
        </a:p>
      </dgm:t>
    </dgm:pt>
    <dgm:pt modelId="{68E7B70A-134E-4676-87C3-480D6912965B}" type="parTrans" cxnId="{E5E4BCA8-062B-47D2-BD66-D12F8BCEDFD5}">
      <dgm:prSet/>
      <dgm:spPr/>
      <dgm:t>
        <a:bodyPr/>
        <a:lstStyle/>
        <a:p>
          <a:endParaRPr lang="en-GB"/>
        </a:p>
      </dgm:t>
    </dgm:pt>
    <dgm:pt modelId="{77CA6AF6-ACF0-4E74-91F3-0F8061D0FE9E}" type="sibTrans" cxnId="{E5E4BCA8-062B-47D2-BD66-D12F8BCEDFD5}">
      <dgm:prSet/>
      <dgm:spPr/>
      <dgm:t>
        <a:bodyPr/>
        <a:lstStyle/>
        <a:p>
          <a:endParaRPr lang="en-GB"/>
        </a:p>
      </dgm:t>
    </dgm:pt>
    <dgm:pt modelId="{107AFCFE-2AFE-4CD0-A86C-5E3C65B750D1}">
      <dgm:prSet phldrT="[Text]"/>
      <dgm:spPr/>
      <dgm:t>
        <a:bodyPr/>
        <a:lstStyle/>
        <a:p>
          <a:r>
            <a:rPr lang="en-GB"/>
            <a:t>Lapses</a:t>
          </a:r>
        </a:p>
      </dgm:t>
    </dgm:pt>
    <dgm:pt modelId="{BABA18D4-AA66-4C8D-B9E9-31D727C82910}" type="parTrans" cxnId="{BD145208-760B-41AC-A6E7-DE32A3E816A4}">
      <dgm:prSet/>
      <dgm:spPr/>
      <dgm:t>
        <a:bodyPr/>
        <a:lstStyle/>
        <a:p>
          <a:endParaRPr lang="en-GB"/>
        </a:p>
      </dgm:t>
    </dgm:pt>
    <dgm:pt modelId="{E271FF54-CCFB-4E7B-8C93-0D01CC33B23C}" type="sibTrans" cxnId="{BD145208-760B-41AC-A6E7-DE32A3E816A4}">
      <dgm:prSet/>
      <dgm:spPr/>
      <dgm:t>
        <a:bodyPr/>
        <a:lstStyle/>
        <a:p>
          <a:endParaRPr lang="en-GB"/>
        </a:p>
      </dgm:t>
    </dgm:pt>
    <dgm:pt modelId="{DBBCF08C-2086-4EF9-A0A9-F18F4FE5724B}">
      <dgm:prSet phldrT="[Text]"/>
      <dgm:spPr/>
      <dgm:t>
        <a:bodyPr/>
        <a:lstStyle/>
        <a:p>
          <a:r>
            <a:rPr lang="en-GB"/>
            <a:t>Memory Failure</a:t>
          </a:r>
        </a:p>
      </dgm:t>
    </dgm:pt>
    <dgm:pt modelId="{225701F3-2B7B-4433-B5D7-6F70C8A3FE5D}" type="parTrans" cxnId="{E90D0630-A439-464B-AA04-92ABFBC24016}">
      <dgm:prSet/>
      <dgm:spPr/>
      <dgm:t>
        <a:bodyPr/>
        <a:lstStyle/>
        <a:p>
          <a:endParaRPr lang="en-GB"/>
        </a:p>
      </dgm:t>
    </dgm:pt>
    <dgm:pt modelId="{7AEDCBD5-9B65-4DE0-95D2-4CCEC7699B44}" type="sibTrans" cxnId="{E90D0630-A439-464B-AA04-92ABFBC24016}">
      <dgm:prSet/>
      <dgm:spPr/>
      <dgm:t>
        <a:bodyPr/>
        <a:lstStyle/>
        <a:p>
          <a:endParaRPr lang="en-GB"/>
        </a:p>
      </dgm:t>
    </dgm:pt>
    <dgm:pt modelId="{4FA8A57D-605A-4783-A318-9194E21FA886}">
      <dgm:prSet phldrT="[Text]"/>
      <dgm:spPr/>
      <dgm:t>
        <a:bodyPr/>
        <a:lstStyle/>
        <a:p>
          <a:r>
            <a:rPr lang="en-GB"/>
            <a:t>Attention Failure</a:t>
          </a:r>
        </a:p>
      </dgm:t>
    </dgm:pt>
    <dgm:pt modelId="{427A403A-5473-43C6-B817-A3101A717350}" type="parTrans" cxnId="{76323D02-FD04-4E1F-9754-71C9545EA5F2}">
      <dgm:prSet/>
      <dgm:spPr/>
      <dgm:t>
        <a:bodyPr/>
        <a:lstStyle/>
        <a:p>
          <a:endParaRPr lang="en-GB"/>
        </a:p>
      </dgm:t>
    </dgm:pt>
    <dgm:pt modelId="{C80480E3-57A2-402B-B744-392CA23FFE2E}" type="sibTrans" cxnId="{76323D02-FD04-4E1F-9754-71C9545EA5F2}">
      <dgm:prSet/>
      <dgm:spPr/>
      <dgm:t>
        <a:bodyPr/>
        <a:lstStyle/>
        <a:p>
          <a:endParaRPr lang="en-GB"/>
        </a:p>
      </dgm:t>
    </dgm:pt>
    <dgm:pt modelId="{8A192235-2646-4F1E-AE41-246999805681}">
      <dgm:prSet phldrT="[Text]"/>
      <dgm:spPr/>
      <dgm:t>
        <a:bodyPr/>
        <a:lstStyle/>
        <a:p>
          <a:r>
            <a:rPr lang="en-GB"/>
            <a:t>Intended Action</a:t>
          </a:r>
        </a:p>
      </dgm:t>
    </dgm:pt>
    <dgm:pt modelId="{485190F4-906F-47E9-B951-C141DB374B50}" type="parTrans" cxnId="{87D5CDA0-EC37-4FF5-9D5C-1C8B47093C9F}">
      <dgm:prSet/>
      <dgm:spPr/>
      <dgm:t>
        <a:bodyPr/>
        <a:lstStyle/>
        <a:p>
          <a:endParaRPr lang="en-GB"/>
        </a:p>
      </dgm:t>
    </dgm:pt>
    <dgm:pt modelId="{08B923B3-360A-4D95-8117-91EAE6617C89}" type="sibTrans" cxnId="{87D5CDA0-EC37-4FF5-9D5C-1C8B47093C9F}">
      <dgm:prSet/>
      <dgm:spPr/>
      <dgm:t>
        <a:bodyPr/>
        <a:lstStyle/>
        <a:p>
          <a:endParaRPr lang="en-GB"/>
        </a:p>
      </dgm:t>
    </dgm:pt>
    <dgm:pt modelId="{208B6469-789F-4FA3-8163-8D4EAA57D847}">
      <dgm:prSet phldrT="[Text]"/>
      <dgm:spPr/>
      <dgm:t>
        <a:bodyPr/>
        <a:lstStyle/>
        <a:p>
          <a:r>
            <a:rPr lang="en-GB"/>
            <a:t>Errors</a:t>
          </a:r>
        </a:p>
      </dgm:t>
    </dgm:pt>
    <dgm:pt modelId="{C0A4BA6C-D144-4C59-AC57-675479FDD4D0}" type="parTrans" cxnId="{DC65A191-0138-4D86-B5F7-6D80DAF3F2E8}">
      <dgm:prSet/>
      <dgm:spPr/>
      <dgm:t>
        <a:bodyPr/>
        <a:lstStyle/>
        <a:p>
          <a:endParaRPr lang="en-GB"/>
        </a:p>
      </dgm:t>
    </dgm:pt>
    <dgm:pt modelId="{9F98C95C-C12D-48A1-9830-37F94F383E90}" type="sibTrans" cxnId="{DC65A191-0138-4D86-B5F7-6D80DAF3F2E8}">
      <dgm:prSet/>
      <dgm:spPr/>
      <dgm:t>
        <a:bodyPr/>
        <a:lstStyle/>
        <a:p>
          <a:endParaRPr lang="en-GB"/>
        </a:p>
      </dgm:t>
    </dgm:pt>
    <dgm:pt modelId="{802245C6-F978-4EF0-9EF9-3F02331D0A86}">
      <dgm:prSet phldrT="[Text]"/>
      <dgm:spPr/>
      <dgm:t>
        <a:bodyPr/>
        <a:lstStyle/>
        <a:p>
          <a:r>
            <a:rPr lang="en-GB"/>
            <a:t>Mistake</a:t>
          </a:r>
        </a:p>
      </dgm:t>
    </dgm:pt>
    <dgm:pt modelId="{A6D280B1-9BDF-4011-B59A-2DC402F3BC18}" type="parTrans" cxnId="{C9C4D5C8-BAB0-4DF5-A88A-CAD0F73A954F}">
      <dgm:prSet/>
      <dgm:spPr/>
      <dgm:t>
        <a:bodyPr/>
        <a:lstStyle/>
        <a:p>
          <a:endParaRPr lang="en-GB"/>
        </a:p>
      </dgm:t>
    </dgm:pt>
    <dgm:pt modelId="{3C7F060D-619A-47BD-9CEF-4B21A694762C}" type="sibTrans" cxnId="{C9C4D5C8-BAB0-4DF5-A88A-CAD0F73A954F}">
      <dgm:prSet/>
      <dgm:spPr/>
      <dgm:t>
        <a:bodyPr/>
        <a:lstStyle/>
        <a:p>
          <a:endParaRPr lang="en-GB"/>
        </a:p>
      </dgm:t>
    </dgm:pt>
    <dgm:pt modelId="{B82D5C47-E5E6-4BC4-999A-431F41F681D4}">
      <dgm:prSet phldrT="[Text]"/>
      <dgm:spPr/>
      <dgm:t>
        <a:bodyPr/>
        <a:lstStyle/>
        <a:p>
          <a:r>
            <a:rPr lang="en-GB"/>
            <a:t>Rule-Based</a:t>
          </a:r>
        </a:p>
      </dgm:t>
    </dgm:pt>
    <dgm:pt modelId="{1C797C56-1A44-43FE-8CC6-69A8A8DB9530}" type="parTrans" cxnId="{B9C4294A-4AEE-49C6-BA09-891F78ED0DAA}">
      <dgm:prSet/>
      <dgm:spPr/>
      <dgm:t>
        <a:bodyPr/>
        <a:lstStyle/>
        <a:p>
          <a:endParaRPr lang="en-GB"/>
        </a:p>
      </dgm:t>
    </dgm:pt>
    <dgm:pt modelId="{B633F3C3-7485-4CE0-90EB-D8923A4BA837}" type="sibTrans" cxnId="{B9C4294A-4AEE-49C6-BA09-891F78ED0DAA}">
      <dgm:prSet/>
      <dgm:spPr/>
      <dgm:t>
        <a:bodyPr/>
        <a:lstStyle/>
        <a:p>
          <a:endParaRPr lang="en-GB"/>
        </a:p>
      </dgm:t>
    </dgm:pt>
    <dgm:pt modelId="{F3F8144D-660A-447A-A9DB-AD28999D1E0C}">
      <dgm:prSet phldrT="[Text]"/>
      <dgm:spPr/>
      <dgm:t>
        <a:bodyPr/>
        <a:lstStyle/>
        <a:p>
          <a:r>
            <a:rPr lang="en-GB"/>
            <a:t>Knowleage Based</a:t>
          </a:r>
        </a:p>
      </dgm:t>
    </dgm:pt>
    <dgm:pt modelId="{3B504B23-8CBF-4729-B529-21ECF6FC25AB}" type="parTrans" cxnId="{85CBAA16-0324-46F3-BE64-4A10F9C0CFFE}">
      <dgm:prSet/>
      <dgm:spPr/>
      <dgm:t>
        <a:bodyPr/>
        <a:lstStyle/>
        <a:p>
          <a:endParaRPr lang="en-GB"/>
        </a:p>
      </dgm:t>
    </dgm:pt>
    <dgm:pt modelId="{B769E5CF-9571-47BF-B280-575A66746264}" type="sibTrans" cxnId="{85CBAA16-0324-46F3-BE64-4A10F9C0CFFE}">
      <dgm:prSet/>
      <dgm:spPr/>
      <dgm:t>
        <a:bodyPr/>
        <a:lstStyle/>
        <a:p>
          <a:endParaRPr lang="en-GB"/>
        </a:p>
      </dgm:t>
    </dgm:pt>
    <dgm:pt modelId="{D17A9C99-C24A-444F-AB9B-0132EC287B57}">
      <dgm:prSet phldrT="[Text]"/>
      <dgm:spPr/>
      <dgm:t>
        <a:bodyPr/>
        <a:lstStyle/>
        <a:p>
          <a:r>
            <a:rPr lang="en-GB"/>
            <a:t>Violation</a:t>
          </a:r>
        </a:p>
      </dgm:t>
    </dgm:pt>
    <dgm:pt modelId="{19AA7F2B-3339-4590-B2E0-6294BE0850E9}" type="parTrans" cxnId="{7D6FB918-E4C9-47E9-9127-72EE06709219}">
      <dgm:prSet/>
      <dgm:spPr/>
      <dgm:t>
        <a:bodyPr/>
        <a:lstStyle/>
        <a:p>
          <a:endParaRPr lang="en-GB"/>
        </a:p>
      </dgm:t>
    </dgm:pt>
    <dgm:pt modelId="{77B21180-A569-4807-8BC4-14CC478E52A4}" type="sibTrans" cxnId="{7D6FB918-E4C9-47E9-9127-72EE06709219}">
      <dgm:prSet/>
      <dgm:spPr/>
      <dgm:t>
        <a:bodyPr/>
        <a:lstStyle/>
        <a:p>
          <a:endParaRPr lang="en-GB"/>
        </a:p>
      </dgm:t>
    </dgm:pt>
    <dgm:pt modelId="{23B26868-6CC8-4CEB-976E-6B461925C383}">
      <dgm:prSet phldrT="[Text]"/>
      <dgm:spPr/>
      <dgm:t>
        <a:bodyPr/>
        <a:lstStyle/>
        <a:p>
          <a:r>
            <a:rPr lang="en-GB"/>
            <a:t>Knowingly Breaking Rules</a:t>
          </a:r>
        </a:p>
      </dgm:t>
    </dgm:pt>
    <dgm:pt modelId="{3C10AA6C-DF0A-4F5E-8B0A-E73E9262E5FF}" type="parTrans" cxnId="{BB7C45DF-5F88-454A-B8D7-2216A30EF5B4}">
      <dgm:prSet/>
      <dgm:spPr/>
      <dgm:t>
        <a:bodyPr/>
        <a:lstStyle/>
        <a:p>
          <a:endParaRPr lang="en-GB"/>
        </a:p>
      </dgm:t>
    </dgm:pt>
    <dgm:pt modelId="{0897F49B-0998-4C97-B9D5-42F851C671C0}" type="sibTrans" cxnId="{BB7C45DF-5F88-454A-B8D7-2216A30EF5B4}">
      <dgm:prSet/>
      <dgm:spPr/>
      <dgm:t>
        <a:bodyPr/>
        <a:lstStyle/>
        <a:p>
          <a:endParaRPr lang="en-GB"/>
        </a:p>
      </dgm:t>
    </dgm:pt>
    <dgm:pt modelId="{46BD89B4-D146-4488-8EB5-5EA75A43B149}" type="pres">
      <dgm:prSet presAssocID="{9C289DEB-9C77-432B-9395-1617ED1D7DAB}" presName="Name0" presStyleCnt="0">
        <dgm:presLayoutVars>
          <dgm:chPref val="1"/>
          <dgm:dir/>
          <dgm:animOne val="branch"/>
          <dgm:animLvl val="lvl"/>
          <dgm:resizeHandles/>
        </dgm:presLayoutVars>
      </dgm:prSet>
      <dgm:spPr/>
    </dgm:pt>
    <dgm:pt modelId="{A94664DD-5BBA-499F-BF4B-E70BB48CC566}" type="pres">
      <dgm:prSet presAssocID="{208B6469-789F-4FA3-8163-8D4EAA57D847}" presName="vertOne" presStyleCnt="0"/>
      <dgm:spPr/>
    </dgm:pt>
    <dgm:pt modelId="{7775E5C6-7B6D-4D4D-BE3B-16B5D946FECE}" type="pres">
      <dgm:prSet presAssocID="{208B6469-789F-4FA3-8163-8D4EAA57D847}" presName="txOne" presStyleLbl="node0" presStyleIdx="0" presStyleCnt="1">
        <dgm:presLayoutVars>
          <dgm:chPref val="3"/>
        </dgm:presLayoutVars>
      </dgm:prSet>
      <dgm:spPr/>
    </dgm:pt>
    <dgm:pt modelId="{E6C0D55F-D58A-4244-BCB6-E925550750A7}" type="pres">
      <dgm:prSet presAssocID="{208B6469-789F-4FA3-8163-8D4EAA57D847}" presName="parTransOne" presStyleCnt="0"/>
      <dgm:spPr/>
    </dgm:pt>
    <dgm:pt modelId="{5B68BC9C-F442-4773-AE5D-B983CE986DBA}" type="pres">
      <dgm:prSet presAssocID="{208B6469-789F-4FA3-8163-8D4EAA57D847}" presName="horzOne" presStyleCnt="0"/>
      <dgm:spPr/>
    </dgm:pt>
    <dgm:pt modelId="{9B0283DF-0B04-4866-B6D9-76569773623A}" type="pres">
      <dgm:prSet presAssocID="{9B434DC2-D8FD-4FC9-BDB2-91F8EA575E91}" presName="vertTwo" presStyleCnt="0"/>
      <dgm:spPr/>
    </dgm:pt>
    <dgm:pt modelId="{FAD131D3-BA27-47E3-9CCE-8865E9066CE5}" type="pres">
      <dgm:prSet presAssocID="{9B434DC2-D8FD-4FC9-BDB2-91F8EA575E91}" presName="txTwo" presStyleLbl="node2" presStyleIdx="0" presStyleCnt="2">
        <dgm:presLayoutVars>
          <dgm:chPref val="3"/>
        </dgm:presLayoutVars>
      </dgm:prSet>
      <dgm:spPr/>
    </dgm:pt>
    <dgm:pt modelId="{8976677D-A974-4060-B4B0-A83603FCFBC3}" type="pres">
      <dgm:prSet presAssocID="{9B434DC2-D8FD-4FC9-BDB2-91F8EA575E91}" presName="parTransTwo" presStyleCnt="0"/>
      <dgm:spPr/>
    </dgm:pt>
    <dgm:pt modelId="{811F4710-3CCC-40D5-830C-91A5C7483D45}" type="pres">
      <dgm:prSet presAssocID="{9B434DC2-D8FD-4FC9-BDB2-91F8EA575E91}" presName="horzTwo" presStyleCnt="0"/>
      <dgm:spPr/>
    </dgm:pt>
    <dgm:pt modelId="{57D800B9-C233-45D4-A180-F6D176AB4985}" type="pres">
      <dgm:prSet presAssocID="{E595005C-A66D-4E5E-9C19-34D4749AC981}" presName="vertThree" presStyleCnt="0"/>
      <dgm:spPr/>
    </dgm:pt>
    <dgm:pt modelId="{19B7F213-EB5A-4A77-8C7B-0297E6B2EA38}" type="pres">
      <dgm:prSet presAssocID="{E595005C-A66D-4E5E-9C19-34D4749AC981}" presName="txThree" presStyleLbl="node3" presStyleIdx="0" presStyleCnt="4">
        <dgm:presLayoutVars>
          <dgm:chPref val="3"/>
        </dgm:presLayoutVars>
      </dgm:prSet>
      <dgm:spPr/>
    </dgm:pt>
    <dgm:pt modelId="{AC574B2D-E9BA-49B6-B94C-FCD4F232A5F2}" type="pres">
      <dgm:prSet presAssocID="{E595005C-A66D-4E5E-9C19-34D4749AC981}" presName="parTransThree" presStyleCnt="0"/>
      <dgm:spPr/>
    </dgm:pt>
    <dgm:pt modelId="{133DC5C4-BB6C-440D-A7DA-2A545882FAA4}" type="pres">
      <dgm:prSet presAssocID="{E595005C-A66D-4E5E-9C19-34D4749AC981}" presName="horzThree" presStyleCnt="0"/>
      <dgm:spPr/>
    </dgm:pt>
    <dgm:pt modelId="{C4992F7F-2892-4310-B8AF-A3E36DC53AAD}" type="pres">
      <dgm:prSet presAssocID="{4FA8A57D-605A-4783-A318-9194E21FA886}" presName="vertFour" presStyleCnt="0">
        <dgm:presLayoutVars>
          <dgm:chPref val="3"/>
        </dgm:presLayoutVars>
      </dgm:prSet>
      <dgm:spPr/>
    </dgm:pt>
    <dgm:pt modelId="{507B7B6A-AE0D-4246-8D0C-9E1CC37298EA}" type="pres">
      <dgm:prSet presAssocID="{4FA8A57D-605A-4783-A318-9194E21FA886}" presName="txFour" presStyleLbl="node4" presStyleIdx="0" presStyleCnt="5">
        <dgm:presLayoutVars>
          <dgm:chPref val="3"/>
        </dgm:presLayoutVars>
      </dgm:prSet>
      <dgm:spPr/>
    </dgm:pt>
    <dgm:pt modelId="{5A52AC31-C050-4420-B532-E89DAC199007}" type="pres">
      <dgm:prSet presAssocID="{4FA8A57D-605A-4783-A318-9194E21FA886}" presName="horzFour" presStyleCnt="0"/>
      <dgm:spPr/>
    </dgm:pt>
    <dgm:pt modelId="{00DF66A4-8757-4677-BEBF-3D05669F115A}" type="pres">
      <dgm:prSet presAssocID="{77CA6AF6-ACF0-4E74-91F3-0F8061D0FE9E}" presName="sibSpaceThree" presStyleCnt="0"/>
      <dgm:spPr/>
    </dgm:pt>
    <dgm:pt modelId="{3D526C7D-5729-488D-97C5-D146846FD852}" type="pres">
      <dgm:prSet presAssocID="{107AFCFE-2AFE-4CD0-A86C-5E3C65B750D1}" presName="vertThree" presStyleCnt="0"/>
      <dgm:spPr/>
    </dgm:pt>
    <dgm:pt modelId="{635FCBDA-0E9D-48D6-9D8C-E1D068C7F6EA}" type="pres">
      <dgm:prSet presAssocID="{107AFCFE-2AFE-4CD0-A86C-5E3C65B750D1}" presName="txThree" presStyleLbl="node3" presStyleIdx="1" presStyleCnt="4">
        <dgm:presLayoutVars>
          <dgm:chPref val="3"/>
        </dgm:presLayoutVars>
      </dgm:prSet>
      <dgm:spPr/>
    </dgm:pt>
    <dgm:pt modelId="{B7624180-44EA-4128-B5F0-0AF0CE9EBF69}" type="pres">
      <dgm:prSet presAssocID="{107AFCFE-2AFE-4CD0-A86C-5E3C65B750D1}" presName="parTransThree" presStyleCnt="0"/>
      <dgm:spPr/>
    </dgm:pt>
    <dgm:pt modelId="{4A554032-4937-45C0-9EDB-2F480421EC32}" type="pres">
      <dgm:prSet presAssocID="{107AFCFE-2AFE-4CD0-A86C-5E3C65B750D1}" presName="horzThree" presStyleCnt="0"/>
      <dgm:spPr/>
    </dgm:pt>
    <dgm:pt modelId="{1B8E2AE5-FEE4-4EE8-B833-A7CB09C9671E}" type="pres">
      <dgm:prSet presAssocID="{DBBCF08C-2086-4EF9-A0A9-F18F4FE5724B}" presName="vertFour" presStyleCnt="0">
        <dgm:presLayoutVars>
          <dgm:chPref val="3"/>
        </dgm:presLayoutVars>
      </dgm:prSet>
      <dgm:spPr/>
    </dgm:pt>
    <dgm:pt modelId="{F3DC0636-0A1B-4ED7-BB4E-22DC691421B6}" type="pres">
      <dgm:prSet presAssocID="{DBBCF08C-2086-4EF9-A0A9-F18F4FE5724B}" presName="txFour" presStyleLbl="node4" presStyleIdx="1" presStyleCnt="5">
        <dgm:presLayoutVars>
          <dgm:chPref val="3"/>
        </dgm:presLayoutVars>
      </dgm:prSet>
      <dgm:spPr/>
    </dgm:pt>
    <dgm:pt modelId="{77A31172-7FD9-402A-8CAD-161A55CB83A9}" type="pres">
      <dgm:prSet presAssocID="{DBBCF08C-2086-4EF9-A0A9-F18F4FE5724B}" presName="horzFour" presStyleCnt="0"/>
      <dgm:spPr/>
    </dgm:pt>
    <dgm:pt modelId="{72776CA9-A485-4C15-9EEF-90114C25AB03}" type="pres">
      <dgm:prSet presAssocID="{CDC973BC-D668-4036-9C25-F8AF87BCE1DC}" presName="sibSpaceTwo" presStyleCnt="0"/>
      <dgm:spPr/>
    </dgm:pt>
    <dgm:pt modelId="{1BA783D8-694E-4F1E-9F13-DF74A792171D}" type="pres">
      <dgm:prSet presAssocID="{8A192235-2646-4F1E-AE41-246999805681}" presName="vertTwo" presStyleCnt="0"/>
      <dgm:spPr/>
    </dgm:pt>
    <dgm:pt modelId="{D5C6A3C1-53CF-4ADB-BE1A-998D9DA25BFE}" type="pres">
      <dgm:prSet presAssocID="{8A192235-2646-4F1E-AE41-246999805681}" presName="txTwo" presStyleLbl="node2" presStyleIdx="1" presStyleCnt="2">
        <dgm:presLayoutVars>
          <dgm:chPref val="3"/>
        </dgm:presLayoutVars>
      </dgm:prSet>
      <dgm:spPr/>
    </dgm:pt>
    <dgm:pt modelId="{D84F2C6B-0613-4242-859C-4FC827707322}" type="pres">
      <dgm:prSet presAssocID="{8A192235-2646-4F1E-AE41-246999805681}" presName="parTransTwo" presStyleCnt="0"/>
      <dgm:spPr/>
    </dgm:pt>
    <dgm:pt modelId="{CF815788-978B-4884-980B-ECB3EA77B926}" type="pres">
      <dgm:prSet presAssocID="{8A192235-2646-4F1E-AE41-246999805681}" presName="horzTwo" presStyleCnt="0"/>
      <dgm:spPr/>
    </dgm:pt>
    <dgm:pt modelId="{A12B4D10-661B-4606-B144-F9B2958D9AF7}" type="pres">
      <dgm:prSet presAssocID="{802245C6-F978-4EF0-9EF9-3F02331D0A86}" presName="vertThree" presStyleCnt="0"/>
      <dgm:spPr/>
    </dgm:pt>
    <dgm:pt modelId="{118001C2-7377-4A8F-89CE-782E09437443}" type="pres">
      <dgm:prSet presAssocID="{802245C6-F978-4EF0-9EF9-3F02331D0A86}" presName="txThree" presStyleLbl="node3" presStyleIdx="2" presStyleCnt="4">
        <dgm:presLayoutVars>
          <dgm:chPref val="3"/>
        </dgm:presLayoutVars>
      </dgm:prSet>
      <dgm:spPr/>
    </dgm:pt>
    <dgm:pt modelId="{36D5108A-E5DB-4992-8C37-48D991AD2931}" type="pres">
      <dgm:prSet presAssocID="{802245C6-F978-4EF0-9EF9-3F02331D0A86}" presName="parTransThree" presStyleCnt="0"/>
      <dgm:spPr/>
    </dgm:pt>
    <dgm:pt modelId="{ABF0B16F-F926-40DF-B8BB-3A769199294E}" type="pres">
      <dgm:prSet presAssocID="{802245C6-F978-4EF0-9EF9-3F02331D0A86}" presName="horzThree" presStyleCnt="0"/>
      <dgm:spPr/>
    </dgm:pt>
    <dgm:pt modelId="{EAE2C30B-9CB1-41AC-BFCB-797AC063DB16}" type="pres">
      <dgm:prSet presAssocID="{B82D5C47-E5E6-4BC4-999A-431F41F681D4}" presName="vertFour" presStyleCnt="0">
        <dgm:presLayoutVars>
          <dgm:chPref val="3"/>
        </dgm:presLayoutVars>
      </dgm:prSet>
      <dgm:spPr/>
    </dgm:pt>
    <dgm:pt modelId="{134DA24B-022A-4D6F-BC12-53C5DADEEFA0}" type="pres">
      <dgm:prSet presAssocID="{B82D5C47-E5E6-4BC4-999A-431F41F681D4}" presName="txFour" presStyleLbl="node4" presStyleIdx="2" presStyleCnt="5">
        <dgm:presLayoutVars>
          <dgm:chPref val="3"/>
        </dgm:presLayoutVars>
      </dgm:prSet>
      <dgm:spPr/>
    </dgm:pt>
    <dgm:pt modelId="{E5CA4231-5E02-4044-86D6-E1D5E40EEF39}" type="pres">
      <dgm:prSet presAssocID="{B82D5C47-E5E6-4BC4-999A-431F41F681D4}" presName="horzFour" presStyleCnt="0"/>
      <dgm:spPr/>
    </dgm:pt>
    <dgm:pt modelId="{19C189F3-1ED3-4CF9-AFFD-23AE22F39C0E}" type="pres">
      <dgm:prSet presAssocID="{B633F3C3-7485-4CE0-90EB-D8923A4BA837}" presName="sibSpaceFour" presStyleCnt="0"/>
      <dgm:spPr/>
    </dgm:pt>
    <dgm:pt modelId="{638DA3E5-9EE5-4071-9D31-36FEEB233685}" type="pres">
      <dgm:prSet presAssocID="{F3F8144D-660A-447A-A9DB-AD28999D1E0C}" presName="vertFour" presStyleCnt="0">
        <dgm:presLayoutVars>
          <dgm:chPref val="3"/>
        </dgm:presLayoutVars>
      </dgm:prSet>
      <dgm:spPr/>
    </dgm:pt>
    <dgm:pt modelId="{1D3B7432-0162-4426-9238-A580637ADDDB}" type="pres">
      <dgm:prSet presAssocID="{F3F8144D-660A-447A-A9DB-AD28999D1E0C}" presName="txFour" presStyleLbl="node4" presStyleIdx="3" presStyleCnt="5">
        <dgm:presLayoutVars>
          <dgm:chPref val="3"/>
        </dgm:presLayoutVars>
      </dgm:prSet>
      <dgm:spPr/>
    </dgm:pt>
    <dgm:pt modelId="{90BFCF31-6175-41BB-B3A9-8B5C03D36E72}" type="pres">
      <dgm:prSet presAssocID="{F3F8144D-660A-447A-A9DB-AD28999D1E0C}" presName="horzFour" presStyleCnt="0"/>
      <dgm:spPr/>
    </dgm:pt>
    <dgm:pt modelId="{D07B5948-AE86-4C36-A034-567A072413B6}" type="pres">
      <dgm:prSet presAssocID="{3C7F060D-619A-47BD-9CEF-4B21A694762C}" presName="sibSpaceThree" presStyleCnt="0"/>
      <dgm:spPr/>
    </dgm:pt>
    <dgm:pt modelId="{CD37E7E3-4056-49E8-86EF-FE98071AB758}" type="pres">
      <dgm:prSet presAssocID="{D17A9C99-C24A-444F-AB9B-0132EC287B57}" presName="vertThree" presStyleCnt="0"/>
      <dgm:spPr/>
    </dgm:pt>
    <dgm:pt modelId="{9E9C6F3F-C416-43F2-9F27-EC4F56ACBA31}" type="pres">
      <dgm:prSet presAssocID="{D17A9C99-C24A-444F-AB9B-0132EC287B57}" presName="txThree" presStyleLbl="node3" presStyleIdx="3" presStyleCnt="4">
        <dgm:presLayoutVars>
          <dgm:chPref val="3"/>
        </dgm:presLayoutVars>
      </dgm:prSet>
      <dgm:spPr/>
    </dgm:pt>
    <dgm:pt modelId="{EA837B5D-F3D2-4C6F-B9C8-8A53E0E31A11}" type="pres">
      <dgm:prSet presAssocID="{D17A9C99-C24A-444F-AB9B-0132EC287B57}" presName="parTransThree" presStyleCnt="0"/>
      <dgm:spPr/>
    </dgm:pt>
    <dgm:pt modelId="{1C3B0CE8-BF80-4326-9AE0-44E6C1992DC4}" type="pres">
      <dgm:prSet presAssocID="{D17A9C99-C24A-444F-AB9B-0132EC287B57}" presName="horzThree" presStyleCnt="0"/>
      <dgm:spPr/>
    </dgm:pt>
    <dgm:pt modelId="{D90A1120-7689-42BF-B589-6341A56C9ECF}" type="pres">
      <dgm:prSet presAssocID="{23B26868-6CC8-4CEB-976E-6B461925C383}" presName="vertFour" presStyleCnt="0">
        <dgm:presLayoutVars>
          <dgm:chPref val="3"/>
        </dgm:presLayoutVars>
      </dgm:prSet>
      <dgm:spPr/>
    </dgm:pt>
    <dgm:pt modelId="{764D557D-FB85-4AE7-BF2A-26A0CC47C6A4}" type="pres">
      <dgm:prSet presAssocID="{23B26868-6CC8-4CEB-976E-6B461925C383}" presName="txFour" presStyleLbl="node4" presStyleIdx="4" presStyleCnt="5">
        <dgm:presLayoutVars>
          <dgm:chPref val="3"/>
        </dgm:presLayoutVars>
      </dgm:prSet>
      <dgm:spPr/>
    </dgm:pt>
    <dgm:pt modelId="{B61CE376-265A-4A08-AC7F-BC5241CA8D62}" type="pres">
      <dgm:prSet presAssocID="{23B26868-6CC8-4CEB-976E-6B461925C383}" presName="horzFour" presStyleCnt="0"/>
      <dgm:spPr/>
    </dgm:pt>
  </dgm:ptLst>
  <dgm:cxnLst>
    <dgm:cxn modelId="{76323D02-FD04-4E1F-9754-71C9545EA5F2}" srcId="{E595005C-A66D-4E5E-9C19-34D4749AC981}" destId="{4FA8A57D-605A-4783-A318-9194E21FA886}" srcOrd="0" destOrd="0" parTransId="{427A403A-5473-43C6-B817-A3101A717350}" sibTransId="{C80480E3-57A2-402B-B744-392CA23FFE2E}"/>
    <dgm:cxn modelId="{02A37E05-AF7B-4FFD-8E7B-4217777F6A96}" srcId="{208B6469-789F-4FA3-8163-8D4EAA57D847}" destId="{9B434DC2-D8FD-4FC9-BDB2-91F8EA575E91}" srcOrd="0" destOrd="0" parTransId="{E200AE5E-9168-4251-A8EC-9CBFE1618F1B}" sibTransId="{CDC973BC-D668-4036-9C25-F8AF87BCE1DC}"/>
    <dgm:cxn modelId="{BD145208-760B-41AC-A6E7-DE32A3E816A4}" srcId="{9B434DC2-D8FD-4FC9-BDB2-91F8EA575E91}" destId="{107AFCFE-2AFE-4CD0-A86C-5E3C65B750D1}" srcOrd="1" destOrd="0" parTransId="{BABA18D4-AA66-4C8D-B9E9-31D727C82910}" sibTransId="{E271FF54-CCFB-4E7B-8C93-0D01CC33B23C}"/>
    <dgm:cxn modelId="{85CBAA16-0324-46F3-BE64-4A10F9C0CFFE}" srcId="{802245C6-F978-4EF0-9EF9-3F02331D0A86}" destId="{F3F8144D-660A-447A-A9DB-AD28999D1E0C}" srcOrd="1" destOrd="0" parTransId="{3B504B23-8CBF-4729-B529-21ECF6FC25AB}" sibTransId="{B769E5CF-9571-47BF-B280-575A66746264}"/>
    <dgm:cxn modelId="{7D6FB918-E4C9-47E9-9127-72EE06709219}" srcId="{8A192235-2646-4F1E-AE41-246999805681}" destId="{D17A9C99-C24A-444F-AB9B-0132EC287B57}" srcOrd="1" destOrd="0" parTransId="{19AA7F2B-3339-4590-B2E0-6294BE0850E9}" sibTransId="{77B21180-A569-4807-8BC4-14CC478E52A4}"/>
    <dgm:cxn modelId="{E90D0630-A439-464B-AA04-92ABFBC24016}" srcId="{107AFCFE-2AFE-4CD0-A86C-5E3C65B750D1}" destId="{DBBCF08C-2086-4EF9-A0A9-F18F4FE5724B}" srcOrd="0" destOrd="0" parTransId="{225701F3-2B7B-4433-B5D7-6F70C8A3FE5D}" sibTransId="{7AEDCBD5-9B65-4DE0-95D2-4CCEC7699B44}"/>
    <dgm:cxn modelId="{1FBCF530-C6EA-4763-AA5E-B435D617CA17}" type="presOf" srcId="{208B6469-789F-4FA3-8163-8D4EAA57D847}" destId="{7775E5C6-7B6D-4D4D-BE3B-16B5D946FECE}" srcOrd="0" destOrd="0" presId="urn:microsoft.com/office/officeart/2005/8/layout/hierarchy4"/>
    <dgm:cxn modelId="{52CAAD40-F914-49B2-A4CF-9A3B5DC77DFB}" type="presOf" srcId="{9B434DC2-D8FD-4FC9-BDB2-91F8EA575E91}" destId="{FAD131D3-BA27-47E3-9CCE-8865E9066CE5}" srcOrd="0" destOrd="0" presId="urn:microsoft.com/office/officeart/2005/8/layout/hierarchy4"/>
    <dgm:cxn modelId="{B9C4294A-4AEE-49C6-BA09-891F78ED0DAA}" srcId="{802245C6-F978-4EF0-9EF9-3F02331D0A86}" destId="{B82D5C47-E5E6-4BC4-999A-431F41F681D4}" srcOrd="0" destOrd="0" parTransId="{1C797C56-1A44-43FE-8CC6-69A8A8DB9530}" sibTransId="{B633F3C3-7485-4CE0-90EB-D8923A4BA837}"/>
    <dgm:cxn modelId="{9815994D-52E6-47B1-A0AD-5D00EC98F617}" type="presOf" srcId="{23B26868-6CC8-4CEB-976E-6B461925C383}" destId="{764D557D-FB85-4AE7-BF2A-26A0CC47C6A4}" srcOrd="0" destOrd="0" presId="urn:microsoft.com/office/officeart/2005/8/layout/hierarchy4"/>
    <dgm:cxn modelId="{FD9B0872-BFFF-4222-811E-C8AF6400F0C4}" type="presOf" srcId="{DBBCF08C-2086-4EF9-A0A9-F18F4FE5724B}" destId="{F3DC0636-0A1B-4ED7-BB4E-22DC691421B6}" srcOrd="0" destOrd="0" presId="urn:microsoft.com/office/officeart/2005/8/layout/hierarchy4"/>
    <dgm:cxn modelId="{DC65A191-0138-4D86-B5F7-6D80DAF3F2E8}" srcId="{9C289DEB-9C77-432B-9395-1617ED1D7DAB}" destId="{208B6469-789F-4FA3-8163-8D4EAA57D847}" srcOrd="0" destOrd="0" parTransId="{C0A4BA6C-D144-4C59-AC57-675479FDD4D0}" sibTransId="{9F98C95C-C12D-48A1-9830-37F94F383E90}"/>
    <dgm:cxn modelId="{F04AD592-8B8B-491F-965A-5CC2FA22E966}" type="presOf" srcId="{F3F8144D-660A-447A-A9DB-AD28999D1E0C}" destId="{1D3B7432-0162-4426-9238-A580637ADDDB}" srcOrd="0" destOrd="0" presId="urn:microsoft.com/office/officeart/2005/8/layout/hierarchy4"/>
    <dgm:cxn modelId="{03174594-35E4-4BA2-90EA-92DB62550CE5}" type="presOf" srcId="{B82D5C47-E5E6-4BC4-999A-431F41F681D4}" destId="{134DA24B-022A-4D6F-BC12-53C5DADEEFA0}" srcOrd="0" destOrd="0" presId="urn:microsoft.com/office/officeart/2005/8/layout/hierarchy4"/>
    <dgm:cxn modelId="{87D5CDA0-EC37-4FF5-9D5C-1C8B47093C9F}" srcId="{208B6469-789F-4FA3-8163-8D4EAA57D847}" destId="{8A192235-2646-4F1E-AE41-246999805681}" srcOrd="1" destOrd="0" parTransId="{485190F4-906F-47E9-B951-C141DB374B50}" sibTransId="{08B923B3-360A-4D95-8117-91EAE6617C89}"/>
    <dgm:cxn modelId="{E5E4BCA8-062B-47D2-BD66-D12F8BCEDFD5}" srcId="{9B434DC2-D8FD-4FC9-BDB2-91F8EA575E91}" destId="{E595005C-A66D-4E5E-9C19-34D4749AC981}" srcOrd="0" destOrd="0" parTransId="{68E7B70A-134E-4676-87C3-480D6912965B}" sibTransId="{77CA6AF6-ACF0-4E74-91F3-0F8061D0FE9E}"/>
    <dgm:cxn modelId="{5BF4A8B3-935B-4E06-9C11-490EA22E4394}" type="presOf" srcId="{802245C6-F978-4EF0-9EF9-3F02331D0A86}" destId="{118001C2-7377-4A8F-89CE-782E09437443}" srcOrd="0" destOrd="0" presId="urn:microsoft.com/office/officeart/2005/8/layout/hierarchy4"/>
    <dgm:cxn modelId="{440A17BC-9F1D-48C3-912B-AAAAA56B7D9F}" type="presOf" srcId="{8A192235-2646-4F1E-AE41-246999805681}" destId="{D5C6A3C1-53CF-4ADB-BE1A-998D9DA25BFE}" srcOrd="0" destOrd="0" presId="urn:microsoft.com/office/officeart/2005/8/layout/hierarchy4"/>
    <dgm:cxn modelId="{D405F0BE-1857-4359-B630-7ABC455566EA}" type="presOf" srcId="{9C289DEB-9C77-432B-9395-1617ED1D7DAB}" destId="{46BD89B4-D146-4488-8EB5-5EA75A43B149}" srcOrd="0" destOrd="0" presId="urn:microsoft.com/office/officeart/2005/8/layout/hierarchy4"/>
    <dgm:cxn modelId="{D2FE58C0-BE7E-4819-BC03-250C98A03FD3}" type="presOf" srcId="{4FA8A57D-605A-4783-A318-9194E21FA886}" destId="{507B7B6A-AE0D-4246-8D0C-9E1CC37298EA}" srcOrd="0" destOrd="0" presId="urn:microsoft.com/office/officeart/2005/8/layout/hierarchy4"/>
    <dgm:cxn modelId="{C9C4D5C8-BAB0-4DF5-A88A-CAD0F73A954F}" srcId="{8A192235-2646-4F1E-AE41-246999805681}" destId="{802245C6-F978-4EF0-9EF9-3F02331D0A86}" srcOrd="0" destOrd="0" parTransId="{A6D280B1-9BDF-4011-B59A-2DC402F3BC18}" sibTransId="{3C7F060D-619A-47BD-9CEF-4B21A694762C}"/>
    <dgm:cxn modelId="{0575EED4-3109-4038-B6D2-CA019506728A}" type="presOf" srcId="{E595005C-A66D-4E5E-9C19-34D4749AC981}" destId="{19B7F213-EB5A-4A77-8C7B-0297E6B2EA38}" srcOrd="0" destOrd="0" presId="urn:microsoft.com/office/officeart/2005/8/layout/hierarchy4"/>
    <dgm:cxn modelId="{3BD06BDA-5867-41F9-9CFB-2BF8326796A8}" type="presOf" srcId="{D17A9C99-C24A-444F-AB9B-0132EC287B57}" destId="{9E9C6F3F-C416-43F2-9F27-EC4F56ACBA31}" srcOrd="0" destOrd="0" presId="urn:microsoft.com/office/officeart/2005/8/layout/hierarchy4"/>
    <dgm:cxn modelId="{BB7C45DF-5F88-454A-B8D7-2216A30EF5B4}" srcId="{D17A9C99-C24A-444F-AB9B-0132EC287B57}" destId="{23B26868-6CC8-4CEB-976E-6B461925C383}" srcOrd="0" destOrd="0" parTransId="{3C10AA6C-DF0A-4F5E-8B0A-E73E9262E5FF}" sibTransId="{0897F49B-0998-4C97-B9D5-42F851C671C0}"/>
    <dgm:cxn modelId="{673FFEFC-BFB4-4C25-8380-C2382BA2DCB2}" type="presOf" srcId="{107AFCFE-2AFE-4CD0-A86C-5E3C65B750D1}" destId="{635FCBDA-0E9D-48D6-9D8C-E1D068C7F6EA}" srcOrd="0" destOrd="0" presId="urn:microsoft.com/office/officeart/2005/8/layout/hierarchy4"/>
    <dgm:cxn modelId="{E98D9DF8-3FCD-46E1-9271-57386D15FE3D}" type="presParOf" srcId="{46BD89B4-D146-4488-8EB5-5EA75A43B149}" destId="{A94664DD-5BBA-499F-BF4B-E70BB48CC566}" srcOrd="0" destOrd="0" presId="urn:microsoft.com/office/officeart/2005/8/layout/hierarchy4"/>
    <dgm:cxn modelId="{B4C0DE02-9C80-4993-A271-3B5458948556}" type="presParOf" srcId="{A94664DD-5BBA-499F-BF4B-E70BB48CC566}" destId="{7775E5C6-7B6D-4D4D-BE3B-16B5D946FECE}" srcOrd="0" destOrd="0" presId="urn:microsoft.com/office/officeart/2005/8/layout/hierarchy4"/>
    <dgm:cxn modelId="{4DE7B882-8DC1-46E3-B5C1-1ED3765297F4}" type="presParOf" srcId="{A94664DD-5BBA-499F-BF4B-E70BB48CC566}" destId="{E6C0D55F-D58A-4244-BCB6-E925550750A7}" srcOrd="1" destOrd="0" presId="urn:microsoft.com/office/officeart/2005/8/layout/hierarchy4"/>
    <dgm:cxn modelId="{379EC75A-CA9B-48A7-B81A-7918484212C4}" type="presParOf" srcId="{A94664DD-5BBA-499F-BF4B-E70BB48CC566}" destId="{5B68BC9C-F442-4773-AE5D-B983CE986DBA}" srcOrd="2" destOrd="0" presId="urn:microsoft.com/office/officeart/2005/8/layout/hierarchy4"/>
    <dgm:cxn modelId="{D640F25F-7B77-4A1F-9B27-F0CA2C1EDE75}" type="presParOf" srcId="{5B68BC9C-F442-4773-AE5D-B983CE986DBA}" destId="{9B0283DF-0B04-4866-B6D9-76569773623A}" srcOrd="0" destOrd="0" presId="urn:microsoft.com/office/officeart/2005/8/layout/hierarchy4"/>
    <dgm:cxn modelId="{87685972-5466-4512-8EFD-1EB402288991}" type="presParOf" srcId="{9B0283DF-0B04-4866-B6D9-76569773623A}" destId="{FAD131D3-BA27-47E3-9CCE-8865E9066CE5}" srcOrd="0" destOrd="0" presId="urn:microsoft.com/office/officeart/2005/8/layout/hierarchy4"/>
    <dgm:cxn modelId="{60A22749-C021-4298-AEA4-6A67D982272F}" type="presParOf" srcId="{9B0283DF-0B04-4866-B6D9-76569773623A}" destId="{8976677D-A974-4060-B4B0-A83603FCFBC3}" srcOrd="1" destOrd="0" presId="urn:microsoft.com/office/officeart/2005/8/layout/hierarchy4"/>
    <dgm:cxn modelId="{5BBE03A7-C353-4063-9F76-03D54E8BC949}" type="presParOf" srcId="{9B0283DF-0B04-4866-B6D9-76569773623A}" destId="{811F4710-3CCC-40D5-830C-91A5C7483D45}" srcOrd="2" destOrd="0" presId="urn:microsoft.com/office/officeart/2005/8/layout/hierarchy4"/>
    <dgm:cxn modelId="{F7A519A4-5B58-486B-BCF2-0B3B3AE6872E}" type="presParOf" srcId="{811F4710-3CCC-40D5-830C-91A5C7483D45}" destId="{57D800B9-C233-45D4-A180-F6D176AB4985}" srcOrd="0" destOrd="0" presId="urn:microsoft.com/office/officeart/2005/8/layout/hierarchy4"/>
    <dgm:cxn modelId="{0E0C828C-6E10-41C8-8E33-D576A2937ADF}" type="presParOf" srcId="{57D800B9-C233-45D4-A180-F6D176AB4985}" destId="{19B7F213-EB5A-4A77-8C7B-0297E6B2EA38}" srcOrd="0" destOrd="0" presId="urn:microsoft.com/office/officeart/2005/8/layout/hierarchy4"/>
    <dgm:cxn modelId="{39BC50CA-AFF8-4C2C-92DD-6B3910C6F230}" type="presParOf" srcId="{57D800B9-C233-45D4-A180-F6D176AB4985}" destId="{AC574B2D-E9BA-49B6-B94C-FCD4F232A5F2}" srcOrd="1" destOrd="0" presId="urn:microsoft.com/office/officeart/2005/8/layout/hierarchy4"/>
    <dgm:cxn modelId="{B1AEAC51-92C4-46DB-98FC-247094BC6660}" type="presParOf" srcId="{57D800B9-C233-45D4-A180-F6D176AB4985}" destId="{133DC5C4-BB6C-440D-A7DA-2A545882FAA4}" srcOrd="2" destOrd="0" presId="urn:microsoft.com/office/officeart/2005/8/layout/hierarchy4"/>
    <dgm:cxn modelId="{AF7C0B13-ADC8-47B9-A1E2-A92E27FDE4A2}" type="presParOf" srcId="{133DC5C4-BB6C-440D-A7DA-2A545882FAA4}" destId="{C4992F7F-2892-4310-B8AF-A3E36DC53AAD}" srcOrd="0" destOrd="0" presId="urn:microsoft.com/office/officeart/2005/8/layout/hierarchy4"/>
    <dgm:cxn modelId="{33F5D88F-76D6-455E-AC3E-360DE78727C9}" type="presParOf" srcId="{C4992F7F-2892-4310-B8AF-A3E36DC53AAD}" destId="{507B7B6A-AE0D-4246-8D0C-9E1CC37298EA}" srcOrd="0" destOrd="0" presId="urn:microsoft.com/office/officeart/2005/8/layout/hierarchy4"/>
    <dgm:cxn modelId="{CE13D6E0-ECC2-41AB-B204-045B8972FD67}" type="presParOf" srcId="{C4992F7F-2892-4310-B8AF-A3E36DC53AAD}" destId="{5A52AC31-C050-4420-B532-E89DAC199007}" srcOrd="1" destOrd="0" presId="urn:microsoft.com/office/officeart/2005/8/layout/hierarchy4"/>
    <dgm:cxn modelId="{54C0B583-06DE-4FF9-9FB6-153907A0D7E5}" type="presParOf" srcId="{811F4710-3CCC-40D5-830C-91A5C7483D45}" destId="{00DF66A4-8757-4677-BEBF-3D05669F115A}" srcOrd="1" destOrd="0" presId="urn:microsoft.com/office/officeart/2005/8/layout/hierarchy4"/>
    <dgm:cxn modelId="{5DF28E4D-456F-4A0B-8AA2-7788E71D7170}" type="presParOf" srcId="{811F4710-3CCC-40D5-830C-91A5C7483D45}" destId="{3D526C7D-5729-488D-97C5-D146846FD852}" srcOrd="2" destOrd="0" presId="urn:microsoft.com/office/officeart/2005/8/layout/hierarchy4"/>
    <dgm:cxn modelId="{BCD83DEA-89F0-4BB2-89DD-CF0D4DEBBF6F}" type="presParOf" srcId="{3D526C7D-5729-488D-97C5-D146846FD852}" destId="{635FCBDA-0E9D-48D6-9D8C-E1D068C7F6EA}" srcOrd="0" destOrd="0" presId="urn:microsoft.com/office/officeart/2005/8/layout/hierarchy4"/>
    <dgm:cxn modelId="{ED683386-0F13-494C-AC7B-1F457BF501C2}" type="presParOf" srcId="{3D526C7D-5729-488D-97C5-D146846FD852}" destId="{B7624180-44EA-4128-B5F0-0AF0CE9EBF69}" srcOrd="1" destOrd="0" presId="urn:microsoft.com/office/officeart/2005/8/layout/hierarchy4"/>
    <dgm:cxn modelId="{D6BB81AB-90D6-42B6-ABB2-DFD65DAE720E}" type="presParOf" srcId="{3D526C7D-5729-488D-97C5-D146846FD852}" destId="{4A554032-4937-45C0-9EDB-2F480421EC32}" srcOrd="2" destOrd="0" presId="urn:microsoft.com/office/officeart/2005/8/layout/hierarchy4"/>
    <dgm:cxn modelId="{0A8CBA1A-5343-4CF5-A4D6-C56CEA984AF9}" type="presParOf" srcId="{4A554032-4937-45C0-9EDB-2F480421EC32}" destId="{1B8E2AE5-FEE4-4EE8-B833-A7CB09C9671E}" srcOrd="0" destOrd="0" presId="urn:microsoft.com/office/officeart/2005/8/layout/hierarchy4"/>
    <dgm:cxn modelId="{8C56EBF4-F003-485D-AC19-06B290AF0E47}" type="presParOf" srcId="{1B8E2AE5-FEE4-4EE8-B833-A7CB09C9671E}" destId="{F3DC0636-0A1B-4ED7-BB4E-22DC691421B6}" srcOrd="0" destOrd="0" presId="urn:microsoft.com/office/officeart/2005/8/layout/hierarchy4"/>
    <dgm:cxn modelId="{78E5DBA3-7767-4880-8FEE-EFA8514C7D05}" type="presParOf" srcId="{1B8E2AE5-FEE4-4EE8-B833-A7CB09C9671E}" destId="{77A31172-7FD9-402A-8CAD-161A55CB83A9}" srcOrd="1" destOrd="0" presId="urn:microsoft.com/office/officeart/2005/8/layout/hierarchy4"/>
    <dgm:cxn modelId="{EFE9BEAF-5C59-40CD-B029-80CD2C68A79E}" type="presParOf" srcId="{5B68BC9C-F442-4773-AE5D-B983CE986DBA}" destId="{72776CA9-A485-4C15-9EEF-90114C25AB03}" srcOrd="1" destOrd="0" presId="urn:microsoft.com/office/officeart/2005/8/layout/hierarchy4"/>
    <dgm:cxn modelId="{64578F4A-9D47-4BD6-AEEA-69701DEC8B83}" type="presParOf" srcId="{5B68BC9C-F442-4773-AE5D-B983CE986DBA}" destId="{1BA783D8-694E-4F1E-9F13-DF74A792171D}" srcOrd="2" destOrd="0" presId="urn:microsoft.com/office/officeart/2005/8/layout/hierarchy4"/>
    <dgm:cxn modelId="{A5AE992D-E408-439B-9919-8588341264B4}" type="presParOf" srcId="{1BA783D8-694E-4F1E-9F13-DF74A792171D}" destId="{D5C6A3C1-53CF-4ADB-BE1A-998D9DA25BFE}" srcOrd="0" destOrd="0" presId="urn:microsoft.com/office/officeart/2005/8/layout/hierarchy4"/>
    <dgm:cxn modelId="{AB8C3445-03F1-43DC-8842-DA920AE490B0}" type="presParOf" srcId="{1BA783D8-694E-4F1E-9F13-DF74A792171D}" destId="{D84F2C6B-0613-4242-859C-4FC827707322}" srcOrd="1" destOrd="0" presId="urn:microsoft.com/office/officeart/2005/8/layout/hierarchy4"/>
    <dgm:cxn modelId="{C0D168FA-D07F-489F-9FB3-3B0706C58E5A}" type="presParOf" srcId="{1BA783D8-694E-4F1E-9F13-DF74A792171D}" destId="{CF815788-978B-4884-980B-ECB3EA77B926}" srcOrd="2" destOrd="0" presId="urn:microsoft.com/office/officeart/2005/8/layout/hierarchy4"/>
    <dgm:cxn modelId="{4A712CE9-DF52-4D88-9940-A6F3036A52ED}" type="presParOf" srcId="{CF815788-978B-4884-980B-ECB3EA77B926}" destId="{A12B4D10-661B-4606-B144-F9B2958D9AF7}" srcOrd="0" destOrd="0" presId="urn:microsoft.com/office/officeart/2005/8/layout/hierarchy4"/>
    <dgm:cxn modelId="{4162E9C4-6C54-495F-BBE6-493090658390}" type="presParOf" srcId="{A12B4D10-661B-4606-B144-F9B2958D9AF7}" destId="{118001C2-7377-4A8F-89CE-782E09437443}" srcOrd="0" destOrd="0" presId="urn:microsoft.com/office/officeart/2005/8/layout/hierarchy4"/>
    <dgm:cxn modelId="{1AD5685C-D909-4756-948C-71F47C7B6590}" type="presParOf" srcId="{A12B4D10-661B-4606-B144-F9B2958D9AF7}" destId="{36D5108A-E5DB-4992-8C37-48D991AD2931}" srcOrd="1" destOrd="0" presId="urn:microsoft.com/office/officeart/2005/8/layout/hierarchy4"/>
    <dgm:cxn modelId="{A588F5A7-BE92-41A7-A018-EF7A121644DC}" type="presParOf" srcId="{A12B4D10-661B-4606-B144-F9B2958D9AF7}" destId="{ABF0B16F-F926-40DF-B8BB-3A769199294E}" srcOrd="2" destOrd="0" presId="urn:microsoft.com/office/officeart/2005/8/layout/hierarchy4"/>
    <dgm:cxn modelId="{474E5854-F120-4B14-B270-1715F036B208}" type="presParOf" srcId="{ABF0B16F-F926-40DF-B8BB-3A769199294E}" destId="{EAE2C30B-9CB1-41AC-BFCB-797AC063DB16}" srcOrd="0" destOrd="0" presId="urn:microsoft.com/office/officeart/2005/8/layout/hierarchy4"/>
    <dgm:cxn modelId="{4156FB5C-1509-40F7-8847-27E55BF43D15}" type="presParOf" srcId="{EAE2C30B-9CB1-41AC-BFCB-797AC063DB16}" destId="{134DA24B-022A-4D6F-BC12-53C5DADEEFA0}" srcOrd="0" destOrd="0" presId="urn:microsoft.com/office/officeart/2005/8/layout/hierarchy4"/>
    <dgm:cxn modelId="{BEBD27AD-B3BE-45B1-98C4-01F1CC61FB50}" type="presParOf" srcId="{EAE2C30B-9CB1-41AC-BFCB-797AC063DB16}" destId="{E5CA4231-5E02-4044-86D6-E1D5E40EEF39}" srcOrd="1" destOrd="0" presId="urn:microsoft.com/office/officeart/2005/8/layout/hierarchy4"/>
    <dgm:cxn modelId="{4731F5BD-00AC-4E24-9ACB-B71A775C0793}" type="presParOf" srcId="{ABF0B16F-F926-40DF-B8BB-3A769199294E}" destId="{19C189F3-1ED3-4CF9-AFFD-23AE22F39C0E}" srcOrd="1" destOrd="0" presId="urn:microsoft.com/office/officeart/2005/8/layout/hierarchy4"/>
    <dgm:cxn modelId="{994E0C35-474E-42FB-973B-4277ED5488B8}" type="presParOf" srcId="{ABF0B16F-F926-40DF-B8BB-3A769199294E}" destId="{638DA3E5-9EE5-4071-9D31-36FEEB233685}" srcOrd="2" destOrd="0" presId="urn:microsoft.com/office/officeart/2005/8/layout/hierarchy4"/>
    <dgm:cxn modelId="{D0862B16-A608-40A1-B29C-9A53747B7F78}" type="presParOf" srcId="{638DA3E5-9EE5-4071-9D31-36FEEB233685}" destId="{1D3B7432-0162-4426-9238-A580637ADDDB}" srcOrd="0" destOrd="0" presId="urn:microsoft.com/office/officeart/2005/8/layout/hierarchy4"/>
    <dgm:cxn modelId="{39EDBCDF-1517-49A2-81D3-D5347C439605}" type="presParOf" srcId="{638DA3E5-9EE5-4071-9D31-36FEEB233685}" destId="{90BFCF31-6175-41BB-B3A9-8B5C03D36E72}" srcOrd="1" destOrd="0" presId="urn:microsoft.com/office/officeart/2005/8/layout/hierarchy4"/>
    <dgm:cxn modelId="{6F78B850-30B8-4375-9997-E2AEB88690F9}" type="presParOf" srcId="{CF815788-978B-4884-980B-ECB3EA77B926}" destId="{D07B5948-AE86-4C36-A034-567A072413B6}" srcOrd="1" destOrd="0" presId="urn:microsoft.com/office/officeart/2005/8/layout/hierarchy4"/>
    <dgm:cxn modelId="{0D112EDF-13B3-4223-9344-C778142D7EB9}" type="presParOf" srcId="{CF815788-978B-4884-980B-ECB3EA77B926}" destId="{CD37E7E3-4056-49E8-86EF-FE98071AB758}" srcOrd="2" destOrd="0" presId="urn:microsoft.com/office/officeart/2005/8/layout/hierarchy4"/>
    <dgm:cxn modelId="{7CC4F98E-05EE-4706-9521-5F3A72BA4EC3}" type="presParOf" srcId="{CD37E7E3-4056-49E8-86EF-FE98071AB758}" destId="{9E9C6F3F-C416-43F2-9F27-EC4F56ACBA31}" srcOrd="0" destOrd="0" presId="urn:microsoft.com/office/officeart/2005/8/layout/hierarchy4"/>
    <dgm:cxn modelId="{4FE914F0-68D1-457F-9949-85676B1B400E}" type="presParOf" srcId="{CD37E7E3-4056-49E8-86EF-FE98071AB758}" destId="{EA837B5D-F3D2-4C6F-B9C8-8A53E0E31A11}" srcOrd="1" destOrd="0" presId="urn:microsoft.com/office/officeart/2005/8/layout/hierarchy4"/>
    <dgm:cxn modelId="{C12B59BF-515E-459C-99F8-75E213E425D2}" type="presParOf" srcId="{CD37E7E3-4056-49E8-86EF-FE98071AB758}" destId="{1C3B0CE8-BF80-4326-9AE0-44E6C1992DC4}" srcOrd="2" destOrd="0" presId="urn:microsoft.com/office/officeart/2005/8/layout/hierarchy4"/>
    <dgm:cxn modelId="{A77F7D4F-0D54-40F8-9CB0-32A8FD73329B}" type="presParOf" srcId="{1C3B0CE8-BF80-4326-9AE0-44E6C1992DC4}" destId="{D90A1120-7689-42BF-B589-6341A56C9ECF}" srcOrd="0" destOrd="0" presId="urn:microsoft.com/office/officeart/2005/8/layout/hierarchy4"/>
    <dgm:cxn modelId="{0EF939B0-EB17-4D88-9CC8-32E84A999A5C}" type="presParOf" srcId="{D90A1120-7689-42BF-B589-6341A56C9ECF}" destId="{764D557D-FB85-4AE7-BF2A-26A0CC47C6A4}" srcOrd="0" destOrd="0" presId="urn:microsoft.com/office/officeart/2005/8/layout/hierarchy4"/>
    <dgm:cxn modelId="{04B5663B-915D-4129-8376-6D1C6B22F0D5}" type="presParOf" srcId="{D90A1120-7689-42BF-B589-6341A56C9ECF}" destId="{B61CE376-265A-4A08-AC7F-BC5241CA8D62}" srcOrd="1" destOrd="0" presId="urn:microsoft.com/office/officeart/2005/8/layout/hierarchy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C003AF-AF41-498D-B681-79700918730E}" type="doc">
      <dgm:prSet loTypeId="urn:microsoft.com/office/officeart/2005/8/layout/venn1" loCatId="relationship" qsTypeId="urn:microsoft.com/office/officeart/2005/8/quickstyle/simple1" qsCatId="simple" csTypeId="urn:microsoft.com/office/officeart/2005/8/colors/accent1_5" csCatId="accent1" phldr="1"/>
      <dgm:spPr/>
    </dgm:pt>
    <dgm:pt modelId="{91057549-8539-40A6-89A3-60CBF6D73E19}">
      <dgm:prSet phldrT="[Text]"/>
      <dgm:spPr/>
      <dgm:t>
        <a:bodyPr/>
        <a:lstStyle/>
        <a:p>
          <a:pPr algn="ctr"/>
          <a:r>
            <a:rPr lang="en-GB"/>
            <a:t>Individual Factors</a:t>
          </a:r>
        </a:p>
      </dgm:t>
    </dgm:pt>
    <dgm:pt modelId="{13E9DD95-559F-4DF6-80CB-28FA2B01E3F8}" type="parTrans" cxnId="{6C32E452-FC71-46A5-A7AB-4D8956268F3D}">
      <dgm:prSet/>
      <dgm:spPr/>
      <dgm:t>
        <a:bodyPr/>
        <a:lstStyle/>
        <a:p>
          <a:pPr algn="ctr"/>
          <a:endParaRPr lang="en-GB"/>
        </a:p>
      </dgm:t>
    </dgm:pt>
    <dgm:pt modelId="{BFAEF930-1CD2-44E7-983B-2F52E1A7E938}" type="sibTrans" cxnId="{6C32E452-FC71-46A5-A7AB-4D8956268F3D}">
      <dgm:prSet/>
      <dgm:spPr/>
      <dgm:t>
        <a:bodyPr/>
        <a:lstStyle/>
        <a:p>
          <a:pPr algn="ctr"/>
          <a:endParaRPr lang="en-GB"/>
        </a:p>
      </dgm:t>
    </dgm:pt>
    <dgm:pt modelId="{5705563D-B512-4832-AB20-D7B103C7C9B3}">
      <dgm:prSet phldrT="[Text]"/>
      <dgm:spPr/>
      <dgm:t>
        <a:bodyPr/>
        <a:lstStyle/>
        <a:p>
          <a:pPr algn="ctr"/>
          <a:r>
            <a:rPr lang="en-GB"/>
            <a:t>Organisational Factors</a:t>
          </a:r>
        </a:p>
      </dgm:t>
    </dgm:pt>
    <dgm:pt modelId="{A336A747-7E8C-426D-ACFF-EE31A55F1B1B}" type="parTrans" cxnId="{89AFEDD6-9EF3-41E2-A2AE-5FA0C850FA36}">
      <dgm:prSet/>
      <dgm:spPr/>
      <dgm:t>
        <a:bodyPr/>
        <a:lstStyle/>
        <a:p>
          <a:pPr algn="ctr"/>
          <a:endParaRPr lang="en-GB"/>
        </a:p>
      </dgm:t>
    </dgm:pt>
    <dgm:pt modelId="{19CC9CBC-9DA9-4B85-9ED7-52978CE323C9}" type="sibTrans" cxnId="{89AFEDD6-9EF3-41E2-A2AE-5FA0C850FA36}">
      <dgm:prSet/>
      <dgm:spPr/>
      <dgm:t>
        <a:bodyPr/>
        <a:lstStyle/>
        <a:p>
          <a:pPr algn="ctr"/>
          <a:endParaRPr lang="en-GB"/>
        </a:p>
      </dgm:t>
    </dgm:pt>
    <dgm:pt modelId="{3322FC02-FC0D-48A0-B8B0-007DCDDF4215}">
      <dgm:prSet phldrT="[Text]"/>
      <dgm:spPr/>
      <dgm:t>
        <a:bodyPr/>
        <a:lstStyle/>
        <a:p>
          <a:pPr algn="ctr"/>
          <a:r>
            <a:rPr lang="en-GB"/>
            <a:t>Job / Environmental Factors</a:t>
          </a:r>
        </a:p>
      </dgm:t>
    </dgm:pt>
    <dgm:pt modelId="{5F641B59-B4BC-406B-9AD4-4DC9424576D2}" type="parTrans" cxnId="{4C61BC9A-C980-4DF8-870C-DCD22ABFD608}">
      <dgm:prSet/>
      <dgm:spPr/>
      <dgm:t>
        <a:bodyPr/>
        <a:lstStyle/>
        <a:p>
          <a:pPr algn="ctr"/>
          <a:endParaRPr lang="en-GB"/>
        </a:p>
      </dgm:t>
    </dgm:pt>
    <dgm:pt modelId="{5F880125-CF76-4FEB-B6D4-AC3B0C363529}" type="sibTrans" cxnId="{4C61BC9A-C980-4DF8-870C-DCD22ABFD608}">
      <dgm:prSet/>
      <dgm:spPr/>
      <dgm:t>
        <a:bodyPr/>
        <a:lstStyle/>
        <a:p>
          <a:pPr algn="ctr"/>
          <a:endParaRPr lang="en-GB"/>
        </a:p>
      </dgm:t>
    </dgm:pt>
    <dgm:pt modelId="{347567A3-E700-4B5B-8FC5-A31D0666E23F}" type="pres">
      <dgm:prSet presAssocID="{D8C003AF-AF41-498D-B681-79700918730E}" presName="compositeShape" presStyleCnt="0">
        <dgm:presLayoutVars>
          <dgm:chMax val="7"/>
          <dgm:dir/>
          <dgm:resizeHandles val="exact"/>
        </dgm:presLayoutVars>
      </dgm:prSet>
      <dgm:spPr/>
    </dgm:pt>
    <dgm:pt modelId="{6C234AD3-E7AC-48FB-BBC9-80FCA7F36E02}" type="pres">
      <dgm:prSet presAssocID="{91057549-8539-40A6-89A3-60CBF6D73E19}" presName="circ1" presStyleLbl="vennNode1" presStyleIdx="0" presStyleCnt="3"/>
      <dgm:spPr/>
    </dgm:pt>
    <dgm:pt modelId="{2B529DE8-1A4C-415D-B3F3-654D23F86FD7}" type="pres">
      <dgm:prSet presAssocID="{91057549-8539-40A6-89A3-60CBF6D73E19}" presName="circ1Tx" presStyleLbl="revTx" presStyleIdx="0" presStyleCnt="0">
        <dgm:presLayoutVars>
          <dgm:chMax val="0"/>
          <dgm:chPref val="0"/>
          <dgm:bulletEnabled val="1"/>
        </dgm:presLayoutVars>
      </dgm:prSet>
      <dgm:spPr/>
    </dgm:pt>
    <dgm:pt modelId="{40BAC420-52A3-4289-ACC5-1843318F2028}" type="pres">
      <dgm:prSet presAssocID="{5705563D-B512-4832-AB20-D7B103C7C9B3}" presName="circ2" presStyleLbl="vennNode1" presStyleIdx="1" presStyleCnt="3"/>
      <dgm:spPr/>
    </dgm:pt>
    <dgm:pt modelId="{387AB8A5-5858-47F9-9251-9E3CB6DE47CD}" type="pres">
      <dgm:prSet presAssocID="{5705563D-B512-4832-AB20-D7B103C7C9B3}" presName="circ2Tx" presStyleLbl="revTx" presStyleIdx="0" presStyleCnt="0">
        <dgm:presLayoutVars>
          <dgm:chMax val="0"/>
          <dgm:chPref val="0"/>
          <dgm:bulletEnabled val="1"/>
        </dgm:presLayoutVars>
      </dgm:prSet>
      <dgm:spPr/>
    </dgm:pt>
    <dgm:pt modelId="{7D8551BE-FDC8-4F9E-A203-46BEF1393C9B}" type="pres">
      <dgm:prSet presAssocID="{3322FC02-FC0D-48A0-B8B0-007DCDDF4215}" presName="circ3" presStyleLbl="vennNode1" presStyleIdx="2" presStyleCnt="3"/>
      <dgm:spPr/>
    </dgm:pt>
    <dgm:pt modelId="{504EEA96-1B9A-465B-B299-BD1B3F452FCC}" type="pres">
      <dgm:prSet presAssocID="{3322FC02-FC0D-48A0-B8B0-007DCDDF4215}" presName="circ3Tx" presStyleLbl="revTx" presStyleIdx="0" presStyleCnt="0">
        <dgm:presLayoutVars>
          <dgm:chMax val="0"/>
          <dgm:chPref val="0"/>
          <dgm:bulletEnabled val="1"/>
        </dgm:presLayoutVars>
      </dgm:prSet>
      <dgm:spPr/>
    </dgm:pt>
  </dgm:ptLst>
  <dgm:cxnLst>
    <dgm:cxn modelId="{AA385C26-C976-47C4-9936-ED6E8B5F0012}" type="presOf" srcId="{5705563D-B512-4832-AB20-D7B103C7C9B3}" destId="{387AB8A5-5858-47F9-9251-9E3CB6DE47CD}" srcOrd="1" destOrd="0" presId="urn:microsoft.com/office/officeart/2005/8/layout/venn1"/>
    <dgm:cxn modelId="{50B12067-BDC8-4E4A-B7C0-94CA48F1764F}" type="presOf" srcId="{5705563D-B512-4832-AB20-D7B103C7C9B3}" destId="{40BAC420-52A3-4289-ACC5-1843318F2028}" srcOrd="0" destOrd="0" presId="urn:microsoft.com/office/officeart/2005/8/layout/venn1"/>
    <dgm:cxn modelId="{6C32E452-FC71-46A5-A7AB-4D8956268F3D}" srcId="{D8C003AF-AF41-498D-B681-79700918730E}" destId="{91057549-8539-40A6-89A3-60CBF6D73E19}" srcOrd="0" destOrd="0" parTransId="{13E9DD95-559F-4DF6-80CB-28FA2B01E3F8}" sibTransId="{BFAEF930-1CD2-44E7-983B-2F52E1A7E938}"/>
    <dgm:cxn modelId="{F5D5087B-B448-4643-BB51-F91D1A03B9F5}" type="presOf" srcId="{D8C003AF-AF41-498D-B681-79700918730E}" destId="{347567A3-E700-4B5B-8FC5-A31D0666E23F}" srcOrd="0" destOrd="0" presId="urn:microsoft.com/office/officeart/2005/8/layout/venn1"/>
    <dgm:cxn modelId="{4C61BC9A-C980-4DF8-870C-DCD22ABFD608}" srcId="{D8C003AF-AF41-498D-B681-79700918730E}" destId="{3322FC02-FC0D-48A0-B8B0-007DCDDF4215}" srcOrd="2" destOrd="0" parTransId="{5F641B59-B4BC-406B-9AD4-4DC9424576D2}" sibTransId="{5F880125-CF76-4FEB-B6D4-AC3B0C363529}"/>
    <dgm:cxn modelId="{01EA43CF-B7D5-4094-8D4E-86E846613727}" type="presOf" srcId="{3322FC02-FC0D-48A0-B8B0-007DCDDF4215}" destId="{7D8551BE-FDC8-4F9E-A203-46BEF1393C9B}" srcOrd="0" destOrd="0" presId="urn:microsoft.com/office/officeart/2005/8/layout/venn1"/>
    <dgm:cxn modelId="{B209DBD3-152D-4678-8A6A-09389D80CB52}" type="presOf" srcId="{91057549-8539-40A6-89A3-60CBF6D73E19}" destId="{2B529DE8-1A4C-415D-B3F3-654D23F86FD7}" srcOrd="1" destOrd="0" presId="urn:microsoft.com/office/officeart/2005/8/layout/venn1"/>
    <dgm:cxn modelId="{89AFEDD6-9EF3-41E2-A2AE-5FA0C850FA36}" srcId="{D8C003AF-AF41-498D-B681-79700918730E}" destId="{5705563D-B512-4832-AB20-D7B103C7C9B3}" srcOrd="1" destOrd="0" parTransId="{A336A747-7E8C-426D-ACFF-EE31A55F1B1B}" sibTransId="{19CC9CBC-9DA9-4B85-9ED7-52978CE323C9}"/>
    <dgm:cxn modelId="{27EF34DC-29AF-4AF5-89E2-E329CB32D655}" type="presOf" srcId="{3322FC02-FC0D-48A0-B8B0-007DCDDF4215}" destId="{504EEA96-1B9A-465B-B299-BD1B3F452FCC}" srcOrd="1" destOrd="0" presId="urn:microsoft.com/office/officeart/2005/8/layout/venn1"/>
    <dgm:cxn modelId="{D96E5FE0-C656-4A46-A590-870D7151B5A9}" type="presOf" srcId="{91057549-8539-40A6-89A3-60CBF6D73E19}" destId="{6C234AD3-E7AC-48FB-BBC9-80FCA7F36E02}" srcOrd="0" destOrd="0" presId="urn:microsoft.com/office/officeart/2005/8/layout/venn1"/>
    <dgm:cxn modelId="{0CB1F0DB-38F8-45A6-9794-A27189155C47}" type="presParOf" srcId="{347567A3-E700-4B5B-8FC5-A31D0666E23F}" destId="{6C234AD3-E7AC-48FB-BBC9-80FCA7F36E02}" srcOrd="0" destOrd="0" presId="urn:microsoft.com/office/officeart/2005/8/layout/venn1"/>
    <dgm:cxn modelId="{07C61243-D74E-49EB-BB0A-E14D2979A5AA}" type="presParOf" srcId="{347567A3-E700-4B5B-8FC5-A31D0666E23F}" destId="{2B529DE8-1A4C-415D-B3F3-654D23F86FD7}" srcOrd="1" destOrd="0" presId="urn:microsoft.com/office/officeart/2005/8/layout/venn1"/>
    <dgm:cxn modelId="{D428D9FF-5E82-40BC-882B-F3576612D269}" type="presParOf" srcId="{347567A3-E700-4B5B-8FC5-A31D0666E23F}" destId="{40BAC420-52A3-4289-ACC5-1843318F2028}" srcOrd="2" destOrd="0" presId="urn:microsoft.com/office/officeart/2005/8/layout/venn1"/>
    <dgm:cxn modelId="{786E6A8C-DAF8-44B9-8E27-5377AF3B23C8}" type="presParOf" srcId="{347567A3-E700-4B5B-8FC5-A31D0666E23F}" destId="{387AB8A5-5858-47F9-9251-9E3CB6DE47CD}" srcOrd="3" destOrd="0" presId="urn:microsoft.com/office/officeart/2005/8/layout/venn1"/>
    <dgm:cxn modelId="{9C856129-1124-4AF3-A0AC-9FA2F6FE194C}" type="presParOf" srcId="{347567A3-E700-4B5B-8FC5-A31D0666E23F}" destId="{7D8551BE-FDC8-4F9E-A203-46BEF1393C9B}" srcOrd="4" destOrd="0" presId="urn:microsoft.com/office/officeart/2005/8/layout/venn1"/>
    <dgm:cxn modelId="{6E122D91-891A-4B73-B7FA-FBDF8BB18468}" type="presParOf" srcId="{347567A3-E700-4B5B-8FC5-A31D0666E23F}" destId="{504EEA96-1B9A-465B-B299-BD1B3F452FCC}" srcOrd="5" destOrd="0" presId="urn:microsoft.com/office/officeart/2005/8/layout/ven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75E5C6-7B6D-4D4D-BE3B-16B5D946FECE}">
      <dsp:nvSpPr>
        <dsp:cNvPr id="0" name=""/>
        <dsp:cNvSpPr/>
      </dsp:nvSpPr>
      <dsp:spPr>
        <a:xfrm>
          <a:off x="1256" y="118"/>
          <a:ext cx="5474362" cy="408416"/>
        </a:xfrm>
        <a:prstGeom prst="roundRect">
          <a:avLst>
            <a:gd name="adj" fmla="val 10000"/>
          </a:avLst>
        </a:prstGeom>
        <a:solidFill>
          <a:schemeClr val="accent1">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Errors</a:t>
          </a:r>
        </a:p>
      </dsp:txBody>
      <dsp:txXfrm>
        <a:off x="13218" y="12080"/>
        <a:ext cx="5450438" cy="384492"/>
      </dsp:txXfrm>
    </dsp:sp>
    <dsp:sp modelId="{FAD131D3-BA27-47E3-9CCE-8865E9066CE5}">
      <dsp:nvSpPr>
        <dsp:cNvPr id="0" name=""/>
        <dsp:cNvSpPr/>
      </dsp:nvSpPr>
      <dsp:spPr>
        <a:xfrm>
          <a:off x="1256" y="476675"/>
          <a:ext cx="2154297" cy="408416"/>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Unintended Actions</a:t>
          </a:r>
        </a:p>
      </dsp:txBody>
      <dsp:txXfrm>
        <a:off x="13218" y="488637"/>
        <a:ext cx="2130373" cy="384492"/>
      </dsp:txXfrm>
    </dsp:sp>
    <dsp:sp modelId="{19B7F213-EB5A-4A77-8C7B-0297E6B2EA38}">
      <dsp:nvSpPr>
        <dsp:cNvPr id="0" name=""/>
        <dsp:cNvSpPr/>
      </dsp:nvSpPr>
      <dsp:spPr>
        <a:xfrm>
          <a:off x="1256" y="953232"/>
          <a:ext cx="1054993" cy="408416"/>
        </a:xfrm>
        <a:prstGeom prst="roundRect">
          <a:avLst>
            <a:gd name="adj" fmla="val 10000"/>
          </a:avLst>
        </a:prstGeom>
        <a:solidFill>
          <a:schemeClr val="accent1">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Slips</a:t>
          </a:r>
        </a:p>
      </dsp:txBody>
      <dsp:txXfrm>
        <a:off x="13218" y="965194"/>
        <a:ext cx="1031069" cy="384492"/>
      </dsp:txXfrm>
    </dsp:sp>
    <dsp:sp modelId="{507B7B6A-AE0D-4246-8D0C-9E1CC37298EA}">
      <dsp:nvSpPr>
        <dsp:cNvPr id="0" name=""/>
        <dsp:cNvSpPr/>
      </dsp:nvSpPr>
      <dsp:spPr>
        <a:xfrm>
          <a:off x="1256" y="1429789"/>
          <a:ext cx="1054993" cy="408416"/>
        </a:xfrm>
        <a:prstGeom prst="roundRect">
          <a:avLst>
            <a:gd name="adj" fmla="val 10000"/>
          </a:avLst>
        </a:prstGeom>
        <a:solidFill>
          <a:schemeClr val="accent1">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Attention Failure</a:t>
          </a:r>
        </a:p>
      </dsp:txBody>
      <dsp:txXfrm>
        <a:off x="13218" y="1441751"/>
        <a:ext cx="1031069" cy="384492"/>
      </dsp:txXfrm>
    </dsp:sp>
    <dsp:sp modelId="{635FCBDA-0E9D-48D6-9D8C-E1D068C7F6EA}">
      <dsp:nvSpPr>
        <dsp:cNvPr id="0" name=""/>
        <dsp:cNvSpPr/>
      </dsp:nvSpPr>
      <dsp:spPr>
        <a:xfrm>
          <a:off x="1100559" y="953232"/>
          <a:ext cx="1054993" cy="408416"/>
        </a:xfrm>
        <a:prstGeom prst="roundRect">
          <a:avLst>
            <a:gd name="adj" fmla="val 10000"/>
          </a:avLst>
        </a:prstGeom>
        <a:solidFill>
          <a:schemeClr val="accent1">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Lapses</a:t>
          </a:r>
        </a:p>
      </dsp:txBody>
      <dsp:txXfrm>
        <a:off x="1112521" y="965194"/>
        <a:ext cx="1031069" cy="384492"/>
      </dsp:txXfrm>
    </dsp:sp>
    <dsp:sp modelId="{F3DC0636-0A1B-4ED7-BB4E-22DC691421B6}">
      <dsp:nvSpPr>
        <dsp:cNvPr id="0" name=""/>
        <dsp:cNvSpPr/>
      </dsp:nvSpPr>
      <dsp:spPr>
        <a:xfrm>
          <a:off x="1100559" y="1429789"/>
          <a:ext cx="1054993" cy="408416"/>
        </a:xfrm>
        <a:prstGeom prst="roundRect">
          <a:avLst>
            <a:gd name="adj" fmla="val 10000"/>
          </a:avLst>
        </a:prstGeom>
        <a:solidFill>
          <a:schemeClr val="accent1">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Memory Failure</a:t>
          </a:r>
        </a:p>
      </dsp:txBody>
      <dsp:txXfrm>
        <a:off x="1112521" y="1441751"/>
        <a:ext cx="1031069" cy="384492"/>
      </dsp:txXfrm>
    </dsp:sp>
    <dsp:sp modelId="{D5C6A3C1-53CF-4ADB-BE1A-998D9DA25BFE}">
      <dsp:nvSpPr>
        <dsp:cNvPr id="0" name=""/>
        <dsp:cNvSpPr/>
      </dsp:nvSpPr>
      <dsp:spPr>
        <a:xfrm>
          <a:off x="2244172" y="476675"/>
          <a:ext cx="3231445" cy="408416"/>
        </a:xfrm>
        <a:prstGeom prst="roundRect">
          <a:avLst>
            <a:gd name="adj" fmla="val 1000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Intended Action</a:t>
          </a:r>
        </a:p>
      </dsp:txBody>
      <dsp:txXfrm>
        <a:off x="2256134" y="488637"/>
        <a:ext cx="3207521" cy="384492"/>
      </dsp:txXfrm>
    </dsp:sp>
    <dsp:sp modelId="{118001C2-7377-4A8F-89CE-782E09437443}">
      <dsp:nvSpPr>
        <dsp:cNvPr id="0" name=""/>
        <dsp:cNvSpPr/>
      </dsp:nvSpPr>
      <dsp:spPr>
        <a:xfrm>
          <a:off x="2244172" y="953232"/>
          <a:ext cx="2132142" cy="408416"/>
        </a:xfrm>
        <a:prstGeom prst="roundRect">
          <a:avLst>
            <a:gd name="adj" fmla="val 10000"/>
          </a:avLst>
        </a:prstGeom>
        <a:solidFill>
          <a:schemeClr val="accent1">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Mistake</a:t>
          </a:r>
        </a:p>
      </dsp:txBody>
      <dsp:txXfrm>
        <a:off x="2256134" y="965194"/>
        <a:ext cx="2108218" cy="384492"/>
      </dsp:txXfrm>
    </dsp:sp>
    <dsp:sp modelId="{134DA24B-022A-4D6F-BC12-53C5DADEEFA0}">
      <dsp:nvSpPr>
        <dsp:cNvPr id="0" name=""/>
        <dsp:cNvSpPr/>
      </dsp:nvSpPr>
      <dsp:spPr>
        <a:xfrm>
          <a:off x="2244172" y="1429789"/>
          <a:ext cx="1054993" cy="408416"/>
        </a:xfrm>
        <a:prstGeom prst="roundRect">
          <a:avLst>
            <a:gd name="adj" fmla="val 10000"/>
          </a:avLst>
        </a:prstGeom>
        <a:solidFill>
          <a:schemeClr val="accent1">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Rule-Based</a:t>
          </a:r>
        </a:p>
      </dsp:txBody>
      <dsp:txXfrm>
        <a:off x="2256134" y="1441751"/>
        <a:ext cx="1031069" cy="384492"/>
      </dsp:txXfrm>
    </dsp:sp>
    <dsp:sp modelId="{1D3B7432-0162-4426-9238-A580637ADDDB}">
      <dsp:nvSpPr>
        <dsp:cNvPr id="0" name=""/>
        <dsp:cNvSpPr/>
      </dsp:nvSpPr>
      <dsp:spPr>
        <a:xfrm>
          <a:off x="3321321" y="1429789"/>
          <a:ext cx="1054993" cy="408416"/>
        </a:xfrm>
        <a:prstGeom prst="roundRect">
          <a:avLst>
            <a:gd name="adj" fmla="val 10000"/>
          </a:avLst>
        </a:prstGeom>
        <a:solidFill>
          <a:schemeClr val="accent1">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Knowleage Based</a:t>
          </a:r>
        </a:p>
      </dsp:txBody>
      <dsp:txXfrm>
        <a:off x="3333283" y="1441751"/>
        <a:ext cx="1031069" cy="384492"/>
      </dsp:txXfrm>
    </dsp:sp>
    <dsp:sp modelId="{9E9C6F3F-C416-43F2-9F27-EC4F56ACBA31}">
      <dsp:nvSpPr>
        <dsp:cNvPr id="0" name=""/>
        <dsp:cNvSpPr/>
      </dsp:nvSpPr>
      <dsp:spPr>
        <a:xfrm>
          <a:off x="4420625" y="953232"/>
          <a:ext cx="1054993" cy="408416"/>
        </a:xfrm>
        <a:prstGeom prst="roundRect">
          <a:avLst>
            <a:gd name="adj" fmla="val 10000"/>
          </a:avLst>
        </a:prstGeom>
        <a:solidFill>
          <a:schemeClr val="accent1">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Violation</a:t>
          </a:r>
        </a:p>
      </dsp:txBody>
      <dsp:txXfrm>
        <a:off x="4432587" y="965194"/>
        <a:ext cx="1031069" cy="384492"/>
      </dsp:txXfrm>
    </dsp:sp>
    <dsp:sp modelId="{764D557D-FB85-4AE7-BF2A-26A0CC47C6A4}">
      <dsp:nvSpPr>
        <dsp:cNvPr id="0" name=""/>
        <dsp:cNvSpPr/>
      </dsp:nvSpPr>
      <dsp:spPr>
        <a:xfrm>
          <a:off x="4420625" y="1429789"/>
          <a:ext cx="1054993" cy="408416"/>
        </a:xfrm>
        <a:prstGeom prst="roundRect">
          <a:avLst>
            <a:gd name="adj" fmla="val 10000"/>
          </a:avLst>
        </a:prstGeom>
        <a:solidFill>
          <a:schemeClr val="accent1">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Knowingly Breaking Rules</a:t>
          </a:r>
        </a:p>
      </dsp:txBody>
      <dsp:txXfrm>
        <a:off x="4432587" y="1441751"/>
        <a:ext cx="1031069" cy="3844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234AD3-E7AC-48FB-BBC9-80FCA7F36E02}">
      <dsp:nvSpPr>
        <dsp:cNvPr id="0" name=""/>
        <dsp:cNvSpPr/>
      </dsp:nvSpPr>
      <dsp:spPr>
        <a:xfrm>
          <a:off x="1141983" y="31488"/>
          <a:ext cx="1511427" cy="1511427"/>
        </a:xfrm>
        <a:prstGeom prst="ellipse">
          <a:avLst/>
        </a:prstGeom>
        <a:solidFill>
          <a:schemeClr val="accent1">
            <a:shade val="80000"/>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Individual Factors</a:t>
          </a:r>
        </a:p>
      </dsp:txBody>
      <dsp:txXfrm>
        <a:off x="1343507" y="295987"/>
        <a:ext cx="1108379" cy="680142"/>
      </dsp:txXfrm>
    </dsp:sp>
    <dsp:sp modelId="{40BAC420-52A3-4289-ACC5-1843318F2028}">
      <dsp:nvSpPr>
        <dsp:cNvPr id="0" name=""/>
        <dsp:cNvSpPr/>
      </dsp:nvSpPr>
      <dsp:spPr>
        <a:xfrm>
          <a:off x="1687357" y="976129"/>
          <a:ext cx="1511427" cy="1511427"/>
        </a:xfrm>
        <a:prstGeom prst="ellipse">
          <a:avLst/>
        </a:prstGeom>
        <a:solidFill>
          <a:schemeClr val="accent1">
            <a:shade val="80000"/>
            <a:alpha val="50000"/>
            <a:hueOff val="48"/>
            <a:satOff val="-666"/>
            <a:lumOff val="1558"/>
            <a:alphaOff val="1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Organisational Factors</a:t>
          </a:r>
        </a:p>
      </dsp:txBody>
      <dsp:txXfrm>
        <a:off x="2149602" y="1366581"/>
        <a:ext cx="906856" cy="831284"/>
      </dsp:txXfrm>
    </dsp:sp>
    <dsp:sp modelId="{7D8551BE-FDC8-4F9E-A203-46BEF1393C9B}">
      <dsp:nvSpPr>
        <dsp:cNvPr id="0" name=""/>
        <dsp:cNvSpPr/>
      </dsp:nvSpPr>
      <dsp:spPr>
        <a:xfrm>
          <a:off x="596610" y="976129"/>
          <a:ext cx="1511427" cy="1511427"/>
        </a:xfrm>
        <a:prstGeom prst="ellipse">
          <a:avLst/>
        </a:prstGeom>
        <a:solidFill>
          <a:schemeClr val="accent1">
            <a:shade val="80000"/>
            <a:alpha val="50000"/>
            <a:hueOff val="95"/>
            <a:satOff val="-1331"/>
            <a:lumOff val="3117"/>
            <a:alphaOff val="3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t>Job / Environmental Factors</a:t>
          </a:r>
        </a:p>
      </dsp:txBody>
      <dsp:txXfrm>
        <a:off x="738936" y="1366581"/>
        <a:ext cx="906856" cy="83128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Fli19</b:Tag>
    <b:SourceType>BookSection</b:SourceType>
    <b:Guid>{3C0F02F5-E08C-4949-9536-0C7BCF15811E}</b:Guid>
    <b:Title>Identifying and Managing Engineering Risks</b:Title>
    <b:Year>2019</b:Year>
    <b:Publisher>Wiley</b:Publisher>
    <b:BookTitle>Managing Technology and Product Development Programmes: A Framework for Success</b:BookTitle>
    <b:Pages>117-136</b:Pages>
    <b:Author>
      <b:Author>
        <b:NameList>
          <b:Person>
            <b:Last>Flinn</b:Last>
            <b:First>Peter</b:First>
          </b:Person>
        </b:NameList>
      </b:Author>
      <b:BookAuthor>
        <b:NameList>
          <b:Person>
            <b:Last>Flinn</b:Last>
            <b:First>Peter</b:First>
          </b:Person>
        </b:NameList>
      </b:BookAuthor>
    </b:Author>
    <b:DOI>10.1002/9781119517283.ch7.</b:DOI>
    <b:RefOrder>1</b:RefOrder>
  </b:Source>
  <b:Source>
    <b:Tag>Men16</b:Tag>
    <b:SourceType>BookSection</b:SourceType>
    <b:Guid>{DB46790A-C29A-4025-880B-EFB784BA8CEA}</b:Guid>
    <b:Title>Fault Tree Analysis and Reliability Block Diagrams</b:Title>
    <b:BookTitle>IntechOpen</b:BookTitle>
    <b:Year>2016</b:Year>
    <b:Author>
      <b:Author>
        <b:NameList>
          <b:Person>
            <b:Last>Menčík</b:Last>
            <b:First>Jaroslav</b:First>
          </b:Person>
        </b:NameList>
      </b:Author>
    </b:Author>
    <b:DOI>https://doi.org/10.5772/62374</b:DOI>
    <b:RefOrder>2</b:RefOrder>
  </b:Source>
  <b:Source>
    <b:Tag>Smi80</b:Tag>
    <b:SourceType>Report</b:SourceType>
    <b:Guid>{DBB18FAB-A3E0-4D32-8F6A-47CCDCE6096A}</b:Guid>
    <b:Title>Seismic safety margins research program (Phase 1) Interim definition of terms</b:Title>
    <b:Year>1980</b:Year>
    <b:City>Livermore</b:City>
    <b:Publisher>Lawrence Livermore Laboratory</b:Publisher>
    <b:Author>
      <b:Author>
        <b:NameList>
          <b:Person>
            <b:Last>Smith</b:Last>
            <b:Middle>D.</b:Middle>
            <b:First>Paul</b:First>
          </b:Person>
          <b:Person>
            <b:Last>Richard</b:Last>
            <b:Middle>Dong</b:Middle>
            <b:First>G</b:First>
          </b:Person>
        </b:NameList>
      </b:Author>
    </b:Author>
    <b:RefOrder>3</b:RefOrder>
  </b:Source>
  <b:Source>
    <b:Tag>Fla13</b:Tag>
    <b:SourceType>JournalArticle</b:SourceType>
    <b:Guid>{CDD323E7-19AB-42AA-B9EE-BD4475A496DC}</b:Guid>
    <b:Title>Probability and Possibility-Based Representations of Uncertainty in Fault Tree Analysis</b:Title>
    <b:Year>2013</b:Year>
    <b:JournalName>Risk Analysis</b:JournalName>
    <b:Volume>33</b:Volume>
    <b:Issue>1</b:Issue>
    <b:Author>
      <b:Author>
        <b:NameList>
          <b:Person>
            <b:Last>Flage</b:Last>
            <b:First>Roger</b:First>
          </b:Person>
          <b:Person>
            <b:Last>Baraldi</b:Last>
            <b:First>Piero</b:First>
          </b:Person>
          <b:Person>
            <b:Last>Zio</b:Last>
            <b:First>Enrico</b:First>
          </b:Person>
          <b:Person>
            <b:Last>Aven</b:Last>
            <b:First>Terje</b:First>
          </b:Person>
        </b:NameList>
      </b:Author>
    </b:Author>
    <b:RefOrder>4</b:RefOrder>
  </b:Source>
  <b:Source>
    <b:Tag>Hol25</b:Tag>
    <b:SourceType>DocumentFromInternetSite</b:SourceType>
    <b:Guid>{6A53269B-1861-4C3F-9785-60076F64A4D0}</b:Guid>
    <b:Title>Fault tree analysis proforma.docx</b:Title>
    <b:YearAccessed>2025</b:YearAccessed>
    <b:MonthAccessed>April</b:MonthAccessed>
    <b:DayAccessed>12</b:DayAccessed>
    <b:URL>https://moodle.uwtsd.ac.uk/mod/folder/view.php?id=571837</b:URL>
    <b:Author>
      <b:Author>
        <b:NameList>
          <b:Person>
            <b:Last>Holley</b:Last>
            <b:First>Dave</b:First>
          </b:Person>
        </b:NameList>
      </b:Author>
    </b:Author>
    <b:RefOrder>5</b:RefOrder>
  </b:Source>
  <b:Source>
    <b:Tag>Pro25</b:Tag>
    <b:SourceType>InternetSite</b:SourceType>
    <b:Guid>{AD635ECA-A47C-4C17-9527-D9C6D48027AC}</b:Guid>
    <b:Title>Probability Involving AND and OR</b:Title>
    <b:YearAccessed>2025</b:YearAccessed>
    <b:MonthAccessed>April</b:MonthAccessed>
    <b:DayAccessed>4</b:DayAccessed>
    <b:URL>https://mathbitsnotebook.com/Algebra2/Probability/PBAndOr.html</b:URL>
    <b:ProductionCompany>MathBitsNotebook</b:ProductionCompany>
    <b:RefOrder>6</b:RefOrder>
  </b:Source>
  <b:Source>
    <b:Tag>Tur25</b:Tag>
    <b:SourceType>Performance</b:SourceType>
    <b:Guid>{55EABAFE-789C-4A5E-823E-5621045D6E76}</b:Guid>
    <b:Title>Human Factors in Product and Process Design</b:Title>
    <b:ProductionCompany>TRIMETIS</b:ProductionCompany>
    <b:Year>2025</b:Year>
    <b:Author>
      <b:Writer>
        <b:NameList>
          <b:Person>
            <b:Last>Turner</b:Last>
            <b:First>Nicola</b:First>
          </b:Person>
        </b:NameList>
      </b:Writer>
    </b:Author>
    <b:RefOrder>7</b:RefOrder>
  </b:Source>
</b:Sources>
</file>

<file path=customXml/itemProps1.xml><?xml version="1.0" encoding="utf-8"?>
<ds:datastoreItem xmlns:ds="http://schemas.openxmlformats.org/officeDocument/2006/customXml" ds:itemID="{C4B21C01-08B5-4FA6-A3C1-78ACA3CD2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6</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Smith (2217998)</dc:creator>
  <cp:keywords/>
  <dc:description/>
  <cp:lastModifiedBy>Leo Smith (2217998)</cp:lastModifiedBy>
  <cp:revision>12</cp:revision>
  <dcterms:created xsi:type="dcterms:W3CDTF">2025-04-12T08:53:00Z</dcterms:created>
  <dcterms:modified xsi:type="dcterms:W3CDTF">2025-04-18T08:57:00Z</dcterms:modified>
</cp:coreProperties>
</file>