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3DF8360E" w:rsidR="000264A1" w:rsidRDefault="000264A1" w:rsidP="000264A1">
      <w:r>
        <w:fldChar w:fldCharType="begin"/>
      </w:r>
      <w:r w:rsidR="00687A2A">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167E1F8A"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name</w:t>
      </w:r>
      <w:r w:rsidR="00BA4C11">
        <w:rPr>
          <w:rStyle w:val="Strong"/>
          <w:rFonts w:ascii="Arial" w:hAnsi="Arial" w:cs="Arial"/>
          <w:color w:val="1D2125"/>
          <w:sz w:val="32"/>
          <w:szCs w:val="32"/>
        </w:rPr>
        <w:t>:</w:t>
      </w:r>
      <w:r w:rsidRPr="000264A1">
        <w:rPr>
          <w:rStyle w:val="Strong"/>
          <w:rFonts w:ascii="Arial" w:hAnsi="Arial" w:cs="Arial"/>
          <w:color w:val="1D2125"/>
          <w:sz w:val="32"/>
          <w:szCs w:val="32"/>
        </w:rPr>
        <w:t xml:space="preserve"> </w:t>
      </w:r>
      <w:r w:rsidR="00F30BA7">
        <w:rPr>
          <w:rStyle w:val="Strong"/>
          <w:rFonts w:ascii="Arial" w:hAnsi="Arial" w:cs="Arial"/>
          <w:color w:val="1D2125"/>
          <w:sz w:val="32"/>
          <w:szCs w:val="32"/>
        </w:rPr>
        <w:t>Valerie Bays</w:t>
      </w:r>
    </w:p>
    <w:p w14:paraId="1EC7134B" w14:textId="77777777" w:rsidR="0002595C"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number</w:t>
      </w:r>
      <w:r w:rsidR="00BA4C11">
        <w:rPr>
          <w:rStyle w:val="Strong"/>
          <w:rFonts w:ascii="Arial" w:hAnsi="Arial" w:cs="Arial"/>
          <w:color w:val="1D2125"/>
          <w:sz w:val="32"/>
          <w:szCs w:val="32"/>
        </w:rPr>
        <w:t>: 2311095</w:t>
      </w:r>
    </w:p>
    <w:p w14:paraId="023F2BDE" w14:textId="77777777" w:rsidR="00486822" w:rsidRDefault="0002595C" w:rsidP="000264A1">
      <w:pPr>
        <w:rPr>
          <w:rStyle w:val="Strong"/>
          <w:rFonts w:ascii="Arial" w:hAnsi="Arial" w:cs="Arial"/>
          <w:color w:val="1D2125"/>
          <w:sz w:val="32"/>
          <w:szCs w:val="32"/>
        </w:rPr>
      </w:pPr>
      <w:r>
        <w:rPr>
          <w:rStyle w:val="Strong"/>
          <w:rFonts w:ascii="Arial" w:hAnsi="Arial" w:cs="Arial"/>
          <w:color w:val="1D2125"/>
          <w:sz w:val="32"/>
          <w:szCs w:val="32"/>
        </w:rPr>
        <w:t xml:space="preserve">Lecturer: Lou </w:t>
      </w:r>
      <w:r w:rsidR="00EB279F">
        <w:rPr>
          <w:rStyle w:val="Strong"/>
          <w:rFonts w:ascii="Arial" w:hAnsi="Arial" w:cs="Arial"/>
          <w:color w:val="1D2125"/>
          <w:sz w:val="32"/>
          <w:szCs w:val="32"/>
        </w:rPr>
        <w:t>Wells</w:t>
      </w:r>
      <w:r w:rsidR="000264A1" w:rsidRPr="000264A1">
        <w:rPr>
          <w:rStyle w:val="Strong"/>
          <w:rFonts w:ascii="Arial" w:hAnsi="Arial" w:cs="Arial"/>
          <w:color w:val="1D2125"/>
          <w:sz w:val="32"/>
          <w:szCs w:val="32"/>
        </w:rPr>
        <w:t xml:space="preserve"> </w:t>
      </w:r>
    </w:p>
    <w:p w14:paraId="7DD82387" w14:textId="06E9902D" w:rsidR="000264A1" w:rsidRPr="00486822" w:rsidRDefault="00C7022E" w:rsidP="000264A1">
      <w:pPr>
        <w:rPr>
          <w:rFonts w:ascii="Arial" w:hAnsi="Arial" w:cs="Arial"/>
          <w:b/>
          <w:bCs/>
          <w:color w:val="1D2125"/>
          <w:sz w:val="32"/>
          <w:szCs w:val="32"/>
        </w:rPr>
      </w:pPr>
      <w:r>
        <w:rPr>
          <w:rFonts w:ascii="Arial" w:hAnsi="Arial" w:cs="Arial"/>
          <w:sz w:val="36"/>
          <w:szCs w:val="36"/>
        </w:rPr>
        <w:t>I confirm that I have not used any AI tools in the research</w:t>
      </w:r>
      <w:r w:rsidR="00486822">
        <w:rPr>
          <w:rFonts w:ascii="Arial" w:hAnsi="Arial" w:cs="Arial"/>
          <w:sz w:val="36"/>
          <w:szCs w:val="36"/>
        </w:rPr>
        <w:t xml:space="preserve"> and creation of this assignment. </w:t>
      </w:r>
      <w:r w:rsidR="008D19E1">
        <w:rPr>
          <w:rFonts w:ascii="Arial" w:hAnsi="Arial" w:cs="Arial"/>
          <w:sz w:val="36"/>
          <w:szCs w:val="36"/>
        </w:rPr>
        <w:t xml:space="preserve">I confirm that I have not presented </w:t>
      </w:r>
      <w:r w:rsidR="00E841E6">
        <w:rPr>
          <w:rFonts w:ascii="Arial" w:hAnsi="Arial" w:cs="Arial"/>
          <w:sz w:val="36"/>
          <w:szCs w:val="36"/>
        </w:rPr>
        <w:t xml:space="preserve">any AI- </w:t>
      </w:r>
      <w:r w:rsidR="00233E19">
        <w:rPr>
          <w:rFonts w:ascii="Arial" w:hAnsi="Arial" w:cs="Arial"/>
          <w:sz w:val="36"/>
          <w:szCs w:val="36"/>
        </w:rPr>
        <w:t>AI-generated</w:t>
      </w:r>
      <w:r w:rsidR="00E841E6">
        <w:rPr>
          <w:rFonts w:ascii="Arial" w:hAnsi="Arial" w:cs="Arial"/>
          <w:sz w:val="36"/>
          <w:szCs w:val="36"/>
        </w:rPr>
        <w:t xml:space="preserve"> materials as my ow</w:t>
      </w:r>
      <w:r w:rsidR="008E62D8">
        <w:rPr>
          <w:rFonts w:ascii="Arial" w:hAnsi="Arial" w:cs="Arial"/>
          <w:sz w:val="36"/>
          <w:szCs w:val="36"/>
        </w:rPr>
        <w:t>n work. I confirm I have copies of my drafts</w:t>
      </w:r>
      <w:r w:rsidR="00233E19">
        <w:rPr>
          <w:rFonts w:ascii="Arial" w:hAnsi="Arial" w:cs="Arial"/>
          <w:sz w:val="36"/>
          <w:szCs w:val="36"/>
        </w:rPr>
        <w:t>, notes and other resources I used, which I may be asked to provide.</w:t>
      </w:r>
    </w:p>
    <w:p w14:paraId="563A7395" w14:textId="77777777" w:rsidR="000264A1" w:rsidRDefault="000264A1" w:rsidP="000264A1">
      <w:pPr>
        <w:rPr>
          <w:rFonts w:ascii="Arial" w:hAnsi="Arial" w:cs="Arial"/>
          <w:sz w:val="36"/>
          <w:szCs w:val="36"/>
        </w:rPr>
      </w:pPr>
    </w:p>
    <w:p w14:paraId="5805392B" w14:textId="03AA462B" w:rsidR="000264A1" w:rsidRDefault="000D1B5C" w:rsidP="000264A1">
      <w:pPr>
        <w:rPr>
          <w:rFonts w:ascii="Arial" w:hAnsi="Arial" w:cs="Arial"/>
          <w:sz w:val="36"/>
          <w:szCs w:val="36"/>
        </w:rPr>
      </w:pPr>
      <w:r>
        <w:rPr>
          <w:rFonts w:ascii="Arial" w:hAnsi="Arial" w:cs="Arial"/>
          <w:sz w:val="36"/>
          <w:szCs w:val="36"/>
        </w:rPr>
        <w:t>Table of contents</w:t>
      </w:r>
    </w:p>
    <w:p w14:paraId="095D34C1" w14:textId="5C21A41A" w:rsidR="0079736D" w:rsidRPr="00AE1DA2" w:rsidRDefault="0016379C" w:rsidP="000264A1">
      <w:pPr>
        <w:rPr>
          <w:rFonts w:ascii="Arial" w:hAnsi="Arial" w:cs="Arial"/>
          <w:sz w:val="36"/>
          <w:szCs w:val="36"/>
        </w:rPr>
      </w:pPr>
      <w:r w:rsidRPr="00AE1DA2">
        <w:rPr>
          <w:rFonts w:ascii="Arial" w:hAnsi="Arial" w:cs="Arial"/>
          <w:sz w:val="36"/>
          <w:szCs w:val="36"/>
        </w:rPr>
        <w:lastRenderedPageBreak/>
        <w:t>Introduction............................</w:t>
      </w:r>
      <w:r w:rsidR="00EC2952" w:rsidRPr="00AE1DA2">
        <w:rPr>
          <w:rFonts w:ascii="Arial" w:hAnsi="Arial" w:cs="Arial"/>
          <w:sz w:val="36"/>
          <w:szCs w:val="36"/>
        </w:rPr>
        <w:t xml:space="preserve">               P</w:t>
      </w:r>
      <w:r w:rsidR="00247B57" w:rsidRPr="00AE1DA2">
        <w:rPr>
          <w:rFonts w:ascii="Arial" w:hAnsi="Arial" w:cs="Arial"/>
          <w:sz w:val="36"/>
          <w:szCs w:val="36"/>
        </w:rPr>
        <w:t>age</w:t>
      </w:r>
      <w:r w:rsidR="0079736D" w:rsidRPr="00AE1DA2">
        <w:rPr>
          <w:rFonts w:ascii="Arial" w:hAnsi="Arial" w:cs="Arial"/>
          <w:sz w:val="36"/>
          <w:szCs w:val="36"/>
        </w:rPr>
        <w:t xml:space="preserve"> 2</w:t>
      </w:r>
    </w:p>
    <w:p w14:paraId="70DAE549" w14:textId="58956574" w:rsidR="0079736D" w:rsidRPr="00AE1DA2" w:rsidRDefault="00247B57" w:rsidP="000264A1">
      <w:pPr>
        <w:rPr>
          <w:rFonts w:ascii="Arial" w:hAnsi="Arial" w:cs="Arial"/>
          <w:sz w:val="36"/>
          <w:szCs w:val="36"/>
        </w:rPr>
      </w:pPr>
      <w:r w:rsidRPr="00AE1DA2">
        <w:rPr>
          <w:rFonts w:ascii="Arial" w:hAnsi="Arial" w:cs="Arial"/>
          <w:sz w:val="36"/>
          <w:szCs w:val="36"/>
        </w:rPr>
        <w:t>Classification……………</w:t>
      </w:r>
      <w:proofErr w:type="gramStart"/>
      <w:r w:rsidRPr="00AE1DA2">
        <w:rPr>
          <w:rFonts w:ascii="Arial" w:hAnsi="Arial" w:cs="Arial"/>
          <w:sz w:val="36"/>
          <w:szCs w:val="36"/>
        </w:rPr>
        <w:t>…..</w:t>
      </w:r>
      <w:proofErr w:type="gramEnd"/>
      <w:r w:rsidR="00544310" w:rsidRPr="00AE1DA2">
        <w:rPr>
          <w:rFonts w:ascii="Arial" w:hAnsi="Arial" w:cs="Arial"/>
          <w:sz w:val="36"/>
          <w:szCs w:val="36"/>
        </w:rPr>
        <w:t xml:space="preserve"> </w:t>
      </w:r>
      <w:r w:rsidRPr="00AE1DA2">
        <w:rPr>
          <w:rFonts w:ascii="Arial" w:hAnsi="Arial" w:cs="Arial"/>
          <w:sz w:val="36"/>
          <w:szCs w:val="36"/>
        </w:rPr>
        <w:t xml:space="preserve"> </w:t>
      </w:r>
      <w:r w:rsidR="00EC2952" w:rsidRPr="00AE1DA2">
        <w:rPr>
          <w:rFonts w:ascii="Arial" w:hAnsi="Arial" w:cs="Arial"/>
          <w:sz w:val="36"/>
          <w:szCs w:val="36"/>
        </w:rPr>
        <w:t xml:space="preserve">               P</w:t>
      </w:r>
      <w:r w:rsidRPr="00AE1DA2">
        <w:rPr>
          <w:rFonts w:ascii="Arial" w:hAnsi="Arial" w:cs="Arial"/>
          <w:sz w:val="36"/>
          <w:szCs w:val="36"/>
        </w:rPr>
        <w:t>age 2</w:t>
      </w:r>
    </w:p>
    <w:p w14:paraId="69188978" w14:textId="4AB65503" w:rsidR="00247B57" w:rsidRDefault="008305C2" w:rsidP="000264A1">
      <w:pPr>
        <w:rPr>
          <w:rFonts w:ascii="Arial" w:hAnsi="Arial" w:cs="Arial"/>
          <w:sz w:val="36"/>
          <w:szCs w:val="36"/>
        </w:rPr>
      </w:pPr>
      <w:r w:rsidRPr="00AE1DA2">
        <w:rPr>
          <w:rFonts w:ascii="Arial" w:hAnsi="Arial" w:cs="Arial"/>
          <w:sz w:val="36"/>
          <w:szCs w:val="36"/>
        </w:rPr>
        <w:t xml:space="preserve">Diagnostic criteria…………. </w:t>
      </w:r>
      <w:r w:rsidR="00544310" w:rsidRPr="00AE1DA2">
        <w:rPr>
          <w:rFonts w:ascii="Arial" w:hAnsi="Arial" w:cs="Arial"/>
          <w:sz w:val="36"/>
          <w:szCs w:val="36"/>
        </w:rPr>
        <w:t xml:space="preserve"> </w:t>
      </w:r>
      <w:r w:rsidR="00EC2952" w:rsidRPr="00AE1DA2">
        <w:rPr>
          <w:rFonts w:ascii="Arial" w:hAnsi="Arial" w:cs="Arial"/>
          <w:sz w:val="36"/>
          <w:szCs w:val="36"/>
        </w:rPr>
        <w:t xml:space="preserve">               </w:t>
      </w:r>
      <w:r w:rsidRPr="00AE1DA2">
        <w:rPr>
          <w:rFonts w:ascii="Arial" w:hAnsi="Arial" w:cs="Arial"/>
          <w:sz w:val="36"/>
          <w:szCs w:val="36"/>
        </w:rPr>
        <w:t xml:space="preserve"> </w:t>
      </w:r>
      <w:r>
        <w:rPr>
          <w:rFonts w:ascii="Arial" w:hAnsi="Arial" w:cs="Arial"/>
          <w:sz w:val="36"/>
          <w:szCs w:val="36"/>
        </w:rPr>
        <w:t>Page 3</w:t>
      </w:r>
    </w:p>
    <w:p w14:paraId="154441EE" w14:textId="72D1473A" w:rsidR="00076C3D" w:rsidRDefault="00076C3D" w:rsidP="000264A1">
      <w:pPr>
        <w:rPr>
          <w:rFonts w:ascii="Arial" w:hAnsi="Arial" w:cs="Arial"/>
          <w:sz w:val="36"/>
          <w:szCs w:val="36"/>
        </w:rPr>
      </w:pPr>
      <w:r>
        <w:rPr>
          <w:rFonts w:ascii="Arial" w:hAnsi="Arial" w:cs="Arial"/>
          <w:sz w:val="36"/>
          <w:szCs w:val="36"/>
        </w:rPr>
        <w:t>Treatment and Rehabilitation</w:t>
      </w:r>
      <w:r w:rsidR="00EC2952">
        <w:rPr>
          <w:rFonts w:ascii="Arial" w:hAnsi="Arial" w:cs="Arial"/>
          <w:sz w:val="36"/>
          <w:szCs w:val="36"/>
        </w:rPr>
        <w:t xml:space="preserve">               </w:t>
      </w:r>
      <w:r>
        <w:rPr>
          <w:rFonts w:ascii="Arial" w:hAnsi="Arial" w:cs="Arial"/>
          <w:sz w:val="36"/>
          <w:szCs w:val="36"/>
        </w:rPr>
        <w:t xml:space="preserve"> </w:t>
      </w:r>
      <w:r w:rsidR="00547370">
        <w:rPr>
          <w:rFonts w:ascii="Arial" w:hAnsi="Arial" w:cs="Arial"/>
          <w:sz w:val="36"/>
          <w:szCs w:val="36"/>
        </w:rPr>
        <w:t>P</w:t>
      </w:r>
      <w:r>
        <w:rPr>
          <w:rFonts w:ascii="Arial" w:hAnsi="Arial" w:cs="Arial"/>
          <w:sz w:val="36"/>
          <w:szCs w:val="36"/>
        </w:rPr>
        <w:t>age</w:t>
      </w:r>
      <w:r w:rsidR="00544310">
        <w:rPr>
          <w:rFonts w:ascii="Arial" w:hAnsi="Arial" w:cs="Arial"/>
          <w:sz w:val="36"/>
          <w:szCs w:val="36"/>
        </w:rPr>
        <w:t xml:space="preserve"> 4</w:t>
      </w:r>
    </w:p>
    <w:p w14:paraId="47A4C159" w14:textId="4EF91E1B" w:rsidR="00544310" w:rsidRDefault="00544310" w:rsidP="000264A1">
      <w:pPr>
        <w:rPr>
          <w:rFonts w:ascii="Arial" w:hAnsi="Arial" w:cs="Arial"/>
          <w:sz w:val="36"/>
          <w:szCs w:val="36"/>
        </w:rPr>
      </w:pPr>
      <w:r>
        <w:rPr>
          <w:rFonts w:ascii="Arial" w:hAnsi="Arial" w:cs="Arial"/>
          <w:sz w:val="36"/>
          <w:szCs w:val="36"/>
        </w:rPr>
        <w:t>C</w:t>
      </w:r>
      <w:r w:rsidR="00E14956">
        <w:rPr>
          <w:rFonts w:ascii="Arial" w:hAnsi="Arial" w:cs="Arial"/>
          <w:sz w:val="36"/>
          <w:szCs w:val="36"/>
        </w:rPr>
        <w:t>u</w:t>
      </w:r>
      <w:r>
        <w:rPr>
          <w:rFonts w:ascii="Arial" w:hAnsi="Arial" w:cs="Arial"/>
          <w:sz w:val="36"/>
          <w:szCs w:val="36"/>
        </w:rPr>
        <w:t>rrent</w:t>
      </w:r>
      <w:r w:rsidR="00C2615A">
        <w:rPr>
          <w:rFonts w:ascii="Arial" w:hAnsi="Arial" w:cs="Arial"/>
          <w:sz w:val="36"/>
          <w:szCs w:val="36"/>
        </w:rPr>
        <w:t xml:space="preserve"> Debates and Emer</w:t>
      </w:r>
      <w:r w:rsidR="00EC2952">
        <w:rPr>
          <w:rFonts w:ascii="Arial" w:hAnsi="Arial" w:cs="Arial"/>
          <w:sz w:val="36"/>
          <w:szCs w:val="36"/>
        </w:rPr>
        <w:t>ging Issues Page 4</w:t>
      </w:r>
    </w:p>
    <w:p w14:paraId="4717C7EC" w14:textId="220B38B9" w:rsidR="00547370" w:rsidRDefault="00547370" w:rsidP="000264A1">
      <w:pPr>
        <w:rPr>
          <w:rFonts w:ascii="Arial" w:hAnsi="Arial" w:cs="Arial"/>
          <w:sz w:val="36"/>
          <w:szCs w:val="36"/>
        </w:rPr>
      </w:pPr>
      <w:r>
        <w:rPr>
          <w:rFonts w:ascii="Arial" w:hAnsi="Arial" w:cs="Arial"/>
          <w:sz w:val="36"/>
          <w:szCs w:val="36"/>
        </w:rPr>
        <w:t>Rec</w:t>
      </w:r>
      <w:r w:rsidR="00BA7C52">
        <w:rPr>
          <w:rFonts w:ascii="Arial" w:hAnsi="Arial" w:cs="Arial"/>
          <w:sz w:val="36"/>
          <w:szCs w:val="36"/>
        </w:rPr>
        <w:t>ommendations</w:t>
      </w:r>
      <w:r w:rsidR="00EC4A32">
        <w:rPr>
          <w:rFonts w:ascii="Arial" w:hAnsi="Arial" w:cs="Arial"/>
          <w:sz w:val="36"/>
          <w:szCs w:val="36"/>
        </w:rPr>
        <w:t xml:space="preserve">                                Page 6</w:t>
      </w:r>
    </w:p>
    <w:p w14:paraId="14794A6E" w14:textId="77777777" w:rsidR="00EC4A32" w:rsidRDefault="00EC4A32" w:rsidP="000264A1">
      <w:pPr>
        <w:rPr>
          <w:rFonts w:ascii="Arial" w:hAnsi="Arial" w:cs="Arial"/>
          <w:sz w:val="36"/>
          <w:szCs w:val="36"/>
        </w:rPr>
      </w:pPr>
      <w:r>
        <w:rPr>
          <w:rFonts w:ascii="Arial" w:hAnsi="Arial" w:cs="Arial"/>
          <w:sz w:val="36"/>
          <w:szCs w:val="36"/>
        </w:rPr>
        <w:t>Conclusion                                            Page 7</w:t>
      </w:r>
    </w:p>
    <w:p w14:paraId="5A7C2425" w14:textId="442840C4" w:rsidR="00EC4A32" w:rsidRDefault="00EC4A32" w:rsidP="000264A1">
      <w:pPr>
        <w:rPr>
          <w:rFonts w:ascii="Arial" w:hAnsi="Arial" w:cs="Arial"/>
          <w:sz w:val="36"/>
          <w:szCs w:val="36"/>
        </w:rPr>
      </w:pPr>
      <w:r>
        <w:rPr>
          <w:rFonts w:ascii="Arial" w:hAnsi="Arial" w:cs="Arial"/>
          <w:sz w:val="36"/>
          <w:szCs w:val="36"/>
        </w:rPr>
        <w:t>References</w:t>
      </w:r>
      <w:r w:rsidR="00484EB9">
        <w:rPr>
          <w:rFonts w:ascii="Arial" w:hAnsi="Arial" w:cs="Arial"/>
          <w:sz w:val="36"/>
          <w:szCs w:val="36"/>
        </w:rPr>
        <w:t xml:space="preserve">                                           </w:t>
      </w:r>
      <w:proofErr w:type="gramStart"/>
      <w:r w:rsidR="00484EB9">
        <w:rPr>
          <w:rFonts w:ascii="Arial" w:hAnsi="Arial" w:cs="Arial"/>
          <w:sz w:val="36"/>
          <w:szCs w:val="36"/>
        </w:rPr>
        <w:t>Page  8</w:t>
      </w:r>
      <w:proofErr w:type="gramEnd"/>
      <w:r>
        <w:rPr>
          <w:rFonts w:ascii="Arial" w:hAnsi="Arial" w:cs="Arial"/>
          <w:sz w:val="36"/>
          <w:szCs w:val="36"/>
        </w:rPr>
        <w:t xml:space="preserve">                                                                                      </w:t>
      </w:r>
    </w:p>
    <w:p w14:paraId="4F5FBEC9" w14:textId="7C11C2A3" w:rsidR="000264A1" w:rsidRPr="009752FA" w:rsidRDefault="008F566F" w:rsidP="000264A1">
      <w:pPr>
        <w:rPr>
          <w:rFonts w:ascii="Arial" w:hAnsi="Arial" w:cs="Arial"/>
          <w:b/>
          <w:bCs/>
          <w:sz w:val="36"/>
          <w:szCs w:val="36"/>
        </w:rPr>
      </w:pPr>
      <w:r>
        <w:rPr>
          <w:rFonts w:ascii="Arial" w:hAnsi="Arial" w:cs="Arial"/>
          <w:b/>
          <w:bCs/>
          <w:sz w:val="36"/>
          <w:szCs w:val="36"/>
        </w:rPr>
        <w:t>I</w:t>
      </w:r>
      <w:r w:rsidR="009752FA" w:rsidRPr="009752FA">
        <w:rPr>
          <w:rFonts w:ascii="Arial" w:hAnsi="Arial" w:cs="Arial"/>
          <w:b/>
          <w:bCs/>
          <w:sz w:val="36"/>
          <w:szCs w:val="36"/>
        </w:rPr>
        <w:t>ntroduction</w:t>
      </w:r>
    </w:p>
    <w:p w14:paraId="0D50C836" w14:textId="2A2F2522" w:rsidR="000B58CB" w:rsidRPr="0092550F" w:rsidRDefault="000B58CB" w:rsidP="0092550F">
      <w:pPr>
        <w:spacing w:line="276" w:lineRule="auto"/>
        <w:jc w:val="both"/>
        <w:rPr>
          <w:rFonts w:ascii="Arial" w:hAnsi="Arial" w:cs="Arial"/>
        </w:rPr>
      </w:pPr>
      <w:r w:rsidRPr="0092550F">
        <w:rPr>
          <w:rFonts w:ascii="Arial" w:hAnsi="Arial" w:cs="Arial"/>
        </w:rPr>
        <w:t xml:space="preserve">Anorexia nervosa is a severe psychiatric disorder </w:t>
      </w:r>
      <w:r w:rsidR="00A33EBC">
        <w:rPr>
          <w:rFonts w:ascii="Arial" w:hAnsi="Arial" w:cs="Arial"/>
        </w:rPr>
        <w:t>characterised</w:t>
      </w:r>
      <w:r w:rsidRPr="0092550F">
        <w:rPr>
          <w:rFonts w:ascii="Arial" w:hAnsi="Arial" w:cs="Arial"/>
        </w:rPr>
        <w:t xml:space="preserve"> by persistent restriction of energy intake, an intense fear of gaining weight, and a distorted perception of body shape and size. Classified within the eating disorders in the Diagnostic and Statistical Manual of Mental Disorders, Fifth Edition (DSM-5), it is associated with significant physical, psychological, and social morbidity. The condition most commonly emerges during adolescence and disproportionately affects females, though prevalence among males and diverse populations is increasingly </w:t>
      </w:r>
      <w:r w:rsidR="00A33EBC">
        <w:rPr>
          <w:rFonts w:ascii="Arial" w:hAnsi="Arial" w:cs="Arial"/>
        </w:rPr>
        <w:t>recognised</w:t>
      </w:r>
      <w:r w:rsidRPr="0092550F">
        <w:rPr>
          <w:rFonts w:ascii="Arial" w:hAnsi="Arial" w:cs="Arial"/>
        </w:rPr>
        <w:t>.</w:t>
      </w:r>
    </w:p>
    <w:p w14:paraId="6F1D80E1" w14:textId="48AB63D0" w:rsidR="000B58CB" w:rsidRPr="0092550F" w:rsidRDefault="000B58CB" w:rsidP="0092550F">
      <w:pPr>
        <w:spacing w:line="276" w:lineRule="auto"/>
        <w:jc w:val="both"/>
        <w:rPr>
          <w:rFonts w:ascii="Arial" w:hAnsi="Arial" w:cs="Arial"/>
        </w:rPr>
      </w:pPr>
      <w:r w:rsidRPr="0092550F">
        <w:rPr>
          <w:rFonts w:ascii="Arial" w:hAnsi="Arial" w:cs="Arial"/>
        </w:rPr>
        <w:t xml:space="preserve">Clinically, anorexia nervosa manifests through </w:t>
      </w:r>
      <w:r w:rsidR="00A33EBC">
        <w:rPr>
          <w:rFonts w:ascii="Arial" w:hAnsi="Arial" w:cs="Arial"/>
        </w:rPr>
        <w:t>behaviours</w:t>
      </w:r>
      <w:r w:rsidRPr="0092550F">
        <w:rPr>
          <w:rFonts w:ascii="Arial" w:hAnsi="Arial" w:cs="Arial"/>
        </w:rPr>
        <w:t xml:space="preserve"> such as restrictive dieting, compulsive exercise, and, in some cases, purging practices. These </w:t>
      </w:r>
      <w:r w:rsidR="00A33EBC">
        <w:rPr>
          <w:rFonts w:ascii="Arial" w:hAnsi="Arial" w:cs="Arial"/>
        </w:rPr>
        <w:t>behaviours</w:t>
      </w:r>
      <w:r w:rsidRPr="0092550F">
        <w:rPr>
          <w:rFonts w:ascii="Arial" w:hAnsi="Arial" w:cs="Arial"/>
        </w:rPr>
        <w:t xml:space="preserve"> result in markedly low body weight and a range of medical complications, including cardiovascular instability, endocrine dysfunction, and osteoporosis. Importantly, anorexia nervosa has one of the highest mortality rates of any psychiatric illness, attributable both to the physiological consequences of starvation and elevated risk of suicide.</w:t>
      </w:r>
    </w:p>
    <w:p w14:paraId="59E61998" w14:textId="5A502B75" w:rsidR="000B58CB" w:rsidRPr="0092550F" w:rsidRDefault="000B58CB" w:rsidP="0092550F">
      <w:pPr>
        <w:spacing w:line="276" w:lineRule="auto"/>
        <w:jc w:val="both"/>
        <w:rPr>
          <w:rFonts w:ascii="Arial" w:hAnsi="Arial" w:cs="Arial"/>
        </w:rPr>
      </w:pPr>
      <w:r w:rsidRPr="0092550F">
        <w:rPr>
          <w:rFonts w:ascii="Arial" w:hAnsi="Arial" w:cs="Arial"/>
        </w:rPr>
        <w:t xml:space="preserve">From a psychosocial perspective, anorexia nervosa is often maintained by cultural ideals of thinness, perfectionism, and difficulties in emotional regulation. Treatment typically requires a multidisciplinary approach, integrating medical </w:t>
      </w:r>
      <w:r w:rsidR="00A33EBC">
        <w:rPr>
          <w:rFonts w:ascii="Arial" w:hAnsi="Arial" w:cs="Arial"/>
        </w:rPr>
        <w:t>stabilisation</w:t>
      </w:r>
      <w:r w:rsidRPr="0092550F">
        <w:rPr>
          <w:rFonts w:ascii="Arial" w:hAnsi="Arial" w:cs="Arial"/>
        </w:rPr>
        <w:t xml:space="preserve">, nutritional rehabilitation, and psychological interventions such as </w:t>
      </w:r>
      <w:r w:rsidR="00A33EBC">
        <w:rPr>
          <w:rFonts w:ascii="Arial" w:hAnsi="Arial" w:cs="Arial"/>
        </w:rPr>
        <w:t>cognitive-behavioural</w:t>
      </w:r>
      <w:r w:rsidRPr="0092550F">
        <w:rPr>
          <w:rFonts w:ascii="Arial" w:hAnsi="Arial" w:cs="Arial"/>
        </w:rPr>
        <w:t xml:space="preserve"> therapy or family-based therapy. Despite advances in evidence-based care, recovery trajectories remain heterogeneous, with many individuals experiencing relapses or chronic illness.</w:t>
      </w:r>
    </w:p>
    <w:p w14:paraId="1DC432D4" w14:textId="2BEECD77" w:rsidR="000264A1" w:rsidRPr="0092550F" w:rsidRDefault="000B58CB" w:rsidP="0092550F">
      <w:pPr>
        <w:spacing w:line="276" w:lineRule="auto"/>
        <w:jc w:val="both"/>
        <w:rPr>
          <w:rFonts w:ascii="Arial" w:hAnsi="Arial" w:cs="Arial"/>
        </w:rPr>
      </w:pPr>
      <w:r w:rsidRPr="0092550F">
        <w:rPr>
          <w:rFonts w:ascii="Arial" w:hAnsi="Arial" w:cs="Arial"/>
        </w:rPr>
        <w:t>As such, anorexia nervosa represents not only a pressing clinical challenge but also a</w:t>
      </w:r>
      <w:r w:rsidR="00567DA2">
        <w:rPr>
          <w:rFonts w:ascii="Arial" w:hAnsi="Arial" w:cs="Arial"/>
        </w:rPr>
        <w:t xml:space="preserve"> </w:t>
      </w:r>
      <w:r w:rsidR="00567DA2" w:rsidRPr="00567DA2">
        <w:rPr>
          <w:rFonts w:ascii="Arial" w:hAnsi="Arial" w:cs="Arial"/>
        </w:rPr>
        <w:t xml:space="preserve">broader societal concern, demanding ongoing research into its </w:t>
      </w:r>
      <w:r w:rsidR="00567DA2">
        <w:rPr>
          <w:rFonts w:ascii="Arial" w:hAnsi="Arial" w:cs="Arial"/>
        </w:rPr>
        <w:t>aetiology</w:t>
      </w:r>
      <w:r w:rsidR="00567DA2" w:rsidRPr="00567DA2">
        <w:rPr>
          <w:rFonts w:ascii="Arial" w:hAnsi="Arial" w:cs="Arial"/>
        </w:rPr>
        <w:t xml:space="preserve">, prevention, </w:t>
      </w:r>
      <w:r w:rsidR="00567DA2" w:rsidRPr="00567DA2">
        <w:rPr>
          <w:rFonts w:ascii="Arial" w:hAnsi="Arial" w:cs="Arial"/>
        </w:rPr>
        <w:lastRenderedPageBreak/>
        <w:t>and treatment. Its complexity underscores the need for integrated models that address biological vulnerability, psychological processes, and sociocultural influences.</w:t>
      </w:r>
    </w:p>
    <w:p w14:paraId="6B65CDD9" w14:textId="77777777" w:rsidR="008A6D32" w:rsidRPr="0092550F" w:rsidRDefault="008A6D32" w:rsidP="0092550F">
      <w:pPr>
        <w:spacing w:line="276" w:lineRule="auto"/>
        <w:jc w:val="both"/>
        <w:rPr>
          <w:rFonts w:ascii="Arial" w:hAnsi="Arial" w:cs="Arial"/>
        </w:rPr>
      </w:pPr>
    </w:p>
    <w:p w14:paraId="1DEC40D5" w14:textId="77777777" w:rsidR="000264A1" w:rsidRDefault="000264A1" w:rsidP="000264A1">
      <w:pPr>
        <w:rPr>
          <w:rFonts w:ascii="Arial" w:hAnsi="Arial" w:cs="Arial"/>
          <w:sz w:val="36"/>
          <w:szCs w:val="36"/>
        </w:rPr>
      </w:pPr>
    </w:p>
    <w:p w14:paraId="432AEE04" w14:textId="77777777" w:rsidR="000264A1" w:rsidRDefault="000264A1" w:rsidP="000264A1">
      <w:pPr>
        <w:rPr>
          <w:rFonts w:ascii="Arial" w:hAnsi="Arial" w:cs="Arial"/>
          <w:sz w:val="36"/>
          <w:szCs w:val="36"/>
        </w:rPr>
      </w:pPr>
    </w:p>
    <w:p w14:paraId="2A9C67CA" w14:textId="77777777" w:rsidR="00523A34" w:rsidRDefault="008A6D32" w:rsidP="008A6D32">
      <w:pPr>
        <w:pStyle w:val="NormalWeb"/>
        <w:rPr>
          <w:rFonts w:ascii="Arial" w:hAnsi="Arial" w:cs="Arial"/>
          <w:b/>
          <w:bCs/>
          <w:color w:val="000000"/>
        </w:rPr>
      </w:pPr>
      <w:r w:rsidRPr="008A6D32">
        <w:rPr>
          <w:rFonts w:ascii="Arial" w:hAnsi="Arial" w:cs="Arial"/>
          <w:b/>
          <w:bCs/>
          <w:color w:val="000000"/>
        </w:rPr>
        <w:t>Classification and Diagnosis:</w:t>
      </w:r>
      <w:r w:rsidRPr="008A6D32">
        <w:rPr>
          <w:rStyle w:val="apple-converted-space"/>
          <w:rFonts w:ascii="Arial" w:eastAsiaTheme="majorEastAsia" w:hAnsi="Arial" w:cs="Arial"/>
          <w:b/>
          <w:bCs/>
          <w:color w:val="000000"/>
        </w:rPr>
        <w:t> </w:t>
      </w:r>
    </w:p>
    <w:p w14:paraId="16332FFD" w14:textId="26D092CC" w:rsidR="00C503CD" w:rsidRPr="00C91C3A" w:rsidRDefault="008A6D32" w:rsidP="00523A34">
      <w:pPr>
        <w:pStyle w:val="NormalWeb"/>
        <w:spacing w:line="276" w:lineRule="auto"/>
        <w:jc w:val="both"/>
        <w:rPr>
          <w:rFonts w:ascii="Arial" w:hAnsi="Arial" w:cs="Arial"/>
          <w:b/>
          <w:bCs/>
          <w:color w:val="000000"/>
        </w:rPr>
      </w:pPr>
      <w:r w:rsidRPr="008A6D32">
        <w:rPr>
          <w:rFonts w:ascii="Arial" w:hAnsi="Arial" w:cs="Arial"/>
          <w:color w:val="000000"/>
        </w:rPr>
        <w:t xml:space="preserve"> Provide a detailed analysis of how the chosen condition is classified in ICD-11</w:t>
      </w:r>
    </w:p>
    <w:p w14:paraId="51F4F56B" w14:textId="0327FEAF" w:rsidR="00257C16" w:rsidRDefault="00257C16" w:rsidP="00523A34">
      <w:pPr>
        <w:pStyle w:val="NormalWeb"/>
        <w:spacing w:line="276" w:lineRule="auto"/>
        <w:jc w:val="both"/>
        <w:rPr>
          <w:rFonts w:ascii="Arial" w:hAnsi="Arial" w:cs="Arial"/>
          <w:color w:val="000000"/>
        </w:rPr>
      </w:pPr>
      <w:r w:rsidRPr="00257C16">
        <w:rPr>
          <w:rFonts w:ascii="Arial" w:hAnsi="Arial" w:cs="Arial"/>
          <w:color w:val="000000"/>
        </w:rPr>
        <w:t>In ICD</w:t>
      </w:r>
      <w:r w:rsidRPr="00257C16">
        <w:rPr>
          <w:rFonts w:ascii="Cambria Math" w:hAnsi="Cambria Math" w:cs="Cambria Math"/>
          <w:color w:val="000000"/>
        </w:rPr>
        <w:t>‑</w:t>
      </w:r>
      <w:r w:rsidRPr="00257C16">
        <w:rPr>
          <w:rFonts w:ascii="Arial" w:hAnsi="Arial" w:cs="Arial"/>
          <w:color w:val="000000"/>
        </w:rPr>
        <w:t>11, anorexia nervosa is classified as a feeding and eating disorder, defined by significantly low body weight, persistent restriction of energy intake, and intense fear of weight gain, with diagnostic thresholds and specifiers that reflect developmental and cultural contexts.</w:t>
      </w:r>
      <w:r w:rsidR="00733AAB" w:rsidRPr="00733AAB">
        <w:t xml:space="preserve"> </w:t>
      </w:r>
      <w:r w:rsidR="00733AAB" w:rsidRPr="00733AAB">
        <w:rPr>
          <w:rFonts w:ascii="Arial" w:hAnsi="Arial" w:cs="Arial"/>
          <w:color w:val="000000"/>
        </w:rPr>
        <w:t xml:space="preserve">Chapter: Feeding and Eating </w:t>
      </w:r>
      <w:r w:rsidR="00314371">
        <w:rPr>
          <w:rFonts w:ascii="Arial" w:hAnsi="Arial" w:cs="Arial"/>
          <w:color w:val="000000"/>
        </w:rPr>
        <w:t>Disorders Code</w:t>
      </w:r>
      <w:r w:rsidR="00733AAB" w:rsidRPr="00733AAB">
        <w:rPr>
          <w:rFonts w:ascii="Arial" w:hAnsi="Arial" w:cs="Arial"/>
          <w:color w:val="000000"/>
        </w:rPr>
        <w:t xml:space="preserve">: 6B80 </w:t>
      </w:r>
      <w:r w:rsidR="00711686">
        <w:rPr>
          <w:rFonts w:ascii="Roboto" w:hAnsi="Roboto"/>
          <w:color w:val="2C3E50"/>
          <w:sz w:val="23"/>
          <w:szCs w:val="23"/>
          <w:shd w:val="clear" w:color="auto" w:fill="FFFFFF"/>
        </w:rPr>
        <w:t>(Findacode.com, 2016)</w:t>
      </w:r>
      <w:r w:rsidR="00733AAB" w:rsidRPr="00733AAB">
        <w:rPr>
          <w:rFonts w:ascii="Arial" w:hAnsi="Arial" w:cs="Arial"/>
          <w:color w:val="000000"/>
        </w:rPr>
        <w:t xml:space="preserve">– Anorexia </w:t>
      </w:r>
      <w:r w:rsidR="00314371">
        <w:rPr>
          <w:rFonts w:ascii="Arial" w:hAnsi="Arial" w:cs="Arial"/>
          <w:color w:val="000000"/>
        </w:rPr>
        <w:t>Nervosa ICD-11</w:t>
      </w:r>
      <w:r w:rsidR="00733AAB" w:rsidRPr="00733AAB">
        <w:rPr>
          <w:rFonts w:ascii="Arial" w:hAnsi="Arial" w:cs="Arial"/>
          <w:color w:val="000000"/>
        </w:rPr>
        <w:t xml:space="preserve"> merges feeding and eatin</w:t>
      </w:r>
      <w:r w:rsidR="00A4220A">
        <w:rPr>
          <w:rFonts w:ascii="Arial" w:hAnsi="Arial" w:cs="Arial"/>
          <w:color w:val="000000"/>
        </w:rPr>
        <w:t xml:space="preserve">g </w:t>
      </w:r>
      <w:r w:rsidR="00733AAB" w:rsidRPr="00733AAB">
        <w:rPr>
          <w:rFonts w:ascii="Arial" w:hAnsi="Arial" w:cs="Arial"/>
          <w:color w:val="000000"/>
        </w:rPr>
        <w:t>disorders into</w:t>
      </w:r>
      <w:r w:rsidR="003A4F31">
        <w:rPr>
          <w:rFonts w:ascii="Arial" w:hAnsi="Arial" w:cs="Arial"/>
          <w:color w:val="000000"/>
        </w:rPr>
        <w:t xml:space="preserve"> </w:t>
      </w:r>
      <w:r w:rsidR="00314371">
        <w:rPr>
          <w:rFonts w:ascii="Arial" w:hAnsi="Arial" w:cs="Arial"/>
          <w:color w:val="000000"/>
        </w:rPr>
        <w:t>a single category</w:t>
      </w:r>
      <w:r w:rsidR="00733AAB" w:rsidRPr="00733AAB">
        <w:rPr>
          <w:rFonts w:ascii="Arial" w:hAnsi="Arial" w:cs="Arial"/>
          <w:color w:val="000000"/>
        </w:rPr>
        <w:t xml:space="preserve">, </w:t>
      </w:r>
      <w:r w:rsidR="00314371">
        <w:rPr>
          <w:rFonts w:ascii="Arial" w:hAnsi="Arial" w:cs="Arial"/>
          <w:color w:val="000000"/>
        </w:rPr>
        <w:t>emphasising</w:t>
      </w:r>
      <w:r w:rsidR="00733AAB" w:rsidRPr="00733AAB">
        <w:rPr>
          <w:rFonts w:ascii="Arial" w:hAnsi="Arial" w:cs="Arial"/>
          <w:color w:val="000000"/>
        </w:rPr>
        <w:t xml:space="preserve"> the continuum of psychopathology across childhood, adolescence, and adulthood.</w:t>
      </w:r>
      <w:r w:rsidR="00CC676E" w:rsidRPr="00CC676E">
        <w:rPr>
          <w:rFonts w:ascii="Roboto" w:hAnsi="Roboto"/>
          <w:color w:val="2C3E50"/>
          <w:sz w:val="23"/>
          <w:szCs w:val="23"/>
          <w:shd w:val="clear" w:color="auto" w:fill="FFFFFF"/>
        </w:rPr>
        <w:t xml:space="preserve"> </w:t>
      </w:r>
      <w:r w:rsidR="00CC676E">
        <w:rPr>
          <w:rFonts w:ascii="Roboto" w:hAnsi="Roboto"/>
          <w:color w:val="2C3E50"/>
          <w:sz w:val="23"/>
          <w:szCs w:val="23"/>
          <w:shd w:val="clear" w:color="auto" w:fill="FFFFFF"/>
        </w:rPr>
        <w:t>(BEAT eating disorders, 2019)</w:t>
      </w:r>
    </w:p>
    <w:p w14:paraId="48733A5A" w14:textId="77777777" w:rsidR="00C503CD" w:rsidRDefault="00C503CD" w:rsidP="00523A34">
      <w:pPr>
        <w:pStyle w:val="NormalWeb"/>
        <w:spacing w:line="276" w:lineRule="auto"/>
        <w:jc w:val="both"/>
        <w:rPr>
          <w:rFonts w:ascii="Arial" w:hAnsi="Arial" w:cs="Arial"/>
          <w:color w:val="000000"/>
        </w:rPr>
      </w:pPr>
    </w:p>
    <w:p w14:paraId="5CF36A77" w14:textId="44C4AED0" w:rsidR="008A6D32" w:rsidRPr="008A6D32" w:rsidRDefault="008A6D32" w:rsidP="00523A34">
      <w:pPr>
        <w:pStyle w:val="NormalWeb"/>
        <w:spacing w:line="276" w:lineRule="auto"/>
        <w:jc w:val="both"/>
        <w:rPr>
          <w:rFonts w:ascii="Arial" w:hAnsi="Arial" w:cs="Arial"/>
          <w:color w:val="000000"/>
        </w:rPr>
      </w:pPr>
      <w:r w:rsidRPr="008A6D32">
        <w:rPr>
          <w:rFonts w:ascii="Arial" w:hAnsi="Arial" w:cs="Arial"/>
          <w:color w:val="000000"/>
        </w:rPr>
        <w:t>.</w:t>
      </w:r>
      <w:r w:rsidRPr="008A6D32">
        <w:rPr>
          <w:rStyle w:val="apple-converted-space"/>
          <w:rFonts w:ascii="Arial" w:eastAsiaTheme="majorEastAsia" w:hAnsi="Arial" w:cs="Arial"/>
          <w:color w:val="000000"/>
        </w:rPr>
        <w:t> </w:t>
      </w:r>
    </w:p>
    <w:p w14:paraId="014839B1" w14:textId="7D4550BF" w:rsidR="008A6D32" w:rsidRDefault="008A6D32" w:rsidP="00523A34">
      <w:pPr>
        <w:pStyle w:val="NormalWeb"/>
        <w:spacing w:line="276" w:lineRule="auto"/>
        <w:jc w:val="both"/>
        <w:rPr>
          <w:rStyle w:val="apple-converted-space"/>
          <w:rFonts w:ascii="Arial" w:eastAsiaTheme="majorEastAsia" w:hAnsi="Arial" w:cs="Arial"/>
          <w:color w:val="000000"/>
        </w:rPr>
      </w:pPr>
      <w:r w:rsidRPr="008A6D32">
        <w:rPr>
          <w:rFonts w:ascii="Arial" w:hAnsi="Arial" w:cs="Arial"/>
          <w:color w:val="000000"/>
        </w:rPr>
        <w:t xml:space="preserve"> Discuss the diagnostic criteria and processes associated with the condition.</w:t>
      </w:r>
      <w:r w:rsidRPr="008A6D32">
        <w:rPr>
          <w:rStyle w:val="apple-converted-space"/>
          <w:rFonts w:ascii="Arial" w:eastAsiaTheme="majorEastAsia" w:hAnsi="Arial" w:cs="Arial"/>
          <w:color w:val="000000"/>
        </w:rPr>
        <w:t> </w:t>
      </w:r>
    </w:p>
    <w:p w14:paraId="47A8F1BF" w14:textId="2B7AFD69" w:rsidR="00DF5C22" w:rsidRPr="00DF5C22" w:rsidRDefault="00CC676E" w:rsidP="00523A34">
      <w:pPr>
        <w:spacing w:line="276" w:lineRule="auto"/>
        <w:jc w:val="both"/>
        <w:rPr>
          <w:rFonts w:ascii="Times New Roman" w:eastAsia="Times New Roman" w:hAnsi="Times New Roman" w:cs="Times New Roman"/>
          <w:kern w:val="0"/>
          <w:lang w:eastAsia="en-GB"/>
          <w14:ligatures w14:val="none"/>
        </w:rPr>
      </w:pPr>
      <w:bookmarkStart w:id="0" w:name="_Hlk214862929"/>
      <w:r>
        <w:rPr>
          <w:rFonts w:ascii="Roboto" w:hAnsi="Roboto"/>
          <w:color w:val="2C3E50"/>
          <w:sz w:val="23"/>
          <w:szCs w:val="23"/>
          <w:shd w:val="clear" w:color="auto" w:fill="FFFFFF"/>
        </w:rPr>
        <w:t>)</w:t>
      </w:r>
      <w:bookmarkEnd w:id="0"/>
      <w:r w:rsidRPr="00FB6735">
        <w:rPr>
          <w:rFonts w:ascii="Arial" w:hAnsi="Arial" w:cs="Arial"/>
          <w:color w:val="000000"/>
        </w:rPr>
        <w:t xml:space="preserve"> Restriction</w:t>
      </w:r>
      <w:r w:rsidR="00FB6735" w:rsidRPr="00FB6735">
        <w:rPr>
          <w:rFonts w:ascii="Arial" w:hAnsi="Arial" w:cs="Arial"/>
          <w:color w:val="000000"/>
        </w:rPr>
        <w:t xml:space="preserve"> of energy intake relative to requirements, leading to significantly low body weight for age, sex, and developmental </w:t>
      </w:r>
      <w:r w:rsidR="0000346F" w:rsidRPr="00FB6735">
        <w:rPr>
          <w:rFonts w:ascii="Arial" w:hAnsi="Arial" w:cs="Arial"/>
          <w:color w:val="000000"/>
        </w:rPr>
        <w:t>stage. Intense</w:t>
      </w:r>
      <w:r w:rsidR="00FB6735" w:rsidRPr="00FB6735">
        <w:rPr>
          <w:rFonts w:ascii="Arial" w:hAnsi="Arial" w:cs="Arial"/>
          <w:color w:val="000000"/>
        </w:rPr>
        <w:t xml:space="preserve"> fear of gaining weight or becoming fat, or persistent </w:t>
      </w:r>
      <w:r w:rsidR="0000346F">
        <w:rPr>
          <w:rFonts w:ascii="Arial" w:hAnsi="Arial" w:cs="Arial"/>
          <w:color w:val="000000"/>
        </w:rPr>
        <w:t>behaviours</w:t>
      </w:r>
      <w:r w:rsidR="00FB6735" w:rsidRPr="00FB6735">
        <w:rPr>
          <w:rFonts w:ascii="Arial" w:hAnsi="Arial" w:cs="Arial"/>
          <w:color w:val="000000"/>
        </w:rPr>
        <w:t xml:space="preserve"> interfering with weight gain despite being </w:t>
      </w:r>
      <w:r w:rsidR="0000346F" w:rsidRPr="00FB6735">
        <w:rPr>
          <w:rFonts w:ascii="Arial" w:hAnsi="Arial" w:cs="Arial"/>
          <w:color w:val="000000"/>
        </w:rPr>
        <w:t>underweight. Disturbance</w:t>
      </w:r>
      <w:r w:rsidR="00FB6735" w:rsidRPr="00FB6735">
        <w:rPr>
          <w:rFonts w:ascii="Arial" w:hAnsi="Arial" w:cs="Arial"/>
          <w:color w:val="000000"/>
        </w:rPr>
        <w:t xml:space="preserve"> in body image, undue influence of weight/shape on self</w:t>
      </w:r>
      <w:r w:rsidR="00FB6735" w:rsidRPr="00FB6735">
        <w:rPr>
          <w:rFonts w:ascii="Cambria Math" w:hAnsi="Cambria Math" w:cs="Cambria Math"/>
          <w:color w:val="000000"/>
        </w:rPr>
        <w:t>‑</w:t>
      </w:r>
      <w:r w:rsidR="00FB6735" w:rsidRPr="00FB6735">
        <w:rPr>
          <w:rFonts w:ascii="Arial" w:hAnsi="Arial" w:cs="Arial"/>
          <w:color w:val="000000"/>
        </w:rPr>
        <w:t xml:space="preserve">evaluation, or denial of the seriousness of low body </w:t>
      </w:r>
      <w:r w:rsidR="0000346F" w:rsidRPr="00FB6735">
        <w:rPr>
          <w:rFonts w:ascii="Arial" w:hAnsi="Arial" w:cs="Arial"/>
          <w:color w:val="000000"/>
        </w:rPr>
        <w:t>weight. Subtypes</w:t>
      </w:r>
      <w:r w:rsidR="00AE1DA2">
        <w:rPr>
          <w:rFonts w:ascii="Roboto" w:hAnsi="Roboto"/>
          <w:color w:val="2C3E50"/>
          <w:sz w:val="23"/>
          <w:szCs w:val="23"/>
          <w:shd w:val="clear" w:color="auto" w:fill="FFFFFF"/>
        </w:rPr>
        <w:t xml:space="preserve"> (Psychology Tools, 2018)</w:t>
      </w:r>
      <w:r w:rsidR="00AE1DA2">
        <w:rPr>
          <w:rFonts w:ascii="Roboto" w:hAnsi="Roboto"/>
          <w:color w:val="2C3E50"/>
          <w:sz w:val="23"/>
          <w:szCs w:val="23"/>
          <w:shd w:val="clear" w:color="auto" w:fill="FFFFFF"/>
        </w:rPr>
        <w:t>.</w:t>
      </w:r>
      <w:r w:rsidR="00C4740F" w:rsidRPr="00C4740F">
        <w:rPr>
          <w:rFonts w:ascii="Arial" w:hAnsi="Arial" w:cs="Arial"/>
          <w:color w:val="000000"/>
        </w:rPr>
        <w:tab/>
        <w:t xml:space="preserve">Significantly low body weight (BMI &lt; 18.5 in adults; &lt; 5th percentile in children/adolescents) or rapid weight loss (≥20% within 6 months). Failure to gain expected weight in children/adolescents. Persistent </w:t>
      </w:r>
      <w:r w:rsidR="00C4740F">
        <w:rPr>
          <w:rFonts w:ascii="Arial" w:hAnsi="Arial" w:cs="Arial"/>
          <w:color w:val="000000"/>
        </w:rPr>
        <w:t>behaviours</w:t>
      </w:r>
      <w:r w:rsidR="00C4740F" w:rsidRPr="00C4740F">
        <w:rPr>
          <w:rFonts w:ascii="Arial" w:hAnsi="Arial" w:cs="Arial"/>
          <w:color w:val="000000"/>
        </w:rPr>
        <w:t xml:space="preserve"> </w:t>
      </w:r>
      <w:r w:rsidR="00C4740F">
        <w:rPr>
          <w:rFonts w:ascii="Arial" w:hAnsi="Arial" w:cs="Arial"/>
          <w:color w:val="000000"/>
        </w:rPr>
        <w:t>prevent</w:t>
      </w:r>
      <w:r w:rsidR="00C4740F" w:rsidRPr="00C4740F">
        <w:rPr>
          <w:rFonts w:ascii="Arial" w:hAnsi="Arial" w:cs="Arial"/>
          <w:color w:val="000000"/>
        </w:rPr>
        <w:t xml:space="preserve"> weight gain, even when underweight. Psychological features: intense fear of weight gain, distorted body image, or undue influence of weight/shape on self</w:t>
      </w:r>
      <w:r w:rsidR="00C4740F" w:rsidRPr="00C4740F">
        <w:rPr>
          <w:rFonts w:ascii="Cambria Math" w:hAnsi="Cambria Math" w:cs="Cambria Math"/>
          <w:color w:val="000000"/>
        </w:rPr>
        <w:t>‑</w:t>
      </w:r>
      <w:r w:rsidR="00C4740F" w:rsidRPr="00C4740F">
        <w:rPr>
          <w:rFonts w:ascii="Arial" w:hAnsi="Arial" w:cs="Arial"/>
          <w:color w:val="000000"/>
        </w:rPr>
        <w:t>evaluation. Specifiers: restricting type vs. binge</w:t>
      </w:r>
      <w:r w:rsidR="00C4740F" w:rsidRPr="00C4740F">
        <w:rPr>
          <w:rFonts w:ascii="Cambria Math" w:hAnsi="Cambria Math" w:cs="Cambria Math"/>
          <w:color w:val="000000"/>
        </w:rPr>
        <w:t>‑</w:t>
      </w:r>
      <w:r w:rsidR="00C4740F" w:rsidRPr="00C4740F">
        <w:rPr>
          <w:rFonts w:ascii="Arial" w:hAnsi="Arial" w:cs="Arial"/>
          <w:color w:val="000000"/>
        </w:rPr>
        <w:t>eating/purging type; course specifiers (first episode, remission, multiple episodes).</w:t>
      </w:r>
      <w:r w:rsidR="00DF5C22" w:rsidRPr="00DF5C22">
        <w:rPr>
          <w:rFonts w:ascii="Times New Roman" w:eastAsia="Times New Roman" w:hAnsi="Times New Roman" w:cs="Times New Roman"/>
          <w:kern w:val="0"/>
          <w:lang w:eastAsia="en-GB"/>
          <w14:ligatures w14:val="none"/>
        </w:rPr>
        <w:t xml:space="preserve">  (Eatingfreely.com, 2025)</w:t>
      </w:r>
    </w:p>
    <w:p w14:paraId="1B99AE27" w14:textId="3A4ED4C5" w:rsidR="00B66798" w:rsidRDefault="00B66798" w:rsidP="00523A34">
      <w:pPr>
        <w:pStyle w:val="NormalWeb"/>
        <w:spacing w:before="0" w:beforeAutospacing="0" w:after="0" w:afterAutospacing="0" w:line="276" w:lineRule="auto"/>
        <w:jc w:val="both"/>
        <w:rPr>
          <w:rFonts w:ascii="Calibri" w:hAnsi="Calibri" w:cs="Calibri"/>
          <w:color w:val="000000"/>
          <w:sz w:val="27"/>
          <w:szCs w:val="27"/>
        </w:rPr>
      </w:pPr>
    </w:p>
    <w:p w14:paraId="1B609209" w14:textId="71BAD68C" w:rsidR="0000346F" w:rsidRPr="00C4740F" w:rsidRDefault="0000346F" w:rsidP="00523A34">
      <w:pPr>
        <w:pStyle w:val="NormalWeb"/>
        <w:spacing w:line="276" w:lineRule="auto"/>
        <w:jc w:val="both"/>
        <w:rPr>
          <w:rFonts w:ascii="Arial" w:hAnsi="Arial" w:cs="Arial"/>
          <w:color w:val="000000"/>
        </w:rPr>
      </w:pPr>
    </w:p>
    <w:p w14:paraId="1C57398C" w14:textId="77777777" w:rsidR="004E53D9" w:rsidRDefault="008A6D32" w:rsidP="00523A34">
      <w:pPr>
        <w:pStyle w:val="NormalWeb"/>
        <w:spacing w:line="276" w:lineRule="auto"/>
        <w:jc w:val="both"/>
        <w:rPr>
          <w:rFonts w:ascii="Arial" w:hAnsi="Arial" w:cs="Arial"/>
          <w:color w:val="000000"/>
        </w:rPr>
      </w:pPr>
      <w:r w:rsidRPr="008A6D32">
        <w:rPr>
          <w:rFonts w:ascii="Arial" w:hAnsi="Arial" w:cs="Arial"/>
          <w:color w:val="000000"/>
        </w:rPr>
        <w:t xml:space="preserve"> Identify the language used in the classification (e.g., ‘disorder,’ ‘condition,’ ‘illness’).</w:t>
      </w:r>
    </w:p>
    <w:p w14:paraId="4AD9E257" w14:textId="5D8277AB" w:rsidR="008A6D32" w:rsidRPr="00FB6735" w:rsidRDefault="004E53D9" w:rsidP="00523A34">
      <w:pPr>
        <w:pStyle w:val="NormalWeb"/>
        <w:spacing w:line="276" w:lineRule="auto"/>
        <w:jc w:val="both"/>
        <w:rPr>
          <w:rStyle w:val="apple-converted-space"/>
          <w:rFonts w:ascii="Roboto" w:hAnsi="Roboto"/>
          <w:color w:val="2C3E50"/>
          <w:sz w:val="23"/>
          <w:szCs w:val="23"/>
          <w:shd w:val="clear" w:color="auto" w:fill="FFFFFF"/>
        </w:rPr>
      </w:pPr>
      <w:r w:rsidRPr="004E53D9">
        <w:rPr>
          <w:rStyle w:val="apple-converted-space"/>
          <w:rFonts w:ascii="Arial" w:eastAsiaTheme="majorEastAsia" w:hAnsi="Arial" w:cs="Arial"/>
          <w:color w:val="000000"/>
        </w:rPr>
        <w:lastRenderedPageBreak/>
        <w:t>The language employed in psychiatric nosology is not merely descriptive but carries epistemological and clinical implications. In both the International Classification of Diseases, Eleventh Revision (ICD</w:t>
      </w:r>
      <w:r w:rsidRPr="004E53D9">
        <w:rPr>
          <w:rStyle w:val="apple-converted-space"/>
          <w:rFonts w:ascii="Cambria Math" w:eastAsiaTheme="majorEastAsia" w:hAnsi="Cambria Math" w:cs="Cambria Math"/>
          <w:color w:val="000000"/>
        </w:rPr>
        <w:t>‑</w:t>
      </w:r>
      <w:r w:rsidRPr="004E53D9">
        <w:rPr>
          <w:rStyle w:val="apple-converted-space"/>
          <w:rFonts w:ascii="Arial" w:eastAsiaTheme="majorEastAsia" w:hAnsi="Arial" w:cs="Arial"/>
          <w:color w:val="000000"/>
        </w:rPr>
        <w:t>11) and the Diagnostic and Statistical Manual of Mental Disorders, Fifth Edition (DSM</w:t>
      </w:r>
      <w:r w:rsidRPr="004E53D9">
        <w:rPr>
          <w:rStyle w:val="apple-converted-space"/>
          <w:rFonts w:ascii="Cambria Math" w:eastAsiaTheme="majorEastAsia" w:hAnsi="Cambria Math" w:cs="Cambria Math"/>
          <w:color w:val="000000"/>
        </w:rPr>
        <w:t>‑</w:t>
      </w:r>
      <w:r w:rsidRPr="004E53D9">
        <w:rPr>
          <w:rStyle w:val="apple-converted-space"/>
          <w:rFonts w:ascii="Arial" w:eastAsiaTheme="majorEastAsia" w:hAnsi="Arial" w:cs="Arial"/>
          <w:color w:val="000000"/>
        </w:rPr>
        <w:t>5), anorexia nervosa is explicitly designated as a “disorder.” This terminology situates the condition within a taxonomy of clinically significant disturbances of mental and behavioural functioning, thereby distinguishing it from transient states or culturally normative practices.</w:t>
      </w:r>
      <w:r w:rsidR="008A6D32" w:rsidRPr="008A6D32">
        <w:rPr>
          <w:rStyle w:val="apple-converted-space"/>
          <w:rFonts w:ascii="Arial" w:eastAsiaTheme="majorEastAsia" w:hAnsi="Arial" w:cs="Arial"/>
          <w:color w:val="000000"/>
        </w:rPr>
        <w:t> </w:t>
      </w:r>
      <w:r w:rsidR="00EE51E6" w:rsidRPr="00EE51E6">
        <w:rPr>
          <w:rStyle w:val="apple-converted-space"/>
          <w:rFonts w:ascii="Arial" w:eastAsiaTheme="majorEastAsia" w:hAnsi="Arial" w:cs="Arial"/>
          <w:color w:val="000000"/>
        </w:rPr>
        <w:t xml:space="preserve">In contemporary psychiatric classification, anorexia nervosa is formally designated as a disorder. This linguistic choice reflects a commitment to clinical precision, international </w:t>
      </w:r>
      <w:r w:rsidR="00313493">
        <w:rPr>
          <w:rStyle w:val="apple-converted-space"/>
          <w:rFonts w:ascii="Arial" w:eastAsiaTheme="majorEastAsia" w:hAnsi="Arial" w:cs="Arial"/>
          <w:color w:val="000000"/>
        </w:rPr>
        <w:t>standardisation</w:t>
      </w:r>
      <w:r w:rsidR="00EE51E6" w:rsidRPr="00EE51E6">
        <w:rPr>
          <w:rStyle w:val="apple-converted-space"/>
          <w:rFonts w:ascii="Arial" w:eastAsiaTheme="majorEastAsia" w:hAnsi="Arial" w:cs="Arial"/>
          <w:color w:val="000000"/>
        </w:rPr>
        <w:t>, and the framing of anorexia nervosa as a serious disturbance of mental and behavioural functioning. While “condition” and “illness” may appear in broader discourse, they lack the diagnostic specificity required in ICD</w:t>
      </w:r>
      <w:r w:rsidR="00EE51E6" w:rsidRPr="00EE51E6">
        <w:rPr>
          <w:rStyle w:val="apple-converted-space"/>
          <w:rFonts w:ascii="Cambria Math" w:eastAsiaTheme="majorEastAsia" w:hAnsi="Cambria Math" w:cs="Cambria Math"/>
          <w:color w:val="000000"/>
        </w:rPr>
        <w:t>‑</w:t>
      </w:r>
      <w:r w:rsidR="00EE51E6" w:rsidRPr="00EE51E6">
        <w:rPr>
          <w:rStyle w:val="apple-converted-space"/>
          <w:rFonts w:ascii="Arial" w:eastAsiaTheme="majorEastAsia" w:hAnsi="Arial" w:cs="Arial"/>
          <w:color w:val="000000"/>
        </w:rPr>
        <w:t>11 and DSM</w:t>
      </w:r>
      <w:r w:rsidR="00EE51E6" w:rsidRPr="00EE51E6">
        <w:rPr>
          <w:rStyle w:val="apple-converted-space"/>
          <w:rFonts w:ascii="Cambria Math" w:eastAsiaTheme="majorEastAsia" w:hAnsi="Cambria Math" w:cs="Cambria Math"/>
          <w:color w:val="000000"/>
        </w:rPr>
        <w:t>‑</w:t>
      </w:r>
      <w:r w:rsidR="00EE51E6" w:rsidRPr="00EE51E6">
        <w:rPr>
          <w:rStyle w:val="apple-converted-space"/>
          <w:rFonts w:ascii="Arial" w:eastAsiaTheme="majorEastAsia" w:hAnsi="Arial" w:cs="Arial"/>
          <w:color w:val="000000"/>
        </w:rPr>
        <w:t>5. The consistent use of “disorder” thus reinforces anorexia nervosa’s status as a psychiatric entity warranting systematic assessment, intervention, and research.</w:t>
      </w:r>
      <w:r w:rsidR="00227E38" w:rsidRPr="00227E38">
        <w:rPr>
          <w:rFonts w:ascii="Roboto" w:hAnsi="Roboto"/>
          <w:color w:val="2C3E50"/>
          <w:sz w:val="23"/>
          <w:szCs w:val="23"/>
          <w:shd w:val="clear" w:color="auto" w:fill="FFFFFF"/>
        </w:rPr>
        <w:t xml:space="preserve"> </w:t>
      </w:r>
      <w:r w:rsidR="00227E38">
        <w:rPr>
          <w:rFonts w:ascii="Roboto" w:hAnsi="Roboto"/>
          <w:color w:val="2C3E50"/>
          <w:sz w:val="23"/>
          <w:szCs w:val="23"/>
          <w:shd w:val="clear" w:color="auto" w:fill="FFFFFF"/>
        </w:rPr>
        <w:t> (World Health Organisation, 2025)</w:t>
      </w:r>
    </w:p>
    <w:p w14:paraId="12CBA632" w14:textId="77777777" w:rsidR="008A6D32" w:rsidRPr="008A6D32" w:rsidRDefault="008A6D32" w:rsidP="00523A34">
      <w:pPr>
        <w:pStyle w:val="NormalWeb"/>
        <w:spacing w:line="276" w:lineRule="auto"/>
        <w:jc w:val="both"/>
        <w:rPr>
          <w:rFonts w:ascii="Arial" w:hAnsi="Arial" w:cs="Arial"/>
          <w:color w:val="000000"/>
        </w:rPr>
      </w:pPr>
    </w:p>
    <w:p w14:paraId="1111BED8" w14:textId="77777777" w:rsidR="0085189F" w:rsidRDefault="008A6D32" w:rsidP="00523A34">
      <w:pPr>
        <w:pStyle w:val="NormalWeb"/>
        <w:spacing w:line="276" w:lineRule="auto"/>
        <w:jc w:val="both"/>
        <w:rPr>
          <w:rFonts w:ascii="Arial" w:hAnsi="Arial" w:cs="Arial"/>
          <w:b/>
          <w:bCs/>
          <w:color w:val="000000"/>
        </w:rPr>
      </w:pPr>
      <w:r w:rsidRPr="008A6D32">
        <w:rPr>
          <w:rFonts w:ascii="Arial" w:hAnsi="Arial" w:cs="Arial"/>
          <w:b/>
          <w:bCs/>
          <w:color w:val="000000"/>
        </w:rPr>
        <w:t>Treatment and Rehabilitation:</w:t>
      </w:r>
    </w:p>
    <w:p w14:paraId="17891B82" w14:textId="77777777" w:rsidR="00C91C3A" w:rsidRDefault="0085189F" w:rsidP="00523A34">
      <w:pPr>
        <w:pStyle w:val="NormalWeb"/>
        <w:spacing w:line="276" w:lineRule="auto"/>
        <w:jc w:val="both"/>
        <w:rPr>
          <w:rStyle w:val="apple-converted-space"/>
          <w:rFonts w:ascii="Arial" w:eastAsiaTheme="majorEastAsia" w:hAnsi="Arial" w:cs="Arial"/>
          <w:color w:val="000000"/>
        </w:rPr>
      </w:pPr>
      <w:r w:rsidRPr="0085189F">
        <w:rPr>
          <w:rStyle w:val="apple-converted-space"/>
          <w:rFonts w:ascii="Arial" w:eastAsiaTheme="majorEastAsia" w:hAnsi="Arial" w:cs="Arial"/>
          <w:color w:val="000000"/>
        </w:rPr>
        <w:t xml:space="preserve">Treatment and rehabilitation for anorexia nervosa require a multidisciplinary approach that combines medical </w:t>
      </w:r>
      <w:r>
        <w:rPr>
          <w:rStyle w:val="apple-converted-space"/>
          <w:rFonts w:ascii="Arial" w:eastAsiaTheme="majorEastAsia" w:hAnsi="Arial" w:cs="Arial"/>
          <w:color w:val="000000"/>
        </w:rPr>
        <w:t>stabilisation</w:t>
      </w:r>
      <w:r w:rsidRPr="0085189F">
        <w:rPr>
          <w:rStyle w:val="apple-converted-space"/>
          <w:rFonts w:ascii="Arial" w:eastAsiaTheme="majorEastAsia" w:hAnsi="Arial" w:cs="Arial"/>
          <w:color w:val="000000"/>
        </w:rPr>
        <w:t>, nutritional rehabilitation, and psychological therapy, with early intervention being critical to improving outcomes.</w:t>
      </w:r>
    </w:p>
    <w:p w14:paraId="6B7BF22E" w14:textId="1A5BE426" w:rsidR="008A6D32" w:rsidRDefault="00C91C3A" w:rsidP="00523A34">
      <w:pPr>
        <w:pStyle w:val="NormalWeb"/>
        <w:spacing w:line="276" w:lineRule="auto"/>
        <w:jc w:val="both"/>
        <w:rPr>
          <w:rStyle w:val="apple-converted-space"/>
          <w:rFonts w:ascii="Arial" w:eastAsiaTheme="majorEastAsia" w:hAnsi="Arial" w:cs="Arial"/>
          <w:color w:val="000000"/>
        </w:rPr>
      </w:pPr>
      <w:r w:rsidRPr="00C91C3A">
        <w:rPr>
          <w:rStyle w:val="apple-converted-space"/>
          <w:rFonts w:ascii="Arial" w:eastAsiaTheme="majorEastAsia" w:hAnsi="Arial" w:cs="Arial"/>
          <w:color w:val="000000"/>
        </w:rPr>
        <w:t>Early intervention: Starting treatment as soon as possible reduces the risk of long</w:t>
      </w:r>
      <w:r w:rsidRPr="00C91C3A">
        <w:rPr>
          <w:rStyle w:val="apple-converted-space"/>
          <w:rFonts w:ascii="Cambria Math" w:eastAsiaTheme="majorEastAsia" w:hAnsi="Cambria Math" w:cs="Cambria Math"/>
          <w:color w:val="000000"/>
        </w:rPr>
        <w:t>‑</w:t>
      </w:r>
      <w:r w:rsidRPr="00C91C3A">
        <w:rPr>
          <w:rStyle w:val="apple-converted-space"/>
          <w:rFonts w:ascii="Arial" w:eastAsiaTheme="majorEastAsia" w:hAnsi="Arial" w:cs="Arial"/>
          <w:color w:val="000000"/>
        </w:rPr>
        <w:t xml:space="preserve">term complications and </w:t>
      </w:r>
      <w:r w:rsidR="00523A34" w:rsidRPr="00C91C3A">
        <w:rPr>
          <w:rStyle w:val="apple-converted-space"/>
          <w:rFonts w:ascii="Arial" w:eastAsiaTheme="majorEastAsia" w:hAnsi="Arial" w:cs="Arial"/>
          <w:color w:val="000000"/>
        </w:rPr>
        <w:t>mortality. Multidisciplinary</w:t>
      </w:r>
      <w:r w:rsidRPr="00C91C3A">
        <w:rPr>
          <w:rStyle w:val="apple-converted-space"/>
          <w:rFonts w:ascii="Arial" w:eastAsiaTheme="majorEastAsia" w:hAnsi="Arial" w:cs="Arial"/>
          <w:color w:val="000000"/>
        </w:rPr>
        <w:t xml:space="preserve"> care: Typically involves psychiatrists, psychologists, dietitians, and medical doctors working together. </w:t>
      </w:r>
      <w:r w:rsidR="00523A34">
        <w:rPr>
          <w:rStyle w:val="apple-converted-space"/>
          <w:rFonts w:ascii="Arial" w:eastAsiaTheme="majorEastAsia" w:hAnsi="Arial" w:cs="Arial"/>
          <w:color w:val="000000"/>
        </w:rPr>
        <w:t>Individualised</w:t>
      </w:r>
      <w:r w:rsidRPr="00C91C3A">
        <w:rPr>
          <w:rStyle w:val="apple-converted-space"/>
          <w:rFonts w:ascii="Arial" w:eastAsiaTheme="majorEastAsia" w:hAnsi="Arial" w:cs="Arial"/>
          <w:color w:val="000000"/>
        </w:rPr>
        <w:t xml:space="preserve"> plans: Treatment is tailored to age, severity, and personal circumstances, with different pathways for adolescents and adults.</w:t>
      </w:r>
      <w:r w:rsidR="008A6D32" w:rsidRPr="0085189F">
        <w:rPr>
          <w:rStyle w:val="apple-converted-space"/>
          <w:rFonts w:ascii="Arial" w:eastAsiaTheme="majorEastAsia" w:hAnsi="Arial" w:cs="Arial"/>
          <w:color w:val="000000"/>
        </w:rPr>
        <w:t> </w:t>
      </w:r>
      <w:r w:rsidR="008A6D32" w:rsidRPr="008A6D32">
        <w:rPr>
          <w:rFonts w:ascii="Arial" w:hAnsi="Arial" w:cs="Arial"/>
          <w:color w:val="000000"/>
        </w:rPr>
        <w:t xml:space="preserve"> Critically evaluate the standard treatment approaches for the condition.</w:t>
      </w:r>
      <w:r w:rsidR="008A6D32" w:rsidRPr="008A6D32">
        <w:rPr>
          <w:rStyle w:val="apple-converted-space"/>
          <w:rFonts w:ascii="Arial" w:eastAsiaTheme="majorEastAsia" w:hAnsi="Arial" w:cs="Arial"/>
          <w:color w:val="000000"/>
        </w:rPr>
        <w:t> </w:t>
      </w:r>
      <w:r w:rsidR="008A6D32" w:rsidRPr="008A6D32">
        <w:rPr>
          <w:rFonts w:ascii="Arial" w:hAnsi="Arial" w:cs="Arial"/>
          <w:color w:val="000000"/>
        </w:rPr>
        <w:t xml:space="preserve"> Examine the rehabilitation measures included in ICD-11 and in practice.</w:t>
      </w:r>
      <w:r w:rsidR="008A6D32" w:rsidRPr="008A6D32">
        <w:rPr>
          <w:rStyle w:val="apple-converted-space"/>
          <w:rFonts w:ascii="Arial" w:eastAsiaTheme="majorEastAsia" w:hAnsi="Arial" w:cs="Arial"/>
          <w:color w:val="000000"/>
        </w:rPr>
        <w:t> </w:t>
      </w:r>
      <w:r w:rsidR="008A6D32" w:rsidRPr="008A6D32">
        <w:rPr>
          <w:rFonts w:ascii="Arial" w:hAnsi="Arial" w:cs="Arial"/>
          <w:color w:val="000000"/>
        </w:rPr>
        <w:t>Assess the effectiveness and limitations of these approaches.</w:t>
      </w:r>
      <w:r w:rsidR="005434D4" w:rsidRPr="005434D4">
        <w:rPr>
          <w:rFonts w:ascii="Roboto" w:hAnsi="Roboto"/>
          <w:color w:val="2C3E50"/>
          <w:sz w:val="23"/>
          <w:szCs w:val="23"/>
          <w:shd w:val="clear" w:color="auto" w:fill="FFFFFF"/>
        </w:rPr>
        <w:t xml:space="preserve"> </w:t>
      </w:r>
      <w:r w:rsidR="005434D4">
        <w:rPr>
          <w:rFonts w:ascii="Roboto" w:hAnsi="Roboto"/>
          <w:color w:val="2C3E50"/>
          <w:sz w:val="23"/>
          <w:szCs w:val="23"/>
          <w:shd w:val="clear" w:color="auto" w:fill="FFFFFF"/>
        </w:rPr>
        <w:t>(NHS, 2025)</w:t>
      </w:r>
      <w:r w:rsidR="008A6D32" w:rsidRPr="008A6D32">
        <w:rPr>
          <w:rStyle w:val="apple-converted-space"/>
          <w:rFonts w:ascii="Arial" w:eastAsiaTheme="majorEastAsia" w:hAnsi="Arial" w:cs="Arial"/>
          <w:color w:val="000000"/>
        </w:rPr>
        <w:t> </w:t>
      </w:r>
    </w:p>
    <w:p w14:paraId="7FDBD938" w14:textId="5A0A9D4A" w:rsidR="00A97282" w:rsidRDefault="0017001D" w:rsidP="0017001D">
      <w:pPr>
        <w:pStyle w:val="NormalWeb"/>
        <w:spacing w:line="276" w:lineRule="auto"/>
        <w:jc w:val="both"/>
        <w:rPr>
          <w:rFonts w:ascii="Arial" w:eastAsiaTheme="majorEastAsia" w:hAnsi="Arial" w:cs="Arial"/>
          <w:color w:val="000000"/>
        </w:rPr>
      </w:pPr>
      <w:r w:rsidRPr="0017001D">
        <w:rPr>
          <w:rFonts w:ascii="Arial" w:eastAsiaTheme="majorEastAsia" w:hAnsi="Arial" w:cs="Arial"/>
          <w:color w:val="000000"/>
        </w:rPr>
        <w:t>Cognitive Behavioural Therapy (CBT): Helps challenge distorted beliefs about food, weight, and self</w:t>
      </w:r>
      <w:r w:rsidRPr="0017001D">
        <w:rPr>
          <w:rFonts w:ascii="Cambria Math" w:eastAsiaTheme="majorEastAsia" w:hAnsi="Cambria Math" w:cs="Cambria Math"/>
          <w:color w:val="000000"/>
        </w:rPr>
        <w:t>‑</w:t>
      </w:r>
      <w:r w:rsidR="00774D84" w:rsidRPr="0017001D">
        <w:rPr>
          <w:rFonts w:ascii="Arial" w:eastAsiaTheme="majorEastAsia" w:hAnsi="Arial" w:cs="Arial"/>
          <w:color w:val="000000"/>
        </w:rPr>
        <w:t>worth. Family</w:t>
      </w:r>
      <w:r w:rsidRPr="0017001D">
        <w:rPr>
          <w:rFonts w:ascii="Cambria Math" w:eastAsiaTheme="majorEastAsia" w:hAnsi="Cambria Math" w:cs="Cambria Math"/>
          <w:color w:val="000000"/>
        </w:rPr>
        <w:t>‑</w:t>
      </w:r>
      <w:r w:rsidRPr="0017001D">
        <w:rPr>
          <w:rFonts w:ascii="Arial" w:eastAsiaTheme="majorEastAsia" w:hAnsi="Arial" w:cs="Arial"/>
          <w:color w:val="000000"/>
        </w:rPr>
        <w:t xml:space="preserve">Based Therapy (FBT): Particularly effective for adolescents, involving parents in meal support and </w:t>
      </w:r>
      <w:r w:rsidR="00774D84" w:rsidRPr="0017001D">
        <w:rPr>
          <w:rFonts w:ascii="Arial" w:eastAsiaTheme="majorEastAsia" w:hAnsi="Arial" w:cs="Arial"/>
          <w:color w:val="000000"/>
        </w:rPr>
        <w:t>recovery. Other</w:t>
      </w:r>
      <w:r w:rsidRPr="0017001D">
        <w:rPr>
          <w:rFonts w:ascii="Arial" w:eastAsiaTheme="majorEastAsia" w:hAnsi="Arial" w:cs="Arial"/>
          <w:color w:val="000000"/>
        </w:rPr>
        <w:t xml:space="preserve"> approaches: Interpersonal therapy, psychodynamic therapy, and group therapy may be used depending on individual needs.</w:t>
      </w:r>
      <w:r w:rsidR="00A97282" w:rsidRPr="00A97282">
        <w:rPr>
          <w:rFonts w:ascii="Roboto" w:hAnsi="Roboto"/>
          <w:color w:val="2C3E50"/>
          <w:sz w:val="23"/>
          <w:szCs w:val="23"/>
          <w:shd w:val="clear" w:color="auto" w:fill="FFFFFF"/>
        </w:rPr>
        <w:t xml:space="preserve"> </w:t>
      </w:r>
      <w:r w:rsidR="00A97282">
        <w:rPr>
          <w:rFonts w:ascii="Roboto" w:hAnsi="Roboto"/>
          <w:color w:val="2C3E50"/>
          <w:sz w:val="23"/>
          <w:szCs w:val="23"/>
          <w:shd w:val="clear" w:color="auto" w:fill="FFFFFF"/>
        </w:rPr>
        <w:t>(Cherry, 2023)</w:t>
      </w:r>
    </w:p>
    <w:p w14:paraId="72D0F355" w14:textId="77777777" w:rsidR="00A97282" w:rsidRDefault="0017001D" w:rsidP="0017001D">
      <w:pPr>
        <w:pStyle w:val="NormalWeb"/>
        <w:spacing w:line="276" w:lineRule="auto"/>
        <w:jc w:val="both"/>
        <w:rPr>
          <w:rFonts w:ascii="Arial" w:eastAsiaTheme="majorEastAsia" w:hAnsi="Arial" w:cs="Arial"/>
          <w:color w:val="000000"/>
        </w:rPr>
      </w:pPr>
      <w:r w:rsidRPr="0017001D">
        <w:rPr>
          <w:rFonts w:ascii="Segoe UI Emoji" w:eastAsiaTheme="majorEastAsia" w:hAnsi="Segoe UI Emoji" w:cs="Segoe UI Emoji"/>
          <w:color w:val="000000"/>
        </w:rPr>
        <w:t>🍽️</w:t>
      </w:r>
      <w:r w:rsidRPr="0017001D">
        <w:rPr>
          <w:rFonts w:ascii="Arial" w:eastAsiaTheme="majorEastAsia" w:hAnsi="Arial" w:cs="Arial"/>
          <w:color w:val="000000"/>
        </w:rPr>
        <w:t xml:space="preserve"> Nutritional Rehabilitation</w:t>
      </w:r>
    </w:p>
    <w:p w14:paraId="4A4F0902" w14:textId="2F3D4D7A" w:rsidR="0017001D" w:rsidRDefault="0017001D" w:rsidP="0017001D">
      <w:pPr>
        <w:pStyle w:val="NormalWeb"/>
        <w:spacing w:line="276" w:lineRule="auto"/>
        <w:jc w:val="both"/>
        <w:rPr>
          <w:rFonts w:ascii="Arial" w:eastAsiaTheme="majorEastAsia" w:hAnsi="Arial" w:cs="Arial"/>
          <w:color w:val="000000"/>
        </w:rPr>
      </w:pPr>
      <w:r w:rsidRPr="0017001D">
        <w:rPr>
          <w:rFonts w:ascii="Arial" w:eastAsiaTheme="majorEastAsia" w:hAnsi="Arial" w:cs="Arial"/>
          <w:color w:val="000000"/>
        </w:rPr>
        <w:t xml:space="preserve">Supervised weight restoration: Structured meal plans and gradual refeeding to restore healthy </w:t>
      </w:r>
      <w:r w:rsidR="00406E8A" w:rsidRPr="0017001D">
        <w:rPr>
          <w:rFonts w:ascii="Arial" w:eastAsiaTheme="majorEastAsia" w:hAnsi="Arial" w:cs="Arial"/>
          <w:color w:val="000000"/>
        </w:rPr>
        <w:t>weight. Dietetic</w:t>
      </w:r>
      <w:r w:rsidRPr="0017001D">
        <w:rPr>
          <w:rFonts w:ascii="Arial" w:eastAsiaTheme="majorEastAsia" w:hAnsi="Arial" w:cs="Arial"/>
          <w:color w:val="000000"/>
        </w:rPr>
        <w:t xml:space="preserve"> support: Education on balanced nutrition and coping with food anxiety.</w:t>
      </w:r>
    </w:p>
    <w:p w14:paraId="00C4ADBA" w14:textId="7065DABD" w:rsidR="005B4C98" w:rsidRPr="00C91C3A" w:rsidRDefault="005B4C98" w:rsidP="0017001D">
      <w:pPr>
        <w:pStyle w:val="NormalWeb"/>
        <w:spacing w:line="276" w:lineRule="auto"/>
        <w:jc w:val="both"/>
        <w:rPr>
          <w:rFonts w:ascii="Arial" w:eastAsiaTheme="majorEastAsia" w:hAnsi="Arial" w:cs="Arial"/>
          <w:color w:val="000000"/>
        </w:rPr>
      </w:pPr>
      <w:r w:rsidRPr="005B4C98">
        <w:rPr>
          <w:rFonts w:ascii="Arial" w:eastAsiaTheme="majorEastAsia" w:hAnsi="Arial" w:cs="Arial"/>
          <w:color w:val="000000"/>
        </w:rPr>
        <w:lastRenderedPageBreak/>
        <w:t xml:space="preserve">Treatment and rehabilitation for anorexia nervosa are multifaceted, combining medical </w:t>
      </w:r>
      <w:r w:rsidR="00406E8A">
        <w:rPr>
          <w:rFonts w:ascii="Arial" w:eastAsiaTheme="majorEastAsia" w:hAnsi="Arial" w:cs="Arial"/>
          <w:color w:val="000000"/>
        </w:rPr>
        <w:t>stabilisation</w:t>
      </w:r>
      <w:r w:rsidRPr="005B4C98">
        <w:rPr>
          <w:rFonts w:ascii="Arial" w:eastAsiaTheme="majorEastAsia" w:hAnsi="Arial" w:cs="Arial"/>
          <w:color w:val="000000"/>
        </w:rPr>
        <w:t>, nutritional rehabilitation, and psychological therapy. ICD</w:t>
      </w:r>
      <w:r w:rsidRPr="005B4C98">
        <w:rPr>
          <w:rFonts w:ascii="Cambria Math" w:eastAsiaTheme="majorEastAsia" w:hAnsi="Cambria Math" w:cs="Cambria Math"/>
          <w:color w:val="000000"/>
        </w:rPr>
        <w:t>‑</w:t>
      </w:r>
      <w:r w:rsidRPr="005B4C98">
        <w:rPr>
          <w:rFonts w:ascii="Arial" w:eastAsiaTheme="majorEastAsia" w:hAnsi="Arial" w:cs="Arial"/>
          <w:color w:val="000000"/>
        </w:rPr>
        <w:t>11 and DSM</w:t>
      </w:r>
      <w:r w:rsidRPr="005B4C98">
        <w:rPr>
          <w:rFonts w:ascii="Cambria Math" w:eastAsiaTheme="majorEastAsia" w:hAnsi="Cambria Math" w:cs="Cambria Math"/>
          <w:color w:val="000000"/>
        </w:rPr>
        <w:t>‑</w:t>
      </w:r>
      <w:r w:rsidRPr="005B4C98">
        <w:rPr>
          <w:rFonts w:ascii="Arial" w:eastAsiaTheme="majorEastAsia" w:hAnsi="Arial" w:cs="Arial"/>
          <w:color w:val="000000"/>
        </w:rPr>
        <w:t xml:space="preserve">5 </w:t>
      </w:r>
      <w:r w:rsidR="00406E8A">
        <w:rPr>
          <w:rFonts w:ascii="Arial" w:eastAsiaTheme="majorEastAsia" w:hAnsi="Arial" w:cs="Arial"/>
          <w:color w:val="000000"/>
        </w:rPr>
        <w:t>emphasise</w:t>
      </w:r>
      <w:r w:rsidRPr="005B4C98">
        <w:rPr>
          <w:rFonts w:ascii="Arial" w:eastAsiaTheme="majorEastAsia" w:hAnsi="Arial" w:cs="Arial"/>
          <w:color w:val="000000"/>
        </w:rPr>
        <w:t xml:space="preserve"> the seriousness of the disorder, and clinical guidelines highlight the importance of early intervention, family involvement, and long</w:t>
      </w:r>
      <w:r w:rsidRPr="005B4C98">
        <w:rPr>
          <w:rFonts w:ascii="Cambria Math" w:eastAsiaTheme="majorEastAsia" w:hAnsi="Cambria Math" w:cs="Cambria Math"/>
          <w:color w:val="000000"/>
        </w:rPr>
        <w:t>‑</w:t>
      </w:r>
      <w:r w:rsidRPr="005B4C98">
        <w:rPr>
          <w:rFonts w:ascii="Arial" w:eastAsiaTheme="majorEastAsia" w:hAnsi="Arial" w:cs="Arial"/>
          <w:color w:val="000000"/>
        </w:rPr>
        <w:t>term relapse prevention. Rehabilitation extends beyond weight restoration, aiming to rebuild psychological resilience, social functioning, and quality of life.</w:t>
      </w:r>
      <w:r w:rsidR="00406E8A" w:rsidRPr="00406E8A">
        <w:rPr>
          <w:rFonts w:ascii="Roboto" w:hAnsi="Roboto"/>
          <w:color w:val="2C3E50"/>
          <w:sz w:val="23"/>
          <w:szCs w:val="23"/>
          <w:shd w:val="clear" w:color="auto" w:fill="FFFFFF"/>
        </w:rPr>
        <w:t xml:space="preserve"> </w:t>
      </w:r>
      <w:r w:rsidR="00406E8A">
        <w:rPr>
          <w:rFonts w:ascii="Roboto" w:hAnsi="Roboto"/>
          <w:color w:val="2C3E50"/>
          <w:sz w:val="23"/>
          <w:szCs w:val="23"/>
          <w:shd w:val="clear" w:color="auto" w:fill="FFFFFF"/>
        </w:rPr>
        <w:t>(Marbella, 2025)</w:t>
      </w:r>
    </w:p>
    <w:p w14:paraId="668504A0" w14:textId="77777777" w:rsidR="008A6D32" w:rsidRPr="008A6D32" w:rsidRDefault="008A6D32" w:rsidP="008A6D32">
      <w:pPr>
        <w:pStyle w:val="NormalWeb"/>
        <w:rPr>
          <w:rFonts w:ascii="Arial" w:hAnsi="Arial" w:cs="Arial"/>
          <w:b/>
          <w:bCs/>
          <w:color w:val="000000"/>
        </w:rPr>
      </w:pPr>
    </w:p>
    <w:p w14:paraId="0D06B3CB" w14:textId="29B381BD" w:rsidR="008A6D32" w:rsidRPr="008A6D32" w:rsidRDefault="008A6D32" w:rsidP="008A6D32">
      <w:pPr>
        <w:pStyle w:val="NormalWeb"/>
        <w:rPr>
          <w:rFonts w:ascii="Arial" w:hAnsi="Arial" w:cs="Arial"/>
          <w:b/>
          <w:bCs/>
          <w:color w:val="000000"/>
        </w:rPr>
      </w:pPr>
      <w:r w:rsidRPr="008A6D32">
        <w:rPr>
          <w:rFonts w:ascii="Arial" w:hAnsi="Arial" w:cs="Arial"/>
          <w:b/>
          <w:bCs/>
          <w:color w:val="000000"/>
        </w:rPr>
        <w:t>Current Debates and Emerging Issues:</w:t>
      </w:r>
      <w:r w:rsidRPr="008A6D32">
        <w:rPr>
          <w:rStyle w:val="apple-converted-space"/>
          <w:rFonts w:ascii="Arial" w:eastAsiaTheme="majorEastAsia" w:hAnsi="Arial" w:cs="Arial"/>
          <w:b/>
          <w:bCs/>
          <w:color w:val="000000"/>
        </w:rPr>
        <w:t> </w:t>
      </w:r>
    </w:p>
    <w:p w14:paraId="552C2792" w14:textId="640F921C" w:rsidR="008A6D32" w:rsidRDefault="008A6D32" w:rsidP="008A6D32">
      <w:pPr>
        <w:pStyle w:val="NormalWeb"/>
        <w:rPr>
          <w:rStyle w:val="apple-converted-space"/>
          <w:rFonts w:ascii="Arial" w:eastAsiaTheme="majorEastAsia" w:hAnsi="Arial" w:cs="Arial"/>
          <w:color w:val="000000"/>
        </w:rPr>
      </w:pPr>
      <w:r w:rsidRPr="008A6D32">
        <w:rPr>
          <w:rFonts w:ascii="Arial" w:hAnsi="Arial" w:cs="Arial"/>
          <w:color w:val="000000"/>
        </w:rPr>
        <w:t>Discuss the ongoing debates surrounding the classification and treatment of the condition.</w:t>
      </w:r>
      <w:r w:rsidRPr="008A6D32">
        <w:rPr>
          <w:rStyle w:val="apple-converted-space"/>
          <w:rFonts w:ascii="Arial" w:eastAsiaTheme="majorEastAsia" w:hAnsi="Arial" w:cs="Arial"/>
          <w:color w:val="000000"/>
        </w:rPr>
        <w:t> </w:t>
      </w:r>
    </w:p>
    <w:p w14:paraId="62A27789" w14:textId="63B826B1" w:rsidR="009F0760" w:rsidRPr="009F0760" w:rsidRDefault="009F0760" w:rsidP="009F0760">
      <w:pPr>
        <w:pStyle w:val="NormalWeb"/>
        <w:rPr>
          <w:rFonts w:ascii="Arial" w:hAnsi="Arial" w:cs="Arial"/>
          <w:color w:val="000000"/>
        </w:rPr>
      </w:pPr>
      <w:r w:rsidRPr="009F0760">
        <w:rPr>
          <w:rFonts w:ascii="Arial" w:hAnsi="Arial" w:cs="Arial"/>
          <w:color w:val="000000"/>
        </w:rPr>
        <w:t>DSM</w:t>
      </w:r>
      <w:r w:rsidRPr="009F0760">
        <w:rPr>
          <w:rFonts w:ascii="Cambria Math" w:hAnsi="Cambria Math" w:cs="Cambria Math"/>
          <w:color w:val="000000"/>
        </w:rPr>
        <w:t>‑</w:t>
      </w:r>
      <w:r w:rsidRPr="009F0760">
        <w:rPr>
          <w:rFonts w:ascii="Arial" w:hAnsi="Arial" w:cs="Arial"/>
          <w:color w:val="000000"/>
        </w:rPr>
        <w:t>5 requires significantly low body weight relative to age and development, while ICD</w:t>
      </w:r>
      <w:r w:rsidRPr="009F0760">
        <w:rPr>
          <w:rFonts w:ascii="Cambria Math" w:hAnsi="Cambria Math" w:cs="Cambria Math"/>
          <w:color w:val="000000"/>
        </w:rPr>
        <w:t>‑</w:t>
      </w:r>
      <w:r w:rsidRPr="009F0760">
        <w:rPr>
          <w:rFonts w:ascii="Arial" w:hAnsi="Arial" w:cs="Arial"/>
          <w:color w:val="000000"/>
        </w:rPr>
        <w:t>11 allows diagnosis based on rapid weight loss or failure to gain expected weight in children/adolescents.</w:t>
      </w:r>
    </w:p>
    <w:p w14:paraId="170C3EBC" w14:textId="7568D913" w:rsidR="009F0760" w:rsidRPr="009F0760" w:rsidRDefault="009F0760" w:rsidP="009F0760">
      <w:pPr>
        <w:pStyle w:val="NormalWeb"/>
        <w:rPr>
          <w:rFonts w:ascii="Arial" w:hAnsi="Arial" w:cs="Arial"/>
          <w:color w:val="000000"/>
        </w:rPr>
      </w:pPr>
    </w:p>
    <w:p w14:paraId="403ED304" w14:textId="4B6FFDDE" w:rsidR="009F0760" w:rsidRPr="009F0760" w:rsidRDefault="009F0760" w:rsidP="009F0760">
      <w:pPr>
        <w:pStyle w:val="NormalWeb"/>
        <w:rPr>
          <w:rFonts w:ascii="Arial" w:hAnsi="Arial" w:cs="Arial"/>
          <w:color w:val="000000"/>
        </w:rPr>
      </w:pPr>
      <w:r w:rsidRPr="009F0760">
        <w:rPr>
          <w:rFonts w:ascii="Arial" w:hAnsi="Arial" w:cs="Arial"/>
          <w:color w:val="000000"/>
        </w:rPr>
        <w:t>Both systems use “disorder” rather than “illness” or “</w:t>
      </w:r>
      <w:r w:rsidR="000171FC" w:rsidRPr="009F0760">
        <w:rPr>
          <w:rFonts w:ascii="Arial" w:hAnsi="Arial" w:cs="Arial"/>
          <w:color w:val="000000"/>
        </w:rPr>
        <w:t>condition. “Debate</w:t>
      </w:r>
      <w:r w:rsidRPr="009F0760">
        <w:rPr>
          <w:rFonts w:ascii="Arial" w:hAnsi="Arial" w:cs="Arial"/>
          <w:color w:val="000000"/>
        </w:rPr>
        <w:t xml:space="preserve">: </w:t>
      </w:r>
      <w:proofErr w:type="gramStart"/>
      <w:r w:rsidR="00DC608D">
        <w:rPr>
          <w:rFonts w:ascii="Arial" w:hAnsi="Arial" w:cs="Arial"/>
          <w:color w:val="000000"/>
        </w:rPr>
        <w:t>Scholars</w:t>
      </w:r>
      <w:proofErr w:type="gramEnd"/>
      <w:r w:rsidRPr="009F0760">
        <w:rPr>
          <w:rFonts w:ascii="Arial" w:hAnsi="Arial" w:cs="Arial"/>
          <w:color w:val="000000"/>
        </w:rPr>
        <w:t xml:space="preserve"> question whether “disorder” </w:t>
      </w:r>
      <w:r w:rsidR="00343B65">
        <w:rPr>
          <w:rFonts w:ascii="Arial" w:hAnsi="Arial" w:cs="Arial"/>
          <w:color w:val="000000"/>
        </w:rPr>
        <w:t>medicalises</w:t>
      </w:r>
      <w:r w:rsidRPr="009F0760">
        <w:rPr>
          <w:rFonts w:ascii="Arial" w:hAnsi="Arial" w:cs="Arial"/>
          <w:color w:val="000000"/>
        </w:rPr>
        <w:t xml:space="preserve"> what may partly be sociocultural phenomena, while others argue it ensures seriousness and clinical recognition.</w:t>
      </w:r>
      <w:r w:rsidR="000171FC">
        <w:rPr>
          <w:rFonts w:ascii="Arial" w:hAnsi="Arial" w:cs="Arial"/>
          <w:color w:val="000000"/>
        </w:rPr>
        <w:t xml:space="preserve"> </w:t>
      </w:r>
      <w:r w:rsidRPr="009F0760">
        <w:rPr>
          <w:rFonts w:ascii="Arial" w:hAnsi="Arial" w:cs="Arial"/>
          <w:color w:val="000000"/>
        </w:rPr>
        <w:t>Overlap with other diagnoses:</w:t>
      </w:r>
      <w:r w:rsidR="000171FC">
        <w:rPr>
          <w:rFonts w:ascii="Arial" w:hAnsi="Arial" w:cs="Arial"/>
          <w:color w:val="000000"/>
        </w:rPr>
        <w:t xml:space="preserve"> </w:t>
      </w:r>
      <w:r w:rsidRPr="009F0760">
        <w:rPr>
          <w:rFonts w:ascii="Arial" w:hAnsi="Arial" w:cs="Arial"/>
          <w:color w:val="000000"/>
        </w:rPr>
        <w:t>Ongoing debate about boundaries between anorexia nervosa, avoidant/restrictive food intake disorder (ARFID), and bodily distress disorder.</w:t>
      </w:r>
      <w:r w:rsidR="000171FC">
        <w:rPr>
          <w:rFonts w:ascii="Arial" w:hAnsi="Arial" w:cs="Arial"/>
          <w:color w:val="000000"/>
        </w:rPr>
        <w:t xml:space="preserve"> </w:t>
      </w:r>
      <w:r w:rsidRPr="009F0760">
        <w:rPr>
          <w:rFonts w:ascii="Arial" w:hAnsi="Arial" w:cs="Arial"/>
          <w:color w:val="000000"/>
        </w:rPr>
        <w:t>Critics highlight diagnostic instability and the risk of misclassification, especially in adolescents and culturally diverse populations.</w:t>
      </w:r>
      <w:r w:rsidR="00576DA6" w:rsidRPr="00576DA6">
        <w:rPr>
          <w:rFonts w:ascii="Roboto" w:hAnsi="Roboto"/>
          <w:color w:val="2C3E50"/>
          <w:sz w:val="23"/>
          <w:szCs w:val="23"/>
          <w:shd w:val="clear" w:color="auto" w:fill="FFFFFF"/>
        </w:rPr>
        <w:t xml:space="preserve"> </w:t>
      </w:r>
      <w:r w:rsidR="00576DA6">
        <w:rPr>
          <w:rFonts w:ascii="Roboto" w:hAnsi="Roboto"/>
          <w:color w:val="2C3E50"/>
          <w:sz w:val="23"/>
          <w:szCs w:val="23"/>
          <w:shd w:val="clear" w:color="auto" w:fill="FFFFFF"/>
        </w:rPr>
        <w:t> (Journal of Eating Disorders, n.d.).</w:t>
      </w:r>
    </w:p>
    <w:p w14:paraId="303116A9" w14:textId="78E2002C" w:rsidR="008A6D32" w:rsidRPr="00322091" w:rsidRDefault="008A6D32" w:rsidP="000171FC">
      <w:pPr>
        <w:pStyle w:val="NormalWeb"/>
        <w:rPr>
          <w:rStyle w:val="apple-converted-space"/>
          <w:rFonts w:ascii="Arial" w:hAnsi="Arial" w:cs="Arial"/>
          <w:color w:val="000000"/>
        </w:rPr>
      </w:pPr>
      <w:r w:rsidRPr="008A6D32">
        <w:rPr>
          <w:rFonts w:ascii="Arial" w:hAnsi="Arial" w:cs="Arial"/>
          <w:color w:val="000000"/>
        </w:rPr>
        <w:t>Consider the impact of these debates on practice and policy.</w:t>
      </w:r>
      <w:r w:rsidRPr="008A6D32">
        <w:rPr>
          <w:rStyle w:val="apple-converted-space"/>
          <w:rFonts w:ascii="Arial" w:eastAsiaTheme="majorEastAsia" w:hAnsi="Arial" w:cs="Arial"/>
          <w:color w:val="000000"/>
        </w:rPr>
        <w:t> </w:t>
      </w:r>
    </w:p>
    <w:p w14:paraId="7CE11E2A" w14:textId="575112A1" w:rsidR="00FC0CA8" w:rsidRPr="00FC0CA8" w:rsidRDefault="0067227D" w:rsidP="00FC0CA8">
      <w:pPr>
        <w:pStyle w:val="NormalWeb"/>
        <w:rPr>
          <w:rFonts w:ascii="Arial" w:hAnsi="Arial" w:cs="Arial"/>
          <w:color w:val="000000"/>
        </w:rPr>
      </w:pPr>
      <w:r w:rsidRPr="0067227D">
        <w:rPr>
          <w:rFonts w:ascii="Arial" w:hAnsi="Arial" w:cs="Arial"/>
          <w:color w:val="000000"/>
        </w:rPr>
        <w:t>Broader ICD</w:t>
      </w:r>
      <w:r w:rsidRPr="0067227D">
        <w:rPr>
          <w:rFonts w:ascii="Cambria Math" w:hAnsi="Cambria Math" w:cs="Cambria Math"/>
          <w:color w:val="000000"/>
        </w:rPr>
        <w:t>‑</w:t>
      </w:r>
      <w:r w:rsidRPr="0067227D">
        <w:rPr>
          <w:rFonts w:ascii="Arial" w:hAnsi="Arial" w:cs="Arial"/>
          <w:color w:val="000000"/>
        </w:rPr>
        <w:t>11 criteria (e.g., rapid weight loss, failure to gain expected weight) encourage earlier detection and intervention, especially in adolescents and atypical cases.</w:t>
      </w:r>
      <w:r w:rsidR="00C927CE">
        <w:rPr>
          <w:rFonts w:ascii="Arial" w:hAnsi="Arial" w:cs="Arial"/>
          <w:color w:val="000000"/>
        </w:rPr>
        <w:t xml:space="preserve"> </w:t>
      </w:r>
      <w:r w:rsidRPr="0067227D">
        <w:rPr>
          <w:rFonts w:ascii="Arial" w:hAnsi="Arial" w:cs="Arial"/>
          <w:color w:val="000000"/>
        </w:rPr>
        <w:t xml:space="preserve">Debate impact: Clinicians must balance inclusivity with diagnostic precision, leading to increased training needs and potential shifts in referral </w:t>
      </w:r>
      <w:r w:rsidR="00C927CE" w:rsidRPr="0067227D">
        <w:rPr>
          <w:rFonts w:ascii="Arial" w:hAnsi="Arial" w:cs="Arial"/>
          <w:color w:val="000000"/>
        </w:rPr>
        <w:t>thresholds. Treatment</w:t>
      </w:r>
      <w:r w:rsidRPr="0067227D">
        <w:rPr>
          <w:rFonts w:ascii="Arial" w:hAnsi="Arial" w:cs="Arial"/>
          <w:color w:val="000000"/>
        </w:rPr>
        <w:t xml:space="preserve"> </w:t>
      </w:r>
      <w:r w:rsidR="00C927CE">
        <w:rPr>
          <w:rFonts w:ascii="Arial" w:hAnsi="Arial" w:cs="Arial"/>
          <w:color w:val="000000"/>
        </w:rPr>
        <w:t>Approaches: Family-Based</w:t>
      </w:r>
      <w:r w:rsidRPr="0067227D">
        <w:rPr>
          <w:rFonts w:ascii="Arial" w:hAnsi="Arial" w:cs="Arial"/>
          <w:color w:val="000000"/>
        </w:rPr>
        <w:t xml:space="preserve"> Therapy vs. </w:t>
      </w:r>
      <w:r w:rsidR="00C927CE">
        <w:rPr>
          <w:rFonts w:ascii="Arial" w:hAnsi="Arial" w:cs="Arial"/>
          <w:color w:val="000000"/>
        </w:rPr>
        <w:t xml:space="preserve">Individual </w:t>
      </w:r>
      <w:r w:rsidR="00FC0CA8">
        <w:rPr>
          <w:rFonts w:ascii="Arial" w:hAnsi="Arial" w:cs="Arial"/>
          <w:color w:val="000000"/>
        </w:rPr>
        <w:t>Autonomy</w:t>
      </w:r>
      <w:r w:rsidR="00FC0CA8" w:rsidRPr="0067227D">
        <w:rPr>
          <w:rFonts w:ascii="Arial" w:hAnsi="Arial" w:cs="Arial"/>
          <w:color w:val="000000"/>
        </w:rPr>
        <w:t>: In</w:t>
      </w:r>
      <w:r w:rsidRPr="0067227D">
        <w:rPr>
          <w:rFonts w:ascii="Arial" w:hAnsi="Arial" w:cs="Arial"/>
          <w:color w:val="000000"/>
        </w:rPr>
        <w:t xml:space="preserve"> practice, services must decide whether to </w:t>
      </w:r>
      <w:r w:rsidR="00C927CE">
        <w:rPr>
          <w:rFonts w:ascii="Arial" w:hAnsi="Arial" w:cs="Arial"/>
          <w:color w:val="000000"/>
        </w:rPr>
        <w:t>prioritise</w:t>
      </w:r>
      <w:r w:rsidRPr="0067227D">
        <w:rPr>
          <w:rFonts w:ascii="Arial" w:hAnsi="Arial" w:cs="Arial"/>
          <w:color w:val="000000"/>
        </w:rPr>
        <w:t xml:space="preserve"> family involvement (especially in youth) or patient</w:t>
      </w:r>
      <w:r w:rsidRPr="0067227D">
        <w:rPr>
          <w:rFonts w:ascii="Cambria Math" w:hAnsi="Cambria Math" w:cs="Cambria Math"/>
          <w:color w:val="000000"/>
        </w:rPr>
        <w:t>‑</w:t>
      </w:r>
      <w:r w:rsidRPr="0067227D">
        <w:rPr>
          <w:rFonts w:ascii="Arial" w:hAnsi="Arial" w:cs="Arial"/>
          <w:color w:val="000000"/>
        </w:rPr>
        <w:t>centred autonomy.</w:t>
      </w:r>
      <w:r w:rsidR="00FC0CA8" w:rsidRPr="00FC0CA8">
        <w:t xml:space="preserve"> </w:t>
      </w:r>
      <w:r w:rsidR="00FC0CA8" w:rsidRPr="00FC0CA8">
        <w:rPr>
          <w:rFonts w:ascii="Arial" w:hAnsi="Arial" w:cs="Arial"/>
          <w:color w:val="000000"/>
        </w:rPr>
        <w:t>Policies increasingly support family</w:t>
      </w:r>
      <w:r w:rsidR="00FC0CA8" w:rsidRPr="00FC0CA8">
        <w:rPr>
          <w:rFonts w:ascii="Cambria Math" w:hAnsi="Cambria Math" w:cs="Cambria Math"/>
          <w:color w:val="000000"/>
        </w:rPr>
        <w:t>‑</w:t>
      </w:r>
      <w:r w:rsidR="00FC0CA8" w:rsidRPr="00FC0CA8">
        <w:rPr>
          <w:rFonts w:ascii="Arial" w:hAnsi="Arial" w:cs="Arial"/>
          <w:color w:val="000000"/>
        </w:rPr>
        <w:t xml:space="preserve">based models, but adult services remain fragmented. Weight restoration vs. psychological recovery: Clinical teams face pressure to </w:t>
      </w:r>
      <w:r w:rsidR="00FC0CA8">
        <w:rPr>
          <w:rFonts w:ascii="Arial" w:hAnsi="Arial" w:cs="Arial"/>
          <w:color w:val="000000"/>
        </w:rPr>
        <w:t>prioritise</w:t>
      </w:r>
      <w:r w:rsidR="00FC0CA8" w:rsidRPr="00FC0CA8">
        <w:rPr>
          <w:rFonts w:ascii="Arial" w:hAnsi="Arial" w:cs="Arial"/>
          <w:color w:val="000000"/>
        </w:rPr>
        <w:t xml:space="preserve"> medical </w:t>
      </w:r>
      <w:r w:rsidR="00FC0CA8">
        <w:rPr>
          <w:rFonts w:ascii="Arial" w:hAnsi="Arial" w:cs="Arial"/>
          <w:color w:val="000000"/>
        </w:rPr>
        <w:t>stabilisation</w:t>
      </w:r>
      <w:r w:rsidR="00FC0CA8" w:rsidRPr="00FC0CA8">
        <w:rPr>
          <w:rFonts w:ascii="Arial" w:hAnsi="Arial" w:cs="Arial"/>
          <w:color w:val="000000"/>
        </w:rPr>
        <w:t>, sometimes at the expense of therapeutic engagement.</w:t>
      </w:r>
      <w:r w:rsidR="00FC0CA8">
        <w:rPr>
          <w:rFonts w:ascii="Arial" w:hAnsi="Arial" w:cs="Arial"/>
          <w:color w:val="000000"/>
        </w:rPr>
        <w:t xml:space="preserve"> </w:t>
      </w:r>
      <w:r w:rsidR="00FC0CA8" w:rsidRPr="00FC0CA8">
        <w:rPr>
          <w:rFonts w:ascii="Arial" w:hAnsi="Arial" w:cs="Arial"/>
          <w:color w:val="000000"/>
        </w:rPr>
        <w:t>This debate influences inpatient admission criteria and discharge planning.</w:t>
      </w:r>
      <w:r w:rsidR="00E83B9A" w:rsidRPr="00E83B9A">
        <w:rPr>
          <w:rFonts w:ascii="Roboto" w:hAnsi="Roboto"/>
          <w:color w:val="2C3E50"/>
          <w:sz w:val="23"/>
          <w:szCs w:val="23"/>
          <w:shd w:val="clear" w:color="auto" w:fill="FFFFFF"/>
        </w:rPr>
        <w:t xml:space="preserve"> </w:t>
      </w:r>
      <w:r w:rsidR="00E83B9A">
        <w:rPr>
          <w:rFonts w:ascii="Roboto" w:hAnsi="Roboto"/>
          <w:color w:val="2C3E50"/>
          <w:sz w:val="23"/>
          <w:szCs w:val="23"/>
          <w:shd w:val="clear" w:color="auto" w:fill="FFFFFF"/>
        </w:rPr>
        <w:t>(SpringerLink, 2019).</w:t>
      </w:r>
    </w:p>
    <w:p w14:paraId="4E044E3A" w14:textId="6CA0934D" w:rsidR="0067227D" w:rsidRDefault="00FC0CA8" w:rsidP="00FC0CA8">
      <w:pPr>
        <w:pStyle w:val="NormalWeb"/>
        <w:rPr>
          <w:rFonts w:ascii="Arial" w:hAnsi="Arial" w:cs="Arial"/>
          <w:color w:val="000000"/>
        </w:rPr>
      </w:pPr>
      <w:r w:rsidRPr="00FC0CA8">
        <w:rPr>
          <w:rFonts w:ascii="Arial" w:hAnsi="Arial" w:cs="Arial"/>
          <w:color w:val="000000"/>
        </w:rPr>
        <w:t>Multidisciplinary Care</w:t>
      </w:r>
    </w:p>
    <w:p w14:paraId="6A68E2CD" w14:textId="77777777" w:rsidR="00A36802" w:rsidRPr="00A36802" w:rsidRDefault="00A36802" w:rsidP="00A36802">
      <w:pPr>
        <w:pStyle w:val="NormalWeb"/>
        <w:rPr>
          <w:rFonts w:ascii="Arial" w:hAnsi="Arial" w:cs="Arial"/>
          <w:color w:val="000000"/>
        </w:rPr>
      </w:pPr>
      <w:r w:rsidRPr="00A36802">
        <w:rPr>
          <w:rFonts w:ascii="Arial" w:hAnsi="Arial" w:cs="Arial"/>
          <w:color w:val="000000"/>
        </w:rPr>
        <w:t>Ongoing debates reinforce the need for integrated teams (psychiatry, dietetics, psychology, social work).</w:t>
      </w:r>
    </w:p>
    <w:p w14:paraId="33A6A22F" w14:textId="07E76EA8" w:rsidR="00A36802" w:rsidRDefault="00A36802" w:rsidP="00A36802">
      <w:pPr>
        <w:pStyle w:val="NormalWeb"/>
        <w:rPr>
          <w:rFonts w:ascii="Arial" w:hAnsi="Arial" w:cs="Arial"/>
          <w:color w:val="000000"/>
        </w:rPr>
      </w:pPr>
      <w:r w:rsidRPr="00A36802">
        <w:rPr>
          <w:rFonts w:ascii="Arial" w:hAnsi="Arial" w:cs="Arial"/>
          <w:color w:val="000000"/>
        </w:rPr>
        <w:lastRenderedPageBreak/>
        <w:t>In practice, this requires resource allocation and workforce training, which are often limited in overstretched health systems.</w:t>
      </w:r>
      <w:r w:rsidR="00752572" w:rsidRPr="00752572">
        <w:t xml:space="preserve"> </w:t>
      </w:r>
      <w:r w:rsidR="00752572" w:rsidRPr="00752572">
        <w:rPr>
          <w:rFonts w:ascii="Arial" w:hAnsi="Arial" w:cs="Arial"/>
          <w:color w:val="000000"/>
        </w:rPr>
        <w:t>Debates over anorexia nervosa’s classification and treatment directly shape clinical thresholds, therapeutic models, and service design, while influencing policy decisions on funding, inclusivity, and innovation. Broader diagnostic criteria in ICD</w:t>
      </w:r>
      <w:r w:rsidR="00752572" w:rsidRPr="00752572">
        <w:rPr>
          <w:rFonts w:ascii="Cambria Math" w:hAnsi="Cambria Math" w:cs="Cambria Math"/>
          <w:color w:val="000000"/>
        </w:rPr>
        <w:t>‑</w:t>
      </w:r>
      <w:r w:rsidR="00752572" w:rsidRPr="00752572">
        <w:rPr>
          <w:rFonts w:ascii="Arial" w:hAnsi="Arial" w:cs="Arial"/>
          <w:color w:val="000000"/>
        </w:rPr>
        <w:t xml:space="preserve">11 promote earlier detection but raise concerns about </w:t>
      </w:r>
      <w:r w:rsidR="00F666D7">
        <w:rPr>
          <w:rFonts w:ascii="Arial" w:hAnsi="Arial" w:cs="Arial"/>
          <w:color w:val="000000"/>
        </w:rPr>
        <w:t>over-pathologisation</w:t>
      </w:r>
      <w:r w:rsidR="00752572" w:rsidRPr="00752572">
        <w:rPr>
          <w:rFonts w:ascii="Arial" w:hAnsi="Arial" w:cs="Arial"/>
          <w:color w:val="000000"/>
        </w:rPr>
        <w:t xml:space="preserve">. Treatment debates push policymakers to balance medical </w:t>
      </w:r>
      <w:r w:rsidR="00F666D7">
        <w:rPr>
          <w:rFonts w:ascii="Arial" w:hAnsi="Arial" w:cs="Arial"/>
          <w:color w:val="000000"/>
        </w:rPr>
        <w:t>stabilisation</w:t>
      </w:r>
      <w:r w:rsidR="00752572" w:rsidRPr="00752572">
        <w:rPr>
          <w:rFonts w:ascii="Arial" w:hAnsi="Arial" w:cs="Arial"/>
          <w:color w:val="000000"/>
        </w:rPr>
        <w:t xml:space="preserve"> with psychological recovery, and to invest in multidisciplinary, culturally sensitive, and technologically safe services. Ultimately, these debates highlight the tension between clinical precision, patient autonomy, and systemic resource constraints, making anorexia nervosa a focal point for evolving practice and policy in mental health care.</w:t>
      </w:r>
    </w:p>
    <w:p w14:paraId="3ADCCF12" w14:textId="77777777" w:rsidR="00752572" w:rsidRPr="008A6D32" w:rsidRDefault="00752572" w:rsidP="00A36802">
      <w:pPr>
        <w:pStyle w:val="NormalWeb"/>
        <w:rPr>
          <w:rFonts w:ascii="Arial" w:hAnsi="Arial" w:cs="Arial"/>
          <w:color w:val="000000"/>
        </w:rPr>
      </w:pPr>
    </w:p>
    <w:p w14:paraId="22EB9F7C" w14:textId="77777777" w:rsidR="008A6D32" w:rsidRPr="008A6D32" w:rsidRDefault="008A6D32" w:rsidP="008A6D32">
      <w:pPr>
        <w:pStyle w:val="NormalWeb"/>
        <w:rPr>
          <w:rFonts w:ascii="Arial" w:hAnsi="Arial" w:cs="Arial"/>
          <w:b/>
          <w:bCs/>
          <w:color w:val="000000"/>
        </w:rPr>
      </w:pPr>
    </w:p>
    <w:p w14:paraId="663F265C" w14:textId="180F6D95" w:rsidR="008A6D32" w:rsidRPr="008A6D32" w:rsidRDefault="008A6D32" w:rsidP="008A6D32">
      <w:pPr>
        <w:pStyle w:val="NormalWeb"/>
        <w:rPr>
          <w:rFonts w:ascii="Arial" w:hAnsi="Arial" w:cs="Arial"/>
          <w:b/>
          <w:bCs/>
          <w:color w:val="000000"/>
        </w:rPr>
      </w:pPr>
      <w:r w:rsidRPr="008A6D32">
        <w:rPr>
          <w:rFonts w:ascii="Arial" w:hAnsi="Arial" w:cs="Arial"/>
          <w:b/>
          <w:bCs/>
          <w:color w:val="000000"/>
        </w:rPr>
        <w:t>Recommendations:</w:t>
      </w:r>
      <w:r w:rsidRPr="008A6D32">
        <w:rPr>
          <w:rStyle w:val="apple-converted-space"/>
          <w:rFonts w:ascii="Arial" w:eastAsiaTheme="majorEastAsia" w:hAnsi="Arial" w:cs="Arial"/>
          <w:b/>
          <w:bCs/>
          <w:color w:val="000000"/>
        </w:rPr>
        <w:t> </w:t>
      </w:r>
    </w:p>
    <w:p w14:paraId="1FAF96E1" w14:textId="5010863A" w:rsidR="008A6D32" w:rsidRDefault="008A6D32" w:rsidP="008A6D32">
      <w:pPr>
        <w:pStyle w:val="NormalWeb"/>
        <w:rPr>
          <w:rStyle w:val="apple-converted-space"/>
          <w:rFonts w:ascii="Arial" w:eastAsiaTheme="majorEastAsia" w:hAnsi="Arial" w:cs="Arial"/>
          <w:color w:val="000000"/>
        </w:rPr>
      </w:pPr>
      <w:r w:rsidRPr="008A6D32">
        <w:rPr>
          <w:rFonts w:ascii="Arial" w:hAnsi="Arial" w:cs="Arial"/>
          <w:color w:val="000000"/>
        </w:rPr>
        <w:t>Provide well-reasoned recommendations for improving the classification, diagnosis, treatment, or rehabilitation of the selected condition.</w:t>
      </w:r>
      <w:r w:rsidRPr="008A6D32">
        <w:rPr>
          <w:rStyle w:val="apple-converted-space"/>
          <w:rFonts w:ascii="Arial" w:eastAsiaTheme="majorEastAsia" w:hAnsi="Arial" w:cs="Arial"/>
          <w:color w:val="000000"/>
        </w:rPr>
        <w:t> </w:t>
      </w:r>
    </w:p>
    <w:p w14:paraId="750D22A1" w14:textId="77777777" w:rsidR="00AE1DA2" w:rsidRDefault="00263641" w:rsidP="00263641">
      <w:pPr>
        <w:pStyle w:val="NormalWeb"/>
        <w:rPr>
          <w:rStyle w:val="apple-converted-space"/>
          <w:rFonts w:ascii="Arial" w:eastAsiaTheme="majorEastAsia" w:hAnsi="Arial" w:cs="Arial"/>
          <w:color w:val="000000"/>
        </w:rPr>
      </w:pPr>
      <w:r w:rsidRPr="00263641">
        <w:rPr>
          <w:rStyle w:val="apple-converted-space"/>
          <w:rFonts w:ascii="Arial" w:eastAsiaTheme="majorEastAsia" w:hAnsi="Arial" w:cs="Arial"/>
          <w:color w:val="000000"/>
        </w:rPr>
        <w:t>Improving outcomes in anorexia nervosa requires coordinated advances in nosology, clinical practice, and systemic rehabilitation.</w:t>
      </w:r>
    </w:p>
    <w:p w14:paraId="15605C89" w14:textId="44651616" w:rsidR="00263641" w:rsidRPr="00263641" w:rsidRDefault="00263641" w:rsidP="00AE1DA2">
      <w:pPr>
        <w:pStyle w:val="NormalWeb"/>
        <w:spacing w:line="276" w:lineRule="auto"/>
        <w:jc w:val="both"/>
        <w:rPr>
          <w:rStyle w:val="apple-converted-space"/>
          <w:rFonts w:ascii="Arial" w:eastAsiaTheme="majorEastAsia" w:hAnsi="Arial" w:cs="Arial"/>
          <w:color w:val="000000"/>
        </w:rPr>
      </w:pPr>
      <w:r w:rsidRPr="00263641">
        <w:rPr>
          <w:rStyle w:val="apple-converted-space"/>
          <w:rFonts w:ascii="Arial" w:eastAsiaTheme="majorEastAsia" w:hAnsi="Arial" w:cs="Arial"/>
          <w:color w:val="000000"/>
        </w:rPr>
        <w:t xml:space="preserve"> First, classification systems should continue to refine diagnostic thresholds to balance inclusivity with precision. ICD</w:t>
      </w:r>
      <w:r w:rsidRPr="00263641">
        <w:rPr>
          <w:rStyle w:val="apple-converted-space"/>
          <w:rFonts w:ascii="Cambria Math" w:eastAsiaTheme="majorEastAsia" w:hAnsi="Cambria Math" w:cs="Cambria Math"/>
          <w:color w:val="000000"/>
        </w:rPr>
        <w:t>‑</w:t>
      </w:r>
      <w:r w:rsidRPr="00263641">
        <w:rPr>
          <w:rStyle w:val="apple-converted-space"/>
          <w:rFonts w:ascii="Arial" w:eastAsiaTheme="majorEastAsia" w:hAnsi="Arial" w:cs="Arial"/>
          <w:color w:val="000000"/>
        </w:rPr>
        <w:t xml:space="preserve">11’s recognition of rapid weight loss and failure to gain expected weight is a step forward, yet further research is needed to validate these criteria across diverse cultural and developmental contexts. </w:t>
      </w:r>
      <w:r w:rsidR="001A67A1">
        <w:rPr>
          <w:rStyle w:val="apple-converted-space"/>
          <w:rFonts w:ascii="Arial" w:eastAsiaTheme="majorEastAsia" w:hAnsi="Arial" w:cs="Arial"/>
          <w:color w:val="000000"/>
        </w:rPr>
        <w:t>Harmonisation</w:t>
      </w:r>
      <w:r w:rsidRPr="00263641">
        <w:rPr>
          <w:rStyle w:val="apple-converted-space"/>
          <w:rFonts w:ascii="Arial" w:eastAsiaTheme="majorEastAsia" w:hAnsi="Arial" w:cs="Arial"/>
          <w:color w:val="000000"/>
        </w:rPr>
        <w:t xml:space="preserve"> between ICD</w:t>
      </w:r>
      <w:r w:rsidRPr="00263641">
        <w:rPr>
          <w:rStyle w:val="apple-converted-space"/>
          <w:rFonts w:ascii="Cambria Math" w:eastAsiaTheme="majorEastAsia" w:hAnsi="Cambria Math" w:cs="Cambria Math"/>
          <w:color w:val="000000"/>
        </w:rPr>
        <w:t>‑</w:t>
      </w:r>
      <w:r w:rsidRPr="00263641">
        <w:rPr>
          <w:rStyle w:val="apple-converted-space"/>
          <w:rFonts w:ascii="Arial" w:eastAsiaTheme="majorEastAsia" w:hAnsi="Arial" w:cs="Arial"/>
          <w:color w:val="000000"/>
        </w:rPr>
        <w:t>11 and DSM</w:t>
      </w:r>
      <w:r w:rsidRPr="00263641">
        <w:rPr>
          <w:rStyle w:val="apple-converted-space"/>
          <w:rFonts w:ascii="Cambria Math" w:eastAsiaTheme="majorEastAsia" w:hAnsi="Cambria Math" w:cs="Cambria Math"/>
          <w:color w:val="000000"/>
        </w:rPr>
        <w:t>‑</w:t>
      </w:r>
      <w:r w:rsidRPr="00263641">
        <w:rPr>
          <w:rStyle w:val="apple-converted-space"/>
          <w:rFonts w:ascii="Arial" w:eastAsiaTheme="majorEastAsia" w:hAnsi="Arial" w:cs="Arial"/>
          <w:color w:val="000000"/>
        </w:rPr>
        <w:t>5 would enhance international comparability, reduce diagnostic instability, and support epidemiological surveillance.</w:t>
      </w:r>
    </w:p>
    <w:p w14:paraId="100F5876" w14:textId="0A23B338" w:rsidR="00263641" w:rsidRDefault="00263641" w:rsidP="00AE1DA2">
      <w:pPr>
        <w:pStyle w:val="NormalWeb"/>
        <w:spacing w:line="276" w:lineRule="auto"/>
        <w:jc w:val="both"/>
        <w:rPr>
          <w:rStyle w:val="apple-converted-space"/>
          <w:rFonts w:ascii="Arial" w:eastAsiaTheme="majorEastAsia" w:hAnsi="Arial" w:cs="Arial"/>
          <w:color w:val="000000"/>
        </w:rPr>
      </w:pPr>
      <w:r w:rsidRPr="00263641">
        <w:rPr>
          <w:rStyle w:val="apple-converted-space"/>
          <w:rFonts w:ascii="Arial" w:eastAsiaTheme="majorEastAsia" w:hAnsi="Arial" w:cs="Arial"/>
          <w:color w:val="000000"/>
        </w:rPr>
        <w:t xml:space="preserve">Second, diagnostic processes should integrate </w:t>
      </w:r>
      <w:r w:rsidR="001A67A1">
        <w:rPr>
          <w:rStyle w:val="apple-converted-space"/>
          <w:rFonts w:ascii="Arial" w:eastAsiaTheme="majorEastAsia" w:hAnsi="Arial" w:cs="Arial"/>
          <w:color w:val="000000"/>
        </w:rPr>
        <w:t>standardised</w:t>
      </w:r>
      <w:r w:rsidRPr="00263641">
        <w:rPr>
          <w:rStyle w:val="apple-converted-space"/>
          <w:rFonts w:ascii="Arial" w:eastAsiaTheme="majorEastAsia" w:hAnsi="Arial" w:cs="Arial"/>
          <w:color w:val="000000"/>
        </w:rPr>
        <w:t xml:space="preserve"> screening tools within primary care and educational settings to facilitate early detection. Clinicians must be trained to </w:t>
      </w:r>
      <w:r w:rsidR="001A67A1">
        <w:rPr>
          <w:rStyle w:val="apple-converted-space"/>
          <w:rFonts w:ascii="Arial" w:eastAsiaTheme="majorEastAsia" w:hAnsi="Arial" w:cs="Arial"/>
          <w:color w:val="000000"/>
        </w:rPr>
        <w:t>recognise</w:t>
      </w:r>
      <w:r w:rsidRPr="00263641">
        <w:rPr>
          <w:rStyle w:val="apple-converted-space"/>
          <w:rFonts w:ascii="Arial" w:eastAsiaTheme="majorEastAsia" w:hAnsi="Arial" w:cs="Arial"/>
          <w:color w:val="000000"/>
        </w:rPr>
        <w:t xml:space="preserve"> atypical presentations, particularly in individuals who are not underweight but exhibit severe psychopathology. Incorporating culturally sensitive assessment frameworks would mitigate underdiagnosis in non</w:t>
      </w:r>
      <w:r w:rsidRPr="00263641">
        <w:rPr>
          <w:rStyle w:val="apple-converted-space"/>
          <w:rFonts w:ascii="Cambria Math" w:eastAsiaTheme="majorEastAsia" w:hAnsi="Cambria Math" w:cs="Cambria Math"/>
          <w:color w:val="000000"/>
        </w:rPr>
        <w:t>‑</w:t>
      </w:r>
      <w:r w:rsidRPr="00263641">
        <w:rPr>
          <w:rStyle w:val="apple-converted-space"/>
          <w:rFonts w:ascii="Arial" w:eastAsiaTheme="majorEastAsia" w:hAnsi="Arial" w:cs="Arial"/>
          <w:color w:val="000000"/>
        </w:rPr>
        <w:t xml:space="preserve">Western populations and </w:t>
      </w:r>
      <w:r w:rsidR="001A67A1">
        <w:rPr>
          <w:rStyle w:val="apple-converted-space"/>
          <w:rFonts w:ascii="Arial" w:eastAsiaTheme="majorEastAsia" w:hAnsi="Arial" w:cs="Arial"/>
          <w:color w:val="000000"/>
        </w:rPr>
        <w:t>marginalised</w:t>
      </w:r>
      <w:r w:rsidRPr="00263641">
        <w:rPr>
          <w:rStyle w:val="apple-converted-space"/>
          <w:rFonts w:ascii="Arial" w:eastAsiaTheme="majorEastAsia" w:hAnsi="Arial" w:cs="Arial"/>
          <w:color w:val="000000"/>
        </w:rPr>
        <w:t xml:space="preserve"> groups.</w:t>
      </w:r>
    </w:p>
    <w:p w14:paraId="25FB5C9F" w14:textId="77777777" w:rsidR="002617E3" w:rsidRPr="002617E3" w:rsidRDefault="002617E3" w:rsidP="00AE1DA2">
      <w:pPr>
        <w:pStyle w:val="NormalWeb"/>
        <w:spacing w:line="276" w:lineRule="auto"/>
        <w:jc w:val="both"/>
        <w:rPr>
          <w:rStyle w:val="apple-converted-space"/>
          <w:rFonts w:ascii="Arial" w:eastAsiaTheme="majorEastAsia" w:hAnsi="Arial" w:cs="Arial"/>
          <w:color w:val="000000"/>
        </w:rPr>
      </w:pPr>
      <w:r w:rsidRPr="002617E3">
        <w:rPr>
          <w:rStyle w:val="apple-converted-space"/>
          <w:rFonts w:ascii="Arial" w:eastAsiaTheme="majorEastAsia" w:hAnsi="Arial" w:cs="Arial"/>
          <w:color w:val="000000"/>
        </w:rPr>
        <w:t>Third, treatment pathways should prioritize multidisciplinary models that combine medical stabilization, nutritional rehabilitation, and psychological therapy. Family</w:t>
      </w:r>
      <w:r w:rsidRPr="002617E3">
        <w:rPr>
          <w:rStyle w:val="apple-converted-space"/>
          <w:rFonts w:ascii="Cambria Math" w:eastAsiaTheme="majorEastAsia" w:hAnsi="Cambria Math" w:cs="Cambria Math"/>
          <w:color w:val="000000"/>
        </w:rPr>
        <w:t>‑</w:t>
      </w:r>
      <w:r w:rsidRPr="002617E3">
        <w:rPr>
          <w:rStyle w:val="apple-converted-space"/>
          <w:rFonts w:ascii="Arial" w:eastAsiaTheme="majorEastAsia" w:hAnsi="Arial" w:cs="Arial"/>
          <w:color w:val="000000"/>
        </w:rPr>
        <w:t>based therapy remains the gold standard for adolescents, but adult services require expansion of evidence</w:t>
      </w:r>
      <w:r w:rsidRPr="002617E3">
        <w:rPr>
          <w:rStyle w:val="apple-converted-space"/>
          <w:rFonts w:ascii="Cambria Math" w:eastAsiaTheme="majorEastAsia" w:hAnsi="Cambria Math" w:cs="Cambria Math"/>
          <w:color w:val="000000"/>
        </w:rPr>
        <w:t>‑</w:t>
      </w:r>
      <w:r w:rsidRPr="002617E3">
        <w:rPr>
          <w:rStyle w:val="apple-converted-space"/>
          <w:rFonts w:ascii="Arial" w:eastAsiaTheme="majorEastAsia" w:hAnsi="Arial" w:cs="Arial"/>
          <w:color w:val="000000"/>
        </w:rPr>
        <w:t>based modalities such as enhanced cognitive behavioural therapy. Greater investment in community</w:t>
      </w:r>
      <w:r w:rsidRPr="002617E3">
        <w:rPr>
          <w:rStyle w:val="apple-converted-space"/>
          <w:rFonts w:ascii="Cambria Math" w:eastAsiaTheme="majorEastAsia" w:hAnsi="Cambria Math" w:cs="Cambria Math"/>
          <w:color w:val="000000"/>
        </w:rPr>
        <w:t>‑</w:t>
      </w:r>
      <w:r w:rsidRPr="002617E3">
        <w:rPr>
          <w:rStyle w:val="apple-converted-space"/>
          <w:rFonts w:ascii="Arial" w:eastAsiaTheme="majorEastAsia" w:hAnsi="Arial" w:cs="Arial"/>
          <w:color w:val="000000"/>
        </w:rPr>
        <w:t>based care could reduce reliance on costly inpatient admissions and improve continuity of support.</w:t>
      </w:r>
    </w:p>
    <w:p w14:paraId="371D0B24" w14:textId="77777777" w:rsidR="002617E3" w:rsidRPr="002617E3" w:rsidRDefault="002617E3" w:rsidP="00AE1DA2">
      <w:pPr>
        <w:pStyle w:val="NormalWeb"/>
        <w:spacing w:line="276" w:lineRule="auto"/>
        <w:jc w:val="both"/>
        <w:rPr>
          <w:rStyle w:val="apple-converted-space"/>
          <w:rFonts w:ascii="Arial" w:eastAsiaTheme="majorEastAsia" w:hAnsi="Arial" w:cs="Arial"/>
          <w:color w:val="000000"/>
        </w:rPr>
      </w:pPr>
      <w:r w:rsidRPr="002617E3">
        <w:rPr>
          <w:rStyle w:val="apple-converted-space"/>
          <w:rFonts w:ascii="Arial" w:eastAsiaTheme="majorEastAsia" w:hAnsi="Arial" w:cs="Arial"/>
          <w:color w:val="000000"/>
        </w:rPr>
        <w:t>Finally, rehabilitation strategies must extend beyond weight restoration to encompass psychosocial reintegration, relapse prevention, and long</w:t>
      </w:r>
      <w:r w:rsidRPr="002617E3">
        <w:rPr>
          <w:rStyle w:val="apple-converted-space"/>
          <w:rFonts w:ascii="Cambria Math" w:eastAsiaTheme="majorEastAsia" w:hAnsi="Cambria Math" w:cs="Cambria Math"/>
          <w:color w:val="000000"/>
        </w:rPr>
        <w:t>‑</w:t>
      </w:r>
      <w:r w:rsidRPr="002617E3">
        <w:rPr>
          <w:rStyle w:val="apple-converted-space"/>
          <w:rFonts w:ascii="Arial" w:eastAsiaTheme="majorEastAsia" w:hAnsi="Arial" w:cs="Arial"/>
          <w:color w:val="000000"/>
        </w:rPr>
        <w:t xml:space="preserve">term monitoring. Policies </w:t>
      </w:r>
      <w:r w:rsidRPr="002617E3">
        <w:rPr>
          <w:rStyle w:val="apple-converted-space"/>
          <w:rFonts w:ascii="Arial" w:eastAsiaTheme="majorEastAsia" w:hAnsi="Arial" w:cs="Arial"/>
          <w:color w:val="000000"/>
        </w:rPr>
        <w:lastRenderedPageBreak/>
        <w:t>should promote recovery</w:t>
      </w:r>
      <w:r w:rsidRPr="002617E3">
        <w:rPr>
          <w:rStyle w:val="apple-converted-space"/>
          <w:rFonts w:ascii="Cambria Math" w:eastAsiaTheme="majorEastAsia" w:hAnsi="Cambria Math" w:cs="Cambria Math"/>
          <w:color w:val="000000"/>
        </w:rPr>
        <w:t>‑</w:t>
      </w:r>
      <w:r w:rsidRPr="002617E3">
        <w:rPr>
          <w:rStyle w:val="apple-converted-space"/>
          <w:rFonts w:ascii="Arial" w:eastAsiaTheme="majorEastAsia" w:hAnsi="Arial" w:cs="Arial"/>
          <w:color w:val="000000"/>
        </w:rPr>
        <w:t>oriented language to reduce stigma, alongside digital innovations that enhance accessibility while safeguarding patient privacy. Embedding rehabilitation within broader social care frameworks would strengthen resilience and improve quality of life.</w:t>
      </w:r>
    </w:p>
    <w:p w14:paraId="02B1A743" w14:textId="23A6A162" w:rsidR="002617E3" w:rsidRDefault="002617E3" w:rsidP="002617E3">
      <w:pPr>
        <w:pStyle w:val="NormalWeb"/>
        <w:rPr>
          <w:rStyle w:val="apple-converted-space"/>
          <w:rFonts w:ascii="Arial" w:eastAsiaTheme="majorEastAsia" w:hAnsi="Arial" w:cs="Arial"/>
          <w:color w:val="000000"/>
        </w:rPr>
      </w:pPr>
      <w:r w:rsidRPr="002617E3">
        <w:rPr>
          <w:rStyle w:val="apple-converted-space"/>
          <w:rFonts w:ascii="Arial" w:eastAsiaTheme="majorEastAsia" w:hAnsi="Arial" w:cs="Arial"/>
          <w:color w:val="000000"/>
        </w:rPr>
        <w:t xml:space="preserve">In sum, advancing classification, diagnosis, treatment, and rehabilitation </w:t>
      </w:r>
      <w:r w:rsidR="000147A6" w:rsidRPr="002617E3">
        <w:rPr>
          <w:rStyle w:val="apple-converted-space"/>
          <w:rFonts w:ascii="Arial" w:eastAsiaTheme="majorEastAsia" w:hAnsi="Arial" w:cs="Arial"/>
          <w:color w:val="000000"/>
        </w:rPr>
        <w:t>demand</w:t>
      </w:r>
      <w:r w:rsidRPr="002617E3">
        <w:rPr>
          <w:rStyle w:val="apple-converted-space"/>
          <w:rFonts w:ascii="Arial" w:eastAsiaTheme="majorEastAsia" w:hAnsi="Arial" w:cs="Arial"/>
          <w:color w:val="000000"/>
        </w:rPr>
        <w:t xml:space="preserve"> integrated, culturally sensitive, and recovery</w:t>
      </w:r>
      <w:r w:rsidRPr="002617E3">
        <w:rPr>
          <w:rStyle w:val="apple-converted-space"/>
          <w:rFonts w:ascii="Cambria Math" w:eastAsiaTheme="majorEastAsia" w:hAnsi="Cambria Math" w:cs="Cambria Math"/>
          <w:color w:val="000000"/>
        </w:rPr>
        <w:t>‑</w:t>
      </w:r>
      <w:r w:rsidRPr="002617E3">
        <w:rPr>
          <w:rStyle w:val="apple-converted-space"/>
          <w:rFonts w:ascii="Arial" w:eastAsiaTheme="majorEastAsia" w:hAnsi="Arial" w:cs="Arial"/>
          <w:color w:val="000000"/>
        </w:rPr>
        <w:t>focused approaches that align clinical precision with patient</w:t>
      </w:r>
      <w:r w:rsidRPr="002617E3">
        <w:rPr>
          <w:rStyle w:val="apple-converted-space"/>
          <w:rFonts w:ascii="Cambria Math" w:eastAsiaTheme="majorEastAsia" w:hAnsi="Cambria Math" w:cs="Cambria Math"/>
          <w:color w:val="000000"/>
        </w:rPr>
        <w:t>‑</w:t>
      </w:r>
      <w:r w:rsidRPr="002617E3">
        <w:rPr>
          <w:rStyle w:val="apple-converted-space"/>
          <w:rFonts w:ascii="Arial" w:eastAsiaTheme="majorEastAsia" w:hAnsi="Arial" w:cs="Arial"/>
          <w:color w:val="000000"/>
        </w:rPr>
        <w:t>centred care.</w:t>
      </w:r>
      <w:r w:rsidR="000147A6" w:rsidRPr="000147A6">
        <w:rPr>
          <w:rFonts w:ascii="Roboto" w:hAnsi="Roboto"/>
          <w:color w:val="2C3E50"/>
          <w:sz w:val="23"/>
          <w:szCs w:val="23"/>
          <w:shd w:val="clear" w:color="auto" w:fill="FFFFFF"/>
        </w:rPr>
        <w:t xml:space="preserve"> </w:t>
      </w:r>
      <w:r w:rsidR="000147A6">
        <w:rPr>
          <w:rFonts w:ascii="Roboto" w:hAnsi="Roboto"/>
          <w:color w:val="2C3E50"/>
          <w:sz w:val="23"/>
          <w:szCs w:val="23"/>
          <w:shd w:val="clear" w:color="auto" w:fill="FFFFFF"/>
        </w:rPr>
        <w:t>(National Library of Medicine, 2025)</w:t>
      </w:r>
    </w:p>
    <w:p w14:paraId="12265773" w14:textId="77777777" w:rsidR="00263641" w:rsidRPr="008A6D32" w:rsidRDefault="00263641" w:rsidP="008A6D32">
      <w:pPr>
        <w:pStyle w:val="NormalWeb"/>
        <w:rPr>
          <w:rFonts w:ascii="Arial" w:hAnsi="Arial" w:cs="Arial"/>
          <w:color w:val="000000"/>
        </w:rPr>
      </w:pPr>
    </w:p>
    <w:p w14:paraId="2E3BE817" w14:textId="77777777" w:rsidR="008A6D32" w:rsidRDefault="008A6D32" w:rsidP="008A6D32">
      <w:pPr>
        <w:pStyle w:val="NormalWeb"/>
        <w:rPr>
          <w:rFonts w:ascii="Arial" w:hAnsi="Arial" w:cs="Arial"/>
          <w:color w:val="000000"/>
        </w:rPr>
      </w:pPr>
      <w:r w:rsidRPr="008A6D32">
        <w:rPr>
          <w:rFonts w:ascii="Arial" w:hAnsi="Arial" w:cs="Arial"/>
          <w:color w:val="000000"/>
        </w:rPr>
        <w:t>• Consider the implications of these recommendations for practice, policy, and further research.</w:t>
      </w:r>
    </w:p>
    <w:p w14:paraId="0261D5CE" w14:textId="77777777" w:rsidR="00B23A60" w:rsidRPr="00B23A60" w:rsidRDefault="00B23A60" w:rsidP="00B23A60">
      <w:pPr>
        <w:pStyle w:val="NormalWeb"/>
        <w:rPr>
          <w:rFonts w:ascii="Arial" w:hAnsi="Arial" w:cs="Arial"/>
          <w:color w:val="000000"/>
        </w:rPr>
      </w:pPr>
      <w:r w:rsidRPr="00B23A60">
        <w:rPr>
          <w:rFonts w:ascii="Arial" w:hAnsi="Arial" w:cs="Arial"/>
          <w:color w:val="000000"/>
        </w:rPr>
        <w:t>The recommendations outlined for improving the classification, diagnosis, treatment, and rehabilitation of anorexia nervosa carry significant implications across clinical practice, health policy, and research.</w:t>
      </w:r>
    </w:p>
    <w:p w14:paraId="7E53DF4D" w14:textId="77777777" w:rsidR="00B23A60" w:rsidRPr="00B23A60" w:rsidRDefault="00B23A60" w:rsidP="00B23A60">
      <w:pPr>
        <w:pStyle w:val="NormalWeb"/>
        <w:rPr>
          <w:rFonts w:ascii="Arial" w:hAnsi="Arial" w:cs="Arial"/>
          <w:color w:val="000000"/>
        </w:rPr>
      </w:pPr>
      <w:r w:rsidRPr="00B23A60">
        <w:rPr>
          <w:rFonts w:ascii="Arial" w:hAnsi="Arial" w:cs="Arial"/>
          <w:color w:val="000000"/>
        </w:rPr>
        <w:t>Practice: Refining diagnostic thresholds and integrating culturally sensitive frameworks would enable clinicians to identify anorexia nervosa earlier and more accurately, particularly in atypical or non</w:t>
      </w:r>
      <w:r w:rsidRPr="00B23A60">
        <w:rPr>
          <w:rFonts w:ascii="Cambria Math" w:hAnsi="Cambria Math" w:cs="Cambria Math"/>
          <w:color w:val="000000"/>
        </w:rPr>
        <w:t>‑</w:t>
      </w:r>
      <w:r w:rsidRPr="00B23A60">
        <w:rPr>
          <w:rFonts w:ascii="Arial" w:hAnsi="Arial" w:cs="Arial"/>
          <w:color w:val="000000"/>
        </w:rPr>
        <w:t>Western presentations. Standardized screening in primary care and educational settings would enhance early detection, while multidisciplinary treatment models would strengthen continuity of care. Emphasizing psychosocial rehabilitation alongside weight restoration ensures that practice moves beyond symptom management toward holistic recovery.</w:t>
      </w:r>
    </w:p>
    <w:p w14:paraId="4A2A5E25" w14:textId="72AA9844" w:rsidR="00B23A60" w:rsidRPr="008A6D32" w:rsidRDefault="00B23A60" w:rsidP="00B23A60">
      <w:pPr>
        <w:pStyle w:val="NormalWeb"/>
        <w:rPr>
          <w:rFonts w:ascii="Arial" w:hAnsi="Arial" w:cs="Arial"/>
          <w:color w:val="000000"/>
        </w:rPr>
      </w:pPr>
      <w:r w:rsidRPr="00B23A60">
        <w:rPr>
          <w:rFonts w:ascii="Arial" w:hAnsi="Arial" w:cs="Arial"/>
          <w:color w:val="000000"/>
        </w:rPr>
        <w:t>Policy: Harmonization of ICD</w:t>
      </w:r>
      <w:r w:rsidRPr="00B23A60">
        <w:rPr>
          <w:rFonts w:ascii="Cambria Math" w:hAnsi="Cambria Math" w:cs="Cambria Math"/>
          <w:color w:val="000000"/>
        </w:rPr>
        <w:t>‑</w:t>
      </w:r>
      <w:r w:rsidRPr="00B23A60">
        <w:rPr>
          <w:rFonts w:ascii="Arial" w:hAnsi="Arial" w:cs="Arial"/>
          <w:color w:val="000000"/>
        </w:rPr>
        <w:t>11 and DSM</w:t>
      </w:r>
      <w:r w:rsidRPr="00B23A60">
        <w:rPr>
          <w:rFonts w:ascii="Cambria Math" w:hAnsi="Cambria Math" w:cs="Cambria Math"/>
          <w:color w:val="000000"/>
        </w:rPr>
        <w:t>‑</w:t>
      </w:r>
      <w:r w:rsidRPr="00B23A60">
        <w:rPr>
          <w:rFonts w:ascii="Arial" w:hAnsi="Arial" w:cs="Arial"/>
          <w:color w:val="000000"/>
        </w:rPr>
        <w:t>5 criteria would improve international comparability, shaping prevalence data and resource allocation. Policymakers must respond to broader diagnostic definitions by expanding specialist services and investing in community</w:t>
      </w:r>
      <w:r w:rsidRPr="00B23A60">
        <w:rPr>
          <w:rFonts w:ascii="Cambria Math" w:hAnsi="Cambria Math" w:cs="Cambria Math"/>
          <w:color w:val="000000"/>
        </w:rPr>
        <w:t>‑</w:t>
      </w:r>
      <w:r w:rsidRPr="00B23A60">
        <w:rPr>
          <w:rFonts w:ascii="Arial" w:hAnsi="Arial" w:cs="Arial"/>
          <w:color w:val="000000"/>
        </w:rPr>
        <w:t>based care to reduce reliance on inpatient treatment. Recovery</w:t>
      </w:r>
      <w:r w:rsidRPr="00B23A60">
        <w:rPr>
          <w:rFonts w:ascii="Cambria Math" w:hAnsi="Cambria Math" w:cs="Cambria Math"/>
          <w:color w:val="000000"/>
        </w:rPr>
        <w:t>‑</w:t>
      </w:r>
      <w:r w:rsidRPr="00B23A60">
        <w:rPr>
          <w:rFonts w:ascii="Arial" w:hAnsi="Arial" w:cs="Arial"/>
          <w:color w:val="000000"/>
        </w:rPr>
        <w:t>oriented language and anti</w:t>
      </w:r>
      <w:r w:rsidRPr="00B23A60">
        <w:rPr>
          <w:rFonts w:ascii="Cambria Math" w:hAnsi="Cambria Math" w:cs="Cambria Math"/>
          <w:color w:val="000000"/>
        </w:rPr>
        <w:t>‑</w:t>
      </w:r>
      <w:r w:rsidRPr="00B23A60">
        <w:rPr>
          <w:rFonts w:ascii="Arial" w:hAnsi="Arial" w:cs="Arial"/>
          <w:color w:val="000000"/>
        </w:rPr>
        <w:t>stigma initiatives would promote inclusivity, while regulation of digital health tools must balance innovation with patient safety and privacy. These policy shifts would align service provision with contemporary debates on autonomy, cultural diversity, and long</w:t>
      </w:r>
      <w:r w:rsidRPr="00B23A60">
        <w:rPr>
          <w:rFonts w:ascii="Cambria Math" w:hAnsi="Cambria Math" w:cs="Cambria Math"/>
          <w:color w:val="000000"/>
        </w:rPr>
        <w:t>‑</w:t>
      </w:r>
      <w:r w:rsidRPr="00B23A60">
        <w:rPr>
          <w:rFonts w:ascii="Arial" w:hAnsi="Arial" w:cs="Arial"/>
          <w:color w:val="000000"/>
        </w:rPr>
        <w:t>term rehabilitation.</w:t>
      </w:r>
    </w:p>
    <w:p w14:paraId="1AECE137" w14:textId="77777777" w:rsidR="008A6D32" w:rsidRPr="008A6D32" w:rsidRDefault="008A6D32" w:rsidP="008A6D32">
      <w:pPr>
        <w:pStyle w:val="NormalWeb"/>
        <w:rPr>
          <w:rFonts w:ascii="Arial" w:hAnsi="Arial" w:cs="Arial"/>
          <w:color w:val="000000"/>
        </w:rPr>
      </w:pPr>
    </w:p>
    <w:p w14:paraId="75C42BB4" w14:textId="71763F0B" w:rsidR="008A6D32" w:rsidRDefault="008A6D32" w:rsidP="008A6D32">
      <w:pPr>
        <w:pStyle w:val="NormalWeb"/>
        <w:rPr>
          <w:rFonts w:ascii="Arial" w:hAnsi="Arial" w:cs="Arial"/>
          <w:b/>
          <w:bCs/>
          <w:color w:val="000000"/>
        </w:rPr>
      </w:pPr>
      <w:r w:rsidRPr="008A6D32">
        <w:rPr>
          <w:rFonts w:ascii="Arial" w:hAnsi="Arial" w:cs="Arial"/>
          <w:b/>
          <w:bCs/>
          <w:color w:val="000000"/>
        </w:rPr>
        <w:t>Conclusion</w:t>
      </w:r>
    </w:p>
    <w:p w14:paraId="38502E02" w14:textId="77777777" w:rsidR="002F0982" w:rsidRPr="002F0982" w:rsidRDefault="002F0982" w:rsidP="002F0982">
      <w:pPr>
        <w:pStyle w:val="NormalWeb"/>
        <w:rPr>
          <w:rFonts w:ascii="Arial" w:hAnsi="Arial" w:cs="Arial"/>
          <w:color w:val="000000"/>
        </w:rPr>
      </w:pPr>
      <w:r w:rsidRPr="002F0982">
        <w:rPr>
          <w:rFonts w:ascii="Arial" w:hAnsi="Arial" w:cs="Arial"/>
          <w:color w:val="000000"/>
        </w:rPr>
        <w:t>Anorexia nervosa remains one of the most complex and challenging psychiatric disorders, marked by severe physical, psychological, and social consequences. Its classification within both ICD</w:t>
      </w:r>
      <w:r w:rsidRPr="002F0982">
        <w:rPr>
          <w:rFonts w:ascii="Cambria Math" w:hAnsi="Cambria Math" w:cs="Cambria Math"/>
          <w:color w:val="000000"/>
        </w:rPr>
        <w:t>‑</w:t>
      </w:r>
      <w:r w:rsidRPr="002F0982">
        <w:rPr>
          <w:rFonts w:ascii="Arial" w:hAnsi="Arial" w:cs="Arial"/>
          <w:color w:val="000000"/>
        </w:rPr>
        <w:t>11 and DSM</w:t>
      </w:r>
      <w:r w:rsidRPr="002F0982">
        <w:rPr>
          <w:rFonts w:ascii="Cambria Math" w:hAnsi="Cambria Math" w:cs="Cambria Math"/>
          <w:color w:val="000000"/>
        </w:rPr>
        <w:t>‑</w:t>
      </w:r>
      <w:r w:rsidRPr="002F0982">
        <w:rPr>
          <w:rFonts w:ascii="Arial" w:hAnsi="Arial" w:cs="Arial"/>
          <w:color w:val="000000"/>
        </w:rPr>
        <w:t>5 as a feeding and eating disorder reflects the global consensus that it constitutes a clinically significant disturbance requiring systematic intervention. Yet, ongoing debates regarding diagnostic thresholds, terminology, and overlap with related conditions underscore the evolving nature of psychiatric nosology. These debates have direct implications for practice, where clinicians must balance inclusivity with diagnostic precision, and for policy, where service provision and resource allocation hinge on prevalence data shaped by classification systems.</w:t>
      </w:r>
    </w:p>
    <w:p w14:paraId="74EE22C6" w14:textId="3E9DDA45" w:rsidR="00086C9D" w:rsidRPr="00086C9D" w:rsidRDefault="002F0982" w:rsidP="00086C9D">
      <w:pPr>
        <w:pStyle w:val="NormalWeb"/>
        <w:rPr>
          <w:rFonts w:ascii="Arial" w:hAnsi="Arial" w:cs="Arial"/>
          <w:color w:val="000000"/>
        </w:rPr>
      </w:pPr>
      <w:r w:rsidRPr="002F0982">
        <w:rPr>
          <w:rFonts w:ascii="Arial" w:hAnsi="Arial" w:cs="Arial"/>
          <w:color w:val="000000"/>
        </w:rPr>
        <w:lastRenderedPageBreak/>
        <w:t>Treatment and rehabilitation continue to demand a multidisciplinary approach, integrating medical stabilization, nutritional rehabilitation, and psychological therapies. While family</w:t>
      </w:r>
      <w:r w:rsidRPr="002F0982">
        <w:rPr>
          <w:rFonts w:ascii="Cambria Math" w:hAnsi="Cambria Math" w:cs="Cambria Math"/>
          <w:color w:val="000000"/>
        </w:rPr>
        <w:t>‑</w:t>
      </w:r>
      <w:r w:rsidRPr="002F0982">
        <w:rPr>
          <w:rFonts w:ascii="Arial" w:hAnsi="Arial" w:cs="Arial"/>
          <w:color w:val="000000"/>
        </w:rPr>
        <w:t>based therapy has demonstrated efficacy in adolescents, adult treatment pathways remain less clearly defined, highlighting the need for further research into evidence</w:t>
      </w:r>
      <w:r w:rsidRPr="002F0982">
        <w:rPr>
          <w:rFonts w:ascii="Cambria Math" w:hAnsi="Cambria Math" w:cs="Cambria Math"/>
          <w:color w:val="000000"/>
        </w:rPr>
        <w:t>‑</w:t>
      </w:r>
      <w:r w:rsidRPr="002F0982">
        <w:rPr>
          <w:rFonts w:ascii="Arial" w:hAnsi="Arial" w:cs="Arial"/>
          <w:color w:val="000000"/>
        </w:rPr>
        <w:t xml:space="preserve">based modalities. Rehabilitation must extend beyond weight restoration </w:t>
      </w:r>
      <w:r w:rsidR="00086C9D">
        <w:rPr>
          <w:rFonts w:ascii="Arial" w:hAnsi="Arial" w:cs="Arial"/>
          <w:color w:val="000000"/>
        </w:rPr>
        <w:t>to encompass</w:t>
      </w:r>
      <w:r w:rsidR="00086C9D" w:rsidRPr="00086C9D">
        <w:rPr>
          <w:rFonts w:ascii="Arial" w:hAnsi="Arial" w:cs="Arial"/>
          <w:color w:val="000000"/>
        </w:rPr>
        <w:t xml:space="preserve"> psychosocial reintegration, relapse prevention, and recovery</w:t>
      </w:r>
      <w:r w:rsidR="00086C9D" w:rsidRPr="00086C9D">
        <w:rPr>
          <w:rFonts w:ascii="Cambria Math" w:hAnsi="Cambria Math" w:cs="Cambria Math"/>
          <w:color w:val="000000"/>
        </w:rPr>
        <w:t>‑</w:t>
      </w:r>
      <w:r w:rsidR="00086C9D" w:rsidRPr="00086C9D">
        <w:rPr>
          <w:rFonts w:ascii="Arial" w:hAnsi="Arial" w:cs="Arial"/>
          <w:color w:val="000000"/>
        </w:rPr>
        <w:t>oriented language that reduces stigma and promotes long</w:t>
      </w:r>
      <w:r w:rsidR="00086C9D" w:rsidRPr="00086C9D">
        <w:rPr>
          <w:rFonts w:ascii="Cambria Math" w:hAnsi="Cambria Math" w:cs="Cambria Math"/>
          <w:color w:val="000000"/>
        </w:rPr>
        <w:t>‑</w:t>
      </w:r>
      <w:r w:rsidR="00086C9D" w:rsidRPr="00086C9D">
        <w:rPr>
          <w:rFonts w:ascii="Arial" w:hAnsi="Arial" w:cs="Arial"/>
          <w:color w:val="000000"/>
        </w:rPr>
        <w:t>term resilience.</w:t>
      </w:r>
    </w:p>
    <w:p w14:paraId="6F64ABEC" w14:textId="6EB903F5" w:rsidR="002F0982" w:rsidRPr="002F0982" w:rsidRDefault="00086C9D" w:rsidP="00086C9D">
      <w:pPr>
        <w:pStyle w:val="NormalWeb"/>
        <w:rPr>
          <w:rFonts w:ascii="Arial" w:hAnsi="Arial" w:cs="Arial"/>
          <w:color w:val="000000"/>
        </w:rPr>
      </w:pPr>
      <w:r w:rsidRPr="00086C9D">
        <w:rPr>
          <w:rFonts w:ascii="Arial" w:hAnsi="Arial" w:cs="Arial"/>
          <w:color w:val="000000"/>
        </w:rPr>
        <w:t>Emerging issues, including the role of digital health innovations and the need for culturally sensitive frameworks, point to the necessity of adaptive models that respond to diverse populations and technological change. Ultimately, advancing the classification, diagnosis, treatment, and rehabilitation of anorexia nervosa requires integrated, culturally informed, and patient</w:t>
      </w:r>
      <w:r w:rsidRPr="00086C9D">
        <w:rPr>
          <w:rFonts w:ascii="Cambria Math" w:hAnsi="Cambria Math" w:cs="Cambria Math"/>
          <w:color w:val="000000"/>
        </w:rPr>
        <w:t>‑</w:t>
      </w:r>
      <w:r w:rsidRPr="00086C9D">
        <w:rPr>
          <w:rFonts w:ascii="Arial" w:hAnsi="Arial" w:cs="Arial"/>
          <w:color w:val="000000"/>
        </w:rPr>
        <w:t>centred strategies. By aligning clinical precision with systemic inclusivity, practice and policy can better support recovery trajectories, while research continues to refine understanding of this life</w:t>
      </w:r>
      <w:r w:rsidRPr="00086C9D">
        <w:rPr>
          <w:rFonts w:ascii="Cambria Math" w:hAnsi="Cambria Math" w:cs="Cambria Math"/>
          <w:color w:val="000000"/>
        </w:rPr>
        <w:t>‑</w:t>
      </w:r>
      <w:r w:rsidRPr="00086C9D">
        <w:rPr>
          <w:rFonts w:ascii="Arial" w:hAnsi="Arial" w:cs="Arial"/>
          <w:color w:val="000000"/>
        </w:rPr>
        <w:t>threatening disorder.</w:t>
      </w:r>
    </w:p>
    <w:p w14:paraId="45A36524" w14:textId="77777777" w:rsidR="008A6D32" w:rsidRPr="008A6D32" w:rsidRDefault="008A6D32" w:rsidP="008A6D32">
      <w:pPr>
        <w:pStyle w:val="NormalWeb"/>
        <w:rPr>
          <w:rFonts w:ascii="Arial" w:hAnsi="Arial" w:cs="Arial"/>
          <w:color w:val="000000"/>
        </w:rPr>
      </w:pPr>
    </w:p>
    <w:p w14:paraId="4F7597D5" w14:textId="77777777" w:rsidR="008A6D32" w:rsidRPr="008A6D32" w:rsidRDefault="008A6D32" w:rsidP="008A6D32">
      <w:pPr>
        <w:pStyle w:val="NormalWeb"/>
        <w:rPr>
          <w:rFonts w:ascii="Arial" w:hAnsi="Arial" w:cs="Arial"/>
          <w:color w:val="000000"/>
        </w:rPr>
      </w:pPr>
    </w:p>
    <w:p w14:paraId="7AD2E81E" w14:textId="77777777" w:rsidR="008A6D32" w:rsidRPr="008A6D32" w:rsidRDefault="008A6D32" w:rsidP="008A6D32">
      <w:pPr>
        <w:pStyle w:val="NormalWeb"/>
        <w:rPr>
          <w:rFonts w:ascii="Arial" w:hAnsi="Arial" w:cs="Arial"/>
          <w:color w:val="000000"/>
        </w:rPr>
      </w:pPr>
    </w:p>
    <w:p w14:paraId="464E4062" w14:textId="02CAC658" w:rsidR="008A6D32" w:rsidRDefault="008A6D32" w:rsidP="008A6D32">
      <w:pPr>
        <w:pStyle w:val="NormalWeb"/>
        <w:rPr>
          <w:rFonts w:ascii="Arial" w:hAnsi="Arial" w:cs="Arial"/>
          <w:b/>
          <w:bCs/>
          <w:color w:val="000000"/>
        </w:rPr>
      </w:pPr>
      <w:r w:rsidRPr="008A6D32">
        <w:rPr>
          <w:rFonts w:ascii="Arial" w:hAnsi="Arial" w:cs="Arial"/>
          <w:b/>
          <w:bCs/>
          <w:color w:val="000000"/>
        </w:rPr>
        <w:t xml:space="preserve">References </w:t>
      </w:r>
    </w:p>
    <w:p w14:paraId="0C988976" w14:textId="77777777" w:rsidR="006B033A" w:rsidRDefault="006B033A" w:rsidP="008A6D32">
      <w:pPr>
        <w:pStyle w:val="NormalWeb"/>
        <w:rPr>
          <w:rFonts w:ascii="Arial" w:hAnsi="Arial" w:cs="Arial"/>
          <w:b/>
          <w:bCs/>
          <w:color w:val="000000"/>
        </w:rPr>
      </w:pPr>
    </w:p>
    <w:p w14:paraId="50B33342" w14:textId="09C89B55" w:rsidR="006B033A" w:rsidRDefault="006B033A" w:rsidP="006B033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BEAT eating disorders (2019). </w:t>
      </w:r>
      <w:r>
        <w:rPr>
          <w:rFonts w:ascii="Calibri" w:hAnsi="Calibri" w:cs="Calibri"/>
          <w:i/>
          <w:iCs/>
          <w:color w:val="000000"/>
          <w:sz w:val="27"/>
          <w:szCs w:val="27"/>
        </w:rPr>
        <w:t>Beat Eating Disorders</w:t>
      </w:r>
      <w:r>
        <w:rPr>
          <w:rFonts w:ascii="Calibri" w:hAnsi="Calibri" w:cs="Calibri"/>
          <w:color w:val="000000"/>
          <w:sz w:val="27"/>
          <w:szCs w:val="27"/>
        </w:rPr>
        <w:t xml:space="preserve">. [online] Beat. Available at: </w:t>
      </w:r>
      <w:hyperlink r:id="rId7" w:history="1">
        <w:r w:rsidR="003B762E" w:rsidRPr="00747FDD">
          <w:rPr>
            <w:rStyle w:val="Hyperlink"/>
            <w:rFonts w:ascii="Calibri" w:hAnsi="Calibri" w:cs="Calibri"/>
            <w:sz w:val="27"/>
            <w:szCs w:val="27"/>
          </w:rPr>
          <w:t>https://www.beateatingdisorders.org.uk/.(Accessed</w:t>
        </w:r>
      </w:hyperlink>
      <w:r w:rsidR="003B762E">
        <w:rPr>
          <w:rFonts w:ascii="Calibri" w:hAnsi="Calibri" w:cs="Calibri"/>
          <w:color w:val="000000"/>
          <w:sz w:val="27"/>
          <w:szCs w:val="27"/>
        </w:rPr>
        <w:t xml:space="preserve"> 20-11-25)</w:t>
      </w:r>
    </w:p>
    <w:p w14:paraId="05C24CFD" w14:textId="77777777" w:rsidR="006B033A" w:rsidRDefault="006B033A" w:rsidP="006B033A">
      <w:pPr>
        <w:pStyle w:val="NormalWeb"/>
        <w:rPr>
          <w:rFonts w:ascii="Calibri" w:hAnsi="Calibri" w:cs="Calibri"/>
          <w:color w:val="000000"/>
          <w:sz w:val="27"/>
          <w:szCs w:val="27"/>
        </w:rPr>
      </w:pPr>
      <w:r>
        <w:rPr>
          <w:rFonts w:ascii="Calibri" w:hAnsi="Calibri" w:cs="Calibri"/>
          <w:color w:val="000000"/>
          <w:sz w:val="27"/>
          <w:szCs w:val="27"/>
        </w:rPr>
        <w:t>‌</w:t>
      </w:r>
    </w:p>
    <w:p w14:paraId="30E59DA4" w14:textId="77777777" w:rsidR="006B033A" w:rsidRPr="008A6D32" w:rsidRDefault="006B033A" w:rsidP="008A6D32">
      <w:pPr>
        <w:pStyle w:val="NormalWeb"/>
        <w:rPr>
          <w:rFonts w:ascii="Arial" w:hAnsi="Arial" w:cs="Arial"/>
          <w:b/>
          <w:bCs/>
          <w:color w:val="000000"/>
        </w:rPr>
      </w:pPr>
    </w:p>
    <w:p w14:paraId="49069C99" w14:textId="697F503C" w:rsidR="001F79E7" w:rsidRDefault="001F79E7" w:rsidP="001F79E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Findacode.com. (2016). </w:t>
      </w:r>
      <w:r>
        <w:rPr>
          <w:rFonts w:ascii="Calibri" w:hAnsi="Calibri" w:cs="Calibri"/>
          <w:i/>
          <w:iCs/>
          <w:color w:val="000000"/>
          <w:sz w:val="27"/>
          <w:szCs w:val="27"/>
        </w:rPr>
        <w:t xml:space="preserve">Find-A-Code - ICD 10 Codes, CPT Codes, HCPCS Codes, ICD 9 Codes - </w:t>
      </w:r>
      <w:proofErr w:type="spellStart"/>
      <w:r>
        <w:rPr>
          <w:rFonts w:ascii="Calibri" w:hAnsi="Calibri" w:cs="Calibri"/>
          <w:i/>
          <w:iCs/>
          <w:color w:val="000000"/>
          <w:sz w:val="27"/>
          <w:szCs w:val="27"/>
        </w:rPr>
        <w:t>Onlne</w:t>
      </w:r>
      <w:proofErr w:type="spellEnd"/>
      <w:r>
        <w:rPr>
          <w:rFonts w:ascii="Calibri" w:hAnsi="Calibri" w:cs="Calibri"/>
          <w:i/>
          <w:iCs/>
          <w:color w:val="000000"/>
          <w:sz w:val="27"/>
          <w:szCs w:val="27"/>
        </w:rPr>
        <w:t xml:space="preserve"> Encoder - Medical Billing and Coding</w:t>
      </w:r>
      <w:r>
        <w:rPr>
          <w:rFonts w:ascii="Calibri" w:hAnsi="Calibri" w:cs="Calibri"/>
          <w:color w:val="000000"/>
          <w:sz w:val="27"/>
          <w:szCs w:val="27"/>
        </w:rPr>
        <w:t xml:space="preserve">. [online] Available at: </w:t>
      </w:r>
      <w:hyperlink r:id="rId8" w:history="1">
        <w:r w:rsidR="00423574" w:rsidRPr="00DC2090">
          <w:rPr>
            <w:rStyle w:val="Hyperlink"/>
            <w:rFonts w:ascii="Calibri" w:hAnsi="Calibri" w:cs="Calibri"/>
            <w:sz w:val="27"/>
            <w:szCs w:val="27"/>
          </w:rPr>
          <w:t>https://www.findacode.com/.(Accessed</w:t>
        </w:r>
      </w:hyperlink>
      <w:r w:rsidR="00423574">
        <w:rPr>
          <w:rFonts w:ascii="Calibri" w:hAnsi="Calibri" w:cs="Calibri"/>
          <w:color w:val="000000"/>
          <w:sz w:val="27"/>
          <w:szCs w:val="27"/>
        </w:rPr>
        <w:t xml:space="preserve"> 20 -11- 25)</w:t>
      </w:r>
    </w:p>
    <w:p w14:paraId="1AD670F7" w14:textId="77777777" w:rsidR="0029412A" w:rsidRDefault="0029412A" w:rsidP="001F79E7">
      <w:pPr>
        <w:pStyle w:val="NormalWeb"/>
        <w:spacing w:before="0" w:beforeAutospacing="0" w:after="0" w:afterAutospacing="0" w:line="360" w:lineRule="atLeast"/>
        <w:rPr>
          <w:rFonts w:ascii="Calibri" w:hAnsi="Calibri" w:cs="Calibri"/>
          <w:color w:val="000000"/>
          <w:sz w:val="27"/>
          <w:szCs w:val="27"/>
        </w:rPr>
      </w:pPr>
    </w:p>
    <w:p w14:paraId="43D747BD" w14:textId="5DA31FE8" w:rsidR="0029412A" w:rsidRDefault="0029412A" w:rsidP="0029412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Psychology Tools (2018). </w:t>
      </w:r>
      <w:r>
        <w:rPr>
          <w:rFonts w:ascii="Calibri" w:hAnsi="Calibri" w:cs="Calibri"/>
          <w:i/>
          <w:iCs/>
          <w:color w:val="000000"/>
          <w:sz w:val="27"/>
          <w:szCs w:val="27"/>
        </w:rPr>
        <w:t>Psychology Tools | Evidence-Based CBT Worksheets</w:t>
      </w:r>
      <w:r>
        <w:rPr>
          <w:rFonts w:ascii="Calibri" w:hAnsi="Calibri" w:cs="Calibri"/>
          <w:color w:val="000000"/>
          <w:sz w:val="27"/>
          <w:szCs w:val="27"/>
        </w:rPr>
        <w:t xml:space="preserve">. [online] Psychology Tools. Available at: </w:t>
      </w:r>
      <w:hyperlink r:id="rId9" w:history="1">
        <w:r w:rsidR="009E07DC" w:rsidRPr="00DC2090">
          <w:rPr>
            <w:rStyle w:val="Hyperlink"/>
            <w:rFonts w:ascii="Calibri" w:hAnsi="Calibri" w:cs="Calibri"/>
            <w:sz w:val="27"/>
            <w:szCs w:val="27"/>
          </w:rPr>
          <w:t>https://www.psychologytools.com/.(Accessed</w:t>
        </w:r>
      </w:hyperlink>
      <w:r w:rsidR="009E07DC">
        <w:rPr>
          <w:rFonts w:ascii="Calibri" w:hAnsi="Calibri" w:cs="Calibri"/>
          <w:color w:val="000000"/>
          <w:sz w:val="27"/>
          <w:szCs w:val="27"/>
        </w:rPr>
        <w:t xml:space="preserve"> 20-11-250</w:t>
      </w:r>
    </w:p>
    <w:p w14:paraId="3F75D9EE" w14:textId="77777777" w:rsidR="00844852" w:rsidRDefault="00844852" w:rsidP="0029412A">
      <w:pPr>
        <w:pStyle w:val="NormalWeb"/>
        <w:spacing w:before="0" w:beforeAutospacing="0" w:after="0" w:afterAutospacing="0" w:line="360" w:lineRule="atLeast"/>
        <w:rPr>
          <w:rFonts w:ascii="Calibri" w:hAnsi="Calibri" w:cs="Calibri"/>
          <w:color w:val="000000"/>
          <w:sz w:val="27"/>
          <w:szCs w:val="27"/>
        </w:rPr>
      </w:pPr>
    </w:p>
    <w:p w14:paraId="1F8025C7" w14:textId="72906BD3" w:rsidR="00844852" w:rsidRDefault="00844852" w:rsidP="0084485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Eatingfreely.com. (2025). </w:t>
      </w:r>
      <w:r>
        <w:rPr>
          <w:rFonts w:ascii="Calibri" w:hAnsi="Calibri" w:cs="Calibri"/>
          <w:i/>
          <w:iCs/>
          <w:color w:val="000000"/>
          <w:sz w:val="27"/>
          <w:szCs w:val="27"/>
        </w:rPr>
        <w:t xml:space="preserve">Welcome to the Eating </w:t>
      </w:r>
      <w:r w:rsidR="00270DF9">
        <w:rPr>
          <w:rFonts w:ascii="Calibri" w:hAnsi="Calibri" w:cs="Calibri"/>
          <w:i/>
          <w:iCs/>
          <w:color w:val="000000"/>
          <w:sz w:val="27"/>
          <w:szCs w:val="27"/>
        </w:rPr>
        <w:t>Freely</w:t>
      </w:r>
      <w:r>
        <w:rPr>
          <w:rFonts w:ascii="Calibri" w:hAnsi="Calibri" w:cs="Calibri"/>
          <w:i/>
          <w:iCs/>
          <w:color w:val="000000"/>
          <w:sz w:val="27"/>
          <w:szCs w:val="27"/>
        </w:rPr>
        <w:t> Program!</w:t>
      </w:r>
      <w:r>
        <w:rPr>
          <w:rFonts w:ascii="Calibri" w:hAnsi="Calibri" w:cs="Calibri"/>
          <w:color w:val="000000"/>
          <w:sz w:val="27"/>
          <w:szCs w:val="27"/>
        </w:rPr>
        <w:t> [online] Available at: https://quiz.eatingfreely.com/ [Accessed 20 Nov. 2025].</w:t>
      </w:r>
    </w:p>
    <w:p w14:paraId="320128F5" w14:textId="77777777" w:rsidR="00270DF9" w:rsidRDefault="00270DF9" w:rsidP="00844852">
      <w:pPr>
        <w:pStyle w:val="NormalWeb"/>
        <w:spacing w:before="0" w:beforeAutospacing="0" w:after="0" w:afterAutospacing="0" w:line="360" w:lineRule="atLeast"/>
        <w:rPr>
          <w:rFonts w:ascii="Calibri" w:hAnsi="Calibri" w:cs="Calibri"/>
          <w:color w:val="000000"/>
          <w:sz w:val="27"/>
          <w:szCs w:val="27"/>
        </w:rPr>
      </w:pPr>
    </w:p>
    <w:p w14:paraId="3959AFA8" w14:textId="030CB24D" w:rsidR="00270DF9" w:rsidRDefault="00270DF9" w:rsidP="00270DF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World Health Organisation (2025). </w:t>
      </w:r>
      <w:r>
        <w:rPr>
          <w:rFonts w:ascii="Calibri" w:hAnsi="Calibri" w:cs="Calibri"/>
          <w:i/>
          <w:iCs/>
          <w:color w:val="000000"/>
          <w:sz w:val="27"/>
          <w:szCs w:val="27"/>
        </w:rPr>
        <w:t>World Health Organisation</w:t>
      </w:r>
      <w:r>
        <w:rPr>
          <w:rFonts w:ascii="Calibri" w:hAnsi="Calibri" w:cs="Calibri"/>
          <w:color w:val="000000"/>
          <w:sz w:val="27"/>
          <w:szCs w:val="27"/>
        </w:rPr>
        <w:t xml:space="preserve">. [online] Who.int. Available at: </w:t>
      </w:r>
      <w:hyperlink r:id="rId10" w:history="1">
        <w:r w:rsidRPr="00DC2090">
          <w:rPr>
            <w:rStyle w:val="Hyperlink"/>
            <w:rFonts w:ascii="Calibri" w:hAnsi="Calibri" w:cs="Calibri"/>
            <w:sz w:val="27"/>
            <w:szCs w:val="27"/>
          </w:rPr>
          <w:t>https://www.who.int/.(Accessed</w:t>
        </w:r>
      </w:hyperlink>
      <w:r>
        <w:rPr>
          <w:rFonts w:ascii="Calibri" w:hAnsi="Calibri" w:cs="Calibri"/>
          <w:color w:val="000000"/>
          <w:sz w:val="27"/>
          <w:szCs w:val="27"/>
        </w:rPr>
        <w:t xml:space="preserve"> 20-11-25</w:t>
      </w:r>
      <w:r w:rsidR="00227E38">
        <w:rPr>
          <w:rFonts w:ascii="Calibri" w:hAnsi="Calibri" w:cs="Calibri"/>
          <w:color w:val="000000"/>
          <w:sz w:val="27"/>
          <w:szCs w:val="27"/>
        </w:rPr>
        <w:t>).</w:t>
      </w:r>
    </w:p>
    <w:p w14:paraId="63AB6E5D" w14:textId="77777777" w:rsidR="00275567" w:rsidRDefault="00275567" w:rsidP="00270DF9">
      <w:pPr>
        <w:pStyle w:val="NormalWeb"/>
        <w:spacing w:before="0" w:beforeAutospacing="0" w:after="0" w:afterAutospacing="0" w:line="360" w:lineRule="atLeast"/>
        <w:rPr>
          <w:rFonts w:ascii="Calibri" w:hAnsi="Calibri" w:cs="Calibri"/>
          <w:color w:val="000000"/>
          <w:sz w:val="27"/>
          <w:szCs w:val="27"/>
        </w:rPr>
      </w:pPr>
    </w:p>
    <w:p w14:paraId="37543BDA" w14:textId="1A4A751D" w:rsidR="00275567" w:rsidRDefault="00275567" w:rsidP="0027556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 (2025). </w:t>
      </w:r>
      <w:r>
        <w:rPr>
          <w:rFonts w:ascii="Calibri" w:hAnsi="Calibri" w:cs="Calibri"/>
          <w:i/>
          <w:iCs/>
          <w:color w:val="000000"/>
          <w:sz w:val="27"/>
          <w:szCs w:val="27"/>
        </w:rPr>
        <w:t>NHS</w:t>
      </w:r>
      <w:r>
        <w:rPr>
          <w:rFonts w:ascii="Calibri" w:hAnsi="Calibri" w:cs="Calibri"/>
          <w:color w:val="000000"/>
          <w:sz w:val="27"/>
          <w:szCs w:val="27"/>
        </w:rPr>
        <w:t xml:space="preserve">. [online] NHS. Available at: </w:t>
      </w:r>
      <w:hyperlink r:id="rId11" w:history="1">
        <w:r w:rsidRPr="00DC2090">
          <w:rPr>
            <w:rStyle w:val="Hyperlink"/>
            <w:rFonts w:ascii="Calibri" w:hAnsi="Calibri" w:cs="Calibri"/>
            <w:sz w:val="27"/>
            <w:szCs w:val="27"/>
          </w:rPr>
          <w:t>https://www.nhs.uk/.(Accessed</w:t>
        </w:r>
      </w:hyperlink>
      <w:r>
        <w:rPr>
          <w:rFonts w:ascii="Calibri" w:hAnsi="Calibri" w:cs="Calibri"/>
          <w:color w:val="000000"/>
          <w:sz w:val="27"/>
          <w:szCs w:val="27"/>
        </w:rPr>
        <w:t xml:space="preserve"> 20-11-25</w:t>
      </w:r>
      <w:r w:rsidR="00391534">
        <w:rPr>
          <w:rFonts w:ascii="Calibri" w:hAnsi="Calibri" w:cs="Calibri"/>
          <w:color w:val="000000"/>
          <w:sz w:val="27"/>
          <w:szCs w:val="27"/>
        </w:rPr>
        <w:t>)</w:t>
      </w:r>
    </w:p>
    <w:p w14:paraId="3C50A892" w14:textId="77777777" w:rsidR="00611C44" w:rsidRDefault="00611C44" w:rsidP="00275567">
      <w:pPr>
        <w:pStyle w:val="NormalWeb"/>
        <w:spacing w:before="0" w:beforeAutospacing="0" w:after="0" w:afterAutospacing="0" w:line="360" w:lineRule="atLeast"/>
        <w:rPr>
          <w:rFonts w:ascii="Calibri" w:hAnsi="Calibri" w:cs="Calibri"/>
          <w:color w:val="000000"/>
          <w:sz w:val="27"/>
          <w:szCs w:val="27"/>
        </w:rPr>
      </w:pPr>
    </w:p>
    <w:p w14:paraId="51F99ACD" w14:textId="3AFA12C8" w:rsidR="00611C44" w:rsidRDefault="00611C44" w:rsidP="00611C4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Cherry, K. (2023). </w:t>
      </w:r>
      <w:r>
        <w:rPr>
          <w:rFonts w:ascii="Calibri" w:hAnsi="Calibri" w:cs="Calibri"/>
          <w:i/>
          <w:iCs/>
          <w:color w:val="000000"/>
          <w:sz w:val="27"/>
          <w:szCs w:val="27"/>
        </w:rPr>
        <w:t>Know more. Live brighter.</w:t>
      </w:r>
      <w:r>
        <w:rPr>
          <w:rFonts w:ascii="Calibri" w:hAnsi="Calibri" w:cs="Calibri"/>
          <w:color w:val="000000"/>
          <w:sz w:val="27"/>
          <w:szCs w:val="27"/>
        </w:rPr>
        <w:t xml:space="preserve"> [online] </w:t>
      </w:r>
      <w:proofErr w:type="spellStart"/>
      <w:r>
        <w:rPr>
          <w:rFonts w:ascii="Calibri" w:hAnsi="Calibri" w:cs="Calibri"/>
          <w:color w:val="000000"/>
          <w:sz w:val="27"/>
          <w:szCs w:val="27"/>
        </w:rPr>
        <w:t>Verywell</w:t>
      </w:r>
      <w:proofErr w:type="spellEnd"/>
      <w:r>
        <w:rPr>
          <w:rFonts w:ascii="Calibri" w:hAnsi="Calibri" w:cs="Calibri"/>
          <w:color w:val="000000"/>
          <w:sz w:val="27"/>
          <w:szCs w:val="27"/>
        </w:rPr>
        <w:t xml:space="preserve"> Mind. Available at: </w:t>
      </w:r>
      <w:hyperlink r:id="rId12" w:history="1">
        <w:r w:rsidRPr="00DC2090">
          <w:rPr>
            <w:rStyle w:val="Hyperlink"/>
            <w:rFonts w:ascii="Calibri" w:hAnsi="Calibri" w:cs="Calibri"/>
            <w:sz w:val="27"/>
            <w:szCs w:val="27"/>
          </w:rPr>
          <w:t>https://www.verywellmind.com/.(Accessed</w:t>
        </w:r>
      </w:hyperlink>
      <w:r>
        <w:rPr>
          <w:rFonts w:ascii="Calibri" w:hAnsi="Calibri" w:cs="Calibri"/>
          <w:color w:val="000000"/>
          <w:sz w:val="27"/>
          <w:szCs w:val="27"/>
        </w:rPr>
        <w:t xml:space="preserve"> 20-11-25)</w:t>
      </w:r>
    </w:p>
    <w:p w14:paraId="677B8A30" w14:textId="77777777" w:rsidR="00B42B1F" w:rsidRDefault="00B42B1F" w:rsidP="00611C44">
      <w:pPr>
        <w:pStyle w:val="NormalWeb"/>
        <w:spacing w:before="0" w:beforeAutospacing="0" w:after="0" w:afterAutospacing="0" w:line="360" w:lineRule="atLeast"/>
        <w:rPr>
          <w:rFonts w:ascii="Calibri" w:hAnsi="Calibri" w:cs="Calibri"/>
          <w:color w:val="000000"/>
          <w:sz w:val="27"/>
          <w:szCs w:val="27"/>
        </w:rPr>
      </w:pPr>
    </w:p>
    <w:p w14:paraId="376B8278" w14:textId="77777777" w:rsidR="00B42B1F" w:rsidRDefault="00B42B1F" w:rsidP="00B42B1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Marbella, C. (2025). </w:t>
      </w:r>
      <w:r>
        <w:rPr>
          <w:rFonts w:ascii="Calibri" w:hAnsi="Calibri" w:cs="Calibri"/>
          <w:i/>
          <w:iCs/>
          <w:color w:val="000000"/>
          <w:sz w:val="27"/>
          <w:szCs w:val="27"/>
        </w:rPr>
        <w:t>New Life</w:t>
      </w:r>
      <w:r>
        <w:rPr>
          <w:rFonts w:ascii="Calibri" w:hAnsi="Calibri" w:cs="Calibri"/>
          <w:color w:val="000000"/>
          <w:sz w:val="27"/>
          <w:szCs w:val="27"/>
        </w:rPr>
        <w:t>. [online] New Life. Available at: https://newlife.rehab/ [Accessed 20 Nov. 2025].</w:t>
      </w:r>
    </w:p>
    <w:p w14:paraId="08138311" w14:textId="77777777" w:rsidR="00F649A2" w:rsidRDefault="00F649A2" w:rsidP="00B42B1F">
      <w:pPr>
        <w:pStyle w:val="NormalWeb"/>
        <w:spacing w:before="0" w:beforeAutospacing="0" w:after="0" w:afterAutospacing="0" w:line="360" w:lineRule="atLeast"/>
        <w:rPr>
          <w:rFonts w:ascii="Calibri" w:hAnsi="Calibri" w:cs="Calibri"/>
          <w:color w:val="000000"/>
          <w:sz w:val="27"/>
          <w:szCs w:val="27"/>
        </w:rPr>
      </w:pPr>
    </w:p>
    <w:p w14:paraId="6B9534A3" w14:textId="231FFCD3" w:rsidR="00F649A2" w:rsidRDefault="00F649A2" w:rsidP="00F649A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Journal of Eating Disorders. (n.d.). </w:t>
      </w:r>
      <w:r>
        <w:rPr>
          <w:rFonts w:ascii="Calibri" w:hAnsi="Calibri" w:cs="Calibri"/>
          <w:i/>
          <w:iCs/>
          <w:color w:val="000000"/>
          <w:sz w:val="27"/>
          <w:szCs w:val="27"/>
        </w:rPr>
        <w:t>Journal of Eating Disorders</w:t>
      </w:r>
      <w:r>
        <w:rPr>
          <w:rFonts w:ascii="Calibri" w:hAnsi="Calibri" w:cs="Calibri"/>
          <w:color w:val="000000"/>
          <w:sz w:val="27"/>
          <w:szCs w:val="27"/>
        </w:rPr>
        <w:t xml:space="preserve">. [online] Available at: </w:t>
      </w:r>
      <w:hyperlink r:id="rId13" w:history="1">
        <w:r w:rsidR="00F7541C" w:rsidRPr="00DC2090">
          <w:rPr>
            <w:rStyle w:val="Hyperlink"/>
            <w:rFonts w:ascii="Calibri" w:hAnsi="Calibri" w:cs="Calibri"/>
            <w:sz w:val="27"/>
            <w:szCs w:val="27"/>
          </w:rPr>
          <w:t>https://jeatdisord.biomedcentral.com/.(Accessed20-11-25)</w:t>
        </w:r>
      </w:hyperlink>
    </w:p>
    <w:p w14:paraId="7A02721B" w14:textId="77777777" w:rsidR="00F7541C" w:rsidRDefault="00F7541C" w:rsidP="00F649A2">
      <w:pPr>
        <w:pStyle w:val="NormalWeb"/>
        <w:spacing w:before="0" w:beforeAutospacing="0" w:after="0" w:afterAutospacing="0" w:line="360" w:lineRule="atLeast"/>
        <w:rPr>
          <w:rFonts w:ascii="Calibri" w:hAnsi="Calibri" w:cs="Calibri"/>
          <w:color w:val="000000"/>
          <w:sz w:val="27"/>
          <w:szCs w:val="27"/>
        </w:rPr>
      </w:pPr>
    </w:p>
    <w:p w14:paraId="5501B36D" w14:textId="77777777" w:rsidR="00F7541C" w:rsidRDefault="00F7541C" w:rsidP="00F649A2">
      <w:pPr>
        <w:pStyle w:val="NormalWeb"/>
        <w:spacing w:before="0" w:beforeAutospacing="0" w:after="0" w:afterAutospacing="0" w:line="360" w:lineRule="atLeast"/>
        <w:rPr>
          <w:rFonts w:ascii="Calibri" w:hAnsi="Calibri" w:cs="Calibri"/>
          <w:color w:val="000000"/>
          <w:sz w:val="27"/>
          <w:szCs w:val="27"/>
        </w:rPr>
      </w:pPr>
    </w:p>
    <w:p w14:paraId="6F881FAB" w14:textId="57F5638E" w:rsidR="00F7541C" w:rsidRDefault="00F7541C" w:rsidP="00F7541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SpringerLink (2019). </w:t>
      </w:r>
      <w:r>
        <w:rPr>
          <w:rFonts w:ascii="Calibri" w:hAnsi="Calibri" w:cs="Calibri"/>
          <w:i/>
          <w:iCs/>
          <w:color w:val="000000"/>
          <w:sz w:val="27"/>
          <w:szCs w:val="27"/>
        </w:rPr>
        <w:t>Home - Springer</w:t>
      </w:r>
      <w:r>
        <w:rPr>
          <w:rFonts w:ascii="Calibri" w:hAnsi="Calibri" w:cs="Calibri"/>
          <w:color w:val="000000"/>
          <w:sz w:val="27"/>
          <w:szCs w:val="27"/>
        </w:rPr>
        <w:t xml:space="preserve">. [online] Springer.com. Available at: </w:t>
      </w:r>
      <w:hyperlink r:id="rId14" w:history="1">
        <w:r w:rsidR="004D001F" w:rsidRPr="00DC2090">
          <w:rPr>
            <w:rStyle w:val="Hyperlink"/>
            <w:rFonts w:ascii="Calibri" w:hAnsi="Calibri" w:cs="Calibri"/>
            <w:sz w:val="27"/>
            <w:szCs w:val="27"/>
          </w:rPr>
          <w:t>https://link.springer.com/.(Accessed20-11-25)</w:t>
        </w:r>
      </w:hyperlink>
    </w:p>
    <w:p w14:paraId="0AB91206" w14:textId="77777777" w:rsidR="004D001F" w:rsidRDefault="004D001F" w:rsidP="00F7541C">
      <w:pPr>
        <w:pStyle w:val="NormalWeb"/>
        <w:spacing w:before="0" w:beforeAutospacing="0" w:after="0" w:afterAutospacing="0" w:line="360" w:lineRule="atLeast"/>
        <w:rPr>
          <w:rFonts w:ascii="Calibri" w:hAnsi="Calibri" w:cs="Calibri"/>
          <w:color w:val="000000"/>
          <w:sz w:val="27"/>
          <w:szCs w:val="27"/>
        </w:rPr>
      </w:pPr>
    </w:p>
    <w:p w14:paraId="35B88D33" w14:textId="11582B2E" w:rsidR="004D001F" w:rsidRDefault="004D001F" w:rsidP="004D001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Taylor &amp; Francis Group (2025). </w:t>
      </w:r>
      <w:r>
        <w:rPr>
          <w:rFonts w:ascii="Calibri" w:hAnsi="Calibri" w:cs="Calibri"/>
          <w:i/>
          <w:iCs/>
          <w:color w:val="000000"/>
          <w:sz w:val="27"/>
          <w:szCs w:val="27"/>
        </w:rPr>
        <w:t xml:space="preserve">Taylor &amp; </w:t>
      </w:r>
      <w:proofErr w:type="spellStart"/>
      <w:r>
        <w:rPr>
          <w:rFonts w:ascii="Calibri" w:hAnsi="Calibri" w:cs="Calibri"/>
          <w:i/>
          <w:iCs/>
          <w:color w:val="000000"/>
          <w:sz w:val="27"/>
          <w:szCs w:val="27"/>
        </w:rPr>
        <w:t>francis</w:t>
      </w:r>
      <w:proofErr w:type="spellEnd"/>
      <w:r>
        <w:rPr>
          <w:rFonts w:ascii="Calibri" w:hAnsi="Calibri" w:cs="Calibri"/>
          <w:i/>
          <w:iCs/>
          <w:color w:val="000000"/>
          <w:sz w:val="27"/>
          <w:szCs w:val="27"/>
        </w:rPr>
        <w:t xml:space="preserve"> online</w:t>
      </w:r>
      <w:r>
        <w:rPr>
          <w:rFonts w:ascii="Calibri" w:hAnsi="Calibri" w:cs="Calibri"/>
          <w:color w:val="000000"/>
          <w:sz w:val="27"/>
          <w:szCs w:val="27"/>
        </w:rPr>
        <w:t xml:space="preserve">. [online] Tandfonline.com. Available at: </w:t>
      </w:r>
      <w:hyperlink r:id="rId15" w:history="1">
        <w:r w:rsidR="003822BA" w:rsidRPr="00DC2090">
          <w:rPr>
            <w:rStyle w:val="Hyperlink"/>
            <w:rFonts w:ascii="Calibri" w:hAnsi="Calibri" w:cs="Calibri"/>
            <w:sz w:val="27"/>
            <w:szCs w:val="27"/>
          </w:rPr>
          <w:t>https://www.tandfonline.com/.(Accessed</w:t>
        </w:r>
      </w:hyperlink>
      <w:r w:rsidR="003822BA">
        <w:rPr>
          <w:rFonts w:ascii="Calibri" w:hAnsi="Calibri" w:cs="Calibri"/>
          <w:color w:val="000000"/>
          <w:sz w:val="27"/>
          <w:szCs w:val="27"/>
        </w:rPr>
        <w:t xml:space="preserve"> 20-11-25)</w:t>
      </w:r>
    </w:p>
    <w:p w14:paraId="44F4D5D4" w14:textId="77777777" w:rsidR="005B4C75" w:rsidRDefault="005B4C75" w:rsidP="004D001F">
      <w:pPr>
        <w:pStyle w:val="NormalWeb"/>
        <w:spacing w:before="0" w:beforeAutospacing="0" w:after="0" w:afterAutospacing="0" w:line="360" w:lineRule="atLeast"/>
        <w:rPr>
          <w:rFonts w:ascii="Calibri" w:hAnsi="Calibri" w:cs="Calibri"/>
          <w:color w:val="000000"/>
          <w:sz w:val="27"/>
          <w:szCs w:val="27"/>
        </w:rPr>
      </w:pPr>
    </w:p>
    <w:p w14:paraId="07BD5CD8" w14:textId="0EC95B91" w:rsidR="005B4C75" w:rsidRDefault="005B4C75" w:rsidP="005B4C7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National Library of Medicine (2025). </w:t>
      </w:r>
      <w:proofErr w:type="gramStart"/>
      <w:r>
        <w:rPr>
          <w:rFonts w:ascii="Calibri" w:hAnsi="Calibri" w:cs="Calibri"/>
          <w:i/>
          <w:iCs/>
          <w:color w:val="000000"/>
          <w:sz w:val="27"/>
          <w:szCs w:val="27"/>
        </w:rPr>
        <w:t>PubMed </w:t>
      </w:r>
      <w:r>
        <w:rPr>
          <w:rFonts w:ascii="Calibri" w:hAnsi="Calibri" w:cs="Calibri"/>
          <w:color w:val="000000"/>
          <w:sz w:val="27"/>
          <w:szCs w:val="27"/>
        </w:rPr>
        <w:t>.</w:t>
      </w:r>
      <w:proofErr w:type="gramEnd"/>
      <w:r>
        <w:rPr>
          <w:rFonts w:ascii="Calibri" w:hAnsi="Calibri" w:cs="Calibri"/>
          <w:color w:val="000000"/>
          <w:sz w:val="27"/>
          <w:szCs w:val="27"/>
        </w:rPr>
        <w:t xml:space="preserve"> [online] National library of medicine. Available at: </w:t>
      </w:r>
      <w:hyperlink r:id="rId16" w:history="1">
        <w:r w:rsidR="00D11532" w:rsidRPr="00747FDD">
          <w:rPr>
            <w:rStyle w:val="Hyperlink"/>
            <w:rFonts w:ascii="Calibri" w:hAnsi="Calibri" w:cs="Calibri"/>
            <w:sz w:val="27"/>
            <w:szCs w:val="27"/>
          </w:rPr>
          <w:t>https://pubmed.ncbi.nlm.nih.gov/.(Accessed</w:t>
        </w:r>
      </w:hyperlink>
      <w:r w:rsidR="00D11532">
        <w:rPr>
          <w:rFonts w:ascii="Calibri" w:hAnsi="Calibri" w:cs="Calibri"/>
          <w:color w:val="000000"/>
          <w:sz w:val="27"/>
          <w:szCs w:val="27"/>
        </w:rPr>
        <w:t xml:space="preserve"> 20-11-25)</w:t>
      </w:r>
    </w:p>
    <w:p w14:paraId="069F6DEA" w14:textId="77777777" w:rsidR="005B4C75" w:rsidRDefault="005B4C75" w:rsidP="005B4C75">
      <w:pPr>
        <w:pStyle w:val="NormalWeb"/>
        <w:rPr>
          <w:rFonts w:ascii="Calibri" w:hAnsi="Calibri" w:cs="Calibri"/>
          <w:color w:val="000000"/>
          <w:sz w:val="27"/>
          <w:szCs w:val="27"/>
        </w:rPr>
      </w:pPr>
      <w:r>
        <w:rPr>
          <w:rFonts w:ascii="Calibri" w:hAnsi="Calibri" w:cs="Calibri"/>
          <w:color w:val="000000"/>
          <w:sz w:val="27"/>
          <w:szCs w:val="27"/>
        </w:rPr>
        <w:t>‌</w:t>
      </w:r>
    </w:p>
    <w:p w14:paraId="693992E7" w14:textId="77777777" w:rsidR="005B4C75" w:rsidRDefault="005B4C75" w:rsidP="004D001F">
      <w:pPr>
        <w:pStyle w:val="NormalWeb"/>
        <w:spacing w:before="0" w:beforeAutospacing="0" w:after="0" w:afterAutospacing="0" w:line="360" w:lineRule="atLeast"/>
        <w:rPr>
          <w:rFonts w:ascii="Calibri" w:hAnsi="Calibri" w:cs="Calibri"/>
          <w:color w:val="000000"/>
          <w:sz w:val="27"/>
          <w:szCs w:val="27"/>
        </w:rPr>
      </w:pPr>
    </w:p>
    <w:p w14:paraId="040DAC48" w14:textId="77777777" w:rsidR="004D001F" w:rsidRDefault="004D001F" w:rsidP="004D001F">
      <w:pPr>
        <w:pStyle w:val="NormalWeb"/>
        <w:rPr>
          <w:rFonts w:ascii="Calibri" w:hAnsi="Calibri" w:cs="Calibri"/>
          <w:color w:val="000000"/>
          <w:sz w:val="27"/>
          <w:szCs w:val="27"/>
        </w:rPr>
      </w:pPr>
      <w:r>
        <w:rPr>
          <w:rFonts w:ascii="Calibri" w:hAnsi="Calibri" w:cs="Calibri"/>
          <w:color w:val="000000"/>
          <w:sz w:val="27"/>
          <w:szCs w:val="27"/>
        </w:rPr>
        <w:t>‌</w:t>
      </w:r>
    </w:p>
    <w:p w14:paraId="7D77C88A" w14:textId="77777777" w:rsidR="004D001F" w:rsidRDefault="004D001F" w:rsidP="00F7541C">
      <w:pPr>
        <w:pStyle w:val="NormalWeb"/>
        <w:spacing w:before="0" w:beforeAutospacing="0" w:after="0" w:afterAutospacing="0" w:line="360" w:lineRule="atLeast"/>
        <w:rPr>
          <w:rFonts w:ascii="Calibri" w:hAnsi="Calibri" w:cs="Calibri"/>
          <w:color w:val="000000"/>
          <w:sz w:val="27"/>
          <w:szCs w:val="27"/>
        </w:rPr>
      </w:pPr>
    </w:p>
    <w:p w14:paraId="5433E93E" w14:textId="77777777" w:rsidR="00F7541C" w:rsidRDefault="00F7541C" w:rsidP="00F7541C">
      <w:pPr>
        <w:pStyle w:val="NormalWeb"/>
        <w:rPr>
          <w:rFonts w:ascii="Calibri" w:hAnsi="Calibri" w:cs="Calibri"/>
          <w:color w:val="000000"/>
          <w:sz w:val="27"/>
          <w:szCs w:val="27"/>
        </w:rPr>
      </w:pPr>
      <w:r>
        <w:rPr>
          <w:rFonts w:ascii="Calibri" w:hAnsi="Calibri" w:cs="Calibri"/>
          <w:color w:val="000000"/>
          <w:sz w:val="27"/>
          <w:szCs w:val="27"/>
        </w:rPr>
        <w:t>‌</w:t>
      </w:r>
    </w:p>
    <w:p w14:paraId="553FA318" w14:textId="77777777" w:rsidR="00F7541C" w:rsidRDefault="00F7541C" w:rsidP="00F649A2">
      <w:pPr>
        <w:pStyle w:val="NormalWeb"/>
        <w:spacing w:before="0" w:beforeAutospacing="0" w:after="0" w:afterAutospacing="0" w:line="360" w:lineRule="atLeast"/>
        <w:rPr>
          <w:rFonts w:ascii="Calibri" w:hAnsi="Calibri" w:cs="Calibri"/>
          <w:color w:val="000000"/>
          <w:sz w:val="27"/>
          <w:szCs w:val="27"/>
        </w:rPr>
      </w:pPr>
    </w:p>
    <w:p w14:paraId="56115144" w14:textId="77777777" w:rsidR="00F649A2" w:rsidRDefault="00F649A2" w:rsidP="00F649A2">
      <w:pPr>
        <w:pStyle w:val="NormalWeb"/>
        <w:rPr>
          <w:rFonts w:ascii="Calibri" w:hAnsi="Calibri" w:cs="Calibri"/>
          <w:color w:val="000000"/>
          <w:sz w:val="27"/>
          <w:szCs w:val="27"/>
        </w:rPr>
      </w:pPr>
      <w:r>
        <w:rPr>
          <w:rFonts w:ascii="Calibri" w:hAnsi="Calibri" w:cs="Calibri"/>
          <w:color w:val="000000"/>
          <w:sz w:val="27"/>
          <w:szCs w:val="27"/>
        </w:rPr>
        <w:t>‌</w:t>
      </w:r>
    </w:p>
    <w:p w14:paraId="3220732A" w14:textId="77777777" w:rsidR="00F649A2" w:rsidRDefault="00F649A2" w:rsidP="00B42B1F">
      <w:pPr>
        <w:pStyle w:val="NormalWeb"/>
        <w:spacing w:before="0" w:beforeAutospacing="0" w:after="0" w:afterAutospacing="0" w:line="360" w:lineRule="atLeast"/>
        <w:rPr>
          <w:rFonts w:ascii="Calibri" w:hAnsi="Calibri" w:cs="Calibri"/>
          <w:color w:val="000000"/>
          <w:sz w:val="27"/>
          <w:szCs w:val="27"/>
        </w:rPr>
      </w:pPr>
    </w:p>
    <w:p w14:paraId="32791521" w14:textId="77777777" w:rsidR="00B42B1F" w:rsidRDefault="00B42B1F" w:rsidP="00B42B1F">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5E735B85" w14:textId="0F3F1525" w:rsidR="00611C44" w:rsidRDefault="00611C44" w:rsidP="00B42B1F">
      <w:pPr>
        <w:pStyle w:val="NormalWeb"/>
        <w:rPr>
          <w:rFonts w:ascii="Calibri" w:hAnsi="Calibri" w:cs="Calibri"/>
          <w:color w:val="000000"/>
          <w:sz w:val="27"/>
          <w:szCs w:val="27"/>
        </w:rPr>
      </w:pPr>
    </w:p>
    <w:p w14:paraId="575AA3B8" w14:textId="77777777" w:rsidR="00391534" w:rsidRDefault="00391534" w:rsidP="00275567">
      <w:pPr>
        <w:pStyle w:val="NormalWeb"/>
        <w:spacing w:before="0" w:beforeAutospacing="0" w:after="0" w:afterAutospacing="0" w:line="360" w:lineRule="atLeast"/>
        <w:rPr>
          <w:rFonts w:ascii="Calibri" w:hAnsi="Calibri" w:cs="Calibri"/>
          <w:color w:val="000000"/>
          <w:sz w:val="27"/>
          <w:szCs w:val="27"/>
        </w:rPr>
      </w:pPr>
    </w:p>
    <w:p w14:paraId="3588F0BD" w14:textId="77777777" w:rsidR="00275567" w:rsidRDefault="00275567" w:rsidP="00275567">
      <w:pPr>
        <w:pStyle w:val="NormalWeb"/>
        <w:rPr>
          <w:rFonts w:ascii="Calibri" w:hAnsi="Calibri" w:cs="Calibri"/>
          <w:color w:val="000000"/>
          <w:sz w:val="27"/>
          <w:szCs w:val="27"/>
        </w:rPr>
      </w:pPr>
      <w:r>
        <w:rPr>
          <w:rFonts w:ascii="Calibri" w:hAnsi="Calibri" w:cs="Calibri"/>
          <w:color w:val="000000"/>
          <w:sz w:val="27"/>
          <w:szCs w:val="27"/>
        </w:rPr>
        <w:t>‌</w:t>
      </w:r>
    </w:p>
    <w:p w14:paraId="53BE5530" w14:textId="77777777" w:rsidR="00275567" w:rsidRDefault="00275567" w:rsidP="00270DF9">
      <w:pPr>
        <w:pStyle w:val="NormalWeb"/>
        <w:spacing w:before="0" w:beforeAutospacing="0" w:after="0" w:afterAutospacing="0" w:line="360" w:lineRule="atLeast"/>
        <w:rPr>
          <w:rFonts w:ascii="Calibri" w:hAnsi="Calibri" w:cs="Calibri"/>
          <w:color w:val="000000"/>
          <w:sz w:val="27"/>
          <w:szCs w:val="27"/>
        </w:rPr>
      </w:pPr>
    </w:p>
    <w:p w14:paraId="40B49AC5" w14:textId="77777777" w:rsidR="00270DF9" w:rsidRDefault="00270DF9" w:rsidP="00270DF9">
      <w:pPr>
        <w:pStyle w:val="NormalWeb"/>
        <w:rPr>
          <w:rFonts w:ascii="Calibri" w:hAnsi="Calibri" w:cs="Calibri"/>
          <w:color w:val="000000"/>
          <w:sz w:val="27"/>
          <w:szCs w:val="27"/>
        </w:rPr>
      </w:pPr>
      <w:r>
        <w:rPr>
          <w:rFonts w:ascii="Calibri" w:hAnsi="Calibri" w:cs="Calibri"/>
          <w:color w:val="000000"/>
          <w:sz w:val="27"/>
          <w:szCs w:val="27"/>
        </w:rPr>
        <w:t>‌</w:t>
      </w:r>
    </w:p>
    <w:p w14:paraId="4AE28074" w14:textId="2C3CE796" w:rsidR="00270DF9" w:rsidRDefault="00270DF9" w:rsidP="00844852">
      <w:pPr>
        <w:pStyle w:val="NormalWeb"/>
        <w:spacing w:before="0" w:beforeAutospacing="0" w:after="0" w:afterAutospacing="0" w:line="360" w:lineRule="atLeast"/>
        <w:rPr>
          <w:rFonts w:ascii="Calibri" w:hAnsi="Calibri" w:cs="Calibri"/>
          <w:color w:val="000000"/>
          <w:sz w:val="27"/>
          <w:szCs w:val="27"/>
        </w:rPr>
      </w:pPr>
    </w:p>
    <w:p w14:paraId="1235F5B9" w14:textId="77777777" w:rsidR="00844852" w:rsidRDefault="00844852" w:rsidP="00844852">
      <w:pPr>
        <w:pStyle w:val="NormalWeb"/>
        <w:rPr>
          <w:rFonts w:ascii="Calibri" w:hAnsi="Calibri" w:cs="Calibri"/>
          <w:color w:val="000000"/>
          <w:sz w:val="27"/>
          <w:szCs w:val="27"/>
        </w:rPr>
      </w:pPr>
      <w:r>
        <w:rPr>
          <w:rFonts w:ascii="Calibri" w:hAnsi="Calibri" w:cs="Calibri"/>
          <w:color w:val="000000"/>
          <w:sz w:val="27"/>
          <w:szCs w:val="27"/>
        </w:rPr>
        <w:t>‌</w:t>
      </w:r>
    </w:p>
    <w:p w14:paraId="68778E63" w14:textId="4FE81378" w:rsidR="00844852" w:rsidRDefault="00844852" w:rsidP="0029412A">
      <w:pPr>
        <w:pStyle w:val="NormalWeb"/>
        <w:spacing w:before="0" w:beforeAutospacing="0" w:after="0" w:afterAutospacing="0" w:line="360" w:lineRule="atLeast"/>
        <w:rPr>
          <w:rFonts w:ascii="Calibri" w:hAnsi="Calibri" w:cs="Calibri"/>
          <w:color w:val="000000"/>
          <w:sz w:val="27"/>
          <w:szCs w:val="27"/>
        </w:rPr>
      </w:pPr>
    </w:p>
    <w:p w14:paraId="34E7F45A" w14:textId="77777777" w:rsidR="0029412A" w:rsidRDefault="0029412A" w:rsidP="0029412A">
      <w:pPr>
        <w:pStyle w:val="NormalWeb"/>
        <w:rPr>
          <w:rFonts w:ascii="Calibri" w:hAnsi="Calibri" w:cs="Calibri"/>
          <w:color w:val="000000"/>
          <w:sz w:val="27"/>
          <w:szCs w:val="27"/>
        </w:rPr>
      </w:pPr>
      <w:r>
        <w:rPr>
          <w:rFonts w:ascii="Calibri" w:hAnsi="Calibri" w:cs="Calibri"/>
          <w:color w:val="000000"/>
          <w:sz w:val="27"/>
          <w:szCs w:val="27"/>
        </w:rPr>
        <w:t>‌</w:t>
      </w:r>
    </w:p>
    <w:p w14:paraId="51E03C77" w14:textId="77777777" w:rsidR="0029412A" w:rsidRDefault="0029412A" w:rsidP="001F79E7">
      <w:pPr>
        <w:pStyle w:val="NormalWeb"/>
        <w:spacing w:before="0" w:beforeAutospacing="0" w:after="0" w:afterAutospacing="0" w:line="360" w:lineRule="atLeast"/>
        <w:rPr>
          <w:rFonts w:ascii="Calibri" w:hAnsi="Calibri" w:cs="Calibri"/>
          <w:color w:val="000000"/>
          <w:sz w:val="27"/>
          <w:szCs w:val="27"/>
        </w:rPr>
      </w:pPr>
    </w:p>
    <w:p w14:paraId="1DB26E8E" w14:textId="77777777" w:rsidR="001F79E7" w:rsidRDefault="001F79E7" w:rsidP="001F79E7">
      <w:pPr>
        <w:pStyle w:val="NormalWeb"/>
        <w:rPr>
          <w:rFonts w:ascii="Calibri" w:hAnsi="Calibri" w:cs="Calibri"/>
          <w:color w:val="000000"/>
          <w:sz w:val="27"/>
          <w:szCs w:val="27"/>
        </w:rPr>
      </w:pPr>
      <w:r>
        <w:rPr>
          <w:rFonts w:ascii="Calibri" w:hAnsi="Calibri" w:cs="Calibri"/>
          <w:color w:val="000000"/>
          <w:sz w:val="27"/>
          <w:szCs w:val="27"/>
        </w:rPr>
        <w:t>‌</w:t>
      </w:r>
    </w:p>
    <w:p w14:paraId="41393BD6" w14:textId="77777777" w:rsidR="008A6D32" w:rsidRPr="008A6D32" w:rsidRDefault="008A6D32" w:rsidP="008A6D32">
      <w:pPr>
        <w:pStyle w:val="NormalWeb"/>
        <w:rPr>
          <w:rFonts w:ascii="Arial" w:hAnsi="Arial" w:cs="Arial"/>
          <w:color w:val="000000"/>
        </w:rPr>
      </w:pP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D4A31" w14:textId="77777777" w:rsidR="00C07D7E" w:rsidRDefault="00C07D7E" w:rsidP="000264A1">
      <w:pPr>
        <w:spacing w:after="0" w:line="240" w:lineRule="auto"/>
      </w:pPr>
      <w:r>
        <w:separator/>
      </w:r>
    </w:p>
  </w:endnote>
  <w:endnote w:type="continuationSeparator" w:id="0">
    <w:p w14:paraId="2BE0D71D" w14:textId="77777777" w:rsidR="00C07D7E" w:rsidRDefault="00C07D7E"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2828A2" w14:textId="77777777" w:rsidR="00C07D7E" w:rsidRDefault="00C07D7E" w:rsidP="000264A1">
      <w:pPr>
        <w:spacing w:after="0" w:line="240" w:lineRule="auto"/>
      </w:pPr>
      <w:r>
        <w:separator/>
      </w:r>
    </w:p>
  </w:footnote>
  <w:footnote w:type="continuationSeparator" w:id="0">
    <w:p w14:paraId="242E6314" w14:textId="77777777" w:rsidR="00C07D7E" w:rsidRDefault="00C07D7E"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346F"/>
    <w:rsid w:val="000147A6"/>
    <w:rsid w:val="000171FC"/>
    <w:rsid w:val="0002595C"/>
    <w:rsid w:val="000264A1"/>
    <w:rsid w:val="00060FB4"/>
    <w:rsid w:val="00076C3D"/>
    <w:rsid w:val="00086C9D"/>
    <w:rsid w:val="000B58CB"/>
    <w:rsid w:val="000D1B5C"/>
    <w:rsid w:val="0016379C"/>
    <w:rsid w:val="00166028"/>
    <w:rsid w:val="00167AC5"/>
    <w:rsid w:val="0017001D"/>
    <w:rsid w:val="001A67A1"/>
    <w:rsid w:val="001F79E7"/>
    <w:rsid w:val="00227E38"/>
    <w:rsid w:val="00233E19"/>
    <w:rsid w:val="00247B57"/>
    <w:rsid w:val="00247CE8"/>
    <w:rsid w:val="00257C16"/>
    <w:rsid w:val="002617E3"/>
    <w:rsid w:val="00263641"/>
    <w:rsid w:val="002652E5"/>
    <w:rsid w:val="00270DF9"/>
    <w:rsid w:val="00275567"/>
    <w:rsid w:val="0029412A"/>
    <w:rsid w:val="002A7748"/>
    <w:rsid w:val="002C3C15"/>
    <w:rsid w:val="002F0982"/>
    <w:rsid w:val="00313493"/>
    <w:rsid w:val="00314371"/>
    <w:rsid w:val="00322091"/>
    <w:rsid w:val="00343B65"/>
    <w:rsid w:val="003822BA"/>
    <w:rsid w:val="00391534"/>
    <w:rsid w:val="003A4F31"/>
    <w:rsid w:val="003B762E"/>
    <w:rsid w:val="00406E8A"/>
    <w:rsid w:val="00423574"/>
    <w:rsid w:val="00433B76"/>
    <w:rsid w:val="00484EB9"/>
    <w:rsid w:val="00486822"/>
    <w:rsid w:val="004D001F"/>
    <w:rsid w:val="004E53D9"/>
    <w:rsid w:val="005165A4"/>
    <w:rsid w:val="00523A34"/>
    <w:rsid w:val="005434D4"/>
    <w:rsid w:val="00544310"/>
    <w:rsid w:val="00547370"/>
    <w:rsid w:val="00556503"/>
    <w:rsid w:val="00567DA2"/>
    <w:rsid w:val="00576DA6"/>
    <w:rsid w:val="005B4C75"/>
    <w:rsid w:val="005B4C98"/>
    <w:rsid w:val="00611C44"/>
    <w:rsid w:val="00637171"/>
    <w:rsid w:val="0067227D"/>
    <w:rsid w:val="006735C9"/>
    <w:rsid w:val="00687A2A"/>
    <w:rsid w:val="006B033A"/>
    <w:rsid w:val="00711686"/>
    <w:rsid w:val="00722ABC"/>
    <w:rsid w:val="00733AAB"/>
    <w:rsid w:val="00752572"/>
    <w:rsid w:val="00774D84"/>
    <w:rsid w:val="0079736D"/>
    <w:rsid w:val="008305C2"/>
    <w:rsid w:val="00843325"/>
    <w:rsid w:val="00844852"/>
    <w:rsid w:val="0085189F"/>
    <w:rsid w:val="00885297"/>
    <w:rsid w:val="008A6D32"/>
    <w:rsid w:val="008D19E1"/>
    <w:rsid w:val="008E62D8"/>
    <w:rsid w:val="008F2F58"/>
    <w:rsid w:val="008F566F"/>
    <w:rsid w:val="00915F77"/>
    <w:rsid w:val="0092550F"/>
    <w:rsid w:val="009752FA"/>
    <w:rsid w:val="009E07DC"/>
    <w:rsid w:val="009F0760"/>
    <w:rsid w:val="00A33EBC"/>
    <w:rsid w:val="00A34C33"/>
    <w:rsid w:val="00A36802"/>
    <w:rsid w:val="00A4220A"/>
    <w:rsid w:val="00A97282"/>
    <w:rsid w:val="00AE1DA2"/>
    <w:rsid w:val="00B23A60"/>
    <w:rsid w:val="00B42B1F"/>
    <w:rsid w:val="00B66798"/>
    <w:rsid w:val="00BA4C11"/>
    <w:rsid w:val="00BA7C52"/>
    <w:rsid w:val="00C07D7E"/>
    <w:rsid w:val="00C20B24"/>
    <w:rsid w:val="00C2615A"/>
    <w:rsid w:val="00C4740F"/>
    <w:rsid w:val="00C503CD"/>
    <w:rsid w:val="00C7022E"/>
    <w:rsid w:val="00C91C3A"/>
    <w:rsid w:val="00C927CE"/>
    <w:rsid w:val="00CC676E"/>
    <w:rsid w:val="00D11532"/>
    <w:rsid w:val="00DC608D"/>
    <w:rsid w:val="00DE61C3"/>
    <w:rsid w:val="00DF5C22"/>
    <w:rsid w:val="00E14956"/>
    <w:rsid w:val="00E83B9A"/>
    <w:rsid w:val="00E841E6"/>
    <w:rsid w:val="00EB279F"/>
    <w:rsid w:val="00EC2952"/>
    <w:rsid w:val="00EC4A32"/>
    <w:rsid w:val="00EE51E6"/>
    <w:rsid w:val="00F30BA7"/>
    <w:rsid w:val="00F649A2"/>
    <w:rsid w:val="00F666D7"/>
    <w:rsid w:val="00F7541C"/>
    <w:rsid w:val="00FB6735"/>
    <w:rsid w:val="00FC0CA8"/>
    <w:rsid w:val="00FF3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423574"/>
    <w:rPr>
      <w:color w:val="467886" w:themeColor="hyperlink"/>
      <w:u w:val="single"/>
    </w:rPr>
  </w:style>
  <w:style w:type="character" w:styleId="UnresolvedMention">
    <w:name w:val="Unresolved Mention"/>
    <w:basedOn w:val="DefaultParagraphFont"/>
    <w:uiPriority w:val="99"/>
    <w:semiHidden/>
    <w:unhideWhenUsed/>
    <w:rsid w:val="004235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ndacode.com/.(Accessed" TargetMode="External"/><Relationship Id="rId13" Type="http://schemas.openxmlformats.org/officeDocument/2006/relationships/hyperlink" Target="https://jeatdisord.biomedcentral.com/.(Accessed20-11-25)"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beateatingdisorders.org.uk/.(Accessed" TargetMode="External"/><Relationship Id="rId12" Type="http://schemas.openxmlformats.org/officeDocument/2006/relationships/hyperlink" Target="https://www.verywellmind.com/.(Accessed"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pubmed.ncbi.nlm.nih.gov/.(Accessed"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nhs.uk/.(Accessed" TargetMode="External"/><Relationship Id="rId5" Type="http://schemas.openxmlformats.org/officeDocument/2006/relationships/endnotes" Target="endnotes.xml"/><Relationship Id="rId15" Type="http://schemas.openxmlformats.org/officeDocument/2006/relationships/hyperlink" Target="https://www.tandfonline.com/.(Accessed" TargetMode="External"/><Relationship Id="rId10" Type="http://schemas.openxmlformats.org/officeDocument/2006/relationships/hyperlink" Target="https://www.who.int/.(Accessed"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psychologytools.com/.(Accessed" TargetMode="External"/><Relationship Id="rId14" Type="http://schemas.openxmlformats.org/officeDocument/2006/relationships/hyperlink" Target="https://link.springer.com/.(Accessed20-1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10</Pages>
  <Words>2207</Words>
  <Characters>15755</Characters>
  <Application>Microsoft Office Word</Application>
  <DocSecurity>0</DocSecurity>
  <Lines>317</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valerie bays</cp:lastModifiedBy>
  <cp:revision>4</cp:revision>
  <dcterms:created xsi:type="dcterms:W3CDTF">2025-11-21T18:21:00Z</dcterms:created>
  <dcterms:modified xsi:type="dcterms:W3CDTF">2025-11-24T08:36:00Z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d562ce95-fe65-4399-b862-2e12637d06db</vt:lpwstr>
  </property>
</Properties>
</file>