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DDB2F83" w14:textId="77777777" w:rsidR="00A864C7" w:rsidRPr="00C14F92" w:rsidRDefault="00A864C7" w:rsidP="00C366EE">
      <w:pPr>
        <w:spacing w:line="600" w:lineRule="auto"/>
        <w:jc w:val="center"/>
        <w:rPr>
          <w:rFonts w:ascii="Times New Roman" w:hAnsi="Times New Roman" w:cs="Times New Roman"/>
          <w:b/>
          <w:sz w:val="24"/>
          <w:szCs w:val="24"/>
        </w:rPr>
      </w:pPr>
    </w:p>
    <w:p w14:paraId="1CBA9553" w14:textId="77777777" w:rsidR="00A864C7" w:rsidRPr="00C14F92" w:rsidRDefault="00A864C7" w:rsidP="00C366EE">
      <w:pPr>
        <w:spacing w:line="600" w:lineRule="auto"/>
        <w:jc w:val="center"/>
        <w:rPr>
          <w:rFonts w:ascii="Times New Roman" w:hAnsi="Times New Roman" w:cs="Times New Roman"/>
          <w:b/>
          <w:sz w:val="24"/>
          <w:szCs w:val="24"/>
        </w:rPr>
      </w:pPr>
    </w:p>
    <w:p w14:paraId="1085D05B" w14:textId="5C49CCB0" w:rsidR="007D4AAD" w:rsidRPr="0040710D" w:rsidRDefault="007D4AAD" w:rsidP="007D4AAD">
      <w:pPr>
        <w:spacing w:line="360" w:lineRule="auto"/>
        <w:jc w:val="center"/>
        <w:rPr>
          <w:rFonts w:ascii="Times New Roman" w:hAnsi="Times New Roman" w:cs="Times New Roman"/>
          <w:b/>
          <w:sz w:val="72"/>
          <w:szCs w:val="72"/>
          <w:u w:val="single"/>
        </w:rPr>
      </w:pPr>
      <w:r>
        <w:rPr>
          <w:rFonts w:ascii="Times New Roman" w:hAnsi="Times New Roman" w:cs="Times New Roman"/>
          <w:b/>
          <w:sz w:val="72"/>
          <w:szCs w:val="72"/>
          <w:u w:val="single"/>
        </w:rPr>
        <w:t>Legal Process</w:t>
      </w:r>
    </w:p>
    <w:p w14:paraId="7896DC44" w14:textId="77777777" w:rsidR="007D4AAD" w:rsidRPr="0040710D" w:rsidRDefault="007D4AAD" w:rsidP="007D4AAD">
      <w:pPr>
        <w:spacing w:line="360" w:lineRule="auto"/>
        <w:jc w:val="center"/>
        <w:rPr>
          <w:rFonts w:ascii="Times New Roman" w:hAnsi="Times New Roman" w:cs="Times New Roman"/>
          <w:b/>
          <w:sz w:val="44"/>
          <w:szCs w:val="44"/>
        </w:rPr>
      </w:pPr>
    </w:p>
    <w:p w14:paraId="4E8D1929" w14:textId="77777777" w:rsidR="007D4AAD" w:rsidRPr="0040710D" w:rsidRDefault="007D4AAD" w:rsidP="007D4AAD">
      <w:pPr>
        <w:spacing w:line="360" w:lineRule="auto"/>
        <w:jc w:val="center"/>
        <w:rPr>
          <w:rFonts w:ascii="Times New Roman" w:hAnsi="Times New Roman" w:cs="Times New Roman"/>
          <w:b/>
          <w:sz w:val="44"/>
          <w:szCs w:val="44"/>
        </w:rPr>
      </w:pPr>
      <w:r w:rsidRPr="0040710D">
        <w:rPr>
          <w:rFonts w:ascii="Times New Roman" w:hAnsi="Times New Roman" w:cs="Times New Roman"/>
          <w:b/>
          <w:sz w:val="44"/>
          <w:szCs w:val="44"/>
          <w:u w:val="single"/>
        </w:rPr>
        <w:t>Student Name</w:t>
      </w:r>
      <w:r w:rsidRPr="0040710D">
        <w:rPr>
          <w:rFonts w:ascii="Times New Roman" w:hAnsi="Times New Roman" w:cs="Times New Roman"/>
          <w:b/>
          <w:sz w:val="44"/>
          <w:szCs w:val="44"/>
        </w:rPr>
        <w:t xml:space="preserve">: </w:t>
      </w:r>
      <w:r>
        <w:rPr>
          <w:rFonts w:ascii="Times New Roman" w:hAnsi="Times New Roman" w:cs="Times New Roman"/>
          <w:b/>
          <w:sz w:val="44"/>
          <w:szCs w:val="44"/>
        </w:rPr>
        <w:t xml:space="preserve">  </w:t>
      </w:r>
      <w:r w:rsidRPr="0040710D">
        <w:rPr>
          <w:rFonts w:ascii="Times New Roman" w:hAnsi="Times New Roman" w:cs="Times New Roman"/>
          <w:b/>
          <w:sz w:val="44"/>
          <w:szCs w:val="44"/>
        </w:rPr>
        <w:t>George-Adrian Girbea</w:t>
      </w:r>
    </w:p>
    <w:p w14:paraId="160B087F" w14:textId="77777777" w:rsidR="007D4AAD" w:rsidRPr="0040710D" w:rsidRDefault="007D4AAD" w:rsidP="007D4AAD">
      <w:pPr>
        <w:spacing w:line="360" w:lineRule="auto"/>
        <w:jc w:val="center"/>
        <w:rPr>
          <w:rFonts w:ascii="Times New Roman" w:hAnsi="Times New Roman" w:cs="Times New Roman"/>
          <w:b/>
          <w:sz w:val="44"/>
          <w:szCs w:val="44"/>
        </w:rPr>
      </w:pPr>
      <w:r w:rsidRPr="0040710D">
        <w:rPr>
          <w:rFonts w:ascii="Times New Roman" w:hAnsi="Times New Roman" w:cs="Times New Roman"/>
          <w:b/>
          <w:sz w:val="44"/>
          <w:szCs w:val="44"/>
          <w:u w:val="single"/>
        </w:rPr>
        <w:t>Student Id</w:t>
      </w:r>
      <w:r w:rsidRPr="0040710D">
        <w:rPr>
          <w:rFonts w:ascii="Times New Roman" w:hAnsi="Times New Roman" w:cs="Times New Roman"/>
          <w:b/>
          <w:sz w:val="44"/>
          <w:szCs w:val="44"/>
        </w:rPr>
        <w:t xml:space="preserve">: </w:t>
      </w:r>
      <w:r>
        <w:rPr>
          <w:rFonts w:ascii="Times New Roman" w:hAnsi="Times New Roman" w:cs="Times New Roman"/>
          <w:b/>
          <w:sz w:val="44"/>
          <w:szCs w:val="44"/>
        </w:rPr>
        <w:t xml:space="preserve">  </w:t>
      </w:r>
      <w:r w:rsidRPr="0040710D">
        <w:rPr>
          <w:rFonts w:ascii="Times New Roman" w:hAnsi="Times New Roman" w:cs="Times New Roman"/>
          <w:b/>
          <w:sz w:val="44"/>
          <w:szCs w:val="44"/>
        </w:rPr>
        <w:t>2132626</w:t>
      </w:r>
    </w:p>
    <w:p w14:paraId="4051B85E" w14:textId="60FD3B51" w:rsidR="007D4AAD" w:rsidRDefault="007D4AAD" w:rsidP="007D4AAD">
      <w:pPr>
        <w:spacing w:line="360" w:lineRule="auto"/>
        <w:jc w:val="center"/>
        <w:rPr>
          <w:rFonts w:ascii="Times New Roman" w:hAnsi="Times New Roman" w:cs="Times New Roman"/>
          <w:b/>
          <w:sz w:val="44"/>
          <w:szCs w:val="44"/>
        </w:rPr>
      </w:pPr>
      <w:r w:rsidRPr="0040710D">
        <w:rPr>
          <w:rFonts w:ascii="Times New Roman" w:hAnsi="Times New Roman" w:cs="Times New Roman"/>
          <w:b/>
          <w:sz w:val="44"/>
          <w:szCs w:val="44"/>
          <w:u w:val="single"/>
        </w:rPr>
        <w:t>Course Lecturer</w:t>
      </w:r>
      <w:r w:rsidRPr="0040710D">
        <w:rPr>
          <w:rFonts w:ascii="Times New Roman" w:hAnsi="Times New Roman" w:cs="Times New Roman"/>
          <w:b/>
          <w:sz w:val="44"/>
          <w:szCs w:val="44"/>
        </w:rPr>
        <w:t xml:space="preserve">: </w:t>
      </w:r>
      <w:r>
        <w:rPr>
          <w:rFonts w:ascii="Times New Roman" w:hAnsi="Times New Roman" w:cs="Times New Roman"/>
          <w:b/>
          <w:sz w:val="44"/>
          <w:szCs w:val="44"/>
        </w:rPr>
        <w:t xml:space="preserve">   </w:t>
      </w:r>
      <w:r>
        <w:rPr>
          <w:rFonts w:ascii="Times New Roman" w:hAnsi="Times New Roman" w:cs="Times New Roman"/>
          <w:b/>
          <w:sz w:val="44"/>
          <w:szCs w:val="44"/>
        </w:rPr>
        <w:t>Zita Draper</w:t>
      </w:r>
    </w:p>
    <w:p w14:paraId="1FB4AEA2" w14:textId="77777777" w:rsidR="007D4AAD" w:rsidRPr="0040710D" w:rsidRDefault="007D4AAD" w:rsidP="007D4AAD">
      <w:pPr>
        <w:spacing w:line="360" w:lineRule="auto"/>
        <w:jc w:val="center"/>
        <w:rPr>
          <w:rFonts w:ascii="Times New Roman" w:hAnsi="Times New Roman" w:cs="Times New Roman"/>
          <w:b/>
          <w:sz w:val="44"/>
          <w:szCs w:val="44"/>
        </w:rPr>
      </w:pPr>
    </w:p>
    <w:p w14:paraId="3CFF57BC" w14:textId="231FA83C" w:rsidR="00A864C7" w:rsidRPr="00C14F92" w:rsidRDefault="00A864C7" w:rsidP="00C366EE">
      <w:pPr>
        <w:spacing w:line="600" w:lineRule="auto"/>
        <w:jc w:val="center"/>
        <w:rPr>
          <w:rFonts w:ascii="Times New Roman" w:hAnsi="Times New Roman" w:cs="Times New Roman"/>
          <w:b/>
          <w:sz w:val="24"/>
          <w:szCs w:val="24"/>
        </w:rPr>
      </w:pPr>
    </w:p>
    <w:p w14:paraId="705F5F32" w14:textId="77777777" w:rsidR="00A864C7" w:rsidRPr="007D4AAD" w:rsidRDefault="00A864C7" w:rsidP="007D4AAD">
      <w:pPr>
        <w:spacing w:line="600" w:lineRule="auto"/>
        <w:jc w:val="center"/>
        <w:rPr>
          <w:rFonts w:ascii="Times New Roman" w:hAnsi="Times New Roman" w:cs="Times New Roman"/>
          <w:b/>
          <w:sz w:val="44"/>
          <w:szCs w:val="44"/>
        </w:rPr>
      </w:pPr>
      <w:r w:rsidRPr="007D4AAD">
        <w:rPr>
          <w:rFonts w:ascii="Times New Roman" w:hAnsi="Times New Roman" w:cs="Times New Roman"/>
          <w:b/>
          <w:sz w:val="44"/>
          <w:szCs w:val="44"/>
        </w:rPr>
        <w:t>Diversity in the Judiciary (Supreme Court)</w:t>
      </w:r>
    </w:p>
    <w:p w14:paraId="7F2BBD00" w14:textId="77777777" w:rsidR="00617E82" w:rsidRDefault="00617E82" w:rsidP="007D4AAD">
      <w:pPr>
        <w:spacing w:line="600" w:lineRule="auto"/>
        <w:jc w:val="center"/>
        <w:rPr>
          <w:rFonts w:ascii="Times New Roman" w:hAnsi="Times New Roman" w:cs="Times New Roman"/>
          <w:b/>
          <w:sz w:val="24"/>
          <w:szCs w:val="24"/>
        </w:rPr>
      </w:pPr>
      <w:r>
        <w:rPr>
          <w:rFonts w:ascii="Times New Roman" w:hAnsi="Times New Roman" w:cs="Times New Roman"/>
          <w:b/>
          <w:sz w:val="24"/>
          <w:szCs w:val="24"/>
        </w:rPr>
        <w:br w:type="page"/>
      </w:r>
    </w:p>
    <w:sdt>
      <w:sdtPr>
        <w:id w:val="1240128242"/>
        <w:docPartObj>
          <w:docPartGallery w:val="Table of Contents"/>
          <w:docPartUnique/>
        </w:docPartObj>
      </w:sdtPr>
      <w:sdtEndPr>
        <w:rPr>
          <w:b/>
          <w:bCs/>
          <w:noProof/>
        </w:rPr>
      </w:sdtEndPr>
      <w:sdtContent>
        <w:p w14:paraId="4BFEAC20" w14:textId="77777777" w:rsidR="00617E82" w:rsidRPr="00580B5F" w:rsidRDefault="00617E82" w:rsidP="00C366EE">
          <w:pPr>
            <w:spacing w:line="600" w:lineRule="auto"/>
            <w:jc w:val="center"/>
            <w:rPr>
              <w:rFonts w:ascii="Times New Roman" w:hAnsi="Times New Roman" w:cs="Times New Roman"/>
              <w:b/>
              <w:sz w:val="24"/>
            </w:rPr>
          </w:pPr>
          <w:r w:rsidRPr="00580B5F">
            <w:rPr>
              <w:rFonts w:ascii="Times New Roman" w:hAnsi="Times New Roman" w:cs="Times New Roman"/>
              <w:b/>
              <w:sz w:val="24"/>
            </w:rPr>
            <w:t>Table of Contents</w:t>
          </w:r>
        </w:p>
        <w:p w14:paraId="041E1CAC" w14:textId="77777777" w:rsidR="00580B5F" w:rsidRPr="00580B5F" w:rsidRDefault="00617E82" w:rsidP="00C366EE">
          <w:pPr>
            <w:pStyle w:val="TOC1"/>
            <w:tabs>
              <w:tab w:val="left" w:pos="440"/>
              <w:tab w:val="right" w:leader="dot" w:pos="9350"/>
            </w:tabs>
            <w:spacing w:line="600" w:lineRule="auto"/>
            <w:rPr>
              <w:rFonts w:ascii="Times New Roman" w:eastAsiaTheme="minorEastAsia" w:hAnsi="Times New Roman" w:cs="Times New Roman"/>
              <w:noProof/>
              <w:sz w:val="24"/>
            </w:rPr>
          </w:pPr>
          <w:r w:rsidRPr="00580B5F">
            <w:rPr>
              <w:rFonts w:ascii="Times New Roman" w:hAnsi="Times New Roman" w:cs="Times New Roman"/>
              <w:sz w:val="24"/>
            </w:rPr>
            <w:fldChar w:fldCharType="begin"/>
          </w:r>
          <w:r w:rsidRPr="00580B5F">
            <w:rPr>
              <w:rFonts w:ascii="Times New Roman" w:hAnsi="Times New Roman" w:cs="Times New Roman"/>
              <w:sz w:val="24"/>
            </w:rPr>
            <w:instrText xml:space="preserve"> TOC \o "1-3" \h \z \u </w:instrText>
          </w:r>
          <w:r w:rsidRPr="00580B5F">
            <w:rPr>
              <w:rFonts w:ascii="Times New Roman" w:hAnsi="Times New Roman" w:cs="Times New Roman"/>
              <w:sz w:val="24"/>
            </w:rPr>
            <w:fldChar w:fldCharType="separate"/>
          </w:r>
          <w:hyperlink w:anchor="_Toc104829252" w:history="1">
            <w:r w:rsidR="00580B5F" w:rsidRPr="00580B5F">
              <w:rPr>
                <w:rStyle w:val="Hyperlink"/>
                <w:rFonts w:ascii="Times New Roman" w:hAnsi="Times New Roman" w:cs="Times New Roman"/>
                <w:noProof/>
                <w:sz w:val="24"/>
              </w:rPr>
              <w:t>1</w:t>
            </w:r>
            <w:r w:rsidR="00580B5F" w:rsidRPr="00580B5F">
              <w:rPr>
                <w:rFonts w:ascii="Times New Roman" w:eastAsiaTheme="minorEastAsia" w:hAnsi="Times New Roman" w:cs="Times New Roman"/>
                <w:noProof/>
                <w:sz w:val="24"/>
              </w:rPr>
              <w:tab/>
            </w:r>
            <w:r w:rsidR="00580B5F" w:rsidRPr="00580B5F">
              <w:rPr>
                <w:rStyle w:val="Hyperlink"/>
                <w:rFonts w:ascii="Times New Roman" w:hAnsi="Times New Roman" w:cs="Times New Roman"/>
                <w:noProof/>
                <w:sz w:val="24"/>
              </w:rPr>
              <w:t>Introduction</w:t>
            </w:r>
            <w:r w:rsidR="00580B5F" w:rsidRPr="00580B5F">
              <w:rPr>
                <w:rFonts w:ascii="Times New Roman" w:hAnsi="Times New Roman" w:cs="Times New Roman"/>
                <w:noProof/>
                <w:webHidden/>
                <w:sz w:val="24"/>
              </w:rPr>
              <w:tab/>
            </w:r>
            <w:r w:rsidR="00580B5F" w:rsidRPr="00580B5F">
              <w:rPr>
                <w:rFonts w:ascii="Times New Roman" w:hAnsi="Times New Roman" w:cs="Times New Roman"/>
                <w:noProof/>
                <w:webHidden/>
                <w:sz w:val="24"/>
              </w:rPr>
              <w:fldChar w:fldCharType="begin"/>
            </w:r>
            <w:r w:rsidR="00580B5F" w:rsidRPr="00580B5F">
              <w:rPr>
                <w:rFonts w:ascii="Times New Roman" w:hAnsi="Times New Roman" w:cs="Times New Roman"/>
                <w:noProof/>
                <w:webHidden/>
                <w:sz w:val="24"/>
              </w:rPr>
              <w:instrText xml:space="preserve"> PAGEREF _Toc104829252 \h </w:instrText>
            </w:r>
            <w:r w:rsidR="00580B5F" w:rsidRPr="00580B5F">
              <w:rPr>
                <w:rFonts w:ascii="Times New Roman" w:hAnsi="Times New Roman" w:cs="Times New Roman"/>
                <w:noProof/>
                <w:webHidden/>
                <w:sz w:val="24"/>
              </w:rPr>
            </w:r>
            <w:r w:rsidR="00580B5F" w:rsidRPr="00580B5F">
              <w:rPr>
                <w:rFonts w:ascii="Times New Roman" w:hAnsi="Times New Roman" w:cs="Times New Roman"/>
                <w:noProof/>
                <w:webHidden/>
                <w:sz w:val="24"/>
              </w:rPr>
              <w:fldChar w:fldCharType="separate"/>
            </w:r>
            <w:r w:rsidR="00580B5F" w:rsidRPr="00580B5F">
              <w:rPr>
                <w:rFonts w:ascii="Times New Roman" w:hAnsi="Times New Roman" w:cs="Times New Roman"/>
                <w:noProof/>
                <w:webHidden/>
                <w:sz w:val="24"/>
              </w:rPr>
              <w:t>3</w:t>
            </w:r>
            <w:r w:rsidR="00580B5F" w:rsidRPr="00580B5F">
              <w:rPr>
                <w:rFonts w:ascii="Times New Roman" w:hAnsi="Times New Roman" w:cs="Times New Roman"/>
                <w:noProof/>
                <w:webHidden/>
                <w:sz w:val="24"/>
              </w:rPr>
              <w:fldChar w:fldCharType="end"/>
            </w:r>
          </w:hyperlink>
        </w:p>
        <w:p w14:paraId="123EAC2F" w14:textId="77777777" w:rsidR="00580B5F" w:rsidRPr="00580B5F" w:rsidRDefault="003454C9" w:rsidP="00C366EE">
          <w:pPr>
            <w:pStyle w:val="TOC1"/>
            <w:tabs>
              <w:tab w:val="left" w:pos="440"/>
              <w:tab w:val="right" w:leader="dot" w:pos="9350"/>
            </w:tabs>
            <w:spacing w:line="600" w:lineRule="auto"/>
            <w:rPr>
              <w:rFonts w:ascii="Times New Roman" w:eastAsiaTheme="minorEastAsia" w:hAnsi="Times New Roman" w:cs="Times New Roman"/>
              <w:noProof/>
              <w:sz w:val="24"/>
            </w:rPr>
          </w:pPr>
          <w:hyperlink w:anchor="_Toc104829253" w:history="1">
            <w:r w:rsidR="00580B5F" w:rsidRPr="00580B5F">
              <w:rPr>
                <w:rStyle w:val="Hyperlink"/>
                <w:rFonts w:ascii="Times New Roman" w:hAnsi="Times New Roman" w:cs="Times New Roman"/>
                <w:noProof/>
                <w:sz w:val="24"/>
              </w:rPr>
              <w:t>2</w:t>
            </w:r>
            <w:r w:rsidR="00580B5F" w:rsidRPr="00580B5F">
              <w:rPr>
                <w:rFonts w:ascii="Times New Roman" w:eastAsiaTheme="minorEastAsia" w:hAnsi="Times New Roman" w:cs="Times New Roman"/>
                <w:noProof/>
                <w:sz w:val="24"/>
              </w:rPr>
              <w:tab/>
            </w:r>
            <w:r w:rsidR="00580B5F" w:rsidRPr="00580B5F">
              <w:rPr>
                <w:rStyle w:val="Hyperlink"/>
                <w:rFonts w:ascii="Times New Roman" w:hAnsi="Times New Roman" w:cs="Times New Roman"/>
                <w:noProof/>
                <w:sz w:val="24"/>
              </w:rPr>
              <w:t>Discussion</w:t>
            </w:r>
            <w:r w:rsidR="00580B5F" w:rsidRPr="00580B5F">
              <w:rPr>
                <w:rFonts w:ascii="Times New Roman" w:hAnsi="Times New Roman" w:cs="Times New Roman"/>
                <w:noProof/>
                <w:webHidden/>
                <w:sz w:val="24"/>
              </w:rPr>
              <w:tab/>
            </w:r>
            <w:r w:rsidR="00580B5F" w:rsidRPr="00580B5F">
              <w:rPr>
                <w:rFonts w:ascii="Times New Roman" w:hAnsi="Times New Roman" w:cs="Times New Roman"/>
                <w:noProof/>
                <w:webHidden/>
                <w:sz w:val="24"/>
              </w:rPr>
              <w:fldChar w:fldCharType="begin"/>
            </w:r>
            <w:r w:rsidR="00580B5F" w:rsidRPr="00580B5F">
              <w:rPr>
                <w:rFonts w:ascii="Times New Roman" w:hAnsi="Times New Roman" w:cs="Times New Roman"/>
                <w:noProof/>
                <w:webHidden/>
                <w:sz w:val="24"/>
              </w:rPr>
              <w:instrText xml:space="preserve"> PAGEREF _Toc104829253 \h </w:instrText>
            </w:r>
            <w:r w:rsidR="00580B5F" w:rsidRPr="00580B5F">
              <w:rPr>
                <w:rFonts w:ascii="Times New Roman" w:hAnsi="Times New Roman" w:cs="Times New Roman"/>
                <w:noProof/>
                <w:webHidden/>
                <w:sz w:val="24"/>
              </w:rPr>
            </w:r>
            <w:r w:rsidR="00580B5F" w:rsidRPr="00580B5F">
              <w:rPr>
                <w:rFonts w:ascii="Times New Roman" w:hAnsi="Times New Roman" w:cs="Times New Roman"/>
                <w:noProof/>
                <w:webHidden/>
                <w:sz w:val="24"/>
              </w:rPr>
              <w:fldChar w:fldCharType="separate"/>
            </w:r>
            <w:r w:rsidR="00580B5F" w:rsidRPr="00580B5F">
              <w:rPr>
                <w:rFonts w:ascii="Times New Roman" w:hAnsi="Times New Roman" w:cs="Times New Roman"/>
                <w:noProof/>
                <w:webHidden/>
                <w:sz w:val="24"/>
              </w:rPr>
              <w:t>3</w:t>
            </w:r>
            <w:r w:rsidR="00580B5F" w:rsidRPr="00580B5F">
              <w:rPr>
                <w:rFonts w:ascii="Times New Roman" w:hAnsi="Times New Roman" w:cs="Times New Roman"/>
                <w:noProof/>
                <w:webHidden/>
                <w:sz w:val="24"/>
              </w:rPr>
              <w:fldChar w:fldCharType="end"/>
            </w:r>
          </w:hyperlink>
        </w:p>
        <w:p w14:paraId="0960354F" w14:textId="77777777" w:rsidR="00580B5F" w:rsidRPr="00580B5F" w:rsidRDefault="003454C9" w:rsidP="00C366EE">
          <w:pPr>
            <w:pStyle w:val="TOC1"/>
            <w:tabs>
              <w:tab w:val="left" w:pos="440"/>
              <w:tab w:val="right" w:leader="dot" w:pos="9350"/>
            </w:tabs>
            <w:spacing w:line="600" w:lineRule="auto"/>
            <w:rPr>
              <w:rFonts w:ascii="Times New Roman" w:eastAsiaTheme="minorEastAsia" w:hAnsi="Times New Roman" w:cs="Times New Roman"/>
              <w:noProof/>
              <w:sz w:val="24"/>
            </w:rPr>
          </w:pPr>
          <w:hyperlink w:anchor="_Toc104829254" w:history="1">
            <w:r w:rsidR="00580B5F" w:rsidRPr="00580B5F">
              <w:rPr>
                <w:rStyle w:val="Hyperlink"/>
                <w:rFonts w:ascii="Times New Roman" w:hAnsi="Times New Roman" w:cs="Times New Roman"/>
                <w:noProof/>
                <w:sz w:val="24"/>
              </w:rPr>
              <w:t>3</w:t>
            </w:r>
            <w:r w:rsidR="00580B5F" w:rsidRPr="00580B5F">
              <w:rPr>
                <w:rFonts w:ascii="Times New Roman" w:eastAsiaTheme="minorEastAsia" w:hAnsi="Times New Roman" w:cs="Times New Roman"/>
                <w:noProof/>
                <w:sz w:val="24"/>
              </w:rPr>
              <w:tab/>
            </w:r>
            <w:r w:rsidR="00580B5F" w:rsidRPr="00580B5F">
              <w:rPr>
                <w:rStyle w:val="Hyperlink"/>
                <w:rFonts w:ascii="Times New Roman" w:hAnsi="Times New Roman" w:cs="Times New Roman"/>
                <w:noProof/>
                <w:sz w:val="24"/>
              </w:rPr>
              <w:t>Conclusion</w:t>
            </w:r>
            <w:r w:rsidR="00580B5F" w:rsidRPr="00580B5F">
              <w:rPr>
                <w:rFonts w:ascii="Times New Roman" w:hAnsi="Times New Roman" w:cs="Times New Roman"/>
                <w:noProof/>
                <w:webHidden/>
                <w:sz w:val="24"/>
              </w:rPr>
              <w:tab/>
            </w:r>
            <w:r w:rsidR="00580B5F" w:rsidRPr="00580B5F">
              <w:rPr>
                <w:rFonts w:ascii="Times New Roman" w:hAnsi="Times New Roman" w:cs="Times New Roman"/>
                <w:noProof/>
                <w:webHidden/>
                <w:sz w:val="24"/>
              </w:rPr>
              <w:fldChar w:fldCharType="begin"/>
            </w:r>
            <w:r w:rsidR="00580B5F" w:rsidRPr="00580B5F">
              <w:rPr>
                <w:rFonts w:ascii="Times New Roman" w:hAnsi="Times New Roman" w:cs="Times New Roman"/>
                <w:noProof/>
                <w:webHidden/>
                <w:sz w:val="24"/>
              </w:rPr>
              <w:instrText xml:space="preserve"> PAGEREF _Toc104829254 \h </w:instrText>
            </w:r>
            <w:r w:rsidR="00580B5F" w:rsidRPr="00580B5F">
              <w:rPr>
                <w:rFonts w:ascii="Times New Roman" w:hAnsi="Times New Roman" w:cs="Times New Roman"/>
                <w:noProof/>
                <w:webHidden/>
                <w:sz w:val="24"/>
              </w:rPr>
            </w:r>
            <w:r w:rsidR="00580B5F" w:rsidRPr="00580B5F">
              <w:rPr>
                <w:rFonts w:ascii="Times New Roman" w:hAnsi="Times New Roman" w:cs="Times New Roman"/>
                <w:noProof/>
                <w:webHidden/>
                <w:sz w:val="24"/>
              </w:rPr>
              <w:fldChar w:fldCharType="separate"/>
            </w:r>
            <w:r w:rsidR="00580B5F" w:rsidRPr="00580B5F">
              <w:rPr>
                <w:rFonts w:ascii="Times New Roman" w:hAnsi="Times New Roman" w:cs="Times New Roman"/>
                <w:noProof/>
                <w:webHidden/>
                <w:sz w:val="24"/>
              </w:rPr>
              <w:t>6</w:t>
            </w:r>
            <w:r w:rsidR="00580B5F" w:rsidRPr="00580B5F">
              <w:rPr>
                <w:rFonts w:ascii="Times New Roman" w:hAnsi="Times New Roman" w:cs="Times New Roman"/>
                <w:noProof/>
                <w:webHidden/>
                <w:sz w:val="24"/>
              </w:rPr>
              <w:fldChar w:fldCharType="end"/>
            </w:r>
          </w:hyperlink>
        </w:p>
        <w:p w14:paraId="4AE9CDF2" w14:textId="77777777" w:rsidR="00580B5F" w:rsidRPr="00580B5F" w:rsidRDefault="003454C9" w:rsidP="00C366EE">
          <w:pPr>
            <w:pStyle w:val="TOC1"/>
            <w:tabs>
              <w:tab w:val="left" w:pos="440"/>
              <w:tab w:val="right" w:leader="dot" w:pos="9350"/>
            </w:tabs>
            <w:spacing w:line="600" w:lineRule="auto"/>
            <w:rPr>
              <w:rFonts w:ascii="Times New Roman" w:eastAsiaTheme="minorEastAsia" w:hAnsi="Times New Roman" w:cs="Times New Roman"/>
              <w:noProof/>
              <w:sz w:val="24"/>
            </w:rPr>
          </w:pPr>
          <w:hyperlink w:anchor="_Toc104829255" w:history="1">
            <w:r w:rsidR="00580B5F" w:rsidRPr="00580B5F">
              <w:rPr>
                <w:rStyle w:val="Hyperlink"/>
                <w:rFonts w:ascii="Times New Roman" w:hAnsi="Times New Roman" w:cs="Times New Roman"/>
                <w:noProof/>
                <w:sz w:val="24"/>
              </w:rPr>
              <w:t>4</w:t>
            </w:r>
            <w:r w:rsidR="00580B5F" w:rsidRPr="00580B5F">
              <w:rPr>
                <w:rFonts w:ascii="Times New Roman" w:eastAsiaTheme="minorEastAsia" w:hAnsi="Times New Roman" w:cs="Times New Roman"/>
                <w:noProof/>
                <w:sz w:val="24"/>
              </w:rPr>
              <w:tab/>
            </w:r>
            <w:r w:rsidR="00580B5F" w:rsidRPr="00580B5F">
              <w:rPr>
                <w:rStyle w:val="Hyperlink"/>
                <w:rFonts w:ascii="Times New Roman" w:hAnsi="Times New Roman" w:cs="Times New Roman"/>
                <w:noProof/>
                <w:sz w:val="24"/>
              </w:rPr>
              <w:t>References</w:t>
            </w:r>
            <w:r w:rsidR="00580B5F" w:rsidRPr="00580B5F">
              <w:rPr>
                <w:rFonts w:ascii="Times New Roman" w:hAnsi="Times New Roman" w:cs="Times New Roman"/>
                <w:noProof/>
                <w:webHidden/>
                <w:sz w:val="24"/>
              </w:rPr>
              <w:tab/>
            </w:r>
            <w:r w:rsidR="00580B5F" w:rsidRPr="00580B5F">
              <w:rPr>
                <w:rFonts w:ascii="Times New Roman" w:hAnsi="Times New Roman" w:cs="Times New Roman"/>
                <w:noProof/>
                <w:webHidden/>
                <w:sz w:val="24"/>
              </w:rPr>
              <w:fldChar w:fldCharType="begin"/>
            </w:r>
            <w:r w:rsidR="00580B5F" w:rsidRPr="00580B5F">
              <w:rPr>
                <w:rFonts w:ascii="Times New Roman" w:hAnsi="Times New Roman" w:cs="Times New Roman"/>
                <w:noProof/>
                <w:webHidden/>
                <w:sz w:val="24"/>
              </w:rPr>
              <w:instrText xml:space="preserve"> PAGEREF _Toc104829255 \h </w:instrText>
            </w:r>
            <w:r w:rsidR="00580B5F" w:rsidRPr="00580B5F">
              <w:rPr>
                <w:rFonts w:ascii="Times New Roman" w:hAnsi="Times New Roman" w:cs="Times New Roman"/>
                <w:noProof/>
                <w:webHidden/>
                <w:sz w:val="24"/>
              </w:rPr>
            </w:r>
            <w:r w:rsidR="00580B5F" w:rsidRPr="00580B5F">
              <w:rPr>
                <w:rFonts w:ascii="Times New Roman" w:hAnsi="Times New Roman" w:cs="Times New Roman"/>
                <w:noProof/>
                <w:webHidden/>
                <w:sz w:val="24"/>
              </w:rPr>
              <w:fldChar w:fldCharType="separate"/>
            </w:r>
            <w:r w:rsidR="00580B5F" w:rsidRPr="00580B5F">
              <w:rPr>
                <w:rFonts w:ascii="Times New Roman" w:hAnsi="Times New Roman" w:cs="Times New Roman"/>
                <w:noProof/>
                <w:webHidden/>
                <w:sz w:val="24"/>
              </w:rPr>
              <w:t>7</w:t>
            </w:r>
            <w:r w:rsidR="00580B5F" w:rsidRPr="00580B5F">
              <w:rPr>
                <w:rFonts w:ascii="Times New Roman" w:hAnsi="Times New Roman" w:cs="Times New Roman"/>
                <w:noProof/>
                <w:webHidden/>
                <w:sz w:val="24"/>
              </w:rPr>
              <w:fldChar w:fldCharType="end"/>
            </w:r>
          </w:hyperlink>
        </w:p>
        <w:p w14:paraId="068EAA3D" w14:textId="77777777" w:rsidR="00617E82" w:rsidRDefault="00617E82" w:rsidP="00C366EE">
          <w:pPr>
            <w:spacing w:line="600" w:lineRule="auto"/>
          </w:pPr>
          <w:r w:rsidRPr="00580B5F">
            <w:rPr>
              <w:rFonts w:ascii="Times New Roman" w:hAnsi="Times New Roman" w:cs="Times New Roman"/>
              <w:bCs/>
              <w:noProof/>
              <w:sz w:val="24"/>
            </w:rPr>
            <w:fldChar w:fldCharType="end"/>
          </w:r>
        </w:p>
      </w:sdtContent>
    </w:sdt>
    <w:p w14:paraId="2A259A29" w14:textId="77777777" w:rsidR="00A864C7" w:rsidRPr="00C14F92" w:rsidRDefault="00A864C7" w:rsidP="00C366EE">
      <w:pPr>
        <w:spacing w:line="600" w:lineRule="auto"/>
        <w:rPr>
          <w:rFonts w:ascii="Times New Roman" w:hAnsi="Times New Roman" w:cs="Times New Roman"/>
          <w:b/>
          <w:sz w:val="24"/>
          <w:szCs w:val="24"/>
        </w:rPr>
      </w:pPr>
    </w:p>
    <w:p w14:paraId="7F97F2FA" w14:textId="77777777" w:rsidR="00A864C7" w:rsidRPr="00C14F92" w:rsidRDefault="00A864C7" w:rsidP="00C366EE">
      <w:pPr>
        <w:spacing w:line="600" w:lineRule="auto"/>
        <w:rPr>
          <w:rFonts w:ascii="Times New Roman" w:hAnsi="Times New Roman" w:cs="Times New Roman"/>
          <w:b/>
          <w:sz w:val="24"/>
          <w:szCs w:val="24"/>
        </w:rPr>
      </w:pPr>
      <w:r w:rsidRPr="00C14F92">
        <w:rPr>
          <w:rFonts w:ascii="Times New Roman" w:hAnsi="Times New Roman" w:cs="Times New Roman"/>
          <w:b/>
          <w:sz w:val="24"/>
          <w:szCs w:val="24"/>
        </w:rPr>
        <w:br w:type="page"/>
      </w:r>
    </w:p>
    <w:p w14:paraId="03516A18" w14:textId="77777777" w:rsidR="00A864C7" w:rsidRPr="007909DD" w:rsidRDefault="00880D95" w:rsidP="00C366EE">
      <w:pPr>
        <w:pStyle w:val="Heading1"/>
        <w:spacing w:line="600" w:lineRule="auto"/>
        <w:jc w:val="both"/>
        <w:rPr>
          <w:rFonts w:ascii="Times New Roman" w:hAnsi="Times New Roman" w:cs="Times New Roman"/>
          <w:b/>
          <w:color w:val="auto"/>
          <w:sz w:val="28"/>
          <w:szCs w:val="28"/>
        </w:rPr>
      </w:pPr>
      <w:bookmarkStart w:id="0" w:name="_Toc104829252"/>
      <w:r w:rsidRPr="007909DD">
        <w:rPr>
          <w:rFonts w:ascii="Times New Roman" w:hAnsi="Times New Roman" w:cs="Times New Roman"/>
          <w:b/>
          <w:color w:val="auto"/>
          <w:sz w:val="28"/>
          <w:szCs w:val="28"/>
        </w:rPr>
        <w:lastRenderedPageBreak/>
        <w:t>Introduction</w:t>
      </w:r>
      <w:bookmarkEnd w:id="0"/>
    </w:p>
    <w:p w14:paraId="655FC533" w14:textId="77777777" w:rsidR="00356737" w:rsidRPr="00C14F92" w:rsidRDefault="00356737" w:rsidP="00C366EE">
      <w:pPr>
        <w:spacing w:line="600" w:lineRule="auto"/>
        <w:jc w:val="both"/>
        <w:rPr>
          <w:rFonts w:ascii="Times New Roman" w:hAnsi="Times New Roman" w:cs="Times New Roman"/>
          <w:sz w:val="24"/>
          <w:szCs w:val="24"/>
        </w:rPr>
      </w:pPr>
      <w:r w:rsidRPr="00C14F92">
        <w:rPr>
          <w:rFonts w:ascii="Times New Roman" w:hAnsi="Times New Roman" w:cs="Times New Roman"/>
          <w:sz w:val="24"/>
          <w:szCs w:val="24"/>
        </w:rPr>
        <w:t xml:space="preserve">The term diversity refers to the combination of new ideas, people, and experiences in one framework. Working in a diverse workplace creates creativity and promotes better decision making. In regards to diversity in Supreme Court, it promotes fair trials and allows different members to participate from distinct backgrounds. It is essential to have a diversified environment in court, as it offers a wide range of legal viewpoints and perceptions. It is said that diversity and Supreme Court justice have a considerable relation with each other, as they make it easy for judges to make decisions appropriately and support fair practices. Considering this, the essay presents valuable information regarding the fact that diversity is important.        </w:t>
      </w:r>
    </w:p>
    <w:p w14:paraId="261D355C" w14:textId="77777777" w:rsidR="00A864C7" w:rsidRPr="007909DD" w:rsidRDefault="00865B4B" w:rsidP="00C366EE">
      <w:pPr>
        <w:pStyle w:val="Heading1"/>
        <w:spacing w:line="600" w:lineRule="auto"/>
        <w:jc w:val="both"/>
        <w:rPr>
          <w:rFonts w:ascii="Times New Roman" w:hAnsi="Times New Roman" w:cs="Times New Roman"/>
          <w:b/>
          <w:color w:val="auto"/>
          <w:sz w:val="28"/>
          <w:szCs w:val="28"/>
        </w:rPr>
      </w:pPr>
      <w:bookmarkStart w:id="1" w:name="_Toc104829253"/>
      <w:r w:rsidRPr="007909DD">
        <w:rPr>
          <w:rFonts w:ascii="Times New Roman" w:hAnsi="Times New Roman" w:cs="Times New Roman"/>
          <w:b/>
          <w:color w:val="auto"/>
          <w:sz w:val="28"/>
          <w:szCs w:val="28"/>
        </w:rPr>
        <w:t>Discussion</w:t>
      </w:r>
      <w:bookmarkEnd w:id="1"/>
      <w:r w:rsidRPr="007909DD">
        <w:rPr>
          <w:rFonts w:ascii="Times New Roman" w:hAnsi="Times New Roman" w:cs="Times New Roman"/>
          <w:b/>
          <w:color w:val="auto"/>
          <w:sz w:val="28"/>
          <w:szCs w:val="28"/>
        </w:rPr>
        <w:t xml:space="preserve"> </w:t>
      </w:r>
    </w:p>
    <w:p w14:paraId="4994D041" w14:textId="77777777" w:rsidR="00331867" w:rsidRPr="00C14F92" w:rsidRDefault="00126111" w:rsidP="00C366EE">
      <w:pPr>
        <w:spacing w:line="600" w:lineRule="auto"/>
        <w:jc w:val="both"/>
        <w:rPr>
          <w:rFonts w:ascii="Times New Roman" w:hAnsi="Times New Roman" w:cs="Times New Roman"/>
          <w:sz w:val="24"/>
          <w:szCs w:val="24"/>
        </w:rPr>
      </w:pPr>
      <w:r w:rsidRPr="00C14F92">
        <w:rPr>
          <w:rFonts w:ascii="Times New Roman" w:hAnsi="Times New Roman" w:cs="Times New Roman"/>
          <w:sz w:val="24"/>
          <w:szCs w:val="24"/>
        </w:rPr>
        <w:t>Supreme Court is considered an essential body in the entire constitutional system of the government. It is called the biggest court for those who see justice</w:t>
      </w:r>
      <w:r w:rsidR="00EC427E" w:rsidRPr="00C14F92">
        <w:rPr>
          <w:rFonts w:ascii="Times New Roman" w:hAnsi="Times New Roman" w:cs="Times New Roman"/>
          <w:sz w:val="24"/>
          <w:szCs w:val="24"/>
        </w:rPr>
        <w:t xml:space="preserve"> (</w:t>
      </w:r>
      <w:r w:rsidR="00EC427E" w:rsidRPr="00C14F92">
        <w:rPr>
          <w:rFonts w:ascii="Times New Roman" w:hAnsi="Times New Roman" w:cs="Times New Roman"/>
          <w:sz w:val="24"/>
          <w:szCs w:val="24"/>
          <w:shd w:val="clear" w:color="auto" w:fill="FFFFFF"/>
        </w:rPr>
        <w:t>White, 2021)</w:t>
      </w:r>
      <w:r w:rsidRPr="00C14F92">
        <w:rPr>
          <w:rFonts w:ascii="Times New Roman" w:hAnsi="Times New Roman" w:cs="Times New Roman"/>
          <w:sz w:val="24"/>
          <w:szCs w:val="24"/>
        </w:rPr>
        <w:t xml:space="preserve">. It is such a powerful area that aims to ensure that every individual body or branch of the government recognizes their limit and uses power according to laws and regulations. Within the UK, the biggest justice department is known as “The Supreme Court of the UK (SCUK)”. All the final decisions and appeals regarding criminal cases, civil cases, general public cases, and many others are reported there. The Supreme Court is responsible for the handling of all the cases according to the constitution, and the cases cover the cases from the entire population of Wales, Northern Ireland, </w:t>
      </w:r>
      <w:r w:rsidRPr="00C14F92">
        <w:rPr>
          <w:rFonts w:ascii="Times New Roman" w:hAnsi="Times New Roman" w:cs="Times New Roman"/>
          <w:sz w:val="24"/>
          <w:szCs w:val="24"/>
        </w:rPr>
        <w:lastRenderedPageBreak/>
        <w:t>and England. Supreme Court is responsible for developing an inclusive and diverse culture of the court. In the UK, diversity is lived among all the staff members, as Supreme Court gives countable value to every department and promotes equivalency for everyone</w:t>
      </w:r>
      <w:r w:rsidR="007F037B" w:rsidRPr="00C14F92">
        <w:rPr>
          <w:rFonts w:ascii="Times New Roman" w:hAnsi="Times New Roman" w:cs="Times New Roman"/>
          <w:sz w:val="24"/>
          <w:szCs w:val="24"/>
        </w:rPr>
        <w:t xml:space="preserve"> (</w:t>
      </w:r>
      <w:r w:rsidR="007F037B" w:rsidRPr="00C14F92">
        <w:rPr>
          <w:rFonts w:ascii="Times New Roman" w:hAnsi="Times New Roman" w:cs="Times New Roman"/>
          <w:sz w:val="24"/>
          <w:szCs w:val="24"/>
          <w:shd w:val="clear" w:color="auto" w:fill="FFFFFF"/>
        </w:rPr>
        <w:t>Koumoutzis et al., 2021)</w:t>
      </w:r>
      <w:r w:rsidRPr="00C14F92">
        <w:rPr>
          <w:rFonts w:ascii="Times New Roman" w:hAnsi="Times New Roman" w:cs="Times New Roman"/>
          <w:sz w:val="24"/>
          <w:szCs w:val="24"/>
        </w:rPr>
        <w:t>. In addition, SCUK introduces different strategies and practices related to inclusion and diversity, which diversity promotes in the overall judicial system. With an increased level of diversity, it becomes possible for normal citizens to believe in the law a</w:t>
      </w:r>
      <w:r w:rsidR="006618AA" w:rsidRPr="00C14F92">
        <w:rPr>
          <w:rFonts w:ascii="Times New Roman" w:hAnsi="Times New Roman" w:cs="Times New Roman"/>
          <w:sz w:val="24"/>
          <w:szCs w:val="24"/>
        </w:rPr>
        <w:t xml:space="preserve">nd take help from the court. </w:t>
      </w:r>
      <w:r w:rsidR="00FC5E70" w:rsidRPr="00C14F92">
        <w:rPr>
          <w:rFonts w:ascii="Times New Roman" w:hAnsi="Times New Roman" w:cs="Times New Roman"/>
          <w:sz w:val="24"/>
          <w:szCs w:val="24"/>
        </w:rPr>
        <w:t>Being the final court of appeal or Supreme Court, it has a critical role in developing the laws of the UK. In general, it is impossible for Supreme Court to make a decision or pass any relevant order before the information is taken from the lower court. The Supreme Court is expected to maintain and establish the system of common law for all the members. In the supreme court of the UK, there are the same rules, laws, and regulations for all white and black people and for men and women</w:t>
      </w:r>
      <w:r w:rsidR="005D75F0" w:rsidRPr="00C14F92">
        <w:rPr>
          <w:rFonts w:ascii="Times New Roman" w:hAnsi="Times New Roman" w:cs="Times New Roman"/>
          <w:sz w:val="24"/>
          <w:szCs w:val="24"/>
        </w:rPr>
        <w:t xml:space="preserve"> (</w:t>
      </w:r>
      <w:r w:rsidR="005D75F0" w:rsidRPr="00C14F92">
        <w:rPr>
          <w:rFonts w:ascii="Times New Roman" w:hAnsi="Times New Roman" w:cs="Times New Roman"/>
          <w:sz w:val="24"/>
          <w:szCs w:val="24"/>
          <w:shd w:val="clear" w:color="auto" w:fill="FFFFFF"/>
        </w:rPr>
        <w:t>Starck et al., 2021)</w:t>
      </w:r>
      <w:r w:rsidR="00FC5E70" w:rsidRPr="00C14F92">
        <w:rPr>
          <w:rFonts w:ascii="Times New Roman" w:hAnsi="Times New Roman" w:cs="Times New Roman"/>
          <w:sz w:val="24"/>
          <w:szCs w:val="24"/>
        </w:rPr>
        <w:t xml:space="preserve">. In general, it is common in the world that different ethnic groups are neglected, and their concerns are not presented in the Supreme Court, which is against the element of diversity. It can be said that diversity is an important element in not promote justice but also ensuring fair and appropriate decisions and final decisions regarding any issue.   </w:t>
      </w:r>
    </w:p>
    <w:p w14:paraId="6D06328A" w14:textId="77777777" w:rsidR="001934AB" w:rsidRPr="00C14F92" w:rsidRDefault="00D00567" w:rsidP="00C366EE">
      <w:pPr>
        <w:spacing w:line="600" w:lineRule="auto"/>
        <w:jc w:val="both"/>
        <w:rPr>
          <w:rFonts w:ascii="Times New Roman" w:hAnsi="Times New Roman" w:cs="Times New Roman"/>
          <w:sz w:val="24"/>
          <w:szCs w:val="24"/>
        </w:rPr>
      </w:pPr>
      <w:r w:rsidRPr="00C14F92">
        <w:rPr>
          <w:rFonts w:ascii="Times New Roman" w:hAnsi="Times New Roman" w:cs="Times New Roman"/>
          <w:sz w:val="24"/>
          <w:szCs w:val="24"/>
        </w:rPr>
        <w:t>In any country, the judicial system is important to ensure and prevail a safe and secure environment for all the people and staff. It helps in resolving the issues, disputes, and conflicts among different groups in a</w:t>
      </w:r>
      <w:r w:rsidR="00E65CDD" w:rsidRPr="00C14F92">
        <w:rPr>
          <w:rFonts w:ascii="Times New Roman" w:hAnsi="Times New Roman" w:cs="Times New Roman"/>
          <w:sz w:val="24"/>
          <w:szCs w:val="24"/>
        </w:rPr>
        <w:t xml:space="preserve"> particular way. According to Juchniewicz and Łukiewska (2021</w:t>
      </w:r>
      <w:r w:rsidRPr="00C14F92">
        <w:rPr>
          <w:rFonts w:ascii="Times New Roman" w:hAnsi="Times New Roman" w:cs="Times New Roman"/>
          <w:sz w:val="24"/>
          <w:szCs w:val="24"/>
        </w:rPr>
        <w:t xml:space="preserve">), when a system or an individual show lacking diversity, then the entire system loses trust and people. On the other hand, </w:t>
      </w:r>
      <w:r w:rsidRPr="00C14F92">
        <w:rPr>
          <w:rFonts w:ascii="Times New Roman" w:hAnsi="Times New Roman" w:cs="Times New Roman"/>
          <w:sz w:val="24"/>
          <w:szCs w:val="24"/>
        </w:rPr>
        <w:lastRenderedPageBreak/>
        <w:t>when the court started to treat everyone with justice and promote an inclusive environment, then there was an ultimate decrease in the crime rate and disputes. In the late 20th century, Britain extensively used the law in order to deal with immigration and to crook ethnic discrimination as well. In the Britain judicial system, there is a considerable law for minimizing ethnic discrimination and promoting diversity</w:t>
      </w:r>
      <w:r w:rsidR="00C425F6" w:rsidRPr="00C14F92">
        <w:rPr>
          <w:rFonts w:ascii="Times New Roman" w:hAnsi="Times New Roman" w:cs="Times New Roman"/>
          <w:sz w:val="24"/>
          <w:szCs w:val="24"/>
        </w:rPr>
        <w:t xml:space="preserve"> (White, 2021)</w:t>
      </w:r>
      <w:r w:rsidRPr="00C14F92">
        <w:rPr>
          <w:rFonts w:ascii="Times New Roman" w:hAnsi="Times New Roman" w:cs="Times New Roman"/>
          <w:sz w:val="24"/>
          <w:szCs w:val="24"/>
        </w:rPr>
        <w:t>. For instance, when one company opened up a bar in an unofficial way, a group of people formed a committee and took action against the company and said that no black people were allowed to enter the bar. Against this, the Supreme Court gave their decision and denied the boycott of the group of people and passed the statement that no one is restricted to limit their business to any color, religion, nation, or e</w:t>
      </w:r>
      <w:r w:rsidR="00DF12A9" w:rsidRPr="00C14F92">
        <w:rPr>
          <w:rFonts w:ascii="Times New Roman" w:hAnsi="Times New Roman" w:cs="Times New Roman"/>
          <w:sz w:val="24"/>
          <w:szCs w:val="24"/>
        </w:rPr>
        <w:t xml:space="preserve">thnicity. </w:t>
      </w:r>
      <w:r w:rsidR="00D21E99" w:rsidRPr="00C14F92">
        <w:rPr>
          <w:rFonts w:ascii="Times New Roman" w:hAnsi="Times New Roman" w:cs="Times New Roman"/>
          <w:sz w:val="24"/>
          <w:szCs w:val="24"/>
        </w:rPr>
        <w:t>It is identified by Koumoutzis (</w:t>
      </w:r>
      <w:r w:rsidR="00535379" w:rsidRPr="00C14F92">
        <w:rPr>
          <w:rFonts w:ascii="Times New Roman" w:hAnsi="Times New Roman" w:cs="Times New Roman"/>
          <w:sz w:val="24"/>
          <w:szCs w:val="24"/>
        </w:rPr>
        <w:t>2021</w:t>
      </w:r>
      <w:r w:rsidR="001934AB" w:rsidRPr="00C14F92">
        <w:rPr>
          <w:rFonts w:ascii="Times New Roman" w:hAnsi="Times New Roman" w:cs="Times New Roman"/>
          <w:sz w:val="24"/>
          <w:szCs w:val="24"/>
        </w:rPr>
        <w:t>) that the Supreme Court must have highly qualified judges, staff members, supporting bodies, and other practitioners. The processes in the court are seen by the involvement of different selection commission that is chosen and governed by the set of parliament. In the UK, the selection process is comprised of different regulatory bodies, including; the President of the Court, any senior judge from the small court of the UK, one member from the Judicial Appointments Commission, one member from the Northern Ireland Judicial Appointments Commission, and one member from the Judicial Appointments Board for Scotland</w:t>
      </w:r>
      <w:r w:rsidR="003A7A6A" w:rsidRPr="00C14F92">
        <w:rPr>
          <w:rFonts w:ascii="Times New Roman" w:hAnsi="Times New Roman" w:cs="Times New Roman"/>
          <w:sz w:val="24"/>
          <w:szCs w:val="24"/>
        </w:rPr>
        <w:t xml:space="preserve"> (The Supreme Court, 2021</w:t>
      </w:r>
      <w:r w:rsidR="00733B1F" w:rsidRPr="00C14F92">
        <w:rPr>
          <w:rFonts w:ascii="Times New Roman" w:hAnsi="Times New Roman" w:cs="Times New Roman"/>
          <w:sz w:val="24"/>
          <w:szCs w:val="24"/>
        </w:rPr>
        <w:t>)</w:t>
      </w:r>
      <w:r w:rsidR="001934AB" w:rsidRPr="00C14F92">
        <w:rPr>
          <w:rFonts w:ascii="Times New Roman" w:hAnsi="Times New Roman" w:cs="Times New Roman"/>
          <w:sz w:val="24"/>
          <w:szCs w:val="24"/>
        </w:rPr>
        <w:t xml:space="preserve">. Moreover, it is important that all the bodies that are involved in the selection processes are not a lawyer. It is the duty of the Lord Chancellor and Lord Chief Justice to promote diversity within the judicial system and make sure that selection is made in a </w:t>
      </w:r>
      <w:r w:rsidR="001934AB" w:rsidRPr="00C14F92">
        <w:rPr>
          <w:rFonts w:ascii="Times New Roman" w:hAnsi="Times New Roman" w:cs="Times New Roman"/>
          <w:sz w:val="24"/>
          <w:szCs w:val="24"/>
        </w:rPr>
        <w:lastRenderedPageBreak/>
        <w:t>competitive, fair manner. For instance, the selection is made on the basis of merit and capabilities instead of focusing on black and white citizens. For this, different laws and regulations are supported by the committee, like; “The Equality Act 2010” and “The Application of Selection 159”</w:t>
      </w:r>
      <w:r w:rsidR="00331042" w:rsidRPr="00C14F92">
        <w:rPr>
          <w:rFonts w:ascii="Times New Roman" w:hAnsi="Times New Roman" w:cs="Times New Roman"/>
          <w:sz w:val="24"/>
          <w:szCs w:val="24"/>
        </w:rPr>
        <w:t xml:space="preserve"> (UK Parliament, 2021</w:t>
      </w:r>
      <w:r w:rsidR="00E858D0" w:rsidRPr="00C14F92">
        <w:rPr>
          <w:rFonts w:ascii="Times New Roman" w:hAnsi="Times New Roman" w:cs="Times New Roman"/>
          <w:sz w:val="24"/>
          <w:szCs w:val="24"/>
        </w:rPr>
        <w:t>)</w:t>
      </w:r>
      <w:r w:rsidR="001934AB" w:rsidRPr="00C14F92">
        <w:rPr>
          <w:rFonts w:ascii="Times New Roman" w:hAnsi="Times New Roman" w:cs="Times New Roman"/>
          <w:sz w:val="24"/>
          <w:szCs w:val="24"/>
        </w:rPr>
        <w:t>. With this, it becomes possible to reassure diversity is an appropriate feature in which candidates are selected on the basis of merit. This reflects that diversity in the judicial system is important, as it ensures best practices in the court and also makes sure that no one is going to select or rejected on the basis of race, ethnicity, religion, nation, or language.</w:t>
      </w:r>
    </w:p>
    <w:p w14:paraId="21CDCBAD" w14:textId="77777777" w:rsidR="00402BD4" w:rsidRPr="00C14F92" w:rsidRDefault="000133FE" w:rsidP="00C366EE">
      <w:pPr>
        <w:spacing w:line="600" w:lineRule="auto"/>
        <w:jc w:val="both"/>
        <w:rPr>
          <w:rFonts w:ascii="Times New Roman" w:hAnsi="Times New Roman" w:cs="Times New Roman"/>
          <w:sz w:val="24"/>
          <w:szCs w:val="24"/>
        </w:rPr>
      </w:pPr>
      <w:r w:rsidRPr="00C14F92">
        <w:rPr>
          <w:rFonts w:ascii="Times New Roman" w:hAnsi="Times New Roman" w:cs="Times New Roman"/>
          <w:sz w:val="24"/>
          <w:szCs w:val="24"/>
        </w:rPr>
        <w:t xml:space="preserve">The selection process in the UK judicial system is carried out in some specific statute, that is, the Constitutional Reform Act 2005, which is basically corrected with the new Crime and Courts Act 2013. Like, some particular steps are must need to </w:t>
      </w:r>
      <w:r w:rsidR="007E77B9" w:rsidRPr="00C14F92">
        <w:rPr>
          <w:rFonts w:ascii="Times New Roman" w:hAnsi="Times New Roman" w:cs="Times New Roman"/>
          <w:sz w:val="24"/>
          <w:szCs w:val="24"/>
        </w:rPr>
        <w:t>take</w:t>
      </w:r>
      <w:r w:rsidRPr="00C14F92">
        <w:rPr>
          <w:rFonts w:ascii="Times New Roman" w:hAnsi="Times New Roman" w:cs="Times New Roman"/>
          <w:sz w:val="24"/>
          <w:szCs w:val="24"/>
        </w:rPr>
        <w:t xml:space="preserve"> to select an individual and create a diversified environment. The most considerable regulation in the selection process is The Equality Act 2010, which forces the system to consider people regardless of their race, gender, ethnicity, and background</w:t>
      </w:r>
      <w:r w:rsidR="00E22DD9" w:rsidRPr="00C14F92">
        <w:rPr>
          <w:rFonts w:ascii="Times New Roman" w:hAnsi="Times New Roman" w:cs="Times New Roman"/>
          <w:sz w:val="24"/>
          <w:szCs w:val="24"/>
        </w:rPr>
        <w:t xml:space="preserve"> (</w:t>
      </w:r>
      <w:r w:rsidR="00E22DD9" w:rsidRPr="00C14F92">
        <w:rPr>
          <w:rFonts w:ascii="Times New Roman" w:hAnsi="Times New Roman" w:cs="Times New Roman"/>
          <w:sz w:val="24"/>
          <w:szCs w:val="24"/>
          <w:shd w:val="clear" w:color="auto" w:fill="FFFFFF"/>
        </w:rPr>
        <w:t>Kanchanabha</w:t>
      </w:r>
      <w:r w:rsidR="00D518F9" w:rsidRPr="00C14F92">
        <w:rPr>
          <w:rFonts w:ascii="Times New Roman" w:hAnsi="Times New Roman" w:cs="Times New Roman"/>
          <w:sz w:val="24"/>
          <w:szCs w:val="24"/>
          <w:shd w:val="clear" w:color="auto" w:fill="FFFFFF"/>
        </w:rPr>
        <w:t xml:space="preserve"> </w:t>
      </w:r>
      <w:r w:rsidR="00E22DD9" w:rsidRPr="00C14F92">
        <w:rPr>
          <w:rFonts w:ascii="Times New Roman" w:hAnsi="Times New Roman" w:cs="Times New Roman"/>
          <w:sz w:val="24"/>
          <w:szCs w:val="24"/>
          <w:shd w:val="clear" w:color="auto" w:fill="FFFFFF"/>
        </w:rPr>
        <w:t>and Badir, 2021)</w:t>
      </w:r>
      <w:r w:rsidRPr="00C14F92">
        <w:rPr>
          <w:rFonts w:ascii="Times New Roman" w:hAnsi="Times New Roman" w:cs="Times New Roman"/>
          <w:sz w:val="24"/>
          <w:szCs w:val="24"/>
        </w:rPr>
        <w:t>. It is important to have a discussion with the Lord Chancellor to proceed with the selection process and make a final decision accordingly. The selection is made under the basic criteria set by the government and parliament. It is also important that the senior ministers and chancellors of the system agree with the decision and result and support the selection of any candidate without seeing their cultural or religious background. All the selected candidates are properly interviewed and shortlisted by the Lord Commissioners under “The Crime and Court Act 2013” and then finalized by the commission</w:t>
      </w:r>
      <w:r w:rsidR="009D682D" w:rsidRPr="00C14F92">
        <w:rPr>
          <w:rFonts w:ascii="Times New Roman" w:hAnsi="Times New Roman" w:cs="Times New Roman"/>
          <w:sz w:val="24"/>
          <w:szCs w:val="24"/>
        </w:rPr>
        <w:t xml:space="preserve"> (UK Parliament, 2021</w:t>
      </w:r>
      <w:r w:rsidR="00261653" w:rsidRPr="00C14F92">
        <w:rPr>
          <w:rFonts w:ascii="Times New Roman" w:hAnsi="Times New Roman" w:cs="Times New Roman"/>
          <w:sz w:val="24"/>
          <w:szCs w:val="24"/>
        </w:rPr>
        <w:t>)</w:t>
      </w:r>
      <w:r w:rsidRPr="00C14F92">
        <w:rPr>
          <w:rFonts w:ascii="Times New Roman" w:hAnsi="Times New Roman" w:cs="Times New Roman"/>
          <w:sz w:val="24"/>
          <w:szCs w:val="24"/>
        </w:rPr>
        <w:t xml:space="preserve">. </w:t>
      </w:r>
      <w:r w:rsidRPr="00C14F92">
        <w:rPr>
          <w:rFonts w:ascii="Times New Roman" w:hAnsi="Times New Roman" w:cs="Times New Roman"/>
          <w:sz w:val="24"/>
          <w:szCs w:val="24"/>
        </w:rPr>
        <w:lastRenderedPageBreak/>
        <w:t>Throughout the selection, the core principle is to ensure that candidates are elected on the basis of merit in order to promote diversity inside the court.</w:t>
      </w:r>
      <w:r w:rsidR="00DF12A9" w:rsidRPr="00C14F92">
        <w:rPr>
          <w:rFonts w:ascii="Times New Roman" w:hAnsi="Times New Roman" w:cs="Times New Roman"/>
          <w:sz w:val="24"/>
          <w:szCs w:val="24"/>
        </w:rPr>
        <w:t xml:space="preserve"> </w:t>
      </w:r>
      <w:r w:rsidR="002F6386" w:rsidRPr="00C14F92">
        <w:rPr>
          <w:rFonts w:ascii="Times New Roman" w:hAnsi="Times New Roman" w:cs="Times New Roman"/>
          <w:sz w:val="24"/>
          <w:szCs w:val="24"/>
        </w:rPr>
        <w:t>In Supreme Court, there are almost 20 judges, and one Chief Justice is responsible for the fair judgment or goes through the decision made by the</w:t>
      </w:r>
      <w:r w:rsidR="002A5A77" w:rsidRPr="00C14F92">
        <w:rPr>
          <w:rFonts w:ascii="Times New Roman" w:hAnsi="Times New Roman" w:cs="Times New Roman"/>
          <w:sz w:val="24"/>
          <w:szCs w:val="24"/>
        </w:rPr>
        <w:t xml:space="preserve"> parliament. According to </w:t>
      </w:r>
      <w:r w:rsidR="00F3637A" w:rsidRPr="00C14F92">
        <w:rPr>
          <w:rFonts w:ascii="Times New Roman" w:hAnsi="Times New Roman" w:cs="Times New Roman"/>
          <w:sz w:val="24"/>
          <w:szCs w:val="24"/>
        </w:rPr>
        <w:t>UK Parliament (</w:t>
      </w:r>
      <w:r w:rsidR="002A5A77" w:rsidRPr="00C14F92">
        <w:rPr>
          <w:rFonts w:ascii="Times New Roman" w:hAnsi="Times New Roman" w:cs="Times New Roman"/>
          <w:sz w:val="24"/>
          <w:szCs w:val="24"/>
        </w:rPr>
        <w:t>2021</w:t>
      </w:r>
      <w:r w:rsidR="002F6386" w:rsidRPr="00C14F92">
        <w:rPr>
          <w:rFonts w:ascii="Times New Roman" w:hAnsi="Times New Roman" w:cs="Times New Roman"/>
          <w:sz w:val="24"/>
          <w:szCs w:val="24"/>
        </w:rPr>
        <w:t>), the current judicial system of the UK represent and supports diversity for all the officeholders and legal professionals and offers them a sufficient environment and judicial system. It is noted that the ratio of women judges are rising continuously among the proportion of judges. The ratio rises up specifically in the year 2020. In the UK, almost 49 percent of females were posted to the position of legal professional in the high court</w:t>
      </w:r>
      <w:r w:rsidR="009176AD" w:rsidRPr="00C14F92">
        <w:rPr>
          <w:rFonts w:ascii="Times New Roman" w:hAnsi="Times New Roman" w:cs="Times New Roman"/>
          <w:sz w:val="24"/>
          <w:szCs w:val="24"/>
        </w:rPr>
        <w:t xml:space="preserve"> (The Supreme Court, 2022</w:t>
      </w:r>
      <w:r w:rsidR="009474B2" w:rsidRPr="00C14F92">
        <w:rPr>
          <w:rFonts w:ascii="Times New Roman" w:hAnsi="Times New Roman" w:cs="Times New Roman"/>
          <w:sz w:val="24"/>
          <w:szCs w:val="24"/>
        </w:rPr>
        <w:t>)</w:t>
      </w:r>
      <w:r w:rsidR="002F6386" w:rsidRPr="00C14F92">
        <w:rPr>
          <w:rFonts w:ascii="Times New Roman" w:hAnsi="Times New Roman" w:cs="Times New Roman"/>
          <w:sz w:val="24"/>
          <w:szCs w:val="24"/>
        </w:rPr>
        <w:t>. In addition, more than half the percentage of judges are black, which defines the importance of minor ethnicity. It is also important in the judicial system that all the members appointed are from sensible groups; no youngsters are allowed to become a part of the Supreme Court without having exp</w:t>
      </w:r>
      <w:r w:rsidR="00621019" w:rsidRPr="00C14F92">
        <w:rPr>
          <w:rFonts w:ascii="Times New Roman" w:hAnsi="Times New Roman" w:cs="Times New Roman"/>
          <w:sz w:val="24"/>
          <w:szCs w:val="24"/>
        </w:rPr>
        <w:t xml:space="preserve">erience and capabilities. </w:t>
      </w:r>
      <w:r w:rsidR="00402BD4" w:rsidRPr="00C14F92">
        <w:rPr>
          <w:rFonts w:ascii="Times New Roman" w:hAnsi="Times New Roman" w:cs="Times New Roman"/>
          <w:sz w:val="24"/>
          <w:szCs w:val="24"/>
        </w:rPr>
        <w:t xml:space="preserve">In order to ensure an amplified responsibility of diversity and to deal with the problems, it is important that all general professionals and selectors, as well as the judiciary, make sure to encourage a diversified field. Also, willingly support the development of an inclusive </w:t>
      </w:r>
      <w:r w:rsidR="009B118C" w:rsidRPr="00C14F92">
        <w:rPr>
          <w:rFonts w:ascii="Times New Roman" w:hAnsi="Times New Roman" w:cs="Times New Roman"/>
          <w:sz w:val="24"/>
          <w:szCs w:val="24"/>
        </w:rPr>
        <w:t xml:space="preserve">judicial system. According to </w:t>
      </w:r>
      <w:r w:rsidR="009B118C" w:rsidRPr="00C14F92">
        <w:rPr>
          <w:rFonts w:ascii="Times New Roman" w:hAnsi="Times New Roman" w:cs="Times New Roman"/>
          <w:sz w:val="24"/>
          <w:szCs w:val="24"/>
          <w:shd w:val="clear" w:color="auto" w:fill="FFFFFF"/>
        </w:rPr>
        <w:t>Kirk et al. (</w:t>
      </w:r>
      <w:r w:rsidR="00270962" w:rsidRPr="00C14F92">
        <w:rPr>
          <w:rFonts w:ascii="Times New Roman" w:hAnsi="Times New Roman" w:cs="Times New Roman"/>
          <w:sz w:val="24"/>
          <w:szCs w:val="24"/>
          <w:shd w:val="clear" w:color="auto" w:fill="FFFFFF"/>
        </w:rPr>
        <w:t>2022</w:t>
      </w:r>
      <w:r w:rsidR="00402BD4" w:rsidRPr="00C14F92">
        <w:rPr>
          <w:rFonts w:ascii="Times New Roman" w:hAnsi="Times New Roman" w:cs="Times New Roman"/>
          <w:sz w:val="24"/>
          <w:szCs w:val="24"/>
        </w:rPr>
        <w:t>), issues and conflicts in the judicial system can be tackled by the ways judges are hired, selected, and appointed in the system. In particular, the judges are selected by the decision-making and policy-making motive of the government as well as work under the endorsement of an independent group such as the Judicial Council.</w:t>
      </w:r>
    </w:p>
    <w:p w14:paraId="6F0B62EB" w14:textId="77777777" w:rsidR="00A864C7" w:rsidRPr="007909DD" w:rsidRDefault="003D47EA" w:rsidP="00C366EE">
      <w:pPr>
        <w:pStyle w:val="Heading1"/>
        <w:spacing w:line="600" w:lineRule="auto"/>
        <w:jc w:val="both"/>
        <w:rPr>
          <w:rFonts w:ascii="Times New Roman" w:hAnsi="Times New Roman" w:cs="Times New Roman"/>
          <w:b/>
          <w:color w:val="auto"/>
          <w:sz w:val="28"/>
          <w:szCs w:val="28"/>
        </w:rPr>
      </w:pPr>
      <w:bookmarkStart w:id="2" w:name="_Toc104829254"/>
      <w:r w:rsidRPr="007909DD">
        <w:rPr>
          <w:rFonts w:ascii="Times New Roman" w:hAnsi="Times New Roman" w:cs="Times New Roman"/>
          <w:b/>
          <w:color w:val="auto"/>
          <w:sz w:val="28"/>
          <w:szCs w:val="28"/>
        </w:rPr>
        <w:lastRenderedPageBreak/>
        <w:t>Conclusion</w:t>
      </w:r>
      <w:bookmarkEnd w:id="2"/>
    </w:p>
    <w:p w14:paraId="22DEBE9E" w14:textId="77777777" w:rsidR="007909DD" w:rsidRDefault="00963E1D" w:rsidP="00C366EE">
      <w:pPr>
        <w:spacing w:line="600" w:lineRule="auto"/>
        <w:jc w:val="both"/>
        <w:rPr>
          <w:rFonts w:ascii="Times New Roman" w:hAnsi="Times New Roman" w:cs="Times New Roman"/>
          <w:sz w:val="24"/>
        </w:rPr>
      </w:pPr>
      <w:r w:rsidRPr="00C16EF7">
        <w:rPr>
          <w:rFonts w:ascii="Times New Roman" w:hAnsi="Times New Roman" w:cs="Times New Roman"/>
          <w:sz w:val="24"/>
        </w:rPr>
        <w:t xml:space="preserve">In a nutshell, </w:t>
      </w:r>
      <w:r w:rsidR="00EB1BE8" w:rsidRPr="00C16EF7">
        <w:rPr>
          <w:rFonts w:ascii="Times New Roman" w:hAnsi="Times New Roman" w:cs="Times New Roman"/>
          <w:sz w:val="24"/>
        </w:rPr>
        <w:t>diversit</w:t>
      </w:r>
      <w:r w:rsidR="001B56EC" w:rsidRPr="00C16EF7">
        <w:rPr>
          <w:rFonts w:ascii="Times New Roman" w:hAnsi="Times New Roman" w:cs="Times New Roman"/>
          <w:sz w:val="24"/>
        </w:rPr>
        <w:t xml:space="preserve">y </w:t>
      </w:r>
      <w:r w:rsidR="00E174EA" w:rsidRPr="00C16EF7">
        <w:rPr>
          <w:rFonts w:ascii="Times New Roman" w:hAnsi="Times New Roman" w:cs="Times New Roman"/>
          <w:sz w:val="24"/>
        </w:rPr>
        <w:t>contributes toward acceptability</w:t>
      </w:r>
      <w:r w:rsidR="005E7727" w:rsidRPr="00C16EF7">
        <w:rPr>
          <w:rFonts w:ascii="Times New Roman" w:hAnsi="Times New Roman" w:cs="Times New Roman"/>
          <w:sz w:val="24"/>
        </w:rPr>
        <w:t>. It i</w:t>
      </w:r>
      <w:r w:rsidR="00F567AF" w:rsidRPr="00C16EF7">
        <w:rPr>
          <w:rFonts w:ascii="Times New Roman" w:hAnsi="Times New Roman" w:cs="Times New Roman"/>
          <w:sz w:val="24"/>
        </w:rPr>
        <w:t xml:space="preserve">s concluded that the country’s judicial system is succeeded </w:t>
      </w:r>
      <w:r w:rsidR="00563B79" w:rsidRPr="00C16EF7">
        <w:rPr>
          <w:rFonts w:ascii="Times New Roman" w:hAnsi="Times New Roman" w:cs="Times New Roman"/>
          <w:sz w:val="24"/>
        </w:rPr>
        <w:t>under the re</w:t>
      </w:r>
      <w:r w:rsidR="00AB7558" w:rsidRPr="00C16EF7">
        <w:rPr>
          <w:rFonts w:ascii="Times New Roman" w:hAnsi="Times New Roman" w:cs="Times New Roman"/>
          <w:sz w:val="24"/>
        </w:rPr>
        <w:t xml:space="preserve">moval of </w:t>
      </w:r>
      <w:r w:rsidR="00B87EC1" w:rsidRPr="00C16EF7">
        <w:rPr>
          <w:rFonts w:ascii="Times New Roman" w:hAnsi="Times New Roman" w:cs="Times New Roman"/>
          <w:sz w:val="24"/>
        </w:rPr>
        <w:t>diverse levels of the society</w:t>
      </w:r>
      <w:r w:rsidR="0022001F" w:rsidRPr="00C16EF7">
        <w:rPr>
          <w:rFonts w:ascii="Times New Roman" w:hAnsi="Times New Roman" w:cs="Times New Roman"/>
          <w:sz w:val="24"/>
        </w:rPr>
        <w:t>.</w:t>
      </w:r>
      <w:r w:rsidR="006F3772" w:rsidRPr="00C16EF7">
        <w:rPr>
          <w:rFonts w:ascii="Times New Roman" w:hAnsi="Times New Roman" w:cs="Times New Roman"/>
          <w:sz w:val="24"/>
        </w:rPr>
        <w:t xml:space="preserve"> </w:t>
      </w:r>
      <w:r w:rsidR="00CE05D5" w:rsidRPr="00C16EF7">
        <w:rPr>
          <w:rFonts w:ascii="Times New Roman" w:hAnsi="Times New Roman" w:cs="Times New Roman"/>
          <w:sz w:val="24"/>
        </w:rPr>
        <w:t>Diversity is the basic foundation</w:t>
      </w:r>
      <w:r w:rsidR="00211C49" w:rsidRPr="00C16EF7">
        <w:rPr>
          <w:rFonts w:ascii="Times New Roman" w:hAnsi="Times New Roman" w:cs="Times New Roman"/>
          <w:sz w:val="24"/>
        </w:rPr>
        <w:t xml:space="preserve"> </w:t>
      </w:r>
      <w:r w:rsidR="00617E82" w:rsidRPr="00C16EF7">
        <w:rPr>
          <w:rFonts w:ascii="Times New Roman" w:hAnsi="Times New Roman" w:cs="Times New Roman"/>
          <w:sz w:val="24"/>
        </w:rPr>
        <w:t>of</w:t>
      </w:r>
      <w:r w:rsidR="00C7238F" w:rsidRPr="00C16EF7">
        <w:rPr>
          <w:rFonts w:ascii="Times New Roman" w:hAnsi="Times New Roman" w:cs="Times New Roman"/>
          <w:sz w:val="24"/>
        </w:rPr>
        <w:t xml:space="preserve"> </w:t>
      </w:r>
      <w:r w:rsidR="00617E82" w:rsidRPr="00C16EF7">
        <w:rPr>
          <w:rFonts w:ascii="Times New Roman" w:hAnsi="Times New Roman" w:cs="Times New Roman"/>
          <w:sz w:val="24"/>
        </w:rPr>
        <w:t xml:space="preserve">the </w:t>
      </w:r>
      <w:r w:rsidR="00C7238F" w:rsidRPr="00C16EF7">
        <w:rPr>
          <w:rFonts w:ascii="Times New Roman" w:hAnsi="Times New Roman" w:cs="Times New Roman"/>
          <w:sz w:val="24"/>
        </w:rPr>
        <w:t>judicial system</w:t>
      </w:r>
      <w:r w:rsidR="00617E82" w:rsidRPr="00C16EF7">
        <w:rPr>
          <w:rFonts w:ascii="Times New Roman" w:hAnsi="Times New Roman" w:cs="Times New Roman"/>
          <w:sz w:val="24"/>
        </w:rPr>
        <w:t>,</w:t>
      </w:r>
      <w:r w:rsidR="00C7238F" w:rsidRPr="00C16EF7">
        <w:rPr>
          <w:rFonts w:ascii="Times New Roman" w:hAnsi="Times New Roman" w:cs="Times New Roman"/>
          <w:sz w:val="24"/>
        </w:rPr>
        <w:t xml:space="preserve"> and it is an essential constituent</w:t>
      </w:r>
      <w:r w:rsidR="00A25B8F" w:rsidRPr="00C16EF7">
        <w:rPr>
          <w:rFonts w:ascii="Times New Roman" w:hAnsi="Times New Roman" w:cs="Times New Roman"/>
          <w:sz w:val="24"/>
        </w:rPr>
        <w:t xml:space="preserve"> of a</w:t>
      </w:r>
      <w:r w:rsidR="00C7238F" w:rsidRPr="00C16EF7">
        <w:rPr>
          <w:rFonts w:ascii="Times New Roman" w:hAnsi="Times New Roman" w:cs="Times New Roman"/>
          <w:sz w:val="24"/>
        </w:rPr>
        <w:t>n</w:t>
      </w:r>
      <w:r w:rsidR="00A25B8F" w:rsidRPr="00C16EF7">
        <w:rPr>
          <w:rFonts w:ascii="Times New Roman" w:hAnsi="Times New Roman" w:cs="Times New Roman"/>
          <w:sz w:val="24"/>
        </w:rPr>
        <w:t xml:space="preserve"> </w:t>
      </w:r>
      <w:r w:rsidR="00C7238F" w:rsidRPr="00C16EF7">
        <w:rPr>
          <w:rFonts w:ascii="Times New Roman" w:hAnsi="Times New Roman" w:cs="Times New Roman"/>
          <w:sz w:val="24"/>
        </w:rPr>
        <w:t>open-minded and unbiased</w:t>
      </w:r>
      <w:r w:rsidR="00A25B8F" w:rsidRPr="00C16EF7">
        <w:rPr>
          <w:rFonts w:ascii="Times New Roman" w:hAnsi="Times New Roman" w:cs="Times New Roman"/>
          <w:sz w:val="24"/>
        </w:rPr>
        <w:t xml:space="preserve"> </w:t>
      </w:r>
      <w:r w:rsidR="00C7238F" w:rsidRPr="00C16EF7">
        <w:rPr>
          <w:rFonts w:ascii="Times New Roman" w:hAnsi="Times New Roman" w:cs="Times New Roman"/>
          <w:sz w:val="24"/>
        </w:rPr>
        <w:t>courts</w:t>
      </w:r>
      <w:r w:rsidR="00A25B8F" w:rsidRPr="00C16EF7">
        <w:rPr>
          <w:rFonts w:ascii="Times New Roman" w:hAnsi="Times New Roman" w:cs="Times New Roman"/>
          <w:sz w:val="24"/>
        </w:rPr>
        <w:t xml:space="preserve">. </w:t>
      </w:r>
      <w:r w:rsidR="00C7238F" w:rsidRPr="00C16EF7">
        <w:rPr>
          <w:rFonts w:ascii="Times New Roman" w:hAnsi="Times New Roman" w:cs="Times New Roman"/>
          <w:sz w:val="24"/>
        </w:rPr>
        <w:t xml:space="preserve">Moreover, </w:t>
      </w:r>
      <w:r w:rsidR="00447577" w:rsidRPr="00C16EF7">
        <w:rPr>
          <w:rFonts w:ascii="Times New Roman" w:hAnsi="Times New Roman" w:cs="Times New Roman"/>
          <w:sz w:val="24"/>
        </w:rPr>
        <w:t>carrying</w:t>
      </w:r>
      <w:r w:rsidR="00A25B8F" w:rsidRPr="00C16EF7">
        <w:rPr>
          <w:rFonts w:ascii="Times New Roman" w:hAnsi="Times New Roman" w:cs="Times New Roman"/>
          <w:sz w:val="24"/>
        </w:rPr>
        <w:t xml:space="preserve"> a</w:t>
      </w:r>
      <w:r w:rsidR="00447577" w:rsidRPr="00C16EF7">
        <w:rPr>
          <w:rFonts w:ascii="Times New Roman" w:hAnsi="Times New Roman" w:cs="Times New Roman"/>
          <w:sz w:val="24"/>
        </w:rPr>
        <w:t>n</w:t>
      </w:r>
      <w:r w:rsidR="00A25B8F" w:rsidRPr="00C16EF7">
        <w:rPr>
          <w:rFonts w:ascii="Times New Roman" w:hAnsi="Times New Roman" w:cs="Times New Roman"/>
          <w:sz w:val="24"/>
        </w:rPr>
        <w:t xml:space="preserve"> </w:t>
      </w:r>
      <w:r w:rsidR="00447577" w:rsidRPr="00C16EF7">
        <w:rPr>
          <w:rFonts w:ascii="Times New Roman" w:hAnsi="Times New Roman" w:cs="Times New Roman"/>
          <w:sz w:val="24"/>
        </w:rPr>
        <w:t>assortment</w:t>
      </w:r>
      <w:r w:rsidR="00A25B8F" w:rsidRPr="00C16EF7">
        <w:rPr>
          <w:rFonts w:ascii="Times New Roman" w:hAnsi="Times New Roman" w:cs="Times New Roman"/>
          <w:sz w:val="24"/>
        </w:rPr>
        <w:t xml:space="preserve"> of </w:t>
      </w:r>
      <w:r w:rsidR="00447577" w:rsidRPr="00C16EF7">
        <w:rPr>
          <w:rFonts w:ascii="Times New Roman" w:hAnsi="Times New Roman" w:cs="Times New Roman"/>
          <w:sz w:val="24"/>
        </w:rPr>
        <w:t>understandings</w:t>
      </w:r>
      <w:r w:rsidR="00A25B8F" w:rsidRPr="00C16EF7">
        <w:rPr>
          <w:rFonts w:ascii="Times New Roman" w:hAnsi="Times New Roman" w:cs="Times New Roman"/>
          <w:sz w:val="24"/>
        </w:rPr>
        <w:t xml:space="preserve"> and </w:t>
      </w:r>
      <w:r w:rsidR="00447577" w:rsidRPr="00C16EF7">
        <w:rPr>
          <w:rFonts w:ascii="Times New Roman" w:hAnsi="Times New Roman" w:cs="Times New Roman"/>
          <w:sz w:val="24"/>
        </w:rPr>
        <w:t>viewpoints</w:t>
      </w:r>
      <w:r w:rsidR="00A25B8F" w:rsidRPr="00C16EF7">
        <w:rPr>
          <w:rFonts w:ascii="Times New Roman" w:hAnsi="Times New Roman" w:cs="Times New Roman"/>
          <w:sz w:val="24"/>
        </w:rPr>
        <w:t xml:space="preserve"> </w:t>
      </w:r>
      <w:r w:rsidR="00447577" w:rsidRPr="00C16EF7">
        <w:rPr>
          <w:rFonts w:ascii="Times New Roman" w:hAnsi="Times New Roman" w:cs="Times New Roman"/>
          <w:sz w:val="24"/>
        </w:rPr>
        <w:t>that</w:t>
      </w:r>
      <w:r w:rsidR="00A25B8F" w:rsidRPr="00C16EF7">
        <w:rPr>
          <w:rFonts w:ascii="Times New Roman" w:hAnsi="Times New Roman" w:cs="Times New Roman"/>
          <w:sz w:val="24"/>
        </w:rPr>
        <w:t xml:space="preserve"> </w:t>
      </w:r>
      <w:r w:rsidR="00447577" w:rsidRPr="00C16EF7">
        <w:rPr>
          <w:rFonts w:ascii="Times New Roman" w:hAnsi="Times New Roman" w:cs="Times New Roman"/>
          <w:sz w:val="24"/>
        </w:rPr>
        <w:t>stand</w:t>
      </w:r>
      <w:r w:rsidR="00A25B8F" w:rsidRPr="00C16EF7">
        <w:rPr>
          <w:rFonts w:ascii="Times New Roman" w:hAnsi="Times New Roman" w:cs="Times New Roman"/>
          <w:sz w:val="24"/>
        </w:rPr>
        <w:t> </w:t>
      </w:r>
      <w:r w:rsidR="00447577" w:rsidRPr="00C16EF7">
        <w:rPr>
          <w:rFonts w:ascii="Times New Roman" w:hAnsi="Times New Roman" w:cs="Times New Roman"/>
          <w:sz w:val="24"/>
        </w:rPr>
        <w:t>and enable judges</w:t>
      </w:r>
      <w:r w:rsidR="00A25B8F" w:rsidRPr="00C16EF7">
        <w:rPr>
          <w:rFonts w:ascii="Times New Roman" w:hAnsi="Times New Roman" w:cs="Times New Roman"/>
          <w:sz w:val="24"/>
        </w:rPr>
        <w:t xml:space="preserve"> to </w:t>
      </w:r>
      <w:r w:rsidR="004353E8" w:rsidRPr="00C16EF7">
        <w:rPr>
          <w:rFonts w:ascii="Times New Roman" w:hAnsi="Times New Roman" w:cs="Times New Roman"/>
          <w:sz w:val="24"/>
        </w:rPr>
        <w:t>create</w:t>
      </w:r>
      <w:r w:rsidR="00A25B8F" w:rsidRPr="00C16EF7">
        <w:rPr>
          <w:rFonts w:ascii="Times New Roman" w:hAnsi="Times New Roman" w:cs="Times New Roman"/>
          <w:sz w:val="24"/>
        </w:rPr>
        <w:t xml:space="preserve"> better</w:t>
      </w:r>
      <w:r w:rsidR="004353E8" w:rsidRPr="00C16EF7">
        <w:rPr>
          <w:rFonts w:ascii="Times New Roman" w:hAnsi="Times New Roman" w:cs="Times New Roman"/>
          <w:sz w:val="24"/>
        </w:rPr>
        <w:t xml:space="preserve"> decision making and </w:t>
      </w:r>
      <w:r w:rsidR="007909DD">
        <w:rPr>
          <w:rFonts w:ascii="Times New Roman" w:hAnsi="Times New Roman" w:cs="Times New Roman"/>
          <w:sz w:val="24"/>
        </w:rPr>
        <w:t>justice.</w:t>
      </w:r>
    </w:p>
    <w:p w14:paraId="564386F1" w14:textId="77777777" w:rsidR="007909DD" w:rsidRDefault="007909DD" w:rsidP="00C366EE">
      <w:pPr>
        <w:spacing w:line="600" w:lineRule="auto"/>
        <w:rPr>
          <w:rFonts w:ascii="Times New Roman" w:hAnsi="Times New Roman" w:cs="Times New Roman"/>
          <w:sz w:val="24"/>
        </w:rPr>
      </w:pPr>
      <w:r>
        <w:rPr>
          <w:rFonts w:ascii="Times New Roman" w:hAnsi="Times New Roman" w:cs="Times New Roman"/>
          <w:sz w:val="24"/>
        </w:rPr>
        <w:br w:type="page"/>
      </w:r>
    </w:p>
    <w:p w14:paraId="779CB9B1" w14:textId="77777777" w:rsidR="00A21A86" w:rsidRPr="007909DD" w:rsidRDefault="00A864C7" w:rsidP="00C366EE">
      <w:pPr>
        <w:pStyle w:val="Heading1"/>
        <w:spacing w:line="600" w:lineRule="auto"/>
        <w:jc w:val="both"/>
        <w:rPr>
          <w:rFonts w:ascii="Times New Roman" w:hAnsi="Times New Roman" w:cs="Times New Roman"/>
          <w:b/>
          <w:color w:val="auto"/>
          <w:sz w:val="28"/>
          <w:szCs w:val="28"/>
        </w:rPr>
      </w:pPr>
      <w:bookmarkStart w:id="3" w:name="_Toc104829255"/>
      <w:r w:rsidRPr="007909DD">
        <w:rPr>
          <w:rFonts w:ascii="Times New Roman" w:hAnsi="Times New Roman" w:cs="Times New Roman"/>
          <w:b/>
          <w:color w:val="auto"/>
          <w:sz w:val="28"/>
          <w:szCs w:val="28"/>
        </w:rPr>
        <w:lastRenderedPageBreak/>
        <w:t>References</w:t>
      </w:r>
      <w:bookmarkEnd w:id="3"/>
    </w:p>
    <w:p w14:paraId="528CBBF4" w14:textId="77777777" w:rsidR="00A21A86" w:rsidRPr="00A21A86" w:rsidRDefault="00A21A86" w:rsidP="00C366EE">
      <w:pPr>
        <w:autoSpaceDE w:val="0"/>
        <w:autoSpaceDN w:val="0"/>
        <w:adjustRightInd w:val="0"/>
        <w:spacing w:line="600" w:lineRule="auto"/>
        <w:ind w:left="720" w:hanging="720"/>
        <w:jc w:val="both"/>
        <w:rPr>
          <w:rFonts w:ascii="Times New Roman" w:hAnsi="Times New Roman" w:cs="Times New Roman"/>
          <w:sz w:val="24"/>
          <w:szCs w:val="24"/>
        </w:rPr>
      </w:pPr>
      <w:r w:rsidRPr="00A21A86">
        <w:rPr>
          <w:rFonts w:ascii="Times New Roman" w:hAnsi="Times New Roman" w:cs="Times New Roman"/>
          <w:sz w:val="24"/>
          <w:szCs w:val="24"/>
        </w:rPr>
        <w:t>Juchniewicz, M. and Łukiewska, K., 2021. Diversity of the international competitive performance of the food industry of the European Union member states. </w:t>
      </w:r>
      <w:r w:rsidRPr="00A21A86">
        <w:rPr>
          <w:rFonts w:ascii="Times New Roman" w:hAnsi="Times New Roman" w:cs="Times New Roman"/>
          <w:i/>
          <w:iCs/>
          <w:sz w:val="24"/>
          <w:szCs w:val="24"/>
        </w:rPr>
        <w:t>Agribusiness</w:t>
      </w:r>
      <w:r w:rsidRPr="00A21A86">
        <w:rPr>
          <w:rFonts w:ascii="Times New Roman" w:hAnsi="Times New Roman" w:cs="Times New Roman"/>
          <w:sz w:val="24"/>
          <w:szCs w:val="24"/>
        </w:rPr>
        <w:t>, </w:t>
      </w:r>
      <w:r w:rsidRPr="00A21A86">
        <w:rPr>
          <w:rFonts w:ascii="Times New Roman" w:hAnsi="Times New Roman" w:cs="Times New Roman"/>
          <w:i/>
          <w:iCs/>
          <w:sz w:val="24"/>
          <w:szCs w:val="24"/>
        </w:rPr>
        <w:t>37</w:t>
      </w:r>
      <w:r w:rsidRPr="00A21A86">
        <w:rPr>
          <w:rFonts w:ascii="Times New Roman" w:hAnsi="Times New Roman" w:cs="Times New Roman"/>
          <w:sz w:val="24"/>
          <w:szCs w:val="24"/>
        </w:rPr>
        <w:t>(2), pp.422-437.</w:t>
      </w:r>
    </w:p>
    <w:p w14:paraId="7C1354D5" w14:textId="77777777" w:rsidR="00A21A86" w:rsidRPr="00A21A86" w:rsidRDefault="00A21A86" w:rsidP="00C366EE">
      <w:pPr>
        <w:autoSpaceDE w:val="0"/>
        <w:autoSpaceDN w:val="0"/>
        <w:adjustRightInd w:val="0"/>
        <w:spacing w:line="600" w:lineRule="auto"/>
        <w:ind w:left="720" w:hanging="720"/>
        <w:jc w:val="both"/>
        <w:rPr>
          <w:rFonts w:ascii="Times New Roman" w:hAnsi="Times New Roman" w:cs="Times New Roman"/>
          <w:sz w:val="24"/>
          <w:szCs w:val="24"/>
        </w:rPr>
      </w:pPr>
      <w:r w:rsidRPr="00A21A86">
        <w:rPr>
          <w:rFonts w:ascii="Times New Roman" w:hAnsi="Times New Roman" w:cs="Times New Roman"/>
          <w:sz w:val="24"/>
          <w:szCs w:val="24"/>
        </w:rPr>
        <w:t>Kanchanabha, B. and Badir, Y.F., 2021. Top management Team's cognitive diversity and the Firm's ambidextrous innovation capability: The mediating role of ambivalent interpretation. </w:t>
      </w:r>
      <w:r w:rsidRPr="00A21A86">
        <w:rPr>
          <w:rFonts w:ascii="Times New Roman" w:hAnsi="Times New Roman" w:cs="Times New Roman"/>
          <w:i/>
          <w:iCs/>
          <w:sz w:val="24"/>
          <w:szCs w:val="24"/>
        </w:rPr>
        <w:t>Technology in Society</w:t>
      </w:r>
      <w:r w:rsidRPr="00A21A86">
        <w:rPr>
          <w:rFonts w:ascii="Times New Roman" w:hAnsi="Times New Roman" w:cs="Times New Roman"/>
          <w:sz w:val="24"/>
          <w:szCs w:val="24"/>
        </w:rPr>
        <w:t>, </w:t>
      </w:r>
      <w:r w:rsidRPr="00A21A86">
        <w:rPr>
          <w:rFonts w:ascii="Times New Roman" w:hAnsi="Times New Roman" w:cs="Times New Roman"/>
          <w:i/>
          <w:iCs/>
          <w:sz w:val="24"/>
          <w:szCs w:val="24"/>
        </w:rPr>
        <w:t>64</w:t>
      </w:r>
      <w:r w:rsidRPr="00A21A86">
        <w:rPr>
          <w:rFonts w:ascii="Times New Roman" w:hAnsi="Times New Roman" w:cs="Times New Roman"/>
          <w:sz w:val="24"/>
          <w:szCs w:val="24"/>
        </w:rPr>
        <w:t>, p.101499.</w:t>
      </w:r>
    </w:p>
    <w:p w14:paraId="0CAA5D61" w14:textId="77777777" w:rsidR="00A21A86" w:rsidRPr="00A21A86" w:rsidRDefault="00A21A86" w:rsidP="00C366EE">
      <w:pPr>
        <w:autoSpaceDE w:val="0"/>
        <w:autoSpaceDN w:val="0"/>
        <w:adjustRightInd w:val="0"/>
        <w:spacing w:line="600" w:lineRule="auto"/>
        <w:ind w:left="720" w:hanging="720"/>
        <w:jc w:val="both"/>
        <w:rPr>
          <w:rFonts w:ascii="Times New Roman" w:hAnsi="Times New Roman" w:cs="Times New Roman"/>
          <w:sz w:val="24"/>
          <w:szCs w:val="24"/>
        </w:rPr>
      </w:pPr>
      <w:r w:rsidRPr="00A21A86">
        <w:rPr>
          <w:rFonts w:ascii="Times New Roman" w:hAnsi="Times New Roman" w:cs="Times New Roman"/>
          <w:sz w:val="24"/>
          <w:szCs w:val="24"/>
        </w:rPr>
        <w:t>Kirk, G., Thompson, K.J., Huebner, B.M., Uggen, C. and Shannon, S.K., 2022. Justice by Geography: The Role of Monetary Sanctions Across Communities. </w:t>
      </w:r>
      <w:r w:rsidRPr="00A21A86">
        <w:rPr>
          <w:rFonts w:ascii="Times New Roman" w:hAnsi="Times New Roman" w:cs="Times New Roman"/>
          <w:i/>
          <w:iCs/>
          <w:sz w:val="24"/>
          <w:szCs w:val="24"/>
        </w:rPr>
        <w:t>RSF: The Russell Sage Foundation Journal of the Social Sciences</w:t>
      </w:r>
      <w:r w:rsidRPr="00A21A86">
        <w:rPr>
          <w:rFonts w:ascii="Times New Roman" w:hAnsi="Times New Roman" w:cs="Times New Roman"/>
          <w:sz w:val="24"/>
          <w:szCs w:val="24"/>
        </w:rPr>
        <w:t>, </w:t>
      </w:r>
      <w:r w:rsidRPr="00A21A86">
        <w:rPr>
          <w:rFonts w:ascii="Times New Roman" w:hAnsi="Times New Roman" w:cs="Times New Roman"/>
          <w:i/>
          <w:iCs/>
          <w:sz w:val="24"/>
          <w:szCs w:val="24"/>
        </w:rPr>
        <w:t>8</w:t>
      </w:r>
      <w:r w:rsidRPr="00A21A86">
        <w:rPr>
          <w:rFonts w:ascii="Times New Roman" w:hAnsi="Times New Roman" w:cs="Times New Roman"/>
          <w:sz w:val="24"/>
          <w:szCs w:val="24"/>
        </w:rPr>
        <w:t>(1), pp.200-220.</w:t>
      </w:r>
    </w:p>
    <w:p w14:paraId="7ECCF839" w14:textId="77777777" w:rsidR="00A21A86" w:rsidRPr="00A21A86" w:rsidRDefault="00A21A86" w:rsidP="00C366EE">
      <w:pPr>
        <w:autoSpaceDE w:val="0"/>
        <w:autoSpaceDN w:val="0"/>
        <w:adjustRightInd w:val="0"/>
        <w:spacing w:line="600" w:lineRule="auto"/>
        <w:ind w:left="720" w:hanging="720"/>
        <w:jc w:val="both"/>
        <w:rPr>
          <w:rFonts w:ascii="Times New Roman" w:hAnsi="Times New Roman" w:cs="Times New Roman"/>
          <w:b/>
          <w:bCs/>
          <w:sz w:val="24"/>
          <w:szCs w:val="24"/>
        </w:rPr>
      </w:pPr>
      <w:r w:rsidRPr="00A21A86">
        <w:rPr>
          <w:rFonts w:ascii="Times New Roman" w:hAnsi="Times New Roman" w:cs="Times New Roman"/>
          <w:sz w:val="24"/>
          <w:szCs w:val="24"/>
        </w:rPr>
        <w:t>Koumoutzis, N., 2021. The islamic prohibition of adoption as limitation of the right to respect for family life (Article 8 ECHR)-revisiting ecthr harroudj v france, no 43631/09, 4 October 2012. </w:t>
      </w:r>
      <w:r w:rsidRPr="00A21A86">
        <w:rPr>
          <w:rFonts w:ascii="Times New Roman" w:hAnsi="Times New Roman" w:cs="Times New Roman"/>
          <w:i/>
          <w:iCs/>
          <w:sz w:val="24"/>
          <w:szCs w:val="24"/>
        </w:rPr>
        <w:t>Cuadernos Derecho Transnacional</w:t>
      </w:r>
      <w:r w:rsidRPr="00A21A86">
        <w:rPr>
          <w:rFonts w:ascii="Times New Roman" w:hAnsi="Times New Roman" w:cs="Times New Roman"/>
          <w:sz w:val="24"/>
          <w:szCs w:val="24"/>
        </w:rPr>
        <w:t>, </w:t>
      </w:r>
      <w:r w:rsidRPr="00A21A86">
        <w:rPr>
          <w:rFonts w:ascii="Times New Roman" w:hAnsi="Times New Roman" w:cs="Times New Roman"/>
          <w:i/>
          <w:iCs/>
          <w:sz w:val="24"/>
          <w:szCs w:val="24"/>
        </w:rPr>
        <w:t>13</w:t>
      </w:r>
      <w:r w:rsidRPr="00A21A86">
        <w:rPr>
          <w:rFonts w:ascii="Times New Roman" w:hAnsi="Times New Roman" w:cs="Times New Roman"/>
          <w:sz w:val="24"/>
          <w:szCs w:val="24"/>
        </w:rPr>
        <w:t>, p.939.</w:t>
      </w:r>
    </w:p>
    <w:p w14:paraId="185BA66F" w14:textId="77777777" w:rsidR="002D6D0F" w:rsidRDefault="00A21A86" w:rsidP="00C366EE">
      <w:pPr>
        <w:autoSpaceDE w:val="0"/>
        <w:autoSpaceDN w:val="0"/>
        <w:adjustRightInd w:val="0"/>
        <w:spacing w:line="600" w:lineRule="auto"/>
        <w:ind w:left="720" w:hanging="720"/>
        <w:jc w:val="both"/>
        <w:rPr>
          <w:rFonts w:ascii="Times New Roman" w:hAnsi="Times New Roman" w:cs="Times New Roman"/>
          <w:sz w:val="24"/>
          <w:szCs w:val="24"/>
        </w:rPr>
      </w:pPr>
      <w:r w:rsidRPr="00A21A86">
        <w:rPr>
          <w:rFonts w:ascii="Times New Roman" w:hAnsi="Times New Roman" w:cs="Times New Roman"/>
          <w:sz w:val="24"/>
          <w:szCs w:val="24"/>
        </w:rPr>
        <w:t>Starck, J.G., Sinclair, S. and Shelton, J.N., 2021. How university diversity rationales inform student preferences and outcomes. </w:t>
      </w:r>
      <w:r w:rsidRPr="00A21A86">
        <w:rPr>
          <w:rFonts w:ascii="Times New Roman" w:hAnsi="Times New Roman" w:cs="Times New Roman"/>
          <w:i/>
          <w:iCs/>
          <w:sz w:val="24"/>
          <w:szCs w:val="24"/>
        </w:rPr>
        <w:t>Proceedings of the National Academy of Sciences</w:t>
      </w:r>
      <w:r w:rsidRPr="00A21A86">
        <w:rPr>
          <w:rFonts w:ascii="Times New Roman" w:hAnsi="Times New Roman" w:cs="Times New Roman"/>
          <w:sz w:val="24"/>
          <w:szCs w:val="24"/>
        </w:rPr>
        <w:t>, </w:t>
      </w:r>
      <w:r w:rsidRPr="00A21A86">
        <w:rPr>
          <w:rFonts w:ascii="Times New Roman" w:hAnsi="Times New Roman" w:cs="Times New Roman"/>
          <w:i/>
          <w:iCs/>
          <w:sz w:val="24"/>
          <w:szCs w:val="24"/>
        </w:rPr>
        <w:t>118</w:t>
      </w:r>
      <w:r w:rsidRPr="00A21A86">
        <w:rPr>
          <w:rFonts w:ascii="Times New Roman" w:hAnsi="Times New Roman" w:cs="Times New Roman"/>
          <w:sz w:val="24"/>
          <w:szCs w:val="24"/>
        </w:rPr>
        <w:t>(16).</w:t>
      </w:r>
    </w:p>
    <w:p w14:paraId="0F0CB064" w14:textId="77777777" w:rsidR="002D6D0F" w:rsidRDefault="00A21A86" w:rsidP="00C366EE">
      <w:pPr>
        <w:autoSpaceDE w:val="0"/>
        <w:autoSpaceDN w:val="0"/>
        <w:adjustRightInd w:val="0"/>
        <w:spacing w:line="600" w:lineRule="auto"/>
        <w:ind w:left="720" w:hanging="720"/>
        <w:jc w:val="both"/>
        <w:rPr>
          <w:rFonts w:ascii="Times New Roman" w:hAnsi="Times New Roman" w:cs="Times New Roman"/>
          <w:sz w:val="24"/>
          <w:szCs w:val="24"/>
        </w:rPr>
      </w:pPr>
      <w:r w:rsidRPr="00A21A86">
        <w:rPr>
          <w:rFonts w:ascii="Times New Roman" w:hAnsi="Times New Roman" w:cs="Times New Roman"/>
          <w:sz w:val="24"/>
          <w:szCs w:val="24"/>
        </w:rPr>
        <w:t xml:space="preserve">The Supreme Court, 2021. Court procedures. [Online]. Available at </w:t>
      </w:r>
      <w:hyperlink r:id="rId8" w:history="1">
        <w:r w:rsidRPr="00A21A86">
          <w:rPr>
            <w:rFonts w:ascii="Times New Roman" w:hAnsi="Times New Roman" w:cs="Times New Roman"/>
            <w:sz w:val="24"/>
            <w:szCs w:val="24"/>
            <w:u w:val="single"/>
          </w:rPr>
          <w:t>https://www.supremecourt.uk/procedures/index.html</w:t>
        </w:r>
      </w:hyperlink>
      <w:r w:rsidRPr="00A21A86">
        <w:rPr>
          <w:rFonts w:ascii="Times New Roman" w:hAnsi="Times New Roman" w:cs="Times New Roman"/>
          <w:sz w:val="24"/>
          <w:szCs w:val="24"/>
        </w:rPr>
        <w:t xml:space="preserve"> [Accessed on 30th May 2022]. </w:t>
      </w:r>
    </w:p>
    <w:p w14:paraId="74D7AB6A" w14:textId="77777777" w:rsidR="002D6D0F" w:rsidRDefault="00A21A86" w:rsidP="00C366EE">
      <w:pPr>
        <w:autoSpaceDE w:val="0"/>
        <w:autoSpaceDN w:val="0"/>
        <w:adjustRightInd w:val="0"/>
        <w:spacing w:line="600" w:lineRule="auto"/>
        <w:ind w:left="720" w:hanging="720"/>
        <w:jc w:val="both"/>
        <w:rPr>
          <w:rFonts w:ascii="Times New Roman" w:hAnsi="Times New Roman" w:cs="Times New Roman"/>
          <w:sz w:val="24"/>
          <w:szCs w:val="24"/>
        </w:rPr>
      </w:pPr>
      <w:r w:rsidRPr="00A21A86">
        <w:rPr>
          <w:rFonts w:ascii="Times New Roman" w:hAnsi="Times New Roman" w:cs="Times New Roman"/>
          <w:sz w:val="24"/>
          <w:szCs w:val="24"/>
        </w:rPr>
        <w:lastRenderedPageBreak/>
        <w:t xml:space="preserve">The Supreme Court, 2022. Supreme Court Judicial selection process. [Online]. Available at </w:t>
      </w:r>
      <w:hyperlink r:id="rId9" w:history="1">
        <w:r w:rsidRPr="00A21A86">
          <w:rPr>
            <w:rFonts w:ascii="Times New Roman" w:hAnsi="Times New Roman" w:cs="Times New Roman"/>
            <w:sz w:val="24"/>
            <w:szCs w:val="24"/>
            <w:u w:val="single"/>
          </w:rPr>
          <w:t>https://www.supremecourt.uk/news/selection-process-for-supreme-court-justice-launched-2020.html</w:t>
        </w:r>
      </w:hyperlink>
      <w:r w:rsidRPr="00A21A86">
        <w:rPr>
          <w:rFonts w:ascii="Times New Roman" w:hAnsi="Times New Roman" w:cs="Times New Roman"/>
          <w:sz w:val="24"/>
          <w:szCs w:val="24"/>
        </w:rPr>
        <w:t xml:space="preserve">  [Accessed on 30th May 2022]. </w:t>
      </w:r>
    </w:p>
    <w:p w14:paraId="10D7FF77" w14:textId="77777777" w:rsidR="00A21A86" w:rsidRPr="00A21A86" w:rsidRDefault="00A21A86" w:rsidP="00C366EE">
      <w:pPr>
        <w:autoSpaceDE w:val="0"/>
        <w:autoSpaceDN w:val="0"/>
        <w:adjustRightInd w:val="0"/>
        <w:spacing w:line="600" w:lineRule="auto"/>
        <w:ind w:left="720" w:hanging="720"/>
        <w:jc w:val="both"/>
        <w:rPr>
          <w:rFonts w:ascii="Times New Roman" w:hAnsi="Times New Roman" w:cs="Times New Roman"/>
          <w:sz w:val="24"/>
          <w:szCs w:val="24"/>
        </w:rPr>
      </w:pPr>
      <w:r w:rsidRPr="00A21A86">
        <w:rPr>
          <w:rFonts w:ascii="Times New Roman" w:hAnsi="Times New Roman" w:cs="Times New Roman"/>
          <w:sz w:val="24"/>
          <w:szCs w:val="24"/>
        </w:rPr>
        <w:t xml:space="preserve">UK Parliament, 2021. A more diverse Judiciary would increase confidence in the justice system say Lords Constitution Committee. [Online]. Available at </w:t>
      </w:r>
      <w:hyperlink r:id="rId10" w:history="1">
        <w:r w:rsidRPr="00A21A86">
          <w:rPr>
            <w:rFonts w:ascii="Times New Roman" w:hAnsi="Times New Roman" w:cs="Times New Roman"/>
            <w:sz w:val="24"/>
            <w:szCs w:val="24"/>
            <w:u w:val="single"/>
          </w:rPr>
          <w:t>https://www.parliament.uk/business/lords/media-centre/house-of-lords-media-notices/2012/march-2012/a-more-diverse-judiciary-would-increase-confidence-in-the-justice-system-say-lords-constitution-committee-/</w:t>
        </w:r>
      </w:hyperlink>
      <w:r w:rsidRPr="00A21A86">
        <w:rPr>
          <w:rFonts w:ascii="Times New Roman" w:hAnsi="Times New Roman" w:cs="Times New Roman"/>
          <w:sz w:val="24"/>
          <w:szCs w:val="24"/>
        </w:rPr>
        <w:t xml:space="preserve"> [Accessed on 30th May 2022].</w:t>
      </w:r>
    </w:p>
    <w:p w14:paraId="497038BE" w14:textId="77777777" w:rsidR="009547E4" w:rsidRPr="002D6D0F" w:rsidRDefault="00A21A86" w:rsidP="00C366EE">
      <w:pPr>
        <w:spacing w:line="600" w:lineRule="auto"/>
        <w:ind w:left="720" w:hanging="720"/>
        <w:rPr>
          <w:rFonts w:ascii="Times New Roman" w:hAnsi="Times New Roman" w:cs="Times New Roman"/>
          <w:sz w:val="24"/>
          <w:szCs w:val="24"/>
        </w:rPr>
      </w:pPr>
      <w:r w:rsidRPr="00A21A86">
        <w:rPr>
          <w:rFonts w:ascii="Times New Roman" w:hAnsi="Times New Roman" w:cs="Times New Roman"/>
          <w:sz w:val="24"/>
          <w:szCs w:val="24"/>
        </w:rPr>
        <w:t>White, S., 2021. Brexit and the Future of the UK Constitution. </w:t>
      </w:r>
      <w:r w:rsidRPr="00A21A86">
        <w:rPr>
          <w:rFonts w:ascii="Times New Roman" w:hAnsi="Times New Roman" w:cs="Times New Roman"/>
          <w:i/>
          <w:iCs/>
          <w:sz w:val="24"/>
          <w:szCs w:val="24"/>
        </w:rPr>
        <w:t>International Political Science Review</w:t>
      </w:r>
      <w:r w:rsidRPr="00A21A86">
        <w:rPr>
          <w:rFonts w:ascii="Times New Roman" w:hAnsi="Times New Roman" w:cs="Times New Roman"/>
          <w:sz w:val="24"/>
          <w:szCs w:val="24"/>
        </w:rPr>
        <w:t>, p.0192512121995133.</w:t>
      </w:r>
    </w:p>
    <w:sectPr w:rsidR="009547E4" w:rsidRPr="002D6D0F">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63F9BF4" w14:textId="77777777" w:rsidR="003454C9" w:rsidRDefault="003454C9" w:rsidP="00E538E7">
      <w:pPr>
        <w:spacing w:after="0" w:line="240" w:lineRule="auto"/>
      </w:pPr>
      <w:r>
        <w:separator/>
      </w:r>
    </w:p>
  </w:endnote>
  <w:endnote w:type="continuationSeparator" w:id="0">
    <w:p w14:paraId="4A754D36" w14:textId="77777777" w:rsidR="003454C9" w:rsidRDefault="003454C9" w:rsidP="00E538E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5C90B89" w14:textId="77777777" w:rsidR="003454C9" w:rsidRDefault="003454C9" w:rsidP="00E538E7">
      <w:pPr>
        <w:spacing w:after="0" w:line="240" w:lineRule="auto"/>
      </w:pPr>
      <w:r>
        <w:separator/>
      </w:r>
    </w:p>
  </w:footnote>
  <w:footnote w:type="continuationSeparator" w:id="0">
    <w:p w14:paraId="7B072B49" w14:textId="77777777" w:rsidR="003454C9" w:rsidRDefault="003454C9" w:rsidP="00E538E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A4B41B1"/>
    <w:multiLevelType w:val="multilevel"/>
    <w:tmpl w:val="04090025"/>
    <w:lvl w:ilvl="0">
      <w:start w:val="1"/>
      <w:numFmt w:val="decimal"/>
      <w:pStyle w:val="Heading1"/>
      <w:lvlText w:val="%1"/>
      <w:lvlJc w:val="left"/>
      <w:pPr>
        <w:ind w:left="432" w:hanging="432"/>
      </w:pPr>
    </w:lvl>
    <w:lvl w:ilvl="1">
      <w:start w:val="1"/>
      <w:numFmt w:val="decimal"/>
      <w:pStyle w:val="Heading2"/>
      <w:lvlText w:val="%1.%2"/>
      <w:lvlJc w:val="left"/>
      <w:pPr>
        <w:ind w:left="576" w:hanging="576"/>
      </w:pPr>
    </w:lvl>
    <w:lvl w:ilvl="2">
      <w:start w:val="1"/>
      <w:numFmt w:val="decimal"/>
      <w:pStyle w:val="Heading3"/>
      <w:lvlText w:val="%1.%2.%3"/>
      <w:lvlJc w:val="left"/>
      <w:pPr>
        <w:ind w:left="720" w:hanging="720"/>
      </w:pPr>
    </w:lvl>
    <w:lvl w:ilvl="3">
      <w:start w:val="1"/>
      <w:numFmt w:val="decimal"/>
      <w:pStyle w:val="Heading4"/>
      <w:lvlText w:val="%1.%2.%3.%4"/>
      <w:lvlJc w:val="left"/>
      <w:pPr>
        <w:ind w:left="864" w:hanging="864"/>
      </w:pPr>
    </w:lvl>
    <w:lvl w:ilvl="4">
      <w:start w:val="1"/>
      <w:numFmt w:val="decimal"/>
      <w:pStyle w:val="Heading5"/>
      <w:lvlText w:val="%1.%2.%3.%4.%5"/>
      <w:lvlJc w:val="left"/>
      <w:pPr>
        <w:ind w:left="1008" w:hanging="1008"/>
      </w:pPr>
    </w:lvl>
    <w:lvl w:ilvl="5">
      <w:start w:val="1"/>
      <w:numFmt w:val="decimal"/>
      <w:pStyle w:val="Heading6"/>
      <w:lvlText w:val="%1.%2.%3.%4.%5.%6"/>
      <w:lvlJc w:val="left"/>
      <w:pPr>
        <w:ind w:left="1152" w:hanging="1152"/>
      </w:pPr>
    </w:lvl>
    <w:lvl w:ilvl="6">
      <w:start w:val="1"/>
      <w:numFmt w:val="decimal"/>
      <w:pStyle w:val="Heading7"/>
      <w:lvlText w:val="%1.%2.%3.%4.%5.%6.%7"/>
      <w:lvlJc w:val="left"/>
      <w:pPr>
        <w:ind w:left="1296" w:hanging="1296"/>
      </w:pPr>
    </w:lvl>
    <w:lvl w:ilvl="7">
      <w:start w:val="1"/>
      <w:numFmt w:val="decimal"/>
      <w:pStyle w:val="Heading8"/>
      <w:lvlText w:val="%1.%2.%3.%4.%5.%6.%7.%8"/>
      <w:lvlJc w:val="left"/>
      <w:pPr>
        <w:ind w:left="1440" w:hanging="1440"/>
      </w:pPr>
    </w:lvl>
    <w:lvl w:ilvl="8">
      <w:start w:val="1"/>
      <w:numFmt w:val="decimal"/>
      <w:pStyle w:val="Heading9"/>
      <w:lvlText w:val="%1.%2.%3.%4.%5.%6.%7.%8.%9"/>
      <w:lvlJc w:val="left"/>
      <w:pPr>
        <w:ind w:left="1584" w:hanging="1584"/>
      </w:pPr>
    </w:lvl>
  </w:abstractNum>
  <w:abstractNum w:abstractNumId="1" w15:restartNumberingAfterBreak="0">
    <w:nsid w:val="3CF4237A"/>
    <w:multiLevelType w:val="multilevel"/>
    <w:tmpl w:val="5D94928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877550574">
    <w:abstractNumId w:val="0"/>
  </w:num>
  <w:num w:numId="2" w16cid:durableId="576480685">
    <w:abstractNumId w:val="0"/>
  </w:num>
  <w:num w:numId="3" w16cid:durableId="944574074">
    <w:abstractNumId w:val="0"/>
  </w:num>
  <w:num w:numId="4" w16cid:durableId="320819902">
    <w:abstractNumId w:val="1"/>
  </w:num>
  <w:num w:numId="5" w16cid:durableId="1589734045">
    <w:abstractNumId w:val="0"/>
  </w:num>
  <w:num w:numId="6" w16cid:durableId="103824132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docVars>
    <w:docVar w:name="__Grammarly_42____i" w:val="H4sIAAAAAAAEAKtWckksSQxILCpxzi/NK1GyMqwFAAEhoTITAAAA"/>
    <w:docVar w:name="__Grammarly_42___1" w:val="H4sIAAAAAAAEAKtWcslP9kxRslIyNDayNLc0NjcwNDKwMDA1NjBV0lEKTi0uzszPAykwqgUAwPDFiCwAAAA="/>
  </w:docVars>
  <w:rsids>
    <w:rsidRoot w:val="00CF25D0"/>
    <w:rsid w:val="000003B2"/>
    <w:rsid w:val="00007613"/>
    <w:rsid w:val="000123B3"/>
    <w:rsid w:val="00012C91"/>
    <w:rsid w:val="000133FE"/>
    <w:rsid w:val="000142E1"/>
    <w:rsid w:val="00014DEF"/>
    <w:rsid w:val="0001747A"/>
    <w:rsid w:val="00020A6B"/>
    <w:rsid w:val="00022243"/>
    <w:rsid w:val="0002360F"/>
    <w:rsid w:val="000246E7"/>
    <w:rsid w:val="00027C8C"/>
    <w:rsid w:val="000327E4"/>
    <w:rsid w:val="00033119"/>
    <w:rsid w:val="000331A7"/>
    <w:rsid w:val="00033296"/>
    <w:rsid w:val="000343C6"/>
    <w:rsid w:val="00035C01"/>
    <w:rsid w:val="00036584"/>
    <w:rsid w:val="000420CF"/>
    <w:rsid w:val="000471E3"/>
    <w:rsid w:val="000505AC"/>
    <w:rsid w:val="0005218E"/>
    <w:rsid w:val="000521C8"/>
    <w:rsid w:val="00055E9D"/>
    <w:rsid w:val="00057671"/>
    <w:rsid w:val="0005793E"/>
    <w:rsid w:val="00061EA4"/>
    <w:rsid w:val="0006277E"/>
    <w:rsid w:val="0006279C"/>
    <w:rsid w:val="00063045"/>
    <w:rsid w:val="0006450F"/>
    <w:rsid w:val="000646CC"/>
    <w:rsid w:val="000678B5"/>
    <w:rsid w:val="00073365"/>
    <w:rsid w:val="000766D5"/>
    <w:rsid w:val="000824BC"/>
    <w:rsid w:val="00083636"/>
    <w:rsid w:val="00085B12"/>
    <w:rsid w:val="00085ED8"/>
    <w:rsid w:val="00086CC1"/>
    <w:rsid w:val="000902D4"/>
    <w:rsid w:val="00094048"/>
    <w:rsid w:val="000A023A"/>
    <w:rsid w:val="000A1815"/>
    <w:rsid w:val="000A348C"/>
    <w:rsid w:val="000A3A93"/>
    <w:rsid w:val="000A5299"/>
    <w:rsid w:val="000A5D90"/>
    <w:rsid w:val="000B6880"/>
    <w:rsid w:val="000C4E31"/>
    <w:rsid w:val="000C554E"/>
    <w:rsid w:val="000D3E77"/>
    <w:rsid w:val="000D7225"/>
    <w:rsid w:val="000E08E0"/>
    <w:rsid w:val="000E29B5"/>
    <w:rsid w:val="000E3EC3"/>
    <w:rsid w:val="000F0899"/>
    <w:rsid w:val="000F33D2"/>
    <w:rsid w:val="000F41DA"/>
    <w:rsid w:val="000F5A64"/>
    <w:rsid w:val="000F64DD"/>
    <w:rsid w:val="000F6D94"/>
    <w:rsid w:val="000F71B0"/>
    <w:rsid w:val="00101DA2"/>
    <w:rsid w:val="001022B3"/>
    <w:rsid w:val="00105F96"/>
    <w:rsid w:val="00106B6F"/>
    <w:rsid w:val="00110E40"/>
    <w:rsid w:val="00114A6C"/>
    <w:rsid w:val="00122C9A"/>
    <w:rsid w:val="001256C7"/>
    <w:rsid w:val="00125C5D"/>
    <w:rsid w:val="00126111"/>
    <w:rsid w:val="00130EE9"/>
    <w:rsid w:val="00134926"/>
    <w:rsid w:val="0014209A"/>
    <w:rsid w:val="00143C0B"/>
    <w:rsid w:val="0014520D"/>
    <w:rsid w:val="00146DBA"/>
    <w:rsid w:val="00147890"/>
    <w:rsid w:val="00147A7E"/>
    <w:rsid w:val="0015012E"/>
    <w:rsid w:val="00154450"/>
    <w:rsid w:val="001544E0"/>
    <w:rsid w:val="0015565B"/>
    <w:rsid w:val="00157241"/>
    <w:rsid w:val="001613FD"/>
    <w:rsid w:val="001656F4"/>
    <w:rsid w:val="00165B59"/>
    <w:rsid w:val="00166CEC"/>
    <w:rsid w:val="001671CE"/>
    <w:rsid w:val="00170CBE"/>
    <w:rsid w:val="00171256"/>
    <w:rsid w:val="00173B32"/>
    <w:rsid w:val="001743FF"/>
    <w:rsid w:val="001754D8"/>
    <w:rsid w:val="00180501"/>
    <w:rsid w:val="0018630F"/>
    <w:rsid w:val="00187EAD"/>
    <w:rsid w:val="001915F6"/>
    <w:rsid w:val="00192FC6"/>
    <w:rsid w:val="001934AB"/>
    <w:rsid w:val="00193A0E"/>
    <w:rsid w:val="001A0249"/>
    <w:rsid w:val="001A1779"/>
    <w:rsid w:val="001A554A"/>
    <w:rsid w:val="001A687D"/>
    <w:rsid w:val="001A7CDD"/>
    <w:rsid w:val="001B4339"/>
    <w:rsid w:val="001B56EC"/>
    <w:rsid w:val="001C0163"/>
    <w:rsid w:val="001C1432"/>
    <w:rsid w:val="001C1FCC"/>
    <w:rsid w:val="001C33E3"/>
    <w:rsid w:val="001C3E1B"/>
    <w:rsid w:val="001C64D2"/>
    <w:rsid w:val="001D4C77"/>
    <w:rsid w:val="001D4D24"/>
    <w:rsid w:val="001D50FF"/>
    <w:rsid w:val="001E0E61"/>
    <w:rsid w:val="001E3D5A"/>
    <w:rsid w:val="001E436E"/>
    <w:rsid w:val="001E5EA8"/>
    <w:rsid w:val="001E7807"/>
    <w:rsid w:val="001F0B3B"/>
    <w:rsid w:val="001F3512"/>
    <w:rsid w:val="001F592F"/>
    <w:rsid w:val="001F611E"/>
    <w:rsid w:val="00206106"/>
    <w:rsid w:val="00211C49"/>
    <w:rsid w:val="002129F6"/>
    <w:rsid w:val="002135FE"/>
    <w:rsid w:val="002144CD"/>
    <w:rsid w:val="00214BE5"/>
    <w:rsid w:val="0022001F"/>
    <w:rsid w:val="00220240"/>
    <w:rsid w:val="002213DD"/>
    <w:rsid w:val="00223636"/>
    <w:rsid w:val="0022370E"/>
    <w:rsid w:val="002241FB"/>
    <w:rsid w:val="0022514F"/>
    <w:rsid w:val="002253BC"/>
    <w:rsid w:val="00234686"/>
    <w:rsid w:val="002349ED"/>
    <w:rsid w:val="00234C11"/>
    <w:rsid w:val="002371B1"/>
    <w:rsid w:val="00240373"/>
    <w:rsid w:val="00241400"/>
    <w:rsid w:val="00241469"/>
    <w:rsid w:val="00241956"/>
    <w:rsid w:val="00242A87"/>
    <w:rsid w:val="00242B37"/>
    <w:rsid w:val="00244279"/>
    <w:rsid w:val="00245D39"/>
    <w:rsid w:val="00247F5D"/>
    <w:rsid w:val="0025156E"/>
    <w:rsid w:val="00251F8B"/>
    <w:rsid w:val="00252819"/>
    <w:rsid w:val="00254D3A"/>
    <w:rsid w:val="00255E19"/>
    <w:rsid w:val="00261653"/>
    <w:rsid w:val="00265295"/>
    <w:rsid w:val="00267112"/>
    <w:rsid w:val="002707BF"/>
    <w:rsid w:val="00270962"/>
    <w:rsid w:val="00270DB3"/>
    <w:rsid w:val="00273535"/>
    <w:rsid w:val="0027379D"/>
    <w:rsid w:val="00274125"/>
    <w:rsid w:val="002752D0"/>
    <w:rsid w:val="0027760A"/>
    <w:rsid w:val="002874D4"/>
    <w:rsid w:val="00287CB8"/>
    <w:rsid w:val="00290333"/>
    <w:rsid w:val="002907F3"/>
    <w:rsid w:val="00291B6C"/>
    <w:rsid w:val="002949B7"/>
    <w:rsid w:val="00297575"/>
    <w:rsid w:val="002A5A77"/>
    <w:rsid w:val="002B3D3A"/>
    <w:rsid w:val="002B5438"/>
    <w:rsid w:val="002B654B"/>
    <w:rsid w:val="002B7233"/>
    <w:rsid w:val="002B7CF3"/>
    <w:rsid w:val="002C094E"/>
    <w:rsid w:val="002C375E"/>
    <w:rsid w:val="002C39CF"/>
    <w:rsid w:val="002C46BD"/>
    <w:rsid w:val="002C4BB4"/>
    <w:rsid w:val="002C6C68"/>
    <w:rsid w:val="002D0555"/>
    <w:rsid w:val="002D4BF3"/>
    <w:rsid w:val="002D5129"/>
    <w:rsid w:val="002D6D0F"/>
    <w:rsid w:val="002E64AF"/>
    <w:rsid w:val="002E64FB"/>
    <w:rsid w:val="002E659F"/>
    <w:rsid w:val="002E6866"/>
    <w:rsid w:val="002F6386"/>
    <w:rsid w:val="002F7842"/>
    <w:rsid w:val="00303CBA"/>
    <w:rsid w:val="003109A1"/>
    <w:rsid w:val="00311973"/>
    <w:rsid w:val="00313ACD"/>
    <w:rsid w:val="00324150"/>
    <w:rsid w:val="00331042"/>
    <w:rsid w:val="00331867"/>
    <w:rsid w:val="003338CC"/>
    <w:rsid w:val="00334AD5"/>
    <w:rsid w:val="00337BF8"/>
    <w:rsid w:val="0034235F"/>
    <w:rsid w:val="003454C9"/>
    <w:rsid w:val="00350963"/>
    <w:rsid w:val="003535A2"/>
    <w:rsid w:val="003543DF"/>
    <w:rsid w:val="0035485C"/>
    <w:rsid w:val="00356737"/>
    <w:rsid w:val="003567E5"/>
    <w:rsid w:val="00357013"/>
    <w:rsid w:val="00364D2B"/>
    <w:rsid w:val="00366285"/>
    <w:rsid w:val="00367AB8"/>
    <w:rsid w:val="00371CD7"/>
    <w:rsid w:val="00374B08"/>
    <w:rsid w:val="003752FC"/>
    <w:rsid w:val="0037649F"/>
    <w:rsid w:val="003774D1"/>
    <w:rsid w:val="00377D70"/>
    <w:rsid w:val="00380725"/>
    <w:rsid w:val="00390F35"/>
    <w:rsid w:val="0039215B"/>
    <w:rsid w:val="00393FE1"/>
    <w:rsid w:val="003A15BD"/>
    <w:rsid w:val="003A1D13"/>
    <w:rsid w:val="003A1D65"/>
    <w:rsid w:val="003A550F"/>
    <w:rsid w:val="003A63E3"/>
    <w:rsid w:val="003A7A6A"/>
    <w:rsid w:val="003B2BCA"/>
    <w:rsid w:val="003B3699"/>
    <w:rsid w:val="003B5834"/>
    <w:rsid w:val="003B73F8"/>
    <w:rsid w:val="003C01DC"/>
    <w:rsid w:val="003C15E9"/>
    <w:rsid w:val="003C36FF"/>
    <w:rsid w:val="003D224E"/>
    <w:rsid w:val="003D47EA"/>
    <w:rsid w:val="003D638F"/>
    <w:rsid w:val="003D667D"/>
    <w:rsid w:val="003D74A9"/>
    <w:rsid w:val="003D777C"/>
    <w:rsid w:val="003E5BAD"/>
    <w:rsid w:val="003E6AB4"/>
    <w:rsid w:val="003F0D19"/>
    <w:rsid w:val="003F2603"/>
    <w:rsid w:val="003F43FE"/>
    <w:rsid w:val="003F5BE7"/>
    <w:rsid w:val="00401C07"/>
    <w:rsid w:val="00402513"/>
    <w:rsid w:val="00402BD4"/>
    <w:rsid w:val="0040756E"/>
    <w:rsid w:val="004142F3"/>
    <w:rsid w:val="00416E60"/>
    <w:rsid w:val="00420106"/>
    <w:rsid w:val="00425031"/>
    <w:rsid w:val="004262D1"/>
    <w:rsid w:val="004276DF"/>
    <w:rsid w:val="00427980"/>
    <w:rsid w:val="004279FA"/>
    <w:rsid w:val="004310B9"/>
    <w:rsid w:val="004336E6"/>
    <w:rsid w:val="00434B74"/>
    <w:rsid w:val="004353E8"/>
    <w:rsid w:val="00435635"/>
    <w:rsid w:val="00436BB5"/>
    <w:rsid w:val="00436E65"/>
    <w:rsid w:val="004371FC"/>
    <w:rsid w:val="00440C77"/>
    <w:rsid w:val="00440D88"/>
    <w:rsid w:val="00442FAE"/>
    <w:rsid w:val="00445D08"/>
    <w:rsid w:val="004470A0"/>
    <w:rsid w:val="00447577"/>
    <w:rsid w:val="00447BFF"/>
    <w:rsid w:val="00453168"/>
    <w:rsid w:val="00455BAD"/>
    <w:rsid w:val="0046183C"/>
    <w:rsid w:val="00462024"/>
    <w:rsid w:val="004627AD"/>
    <w:rsid w:val="0046356D"/>
    <w:rsid w:val="00464397"/>
    <w:rsid w:val="00465DC2"/>
    <w:rsid w:val="0046735E"/>
    <w:rsid w:val="00470B1E"/>
    <w:rsid w:val="00470F7A"/>
    <w:rsid w:val="0047637C"/>
    <w:rsid w:val="00480E02"/>
    <w:rsid w:val="00483ADE"/>
    <w:rsid w:val="00483C51"/>
    <w:rsid w:val="00484DF9"/>
    <w:rsid w:val="00490CE2"/>
    <w:rsid w:val="00494729"/>
    <w:rsid w:val="00497DB8"/>
    <w:rsid w:val="004A2BCE"/>
    <w:rsid w:val="004A4736"/>
    <w:rsid w:val="004A4E64"/>
    <w:rsid w:val="004A5111"/>
    <w:rsid w:val="004B020F"/>
    <w:rsid w:val="004B3811"/>
    <w:rsid w:val="004B6A64"/>
    <w:rsid w:val="004B6DBC"/>
    <w:rsid w:val="004C0B5C"/>
    <w:rsid w:val="004C1772"/>
    <w:rsid w:val="004D4C54"/>
    <w:rsid w:val="004D6DBD"/>
    <w:rsid w:val="004E54AD"/>
    <w:rsid w:val="004E611B"/>
    <w:rsid w:val="004E6847"/>
    <w:rsid w:val="004E6DEB"/>
    <w:rsid w:val="004F2927"/>
    <w:rsid w:val="004F29D1"/>
    <w:rsid w:val="004F4A40"/>
    <w:rsid w:val="004F5234"/>
    <w:rsid w:val="004F6268"/>
    <w:rsid w:val="004F62DE"/>
    <w:rsid w:val="005028E5"/>
    <w:rsid w:val="005037E1"/>
    <w:rsid w:val="00505AD4"/>
    <w:rsid w:val="0050767D"/>
    <w:rsid w:val="00510F45"/>
    <w:rsid w:val="0051410E"/>
    <w:rsid w:val="00515098"/>
    <w:rsid w:val="00520FAE"/>
    <w:rsid w:val="00521351"/>
    <w:rsid w:val="00523127"/>
    <w:rsid w:val="00525A77"/>
    <w:rsid w:val="0053168C"/>
    <w:rsid w:val="00533357"/>
    <w:rsid w:val="00534B3A"/>
    <w:rsid w:val="00535379"/>
    <w:rsid w:val="00536343"/>
    <w:rsid w:val="00547AEE"/>
    <w:rsid w:val="005506BD"/>
    <w:rsid w:val="005515AA"/>
    <w:rsid w:val="00556539"/>
    <w:rsid w:val="005572C9"/>
    <w:rsid w:val="0056176F"/>
    <w:rsid w:val="00563B79"/>
    <w:rsid w:val="00564343"/>
    <w:rsid w:val="00566352"/>
    <w:rsid w:val="00567B82"/>
    <w:rsid w:val="00573856"/>
    <w:rsid w:val="00574FAD"/>
    <w:rsid w:val="00577783"/>
    <w:rsid w:val="005800E4"/>
    <w:rsid w:val="00580722"/>
    <w:rsid w:val="00580B5F"/>
    <w:rsid w:val="00580BEE"/>
    <w:rsid w:val="005821B7"/>
    <w:rsid w:val="00587116"/>
    <w:rsid w:val="005935FD"/>
    <w:rsid w:val="005938C3"/>
    <w:rsid w:val="00595F47"/>
    <w:rsid w:val="00596573"/>
    <w:rsid w:val="00597DD3"/>
    <w:rsid w:val="005A1C2B"/>
    <w:rsid w:val="005A4127"/>
    <w:rsid w:val="005A4E6D"/>
    <w:rsid w:val="005C12E8"/>
    <w:rsid w:val="005C2526"/>
    <w:rsid w:val="005C3541"/>
    <w:rsid w:val="005C6370"/>
    <w:rsid w:val="005D1C5D"/>
    <w:rsid w:val="005D2EF9"/>
    <w:rsid w:val="005D3D3C"/>
    <w:rsid w:val="005D65D2"/>
    <w:rsid w:val="005D75F0"/>
    <w:rsid w:val="005E12E3"/>
    <w:rsid w:val="005E21B4"/>
    <w:rsid w:val="005E7727"/>
    <w:rsid w:val="005E7D00"/>
    <w:rsid w:val="005F0EA3"/>
    <w:rsid w:val="005F4571"/>
    <w:rsid w:val="00600C66"/>
    <w:rsid w:val="00600CCA"/>
    <w:rsid w:val="00602675"/>
    <w:rsid w:val="006051B1"/>
    <w:rsid w:val="00607C92"/>
    <w:rsid w:val="00612B85"/>
    <w:rsid w:val="006150BB"/>
    <w:rsid w:val="00617E82"/>
    <w:rsid w:val="00620B35"/>
    <w:rsid w:val="00620D74"/>
    <w:rsid w:val="00621019"/>
    <w:rsid w:val="006244DE"/>
    <w:rsid w:val="0062496A"/>
    <w:rsid w:val="006266F3"/>
    <w:rsid w:val="00626A79"/>
    <w:rsid w:val="00632BF6"/>
    <w:rsid w:val="00634DEB"/>
    <w:rsid w:val="00640EE0"/>
    <w:rsid w:val="0064197A"/>
    <w:rsid w:val="00643A8D"/>
    <w:rsid w:val="00644754"/>
    <w:rsid w:val="0064539C"/>
    <w:rsid w:val="0064659A"/>
    <w:rsid w:val="00647091"/>
    <w:rsid w:val="00647D56"/>
    <w:rsid w:val="0065051C"/>
    <w:rsid w:val="006553B9"/>
    <w:rsid w:val="00655B89"/>
    <w:rsid w:val="0065683B"/>
    <w:rsid w:val="006603B9"/>
    <w:rsid w:val="00660559"/>
    <w:rsid w:val="006608F0"/>
    <w:rsid w:val="00660FC1"/>
    <w:rsid w:val="006618AA"/>
    <w:rsid w:val="00662FD1"/>
    <w:rsid w:val="0066333B"/>
    <w:rsid w:val="006648CC"/>
    <w:rsid w:val="00666FC0"/>
    <w:rsid w:val="00672A30"/>
    <w:rsid w:val="00673756"/>
    <w:rsid w:val="00675AB0"/>
    <w:rsid w:val="006763CC"/>
    <w:rsid w:val="006775A7"/>
    <w:rsid w:val="00683B66"/>
    <w:rsid w:val="0068417B"/>
    <w:rsid w:val="0068624B"/>
    <w:rsid w:val="0068776A"/>
    <w:rsid w:val="006933D9"/>
    <w:rsid w:val="00697E47"/>
    <w:rsid w:val="006A0502"/>
    <w:rsid w:val="006A0B0E"/>
    <w:rsid w:val="006A4D2C"/>
    <w:rsid w:val="006A5FE8"/>
    <w:rsid w:val="006A7F38"/>
    <w:rsid w:val="006B1CCF"/>
    <w:rsid w:val="006B495D"/>
    <w:rsid w:val="006C06D3"/>
    <w:rsid w:val="006C210D"/>
    <w:rsid w:val="006C2A7F"/>
    <w:rsid w:val="006C4E34"/>
    <w:rsid w:val="006C6D35"/>
    <w:rsid w:val="006D2B1F"/>
    <w:rsid w:val="006D2D16"/>
    <w:rsid w:val="006D3138"/>
    <w:rsid w:val="006D4616"/>
    <w:rsid w:val="006D4848"/>
    <w:rsid w:val="006D4D30"/>
    <w:rsid w:val="006E1A44"/>
    <w:rsid w:val="006F2495"/>
    <w:rsid w:val="006F2AA5"/>
    <w:rsid w:val="006F3772"/>
    <w:rsid w:val="006F3847"/>
    <w:rsid w:val="006F4B1E"/>
    <w:rsid w:val="007014D7"/>
    <w:rsid w:val="00703036"/>
    <w:rsid w:val="00703A2B"/>
    <w:rsid w:val="007120F6"/>
    <w:rsid w:val="0071330B"/>
    <w:rsid w:val="007143F1"/>
    <w:rsid w:val="00724F32"/>
    <w:rsid w:val="00733B1F"/>
    <w:rsid w:val="0073789F"/>
    <w:rsid w:val="007412D1"/>
    <w:rsid w:val="00741F57"/>
    <w:rsid w:val="0074249A"/>
    <w:rsid w:val="007437D0"/>
    <w:rsid w:val="00747579"/>
    <w:rsid w:val="00752D90"/>
    <w:rsid w:val="007560D9"/>
    <w:rsid w:val="00756E13"/>
    <w:rsid w:val="00757FE0"/>
    <w:rsid w:val="00764DA5"/>
    <w:rsid w:val="007651E0"/>
    <w:rsid w:val="00765970"/>
    <w:rsid w:val="00766C37"/>
    <w:rsid w:val="00766CD3"/>
    <w:rsid w:val="00770F6B"/>
    <w:rsid w:val="00771D87"/>
    <w:rsid w:val="0078185E"/>
    <w:rsid w:val="0078391D"/>
    <w:rsid w:val="00784001"/>
    <w:rsid w:val="00790126"/>
    <w:rsid w:val="007909DD"/>
    <w:rsid w:val="00790C9F"/>
    <w:rsid w:val="00796BC4"/>
    <w:rsid w:val="007A3629"/>
    <w:rsid w:val="007A6BA4"/>
    <w:rsid w:val="007A73B3"/>
    <w:rsid w:val="007B012D"/>
    <w:rsid w:val="007B13AF"/>
    <w:rsid w:val="007B1A8E"/>
    <w:rsid w:val="007C07D0"/>
    <w:rsid w:val="007C138A"/>
    <w:rsid w:val="007C164D"/>
    <w:rsid w:val="007C2BA6"/>
    <w:rsid w:val="007D4AAD"/>
    <w:rsid w:val="007D725F"/>
    <w:rsid w:val="007E00F3"/>
    <w:rsid w:val="007E3390"/>
    <w:rsid w:val="007E6320"/>
    <w:rsid w:val="007E6507"/>
    <w:rsid w:val="007E77B9"/>
    <w:rsid w:val="007F014C"/>
    <w:rsid w:val="007F037B"/>
    <w:rsid w:val="007F17A1"/>
    <w:rsid w:val="007F1EA4"/>
    <w:rsid w:val="007F1F68"/>
    <w:rsid w:val="007F514B"/>
    <w:rsid w:val="008033E8"/>
    <w:rsid w:val="00803CB6"/>
    <w:rsid w:val="00815FF3"/>
    <w:rsid w:val="00816FDA"/>
    <w:rsid w:val="00817BA6"/>
    <w:rsid w:val="00820AD6"/>
    <w:rsid w:val="00827684"/>
    <w:rsid w:val="0083185F"/>
    <w:rsid w:val="0083194E"/>
    <w:rsid w:val="00834290"/>
    <w:rsid w:val="00836CE8"/>
    <w:rsid w:val="00837B98"/>
    <w:rsid w:val="008405C8"/>
    <w:rsid w:val="00842F94"/>
    <w:rsid w:val="00844FA9"/>
    <w:rsid w:val="00845176"/>
    <w:rsid w:val="008456C9"/>
    <w:rsid w:val="0084595F"/>
    <w:rsid w:val="00846FEA"/>
    <w:rsid w:val="008500D8"/>
    <w:rsid w:val="00850ABC"/>
    <w:rsid w:val="00851676"/>
    <w:rsid w:val="0085347C"/>
    <w:rsid w:val="00860106"/>
    <w:rsid w:val="0086143B"/>
    <w:rsid w:val="00864278"/>
    <w:rsid w:val="00864F44"/>
    <w:rsid w:val="00865B4B"/>
    <w:rsid w:val="00870A1D"/>
    <w:rsid w:val="008717DA"/>
    <w:rsid w:val="008756FE"/>
    <w:rsid w:val="00876675"/>
    <w:rsid w:val="00880D95"/>
    <w:rsid w:val="0088172F"/>
    <w:rsid w:val="0088260F"/>
    <w:rsid w:val="00882A24"/>
    <w:rsid w:val="008831D6"/>
    <w:rsid w:val="00884491"/>
    <w:rsid w:val="00887C48"/>
    <w:rsid w:val="00887D64"/>
    <w:rsid w:val="00892286"/>
    <w:rsid w:val="008943DE"/>
    <w:rsid w:val="0089524B"/>
    <w:rsid w:val="00895ED9"/>
    <w:rsid w:val="008966C4"/>
    <w:rsid w:val="00896CF3"/>
    <w:rsid w:val="008A32AD"/>
    <w:rsid w:val="008A5409"/>
    <w:rsid w:val="008A68E4"/>
    <w:rsid w:val="008A768B"/>
    <w:rsid w:val="008A77EC"/>
    <w:rsid w:val="008B0B52"/>
    <w:rsid w:val="008B1A48"/>
    <w:rsid w:val="008B272F"/>
    <w:rsid w:val="008B40F0"/>
    <w:rsid w:val="008B4D2E"/>
    <w:rsid w:val="008B5BFD"/>
    <w:rsid w:val="008C30CE"/>
    <w:rsid w:val="008C524C"/>
    <w:rsid w:val="008D391D"/>
    <w:rsid w:val="008D40BF"/>
    <w:rsid w:val="008D71E9"/>
    <w:rsid w:val="008E416F"/>
    <w:rsid w:val="008E5B71"/>
    <w:rsid w:val="008F2CC1"/>
    <w:rsid w:val="008F4136"/>
    <w:rsid w:val="008F61C0"/>
    <w:rsid w:val="008F6B8D"/>
    <w:rsid w:val="00900E20"/>
    <w:rsid w:val="0090252E"/>
    <w:rsid w:val="009038B0"/>
    <w:rsid w:val="009055E1"/>
    <w:rsid w:val="00907385"/>
    <w:rsid w:val="00917624"/>
    <w:rsid w:val="009176AD"/>
    <w:rsid w:val="009201B9"/>
    <w:rsid w:val="0092107C"/>
    <w:rsid w:val="00923F31"/>
    <w:rsid w:val="00926E72"/>
    <w:rsid w:val="0093013C"/>
    <w:rsid w:val="00931AD5"/>
    <w:rsid w:val="00931EBB"/>
    <w:rsid w:val="009335F3"/>
    <w:rsid w:val="00937C96"/>
    <w:rsid w:val="009402D8"/>
    <w:rsid w:val="00941A2E"/>
    <w:rsid w:val="00942779"/>
    <w:rsid w:val="00942807"/>
    <w:rsid w:val="00942EEA"/>
    <w:rsid w:val="00946209"/>
    <w:rsid w:val="00946D36"/>
    <w:rsid w:val="009474B2"/>
    <w:rsid w:val="009521AD"/>
    <w:rsid w:val="009547E4"/>
    <w:rsid w:val="00961B2D"/>
    <w:rsid w:val="00963E1D"/>
    <w:rsid w:val="00964CD0"/>
    <w:rsid w:val="0096568A"/>
    <w:rsid w:val="009672AD"/>
    <w:rsid w:val="0097085D"/>
    <w:rsid w:val="00973C04"/>
    <w:rsid w:val="00976681"/>
    <w:rsid w:val="0098348E"/>
    <w:rsid w:val="009838E5"/>
    <w:rsid w:val="0098573F"/>
    <w:rsid w:val="00990101"/>
    <w:rsid w:val="00994FBA"/>
    <w:rsid w:val="00996733"/>
    <w:rsid w:val="009A44EA"/>
    <w:rsid w:val="009A6AF1"/>
    <w:rsid w:val="009A7940"/>
    <w:rsid w:val="009A7E7F"/>
    <w:rsid w:val="009B045F"/>
    <w:rsid w:val="009B0D90"/>
    <w:rsid w:val="009B118C"/>
    <w:rsid w:val="009B3505"/>
    <w:rsid w:val="009B5977"/>
    <w:rsid w:val="009B6CA9"/>
    <w:rsid w:val="009C2FB0"/>
    <w:rsid w:val="009C4721"/>
    <w:rsid w:val="009C4B62"/>
    <w:rsid w:val="009D1C4C"/>
    <w:rsid w:val="009D4E74"/>
    <w:rsid w:val="009D5037"/>
    <w:rsid w:val="009D6657"/>
    <w:rsid w:val="009D6677"/>
    <w:rsid w:val="009D682D"/>
    <w:rsid w:val="009E01CB"/>
    <w:rsid w:val="009E0FA1"/>
    <w:rsid w:val="009E1236"/>
    <w:rsid w:val="009E1FAA"/>
    <w:rsid w:val="009E4D72"/>
    <w:rsid w:val="009E724B"/>
    <w:rsid w:val="009F0016"/>
    <w:rsid w:val="009F2929"/>
    <w:rsid w:val="009F48C0"/>
    <w:rsid w:val="009F53E2"/>
    <w:rsid w:val="009F7A38"/>
    <w:rsid w:val="00A00648"/>
    <w:rsid w:val="00A02244"/>
    <w:rsid w:val="00A03222"/>
    <w:rsid w:val="00A0350B"/>
    <w:rsid w:val="00A04212"/>
    <w:rsid w:val="00A04A6E"/>
    <w:rsid w:val="00A05C2F"/>
    <w:rsid w:val="00A0693B"/>
    <w:rsid w:val="00A10AA6"/>
    <w:rsid w:val="00A13954"/>
    <w:rsid w:val="00A13D75"/>
    <w:rsid w:val="00A169B7"/>
    <w:rsid w:val="00A20B4D"/>
    <w:rsid w:val="00A21A86"/>
    <w:rsid w:val="00A2502E"/>
    <w:rsid w:val="00A25B8F"/>
    <w:rsid w:val="00A2605D"/>
    <w:rsid w:val="00A260B6"/>
    <w:rsid w:val="00A30281"/>
    <w:rsid w:val="00A3233C"/>
    <w:rsid w:val="00A34F64"/>
    <w:rsid w:val="00A37D8C"/>
    <w:rsid w:val="00A46817"/>
    <w:rsid w:val="00A52A9F"/>
    <w:rsid w:val="00A541D7"/>
    <w:rsid w:val="00A5517D"/>
    <w:rsid w:val="00A5591E"/>
    <w:rsid w:val="00A61E5B"/>
    <w:rsid w:val="00A664D3"/>
    <w:rsid w:val="00A6771F"/>
    <w:rsid w:val="00A71117"/>
    <w:rsid w:val="00A73132"/>
    <w:rsid w:val="00A74CF3"/>
    <w:rsid w:val="00A76AA3"/>
    <w:rsid w:val="00A81364"/>
    <w:rsid w:val="00A8311C"/>
    <w:rsid w:val="00A864C7"/>
    <w:rsid w:val="00A907C5"/>
    <w:rsid w:val="00A93548"/>
    <w:rsid w:val="00A94E2E"/>
    <w:rsid w:val="00A95362"/>
    <w:rsid w:val="00AA1794"/>
    <w:rsid w:val="00AA2A91"/>
    <w:rsid w:val="00AA46C2"/>
    <w:rsid w:val="00AA528F"/>
    <w:rsid w:val="00AA72C2"/>
    <w:rsid w:val="00AB2304"/>
    <w:rsid w:val="00AB3096"/>
    <w:rsid w:val="00AB33AA"/>
    <w:rsid w:val="00AB441C"/>
    <w:rsid w:val="00AB5DC4"/>
    <w:rsid w:val="00AB7558"/>
    <w:rsid w:val="00AB77D9"/>
    <w:rsid w:val="00AD15BA"/>
    <w:rsid w:val="00AD1BC0"/>
    <w:rsid w:val="00AD3AF2"/>
    <w:rsid w:val="00AD3BF8"/>
    <w:rsid w:val="00AD46AA"/>
    <w:rsid w:val="00AD641F"/>
    <w:rsid w:val="00AD6D20"/>
    <w:rsid w:val="00AE107A"/>
    <w:rsid w:val="00AE333E"/>
    <w:rsid w:val="00AE4C2D"/>
    <w:rsid w:val="00AE508C"/>
    <w:rsid w:val="00AE558B"/>
    <w:rsid w:val="00AE5801"/>
    <w:rsid w:val="00AE6AF7"/>
    <w:rsid w:val="00AF0C79"/>
    <w:rsid w:val="00AF12EE"/>
    <w:rsid w:val="00AF144B"/>
    <w:rsid w:val="00AF479D"/>
    <w:rsid w:val="00AF649D"/>
    <w:rsid w:val="00B004A3"/>
    <w:rsid w:val="00B03661"/>
    <w:rsid w:val="00B05110"/>
    <w:rsid w:val="00B11E9C"/>
    <w:rsid w:val="00B12662"/>
    <w:rsid w:val="00B1385B"/>
    <w:rsid w:val="00B15911"/>
    <w:rsid w:val="00B17BD6"/>
    <w:rsid w:val="00B21E06"/>
    <w:rsid w:val="00B26B68"/>
    <w:rsid w:val="00B274BA"/>
    <w:rsid w:val="00B27FC4"/>
    <w:rsid w:val="00B3126A"/>
    <w:rsid w:val="00B33515"/>
    <w:rsid w:val="00B34FCC"/>
    <w:rsid w:val="00B37445"/>
    <w:rsid w:val="00B37F5D"/>
    <w:rsid w:val="00B4121C"/>
    <w:rsid w:val="00B41F1B"/>
    <w:rsid w:val="00B443EF"/>
    <w:rsid w:val="00B444D4"/>
    <w:rsid w:val="00B452E4"/>
    <w:rsid w:val="00B46148"/>
    <w:rsid w:val="00B47781"/>
    <w:rsid w:val="00B502CA"/>
    <w:rsid w:val="00B50A95"/>
    <w:rsid w:val="00B515AB"/>
    <w:rsid w:val="00B51A53"/>
    <w:rsid w:val="00B5326E"/>
    <w:rsid w:val="00B551DC"/>
    <w:rsid w:val="00B605FB"/>
    <w:rsid w:val="00B627CC"/>
    <w:rsid w:val="00B62BD4"/>
    <w:rsid w:val="00B6307D"/>
    <w:rsid w:val="00B639A6"/>
    <w:rsid w:val="00B63BBA"/>
    <w:rsid w:val="00B66239"/>
    <w:rsid w:val="00B666FF"/>
    <w:rsid w:val="00B72ED6"/>
    <w:rsid w:val="00B743A5"/>
    <w:rsid w:val="00B87EC1"/>
    <w:rsid w:val="00B9194E"/>
    <w:rsid w:val="00B93277"/>
    <w:rsid w:val="00B979D5"/>
    <w:rsid w:val="00BA1748"/>
    <w:rsid w:val="00BB5FE5"/>
    <w:rsid w:val="00BC44E0"/>
    <w:rsid w:val="00BC472D"/>
    <w:rsid w:val="00BC54F6"/>
    <w:rsid w:val="00BC73FE"/>
    <w:rsid w:val="00BD16BD"/>
    <w:rsid w:val="00BE1C51"/>
    <w:rsid w:val="00BE21E3"/>
    <w:rsid w:val="00BE2AB6"/>
    <w:rsid w:val="00BE36D8"/>
    <w:rsid w:val="00BE4A58"/>
    <w:rsid w:val="00BF35DE"/>
    <w:rsid w:val="00BF6DD9"/>
    <w:rsid w:val="00C06C48"/>
    <w:rsid w:val="00C11D5D"/>
    <w:rsid w:val="00C12246"/>
    <w:rsid w:val="00C13A5A"/>
    <w:rsid w:val="00C143FA"/>
    <w:rsid w:val="00C14F92"/>
    <w:rsid w:val="00C15D17"/>
    <w:rsid w:val="00C16EF7"/>
    <w:rsid w:val="00C17003"/>
    <w:rsid w:val="00C25F4F"/>
    <w:rsid w:val="00C271F3"/>
    <w:rsid w:val="00C30127"/>
    <w:rsid w:val="00C338E9"/>
    <w:rsid w:val="00C366EE"/>
    <w:rsid w:val="00C40FBA"/>
    <w:rsid w:val="00C425F6"/>
    <w:rsid w:val="00C44532"/>
    <w:rsid w:val="00C44907"/>
    <w:rsid w:val="00C50D25"/>
    <w:rsid w:val="00C51734"/>
    <w:rsid w:val="00C53243"/>
    <w:rsid w:val="00C53AE9"/>
    <w:rsid w:val="00C61546"/>
    <w:rsid w:val="00C63858"/>
    <w:rsid w:val="00C66EAA"/>
    <w:rsid w:val="00C67902"/>
    <w:rsid w:val="00C71989"/>
    <w:rsid w:val="00C71D91"/>
    <w:rsid w:val="00C7238F"/>
    <w:rsid w:val="00C72F22"/>
    <w:rsid w:val="00C800FC"/>
    <w:rsid w:val="00C80867"/>
    <w:rsid w:val="00C80BFF"/>
    <w:rsid w:val="00C875A3"/>
    <w:rsid w:val="00C93477"/>
    <w:rsid w:val="00C948F4"/>
    <w:rsid w:val="00C95370"/>
    <w:rsid w:val="00C968C0"/>
    <w:rsid w:val="00C96EF9"/>
    <w:rsid w:val="00CA0473"/>
    <w:rsid w:val="00CA51E6"/>
    <w:rsid w:val="00CA70C4"/>
    <w:rsid w:val="00CA7C09"/>
    <w:rsid w:val="00CB1984"/>
    <w:rsid w:val="00CB2225"/>
    <w:rsid w:val="00CB3C8C"/>
    <w:rsid w:val="00CB3D91"/>
    <w:rsid w:val="00CB503E"/>
    <w:rsid w:val="00CC20E7"/>
    <w:rsid w:val="00CC71D4"/>
    <w:rsid w:val="00CD358D"/>
    <w:rsid w:val="00CD6434"/>
    <w:rsid w:val="00CD75C3"/>
    <w:rsid w:val="00CE05D5"/>
    <w:rsid w:val="00CE7F1A"/>
    <w:rsid w:val="00CF25D0"/>
    <w:rsid w:val="00CF278B"/>
    <w:rsid w:val="00CF3D30"/>
    <w:rsid w:val="00CF3DB1"/>
    <w:rsid w:val="00CF5417"/>
    <w:rsid w:val="00CF702D"/>
    <w:rsid w:val="00CF72B3"/>
    <w:rsid w:val="00CF772C"/>
    <w:rsid w:val="00D00567"/>
    <w:rsid w:val="00D0138D"/>
    <w:rsid w:val="00D0143C"/>
    <w:rsid w:val="00D02CAC"/>
    <w:rsid w:val="00D04AAB"/>
    <w:rsid w:val="00D0501B"/>
    <w:rsid w:val="00D0571A"/>
    <w:rsid w:val="00D1024D"/>
    <w:rsid w:val="00D13B59"/>
    <w:rsid w:val="00D13E5F"/>
    <w:rsid w:val="00D15BFD"/>
    <w:rsid w:val="00D20207"/>
    <w:rsid w:val="00D20E25"/>
    <w:rsid w:val="00D21E99"/>
    <w:rsid w:val="00D22A29"/>
    <w:rsid w:val="00D237AF"/>
    <w:rsid w:val="00D2446B"/>
    <w:rsid w:val="00D2569C"/>
    <w:rsid w:val="00D30599"/>
    <w:rsid w:val="00D3265D"/>
    <w:rsid w:val="00D32B87"/>
    <w:rsid w:val="00D3355D"/>
    <w:rsid w:val="00D347C7"/>
    <w:rsid w:val="00D34EB4"/>
    <w:rsid w:val="00D36241"/>
    <w:rsid w:val="00D3626C"/>
    <w:rsid w:val="00D36C32"/>
    <w:rsid w:val="00D4029D"/>
    <w:rsid w:val="00D40406"/>
    <w:rsid w:val="00D428BD"/>
    <w:rsid w:val="00D45FE6"/>
    <w:rsid w:val="00D4612E"/>
    <w:rsid w:val="00D46759"/>
    <w:rsid w:val="00D4741B"/>
    <w:rsid w:val="00D50025"/>
    <w:rsid w:val="00D506B0"/>
    <w:rsid w:val="00D5077B"/>
    <w:rsid w:val="00D518F9"/>
    <w:rsid w:val="00D61113"/>
    <w:rsid w:val="00D616E4"/>
    <w:rsid w:val="00D64A53"/>
    <w:rsid w:val="00D64A7F"/>
    <w:rsid w:val="00D65CED"/>
    <w:rsid w:val="00D65EAF"/>
    <w:rsid w:val="00D7132D"/>
    <w:rsid w:val="00D732BE"/>
    <w:rsid w:val="00D738EB"/>
    <w:rsid w:val="00D76A17"/>
    <w:rsid w:val="00D82039"/>
    <w:rsid w:val="00D83E01"/>
    <w:rsid w:val="00D95226"/>
    <w:rsid w:val="00D952D6"/>
    <w:rsid w:val="00D97BC0"/>
    <w:rsid w:val="00DA1B4C"/>
    <w:rsid w:val="00DA2E9B"/>
    <w:rsid w:val="00DA5ED0"/>
    <w:rsid w:val="00DA603F"/>
    <w:rsid w:val="00DB1B02"/>
    <w:rsid w:val="00DB3E94"/>
    <w:rsid w:val="00DB568D"/>
    <w:rsid w:val="00DC3F56"/>
    <w:rsid w:val="00DD14C9"/>
    <w:rsid w:val="00DD24B9"/>
    <w:rsid w:val="00DD3BE5"/>
    <w:rsid w:val="00DE40CF"/>
    <w:rsid w:val="00DF12A9"/>
    <w:rsid w:val="00DF7871"/>
    <w:rsid w:val="00E015D6"/>
    <w:rsid w:val="00E0161C"/>
    <w:rsid w:val="00E03651"/>
    <w:rsid w:val="00E04EB0"/>
    <w:rsid w:val="00E074F5"/>
    <w:rsid w:val="00E11A8B"/>
    <w:rsid w:val="00E15892"/>
    <w:rsid w:val="00E16EDA"/>
    <w:rsid w:val="00E174EA"/>
    <w:rsid w:val="00E17974"/>
    <w:rsid w:val="00E22957"/>
    <w:rsid w:val="00E22DD9"/>
    <w:rsid w:val="00E258A6"/>
    <w:rsid w:val="00E26000"/>
    <w:rsid w:val="00E31937"/>
    <w:rsid w:val="00E31F73"/>
    <w:rsid w:val="00E348BD"/>
    <w:rsid w:val="00E37BD6"/>
    <w:rsid w:val="00E37D6E"/>
    <w:rsid w:val="00E40A8A"/>
    <w:rsid w:val="00E4174D"/>
    <w:rsid w:val="00E41DE6"/>
    <w:rsid w:val="00E42B5E"/>
    <w:rsid w:val="00E47DAE"/>
    <w:rsid w:val="00E538E7"/>
    <w:rsid w:val="00E552F9"/>
    <w:rsid w:val="00E55A18"/>
    <w:rsid w:val="00E55A8E"/>
    <w:rsid w:val="00E578AA"/>
    <w:rsid w:val="00E6124C"/>
    <w:rsid w:val="00E65CDD"/>
    <w:rsid w:val="00E66A27"/>
    <w:rsid w:val="00E75650"/>
    <w:rsid w:val="00E80814"/>
    <w:rsid w:val="00E81DFB"/>
    <w:rsid w:val="00E83C86"/>
    <w:rsid w:val="00E83CBB"/>
    <w:rsid w:val="00E858D0"/>
    <w:rsid w:val="00E87AD5"/>
    <w:rsid w:val="00E91DD1"/>
    <w:rsid w:val="00E974E7"/>
    <w:rsid w:val="00E97F9C"/>
    <w:rsid w:val="00EA04B7"/>
    <w:rsid w:val="00EA2C4F"/>
    <w:rsid w:val="00EA4069"/>
    <w:rsid w:val="00EA44C9"/>
    <w:rsid w:val="00EA5ED4"/>
    <w:rsid w:val="00EA61EE"/>
    <w:rsid w:val="00EA6A90"/>
    <w:rsid w:val="00EA7B60"/>
    <w:rsid w:val="00EB1BE8"/>
    <w:rsid w:val="00EB3309"/>
    <w:rsid w:val="00EB3D79"/>
    <w:rsid w:val="00EC1FB4"/>
    <w:rsid w:val="00EC3F88"/>
    <w:rsid w:val="00EC427E"/>
    <w:rsid w:val="00EC4601"/>
    <w:rsid w:val="00EC4964"/>
    <w:rsid w:val="00ED18FD"/>
    <w:rsid w:val="00ED3C3E"/>
    <w:rsid w:val="00ED3FFE"/>
    <w:rsid w:val="00ED5A6D"/>
    <w:rsid w:val="00ED657C"/>
    <w:rsid w:val="00EE26AD"/>
    <w:rsid w:val="00EE7161"/>
    <w:rsid w:val="00EF328D"/>
    <w:rsid w:val="00EF3B8E"/>
    <w:rsid w:val="00EF50DA"/>
    <w:rsid w:val="00F00CB8"/>
    <w:rsid w:val="00F01AE0"/>
    <w:rsid w:val="00F01B50"/>
    <w:rsid w:val="00F01DFA"/>
    <w:rsid w:val="00F133B0"/>
    <w:rsid w:val="00F161E6"/>
    <w:rsid w:val="00F25416"/>
    <w:rsid w:val="00F25B67"/>
    <w:rsid w:val="00F27854"/>
    <w:rsid w:val="00F317A1"/>
    <w:rsid w:val="00F35A58"/>
    <w:rsid w:val="00F3637A"/>
    <w:rsid w:val="00F42D6C"/>
    <w:rsid w:val="00F439C0"/>
    <w:rsid w:val="00F446EB"/>
    <w:rsid w:val="00F44CC0"/>
    <w:rsid w:val="00F45A00"/>
    <w:rsid w:val="00F45A57"/>
    <w:rsid w:val="00F50732"/>
    <w:rsid w:val="00F54938"/>
    <w:rsid w:val="00F55802"/>
    <w:rsid w:val="00F567AF"/>
    <w:rsid w:val="00F62E24"/>
    <w:rsid w:val="00F63379"/>
    <w:rsid w:val="00F63FA7"/>
    <w:rsid w:val="00F66073"/>
    <w:rsid w:val="00F66D29"/>
    <w:rsid w:val="00F70ADE"/>
    <w:rsid w:val="00F7157D"/>
    <w:rsid w:val="00F7272D"/>
    <w:rsid w:val="00F73CE3"/>
    <w:rsid w:val="00F7604A"/>
    <w:rsid w:val="00F80B8C"/>
    <w:rsid w:val="00F80C38"/>
    <w:rsid w:val="00F813C9"/>
    <w:rsid w:val="00F84EB3"/>
    <w:rsid w:val="00F94C77"/>
    <w:rsid w:val="00F97AE9"/>
    <w:rsid w:val="00FA42D6"/>
    <w:rsid w:val="00FA519C"/>
    <w:rsid w:val="00FA56AA"/>
    <w:rsid w:val="00FA5D33"/>
    <w:rsid w:val="00FA7404"/>
    <w:rsid w:val="00FA7B9F"/>
    <w:rsid w:val="00FB1A1A"/>
    <w:rsid w:val="00FB25C4"/>
    <w:rsid w:val="00FB6889"/>
    <w:rsid w:val="00FB7A1B"/>
    <w:rsid w:val="00FC07CF"/>
    <w:rsid w:val="00FC2A93"/>
    <w:rsid w:val="00FC5E70"/>
    <w:rsid w:val="00FC5F12"/>
    <w:rsid w:val="00FD4F89"/>
    <w:rsid w:val="00FD5DE1"/>
    <w:rsid w:val="00FE2650"/>
    <w:rsid w:val="00FE35E8"/>
    <w:rsid w:val="00FE6725"/>
    <w:rsid w:val="00FE6CC8"/>
    <w:rsid w:val="00FF01DC"/>
    <w:rsid w:val="00FF28B9"/>
    <w:rsid w:val="00FF699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851DCB5"/>
  <w15:chartTrackingRefBased/>
  <w15:docId w15:val="{BC721698-4374-4AD9-936A-B5C2B69EE88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864C7"/>
    <w:pPr>
      <w:spacing w:line="256" w:lineRule="auto"/>
    </w:pPr>
  </w:style>
  <w:style w:type="paragraph" w:styleId="Heading1">
    <w:name w:val="heading 1"/>
    <w:basedOn w:val="Normal"/>
    <w:next w:val="Normal"/>
    <w:link w:val="Heading1Char"/>
    <w:uiPriority w:val="9"/>
    <w:qFormat/>
    <w:rsid w:val="00DD14C9"/>
    <w:pPr>
      <w:keepNext/>
      <w:keepLines/>
      <w:numPr>
        <w:numId w:val="1"/>
      </w:numPr>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AA72C2"/>
    <w:pPr>
      <w:keepNext/>
      <w:keepLines/>
      <w:numPr>
        <w:ilvl w:val="1"/>
        <w:numId w:val="1"/>
      </w:numPr>
      <w:spacing w:before="40" w:after="0"/>
      <w:outlineLvl w:val="1"/>
    </w:pPr>
    <w:rPr>
      <w:rFonts w:asciiTheme="majorHAnsi" w:eastAsiaTheme="majorEastAsia" w:hAnsiTheme="majorHAnsi"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A72C2"/>
    <w:pPr>
      <w:keepNext/>
      <w:keepLines/>
      <w:numPr>
        <w:ilvl w:val="2"/>
        <w:numId w:val="1"/>
      </w:numPr>
      <w:spacing w:before="40" w:after="0"/>
      <w:outlineLvl w:val="2"/>
    </w:pPr>
    <w:rPr>
      <w:rFonts w:asciiTheme="majorHAnsi" w:eastAsiaTheme="majorEastAsia" w:hAnsiTheme="majorHAnsi" w:cstheme="majorBidi"/>
      <w:color w:val="1F4D78" w:themeColor="accent1" w:themeShade="7F"/>
      <w:sz w:val="24"/>
      <w:szCs w:val="24"/>
    </w:rPr>
  </w:style>
  <w:style w:type="paragraph" w:styleId="Heading4">
    <w:name w:val="heading 4"/>
    <w:basedOn w:val="Normal"/>
    <w:next w:val="Normal"/>
    <w:link w:val="Heading4Char"/>
    <w:uiPriority w:val="9"/>
    <w:semiHidden/>
    <w:unhideWhenUsed/>
    <w:qFormat/>
    <w:rsid w:val="00AA72C2"/>
    <w:pPr>
      <w:keepNext/>
      <w:keepLines/>
      <w:numPr>
        <w:ilvl w:val="3"/>
        <w:numId w:val="1"/>
      </w:numPr>
      <w:spacing w:before="40" w:after="0"/>
      <w:outlineLvl w:val="3"/>
    </w:pPr>
    <w:rPr>
      <w:rFonts w:asciiTheme="majorHAnsi" w:eastAsiaTheme="majorEastAsia" w:hAnsiTheme="majorHAnsi" w:cstheme="majorBidi"/>
      <w:i/>
      <w:iCs/>
      <w:color w:val="2E74B5" w:themeColor="accent1" w:themeShade="BF"/>
    </w:rPr>
  </w:style>
  <w:style w:type="paragraph" w:styleId="Heading5">
    <w:name w:val="heading 5"/>
    <w:basedOn w:val="Normal"/>
    <w:next w:val="Normal"/>
    <w:link w:val="Heading5Char"/>
    <w:uiPriority w:val="9"/>
    <w:semiHidden/>
    <w:unhideWhenUsed/>
    <w:qFormat/>
    <w:rsid w:val="00AA72C2"/>
    <w:pPr>
      <w:keepNext/>
      <w:keepLines/>
      <w:numPr>
        <w:ilvl w:val="4"/>
        <w:numId w:val="1"/>
      </w:numPr>
      <w:spacing w:before="40" w:after="0"/>
      <w:outlineLvl w:val="4"/>
    </w:pPr>
    <w:rPr>
      <w:rFonts w:asciiTheme="majorHAnsi" w:eastAsiaTheme="majorEastAsia" w:hAnsiTheme="majorHAnsi" w:cstheme="majorBidi"/>
      <w:color w:val="2E74B5" w:themeColor="accent1" w:themeShade="BF"/>
    </w:rPr>
  </w:style>
  <w:style w:type="paragraph" w:styleId="Heading6">
    <w:name w:val="heading 6"/>
    <w:basedOn w:val="Normal"/>
    <w:next w:val="Normal"/>
    <w:link w:val="Heading6Char"/>
    <w:uiPriority w:val="9"/>
    <w:semiHidden/>
    <w:unhideWhenUsed/>
    <w:qFormat/>
    <w:rsid w:val="00AA72C2"/>
    <w:pPr>
      <w:keepNext/>
      <w:keepLines/>
      <w:numPr>
        <w:ilvl w:val="5"/>
        <w:numId w:val="1"/>
      </w:numPr>
      <w:spacing w:before="40" w:after="0"/>
      <w:outlineLvl w:val="5"/>
    </w:pPr>
    <w:rPr>
      <w:rFonts w:asciiTheme="majorHAnsi" w:eastAsiaTheme="majorEastAsia" w:hAnsiTheme="majorHAnsi" w:cstheme="majorBidi"/>
      <w:color w:val="1F4D78" w:themeColor="accent1" w:themeShade="7F"/>
    </w:rPr>
  </w:style>
  <w:style w:type="paragraph" w:styleId="Heading7">
    <w:name w:val="heading 7"/>
    <w:basedOn w:val="Normal"/>
    <w:next w:val="Normal"/>
    <w:link w:val="Heading7Char"/>
    <w:uiPriority w:val="9"/>
    <w:semiHidden/>
    <w:unhideWhenUsed/>
    <w:qFormat/>
    <w:rsid w:val="00AA72C2"/>
    <w:pPr>
      <w:keepNext/>
      <w:keepLines/>
      <w:numPr>
        <w:ilvl w:val="6"/>
        <w:numId w:val="1"/>
      </w:numPr>
      <w:spacing w:before="40" w:after="0"/>
      <w:outlineLvl w:val="6"/>
    </w:pPr>
    <w:rPr>
      <w:rFonts w:asciiTheme="majorHAnsi" w:eastAsiaTheme="majorEastAsia" w:hAnsiTheme="majorHAnsi" w:cstheme="majorBidi"/>
      <w:i/>
      <w:iCs/>
      <w:color w:val="1F4D78" w:themeColor="accent1" w:themeShade="7F"/>
    </w:rPr>
  </w:style>
  <w:style w:type="paragraph" w:styleId="Heading8">
    <w:name w:val="heading 8"/>
    <w:basedOn w:val="Normal"/>
    <w:next w:val="Normal"/>
    <w:link w:val="Heading8Char"/>
    <w:uiPriority w:val="9"/>
    <w:semiHidden/>
    <w:unhideWhenUsed/>
    <w:qFormat/>
    <w:rsid w:val="00AA72C2"/>
    <w:pPr>
      <w:keepNext/>
      <w:keepLines/>
      <w:numPr>
        <w:ilvl w:val="7"/>
        <w:numId w:val="1"/>
      </w:numPr>
      <w:spacing w:before="40" w:after="0"/>
      <w:outlineLvl w:val="7"/>
    </w:pPr>
    <w:rPr>
      <w:rFonts w:asciiTheme="majorHAnsi" w:eastAsiaTheme="majorEastAsia" w:hAnsiTheme="majorHAnsi" w:cstheme="majorBidi"/>
      <w:color w:val="272727" w:themeColor="text1" w:themeTint="D8"/>
      <w:sz w:val="21"/>
      <w:szCs w:val="21"/>
    </w:rPr>
  </w:style>
  <w:style w:type="paragraph" w:styleId="Heading9">
    <w:name w:val="heading 9"/>
    <w:basedOn w:val="Normal"/>
    <w:next w:val="Normal"/>
    <w:link w:val="Heading9Char"/>
    <w:uiPriority w:val="9"/>
    <w:semiHidden/>
    <w:unhideWhenUsed/>
    <w:qFormat/>
    <w:rsid w:val="00AA72C2"/>
    <w:pPr>
      <w:keepNext/>
      <w:keepLines/>
      <w:numPr>
        <w:ilvl w:val="8"/>
        <w:numId w:val="1"/>
      </w:numPr>
      <w:spacing w:before="40" w:after="0"/>
      <w:outlineLvl w:val="8"/>
    </w:pPr>
    <w:rPr>
      <w:rFonts w:asciiTheme="majorHAnsi" w:eastAsiaTheme="majorEastAsia" w:hAnsiTheme="majorHAnsi" w:cstheme="majorBidi"/>
      <w:i/>
      <w:iCs/>
      <w:color w:val="272727" w:themeColor="text1" w:themeTint="D8"/>
      <w:sz w:val="21"/>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D14C9"/>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DD14C9"/>
    <w:pPr>
      <w:outlineLvl w:val="9"/>
    </w:pPr>
  </w:style>
  <w:style w:type="character" w:customStyle="1" w:styleId="Heading2Char">
    <w:name w:val="Heading 2 Char"/>
    <w:basedOn w:val="DefaultParagraphFont"/>
    <w:link w:val="Heading2"/>
    <w:uiPriority w:val="9"/>
    <w:rsid w:val="00AA72C2"/>
    <w:rPr>
      <w:rFonts w:asciiTheme="majorHAnsi" w:eastAsiaTheme="majorEastAsia" w:hAnsiTheme="majorHAnsi" w:cstheme="majorBidi"/>
      <w:color w:val="2E74B5" w:themeColor="accent1" w:themeShade="BF"/>
      <w:sz w:val="26"/>
      <w:szCs w:val="26"/>
    </w:rPr>
  </w:style>
  <w:style w:type="character" w:customStyle="1" w:styleId="Heading3Char">
    <w:name w:val="Heading 3 Char"/>
    <w:basedOn w:val="DefaultParagraphFont"/>
    <w:link w:val="Heading3"/>
    <w:uiPriority w:val="9"/>
    <w:semiHidden/>
    <w:rsid w:val="00AA72C2"/>
    <w:rPr>
      <w:rFonts w:asciiTheme="majorHAnsi" w:eastAsiaTheme="majorEastAsia" w:hAnsiTheme="majorHAnsi" w:cstheme="majorBidi"/>
      <w:color w:val="1F4D78" w:themeColor="accent1" w:themeShade="7F"/>
      <w:sz w:val="24"/>
      <w:szCs w:val="24"/>
    </w:rPr>
  </w:style>
  <w:style w:type="character" w:customStyle="1" w:styleId="Heading4Char">
    <w:name w:val="Heading 4 Char"/>
    <w:basedOn w:val="DefaultParagraphFont"/>
    <w:link w:val="Heading4"/>
    <w:uiPriority w:val="9"/>
    <w:semiHidden/>
    <w:rsid w:val="00AA72C2"/>
    <w:rPr>
      <w:rFonts w:asciiTheme="majorHAnsi" w:eastAsiaTheme="majorEastAsia" w:hAnsiTheme="majorHAnsi" w:cstheme="majorBidi"/>
      <w:i/>
      <w:iCs/>
      <w:color w:val="2E74B5" w:themeColor="accent1" w:themeShade="BF"/>
    </w:rPr>
  </w:style>
  <w:style w:type="character" w:customStyle="1" w:styleId="Heading5Char">
    <w:name w:val="Heading 5 Char"/>
    <w:basedOn w:val="DefaultParagraphFont"/>
    <w:link w:val="Heading5"/>
    <w:uiPriority w:val="9"/>
    <w:semiHidden/>
    <w:rsid w:val="00AA72C2"/>
    <w:rPr>
      <w:rFonts w:asciiTheme="majorHAnsi" w:eastAsiaTheme="majorEastAsia" w:hAnsiTheme="majorHAnsi" w:cstheme="majorBidi"/>
      <w:color w:val="2E74B5" w:themeColor="accent1" w:themeShade="BF"/>
    </w:rPr>
  </w:style>
  <w:style w:type="character" w:customStyle="1" w:styleId="Heading6Char">
    <w:name w:val="Heading 6 Char"/>
    <w:basedOn w:val="DefaultParagraphFont"/>
    <w:link w:val="Heading6"/>
    <w:uiPriority w:val="9"/>
    <w:semiHidden/>
    <w:rsid w:val="00AA72C2"/>
    <w:rPr>
      <w:rFonts w:asciiTheme="majorHAnsi" w:eastAsiaTheme="majorEastAsia" w:hAnsiTheme="majorHAnsi" w:cstheme="majorBidi"/>
      <w:color w:val="1F4D78" w:themeColor="accent1" w:themeShade="7F"/>
    </w:rPr>
  </w:style>
  <w:style w:type="character" w:customStyle="1" w:styleId="Heading7Char">
    <w:name w:val="Heading 7 Char"/>
    <w:basedOn w:val="DefaultParagraphFont"/>
    <w:link w:val="Heading7"/>
    <w:uiPriority w:val="9"/>
    <w:semiHidden/>
    <w:rsid w:val="00AA72C2"/>
    <w:rPr>
      <w:rFonts w:asciiTheme="majorHAnsi" w:eastAsiaTheme="majorEastAsia" w:hAnsiTheme="majorHAnsi" w:cstheme="majorBidi"/>
      <w:i/>
      <w:iCs/>
      <w:color w:val="1F4D78" w:themeColor="accent1" w:themeShade="7F"/>
    </w:rPr>
  </w:style>
  <w:style w:type="character" w:customStyle="1" w:styleId="Heading8Char">
    <w:name w:val="Heading 8 Char"/>
    <w:basedOn w:val="DefaultParagraphFont"/>
    <w:link w:val="Heading8"/>
    <w:uiPriority w:val="9"/>
    <w:semiHidden/>
    <w:rsid w:val="00AA72C2"/>
    <w:rPr>
      <w:rFonts w:asciiTheme="majorHAnsi" w:eastAsiaTheme="majorEastAsia" w:hAnsiTheme="majorHAnsi" w:cstheme="majorBidi"/>
      <w:color w:val="272727" w:themeColor="text1" w:themeTint="D8"/>
      <w:sz w:val="21"/>
      <w:szCs w:val="21"/>
    </w:rPr>
  </w:style>
  <w:style w:type="character" w:customStyle="1" w:styleId="Heading9Char">
    <w:name w:val="Heading 9 Char"/>
    <w:basedOn w:val="DefaultParagraphFont"/>
    <w:link w:val="Heading9"/>
    <w:uiPriority w:val="9"/>
    <w:semiHidden/>
    <w:rsid w:val="00AA72C2"/>
    <w:rPr>
      <w:rFonts w:asciiTheme="majorHAnsi" w:eastAsiaTheme="majorEastAsia" w:hAnsiTheme="majorHAnsi" w:cstheme="majorBidi"/>
      <w:i/>
      <w:iCs/>
      <w:color w:val="272727" w:themeColor="text1" w:themeTint="D8"/>
      <w:sz w:val="21"/>
      <w:szCs w:val="21"/>
    </w:rPr>
  </w:style>
  <w:style w:type="paragraph" w:styleId="TOC1">
    <w:name w:val="toc 1"/>
    <w:basedOn w:val="Normal"/>
    <w:next w:val="Normal"/>
    <w:autoRedefine/>
    <w:uiPriority w:val="39"/>
    <w:unhideWhenUsed/>
    <w:rsid w:val="00AA72C2"/>
    <w:pPr>
      <w:spacing w:after="100"/>
    </w:pPr>
  </w:style>
  <w:style w:type="character" w:styleId="Hyperlink">
    <w:name w:val="Hyperlink"/>
    <w:basedOn w:val="DefaultParagraphFont"/>
    <w:uiPriority w:val="99"/>
    <w:unhideWhenUsed/>
    <w:rsid w:val="00AA72C2"/>
    <w:rPr>
      <w:color w:val="0563C1" w:themeColor="hyperlink"/>
      <w:u w:val="single"/>
    </w:rPr>
  </w:style>
  <w:style w:type="paragraph" w:styleId="TOC2">
    <w:name w:val="toc 2"/>
    <w:basedOn w:val="Normal"/>
    <w:next w:val="Normal"/>
    <w:autoRedefine/>
    <w:uiPriority w:val="39"/>
    <w:unhideWhenUsed/>
    <w:rsid w:val="008500D8"/>
    <w:pPr>
      <w:spacing w:after="100"/>
      <w:ind w:left="220"/>
    </w:pPr>
  </w:style>
  <w:style w:type="paragraph" w:styleId="Header">
    <w:name w:val="header"/>
    <w:basedOn w:val="Normal"/>
    <w:link w:val="HeaderChar"/>
    <w:uiPriority w:val="99"/>
    <w:unhideWhenUsed/>
    <w:rsid w:val="00E538E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538E7"/>
  </w:style>
  <w:style w:type="paragraph" w:styleId="Footer">
    <w:name w:val="footer"/>
    <w:basedOn w:val="Normal"/>
    <w:link w:val="FooterChar"/>
    <w:uiPriority w:val="99"/>
    <w:unhideWhenUsed/>
    <w:rsid w:val="00E538E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538E7"/>
  </w:style>
  <w:style w:type="paragraph" w:styleId="NormalWeb">
    <w:name w:val="Normal (Web)"/>
    <w:basedOn w:val="Normal"/>
    <w:uiPriority w:val="99"/>
    <w:semiHidden/>
    <w:unhideWhenUsed/>
    <w:rsid w:val="002135FE"/>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markedcontent">
    <w:name w:val="markedcontent"/>
    <w:basedOn w:val="DefaultParagraphFont"/>
    <w:rsid w:val="00CF3DB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84195118">
      <w:bodyDiv w:val="1"/>
      <w:marLeft w:val="0"/>
      <w:marRight w:val="0"/>
      <w:marTop w:val="0"/>
      <w:marBottom w:val="0"/>
      <w:divBdr>
        <w:top w:val="none" w:sz="0" w:space="0" w:color="auto"/>
        <w:left w:val="none" w:sz="0" w:space="0" w:color="auto"/>
        <w:bottom w:val="none" w:sz="0" w:space="0" w:color="auto"/>
        <w:right w:val="none" w:sz="0" w:space="0" w:color="auto"/>
      </w:divBdr>
    </w:div>
    <w:div w:id="327949884">
      <w:bodyDiv w:val="1"/>
      <w:marLeft w:val="0"/>
      <w:marRight w:val="0"/>
      <w:marTop w:val="0"/>
      <w:marBottom w:val="0"/>
      <w:divBdr>
        <w:top w:val="none" w:sz="0" w:space="0" w:color="auto"/>
        <w:left w:val="none" w:sz="0" w:space="0" w:color="auto"/>
        <w:bottom w:val="none" w:sz="0" w:space="0" w:color="auto"/>
        <w:right w:val="none" w:sz="0" w:space="0" w:color="auto"/>
      </w:divBdr>
    </w:div>
    <w:div w:id="1641153605">
      <w:bodyDiv w:val="1"/>
      <w:marLeft w:val="0"/>
      <w:marRight w:val="0"/>
      <w:marTop w:val="0"/>
      <w:marBottom w:val="0"/>
      <w:divBdr>
        <w:top w:val="none" w:sz="0" w:space="0" w:color="auto"/>
        <w:left w:val="none" w:sz="0" w:space="0" w:color="auto"/>
        <w:bottom w:val="none" w:sz="0" w:space="0" w:color="auto"/>
        <w:right w:val="none" w:sz="0" w:space="0" w:color="auto"/>
      </w:divBdr>
      <w:divsChild>
        <w:div w:id="393359417">
          <w:marLeft w:val="0"/>
          <w:marRight w:val="0"/>
          <w:marTop w:val="0"/>
          <w:marBottom w:val="120"/>
          <w:divBdr>
            <w:top w:val="none" w:sz="0" w:space="0" w:color="auto"/>
            <w:left w:val="none" w:sz="0" w:space="0" w:color="auto"/>
            <w:bottom w:val="none" w:sz="0" w:space="0" w:color="auto"/>
            <w:right w:val="none" w:sz="0" w:space="0" w:color="auto"/>
          </w:divBdr>
          <w:divsChild>
            <w:div w:id="1827934630">
              <w:marLeft w:val="0"/>
              <w:marRight w:val="0"/>
              <w:marTop w:val="585"/>
              <w:marBottom w:val="0"/>
              <w:divBdr>
                <w:top w:val="none" w:sz="0" w:space="0" w:color="auto"/>
                <w:left w:val="single" w:sz="48" w:space="0" w:color="B27F12"/>
                <w:bottom w:val="none" w:sz="0" w:space="0" w:color="auto"/>
                <w:right w:val="none" w:sz="0" w:space="0" w:color="auto"/>
              </w:divBdr>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supremecourt.uk/procedures/index.html" TargetMode="Externa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yperlink" Target="https://www.parliament.uk/business/lords/media-centre/house-of-lords-media-notices/2012/march-2012/a-more-diverse-judiciary-would-increase-confidence-in-the-justice-system-say-lords-constitution-committee-/" TargetMode="External"/><Relationship Id="rId4" Type="http://schemas.openxmlformats.org/officeDocument/2006/relationships/settings" Target="settings.xml"/><Relationship Id="rId9" Type="http://schemas.openxmlformats.org/officeDocument/2006/relationships/hyperlink" Target="https://www.supremecourt.uk/news/selection-process-for-supreme-court-justice-launched-2020.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17D9C6C-600C-4763-8183-67E4C1B453A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TotalTime>
  <Pages>10</Pages>
  <Words>1811</Words>
  <Characters>10326</Characters>
  <Application>Microsoft Office Word</Application>
  <DocSecurity>0</DocSecurity>
  <Lines>86</Lines>
  <Paragraphs>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12113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abc</dc:creator>
  <cp:keywords/>
  <dc:description/>
  <cp:lastModifiedBy>George-Adrian Girbea</cp:lastModifiedBy>
  <cp:revision>3</cp:revision>
  <dcterms:created xsi:type="dcterms:W3CDTF">2022-05-30T13:55:00Z</dcterms:created>
  <dcterms:modified xsi:type="dcterms:W3CDTF">2022-06-16T19:18:00Z</dcterms:modified>
</cp:coreProperties>
</file>