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54DF" w:rsidRDefault="004454DF" w:rsidP="004454DF">
      <w:pPr>
        <w:pStyle w:val="SMUNORMALARIAL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>QUESTION ONE</w:t>
      </w:r>
    </w:p>
    <w:p w:rsidR="004454DF" w:rsidRDefault="004454DF" w:rsidP="004454DF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:rsidR="004454DF" w:rsidRDefault="0098142B" w:rsidP="004454DF">
      <w:pPr>
        <w:pStyle w:val="SMUNORMALARIAL"/>
        <w:numPr>
          <w:ilvl w:val="0"/>
          <w:numId w:val="1"/>
        </w:numPr>
        <w:ind w:left="36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Delta Co expects to receive </w:t>
      </w:r>
      <w:r w:rsidR="004454DF">
        <w:rPr>
          <w:rFonts w:ascii="Times New Roman" w:hAnsi="Times New Roman"/>
          <w:sz w:val="24"/>
        </w:rPr>
        <w:t>900,000</w:t>
      </w:r>
      <w:r>
        <w:rPr>
          <w:rFonts w:ascii="Times New Roman" w:hAnsi="Times New Roman"/>
          <w:sz w:val="24"/>
        </w:rPr>
        <w:t xml:space="preserve"> Euros</w:t>
      </w:r>
      <w:bookmarkStart w:id="0" w:name="_GoBack"/>
      <w:bookmarkEnd w:id="0"/>
      <w:r w:rsidR="004454DF">
        <w:rPr>
          <w:rFonts w:ascii="Times New Roman" w:hAnsi="Times New Roman"/>
          <w:sz w:val="24"/>
        </w:rPr>
        <w:t xml:space="preserve"> from a credit customer in the European Union in six months’ time.  The spot exchange rate is €2,345 per $1 and the six-month forward rate is €2.410 per $1.  The following commercial interest rates are available to Delta Co.</w:t>
      </w:r>
    </w:p>
    <w:p w:rsidR="004454DF" w:rsidRDefault="004454DF" w:rsidP="004454DF">
      <w:pPr>
        <w:pStyle w:val="SMUNORMALARIAL"/>
        <w:rPr>
          <w:rFonts w:ascii="Times New Roman" w:hAnsi="Times New Roman"/>
          <w:sz w:val="24"/>
        </w:rPr>
      </w:pPr>
    </w:p>
    <w:p w:rsidR="004454DF" w:rsidRDefault="004454DF" w:rsidP="004454DF">
      <w:pPr>
        <w:pStyle w:val="SMUNORMALARIAL"/>
        <w:ind w:left="1800" w:firstLine="360"/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sz w:val="24"/>
        </w:rPr>
        <w:t>Deposit rate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b/>
          <w:sz w:val="24"/>
        </w:rPr>
        <w:t>Borrow rate</w:t>
      </w:r>
    </w:p>
    <w:p w:rsidR="004454DF" w:rsidRDefault="004454DF" w:rsidP="004454DF">
      <w:pPr>
        <w:pStyle w:val="SMUNORMALARIAL"/>
        <w:ind w:left="36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Euros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>2.0% per year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>6.0% per year</w:t>
      </w:r>
    </w:p>
    <w:p w:rsidR="004454DF" w:rsidRDefault="004454DF" w:rsidP="004454DF">
      <w:pPr>
        <w:pStyle w:val="SMUNORMALARIAL"/>
        <w:ind w:left="36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Dollars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>1.0% per year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  <w:t>3.0% per year</w:t>
      </w:r>
    </w:p>
    <w:p w:rsidR="004454DF" w:rsidRDefault="004454DF" w:rsidP="004454DF">
      <w:pPr>
        <w:pStyle w:val="SMUNORMALARIAL"/>
        <w:rPr>
          <w:rFonts w:ascii="Times New Roman" w:hAnsi="Times New Roman"/>
          <w:sz w:val="24"/>
        </w:rPr>
      </w:pPr>
    </w:p>
    <w:p w:rsidR="004454DF" w:rsidRDefault="004454DF" w:rsidP="004454DF">
      <w:pPr>
        <w:pStyle w:val="SMUNORMALARIAL"/>
        <w:ind w:left="36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Delta Co does not have any surplus cash to use in hedging the future euro receipt.</w:t>
      </w:r>
    </w:p>
    <w:p w:rsidR="004454DF" w:rsidRDefault="004454DF" w:rsidP="004454DF">
      <w:pPr>
        <w:pStyle w:val="SMUNORMALARIAL"/>
        <w:ind w:left="-360" w:firstLine="720"/>
        <w:rPr>
          <w:rFonts w:ascii="Times New Roman" w:hAnsi="Times New Roman"/>
          <w:sz w:val="24"/>
        </w:rPr>
      </w:pPr>
    </w:p>
    <w:p w:rsidR="004454DF" w:rsidRDefault="004454DF" w:rsidP="004454DF">
      <w:pPr>
        <w:pStyle w:val="ListParagraph"/>
        <w:autoSpaceDE w:val="0"/>
        <w:autoSpaceDN w:val="0"/>
        <w:adjustRightInd w:val="0"/>
        <w:ind w:left="360"/>
        <w:rPr>
          <w:b/>
          <w:bCs/>
        </w:rPr>
      </w:pPr>
      <w:r>
        <w:rPr>
          <w:b/>
          <w:bCs/>
        </w:rPr>
        <w:t>Required</w:t>
      </w:r>
    </w:p>
    <w:p w:rsidR="004454DF" w:rsidRDefault="004454DF" w:rsidP="004454DF">
      <w:pPr>
        <w:pStyle w:val="ListParagraph"/>
        <w:autoSpaceDE w:val="0"/>
        <w:autoSpaceDN w:val="0"/>
        <w:adjustRightInd w:val="0"/>
        <w:ind w:left="360"/>
        <w:rPr>
          <w:b/>
          <w:bCs/>
        </w:rPr>
      </w:pPr>
    </w:p>
    <w:p w:rsidR="004454DF" w:rsidRDefault="004454DF" w:rsidP="004454DF">
      <w:pPr>
        <w:pStyle w:val="ListParagraph"/>
        <w:numPr>
          <w:ilvl w:val="0"/>
          <w:numId w:val="2"/>
        </w:numPr>
        <w:autoSpaceDE w:val="0"/>
        <w:autoSpaceDN w:val="0"/>
        <w:adjustRightInd w:val="0"/>
        <w:rPr>
          <w:b/>
          <w:bCs/>
        </w:rPr>
      </w:pPr>
      <w:r>
        <w:rPr>
          <w:b/>
          <w:bCs/>
        </w:rPr>
        <w:t>Evaluate whether a money market hedge or a forward market hedge would be preferred on financial grounds by Delta Co.</w:t>
      </w:r>
      <w:r>
        <w:rPr>
          <w:b/>
          <w:bCs/>
        </w:rPr>
        <w:br/>
        <w:t xml:space="preserve">  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br/>
      </w:r>
    </w:p>
    <w:p w:rsidR="004454DF" w:rsidRDefault="004454DF" w:rsidP="004454DF">
      <w:pPr>
        <w:pStyle w:val="ListParagraph"/>
        <w:numPr>
          <w:ilvl w:val="0"/>
          <w:numId w:val="2"/>
        </w:numPr>
        <w:autoSpaceDE w:val="0"/>
        <w:autoSpaceDN w:val="0"/>
        <w:adjustRightInd w:val="0"/>
        <w:rPr>
          <w:b/>
          <w:bCs/>
        </w:rPr>
      </w:pPr>
      <w:r>
        <w:rPr>
          <w:b/>
          <w:bCs/>
        </w:rPr>
        <w:t>Evaluate the alternative hedging techniques that are available to Delta Co</w:t>
      </w:r>
      <w:r>
        <w:rPr>
          <w:b/>
          <w:bCs/>
        </w:rPr>
        <w:br/>
        <w:t xml:space="preserve"> 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</w:p>
    <w:p w:rsidR="004454DF" w:rsidRDefault="004454DF" w:rsidP="004454DF">
      <w:pPr>
        <w:autoSpaceDE w:val="0"/>
        <w:autoSpaceDN w:val="0"/>
        <w:adjustRightInd w:val="0"/>
        <w:rPr>
          <w:b/>
          <w:bCs/>
        </w:rPr>
      </w:pPr>
    </w:p>
    <w:p w:rsidR="004454DF" w:rsidRDefault="004454DF" w:rsidP="004454DF">
      <w:pPr>
        <w:autoSpaceDE w:val="0"/>
        <w:autoSpaceDN w:val="0"/>
        <w:adjustRightInd w:val="0"/>
        <w:rPr>
          <w:b/>
          <w:bCs/>
        </w:rPr>
      </w:pPr>
    </w:p>
    <w:p w:rsidR="004454DF" w:rsidRDefault="004454DF" w:rsidP="004454DF">
      <w:pPr>
        <w:pStyle w:val="ListParagraph"/>
        <w:numPr>
          <w:ilvl w:val="0"/>
          <w:numId w:val="1"/>
        </w:numPr>
        <w:autoSpaceDE w:val="0"/>
        <w:autoSpaceDN w:val="0"/>
        <w:adjustRightInd w:val="0"/>
        <w:ind w:left="426" w:hanging="426"/>
        <w:rPr>
          <w:bCs/>
        </w:rPr>
      </w:pPr>
      <w:r>
        <w:rPr>
          <w:bCs/>
        </w:rPr>
        <w:t>Omega Co whose home currency is the dollar, trades regularly with customers in a number of different countries.  The company expects to receive €1,200,000 in six months’ time from a foreign customer.  Current exchange rates in the home country of Omega Co are as follows:</w:t>
      </w:r>
      <w:r>
        <w:rPr>
          <w:bCs/>
        </w:rPr>
        <w:br/>
      </w:r>
      <w:r>
        <w:rPr>
          <w:bCs/>
        </w:rPr>
        <w:br/>
        <w:t>Spot exchange rate:</w:t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  <w:t>4.1720 - 4.2020 euros per $</w:t>
      </w:r>
    </w:p>
    <w:p w:rsidR="004454DF" w:rsidRDefault="004454DF" w:rsidP="004454DF">
      <w:pPr>
        <w:pStyle w:val="ListParagraph"/>
        <w:autoSpaceDE w:val="0"/>
        <w:autoSpaceDN w:val="0"/>
        <w:adjustRightInd w:val="0"/>
        <w:ind w:left="426"/>
        <w:rPr>
          <w:bCs/>
        </w:rPr>
      </w:pPr>
      <w:r>
        <w:rPr>
          <w:bCs/>
        </w:rPr>
        <w:t>Six-month forward exchange rate:</w:t>
      </w:r>
      <w:r>
        <w:rPr>
          <w:bCs/>
        </w:rPr>
        <w:tab/>
        <w:t>4.1300 - 4.1600 euros per $</w:t>
      </w:r>
    </w:p>
    <w:p w:rsidR="004454DF" w:rsidRDefault="004454DF" w:rsidP="004454DF">
      <w:pPr>
        <w:pStyle w:val="ListParagraph"/>
        <w:autoSpaceDE w:val="0"/>
        <w:autoSpaceDN w:val="0"/>
        <w:adjustRightInd w:val="0"/>
        <w:ind w:left="426"/>
        <w:rPr>
          <w:bCs/>
        </w:rPr>
      </w:pPr>
      <w:r>
        <w:rPr>
          <w:bCs/>
        </w:rPr>
        <w:t>Twelve-month forward exchange rate:</w:t>
      </w:r>
      <w:r>
        <w:rPr>
          <w:bCs/>
        </w:rPr>
        <w:tab/>
        <w:t>4.2025 – 4.2810 euros per $</w:t>
      </w:r>
      <w:r>
        <w:rPr>
          <w:bCs/>
        </w:rPr>
        <w:br/>
      </w:r>
    </w:p>
    <w:p w:rsidR="004454DF" w:rsidRDefault="004454DF" w:rsidP="004454DF">
      <w:pPr>
        <w:pStyle w:val="ListParagraph"/>
        <w:autoSpaceDE w:val="0"/>
        <w:autoSpaceDN w:val="0"/>
        <w:adjustRightInd w:val="0"/>
        <w:ind w:left="426"/>
        <w:rPr>
          <w:b/>
          <w:bCs/>
        </w:rPr>
      </w:pPr>
      <w:r>
        <w:rPr>
          <w:b/>
          <w:bCs/>
        </w:rPr>
        <w:t>Required</w:t>
      </w:r>
      <w:r>
        <w:rPr>
          <w:b/>
          <w:bCs/>
        </w:rPr>
        <w:br/>
      </w:r>
    </w:p>
    <w:p w:rsidR="004454DF" w:rsidRDefault="004454DF" w:rsidP="004454DF">
      <w:pPr>
        <w:pStyle w:val="ListParagraph"/>
        <w:numPr>
          <w:ilvl w:val="0"/>
          <w:numId w:val="3"/>
        </w:numPr>
        <w:autoSpaceDE w:val="0"/>
        <w:autoSpaceDN w:val="0"/>
        <w:adjustRightInd w:val="0"/>
        <w:ind w:left="1080"/>
        <w:rPr>
          <w:b/>
          <w:bCs/>
        </w:rPr>
      </w:pPr>
      <w:r>
        <w:rPr>
          <w:b/>
          <w:bCs/>
        </w:rPr>
        <w:t>Calculate the loss or gain compared to its current dollar value which Omega Co will incur by taking out a forward exchange contract on the future euro receipt, and explain why taking out a forward exchange contract may be preferred by Omega Co.</w:t>
      </w:r>
      <w:r>
        <w:rPr>
          <w:b/>
          <w:bCs/>
        </w:rPr>
        <w:br/>
        <w:t xml:space="preserve"> 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br/>
      </w:r>
    </w:p>
    <w:p w:rsidR="004454DF" w:rsidRDefault="004454DF" w:rsidP="004454DF">
      <w:pPr>
        <w:pStyle w:val="ListParagraph"/>
        <w:numPr>
          <w:ilvl w:val="0"/>
          <w:numId w:val="3"/>
        </w:numPr>
        <w:autoSpaceDE w:val="0"/>
        <w:autoSpaceDN w:val="0"/>
        <w:adjustRightInd w:val="0"/>
        <w:ind w:left="1080"/>
        <w:rPr>
          <w:b/>
          <w:bCs/>
        </w:rPr>
      </w:pPr>
      <w:r>
        <w:rPr>
          <w:b/>
          <w:bCs/>
        </w:rPr>
        <w:t xml:space="preserve">Discuss and evaluate how the International Fisher effect will </w:t>
      </w:r>
      <w:proofErr w:type="spellStart"/>
      <w:r>
        <w:rPr>
          <w:b/>
          <w:bCs/>
        </w:rPr>
        <w:t>effect</w:t>
      </w:r>
      <w:proofErr w:type="spellEnd"/>
      <w:r>
        <w:rPr>
          <w:b/>
          <w:bCs/>
        </w:rPr>
        <w:t xml:space="preserve"> the calculation of exchange rates</w:t>
      </w:r>
    </w:p>
    <w:p w:rsidR="004454DF" w:rsidRDefault="004454DF" w:rsidP="004454DF">
      <w:pPr>
        <w:autoSpaceDE w:val="0"/>
        <w:autoSpaceDN w:val="0"/>
        <w:adjustRightInd w:val="0"/>
        <w:ind w:left="294"/>
        <w:rPr>
          <w:b/>
          <w:bCs/>
        </w:rPr>
      </w:pPr>
      <w:r>
        <w:rPr>
          <w:b/>
          <w:bCs/>
        </w:rPr>
        <w:t xml:space="preserve">                                          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 xml:space="preserve">           </w:t>
      </w:r>
    </w:p>
    <w:p w:rsidR="004454DF" w:rsidRDefault="004454DF" w:rsidP="004454DF">
      <w:pPr>
        <w:autoSpaceDE w:val="0"/>
        <w:autoSpaceDN w:val="0"/>
        <w:adjustRightInd w:val="0"/>
        <w:rPr>
          <w:bCs/>
        </w:rPr>
      </w:pPr>
      <w:r>
        <w:rPr>
          <w:bCs/>
        </w:rPr>
        <w:tab/>
      </w:r>
    </w:p>
    <w:p w:rsidR="004454DF" w:rsidRDefault="004454DF" w:rsidP="004454DF">
      <w:pPr>
        <w:autoSpaceDE w:val="0"/>
        <w:autoSpaceDN w:val="0"/>
        <w:adjustRightInd w:val="0"/>
        <w:rPr>
          <w:bCs/>
        </w:rPr>
      </w:pPr>
    </w:p>
    <w:p w:rsidR="004454DF" w:rsidRDefault="004454DF" w:rsidP="004454DF">
      <w:pPr>
        <w:autoSpaceDE w:val="0"/>
        <w:autoSpaceDN w:val="0"/>
        <w:adjustRightInd w:val="0"/>
        <w:rPr>
          <w:bCs/>
        </w:rPr>
      </w:pPr>
    </w:p>
    <w:p w:rsidR="004454DF" w:rsidRDefault="004454DF" w:rsidP="004454DF">
      <w:pPr>
        <w:autoSpaceDE w:val="0"/>
        <w:autoSpaceDN w:val="0"/>
        <w:adjustRightInd w:val="0"/>
        <w:rPr>
          <w:bCs/>
        </w:rPr>
      </w:pPr>
    </w:p>
    <w:p w:rsidR="004454DF" w:rsidRDefault="004454DF" w:rsidP="004454DF">
      <w:pPr>
        <w:autoSpaceDE w:val="0"/>
        <w:autoSpaceDN w:val="0"/>
        <w:adjustRightInd w:val="0"/>
        <w:rPr>
          <w:b/>
          <w:bCs/>
        </w:rPr>
      </w:pP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</w:r>
      <w:r>
        <w:rPr>
          <w:bCs/>
        </w:rPr>
        <w:tab/>
        <w:t xml:space="preserve">       </w:t>
      </w:r>
    </w:p>
    <w:p w:rsidR="00837E0E" w:rsidRDefault="00837E0E"/>
    <w:sectPr w:rsidR="00837E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D6A6895"/>
    <w:multiLevelType w:val="hybridMultilevel"/>
    <w:tmpl w:val="A6E2A2D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C26CE1"/>
    <w:multiLevelType w:val="hybridMultilevel"/>
    <w:tmpl w:val="A296E418"/>
    <w:lvl w:ilvl="0" w:tplc="0809001B">
      <w:start w:val="1"/>
      <w:numFmt w:val="lowerRoman"/>
      <w:lvlText w:val="%1."/>
      <w:lvlJc w:val="right"/>
      <w:pPr>
        <w:ind w:left="786" w:hanging="360"/>
      </w:pPr>
    </w:lvl>
    <w:lvl w:ilvl="1" w:tplc="08090019">
      <w:start w:val="1"/>
      <w:numFmt w:val="lowerLetter"/>
      <w:lvlText w:val="%2."/>
      <w:lvlJc w:val="left"/>
      <w:pPr>
        <w:ind w:left="1506" w:hanging="360"/>
      </w:pPr>
    </w:lvl>
    <w:lvl w:ilvl="2" w:tplc="0809001B">
      <w:start w:val="1"/>
      <w:numFmt w:val="lowerRoman"/>
      <w:lvlText w:val="%3."/>
      <w:lvlJc w:val="right"/>
      <w:pPr>
        <w:ind w:left="2226" w:hanging="180"/>
      </w:pPr>
    </w:lvl>
    <w:lvl w:ilvl="3" w:tplc="0809000F">
      <w:start w:val="1"/>
      <w:numFmt w:val="decimal"/>
      <w:lvlText w:val="%4."/>
      <w:lvlJc w:val="left"/>
      <w:pPr>
        <w:ind w:left="2946" w:hanging="360"/>
      </w:pPr>
    </w:lvl>
    <w:lvl w:ilvl="4" w:tplc="08090019">
      <w:start w:val="1"/>
      <w:numFmt w:val="lowerLetter"/>
      <w:lvlText w:val="%5."/>
      <w:lvlJc w:val="left"/>
      <w:pPr>
        <w:ind w:left="3666" w:hanging="360"/>
      </w:pPr>
    </w:lvl>
    <w:lvl w:ilvl="5" w:tplc="0809001B">
      <w:start w:val="1"/>
      <w:numFmt w:val="lowerRoman"/>
      <w:lvlText w:val="%6."/>
      <w:lvlJc w:val="right"/>
      <w:pPr>
        <w:ind w:left="4386" w:hanging="180"/>
      </w:pPr>
    </w:lvl>
    <w:lvl w:ilvl="6" w:tplc="0809000F">
      <w:start w:val="1"/>
      <w:numFmt w:val="decimal"/>
      <w:lvlText w:val="%7."/>
      <w:lvlJc w:val="left"/>
      <w:pPr>
        <w:ind w:left="5106" w:hanging="360"/>
      </w:pPr>
    </w:lvl>
    <w:lvl w:ilvl="7" w:tplc="08090019">
      <w:start w:val="1"/>
      <w:numFmt w:val="lowerLetter"/>
      <w:lvlText w:val="%8."/>
      <w:lvlJc w:val="left"/>
      <w:pPr>
        <w:ind w:left="5826" w:hanging="360"/>
      </w:pPr>
    </w:lvl>
    <w:lvl w:ilvl="8" w:tplc="0809001B">
      <w:start w:val="1"/>
      <w:numFmt w:val="lowerRoman"/>
      <w:lvlText w:val="%9."/>
      <w:lvlJc w:val="right"/>
      <w:pPr>
        <w:ind w:left="6546" w:hanging="180"/>
      </w:pPr>
    </w:lvl>
  </w:abstractNum>
  <w:abstractNum w:abstractNumId="2" w15:restartNumberingAfterBreak="0">
    <w:nsid w:val="77E73D57"/>
    <w:multiLevelType w:val="hybridMultilevel"/>
    <w:tmpl w:val="2DFC8BE8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54DF"/>
    <w:rsid w:val="004454DF"/>
    <w:rsid w:val="0078677A"/>
    <w:rsid w:val="00807E59"/>
    <w:rsid w:val="00837E0E"/>
    <w:rsid w:val="00906E38"/>
    <w:rsid w:val="0098142B"/>
    <w:rsid w:val="00CC5DB8"/>
    <w:rsid w:val="00DA5687"/>
    <w:rsid w:val="00FA7F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B8425"/>
  <w15:chartTrackingRefBased/>
  <w15:docId w15:val="{87D25CBD-7A2D-4AE4-B549-D654E887F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454DF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54DF"/>
    <w:pPr>
      <w:ind w:left="720"/>
      <w:contextualSpacing/>
    </w:pPr>
    <w:rPr>
      <w:szCs w:val="24"/>
    </w:rPr>
  </w:style>
  <w:style w:type="paragraph" w:customStyle="1" w:styleId="SMUNORMALARIAL">
    <w:name w:val="SMU NORMAL ARIAL"/>
    <w:basedOn w:val="Normal"/>
    <w:rsid w:val="004454DF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1340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238</Words>
  <Characters>1359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2</cp:revision>
  <cp:lastPrinted>2019-11-28T14:50:00Z</cp:lastPrinted>
  <dcterms:created xsi:type="dcterms:W3CDTF">2019-11-28T14:50:00Z</dcterms:created>
  <dcterms:modified xsi:type="dcterms:W3CDTF">2019-11-29T13:43:00Z</dcterms:modified>
</cp:coreProperties>
</file>