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519645" w14:textId="77777777" w:rsidR="00A15058" w:rsidRPr="00A15058" w:rsidRDefault="00A15058" w:rsidP="00A15058">
      <w:pPr>
        <w:spacing w:line="360" w:lineRule="auto"/>
        <w:jc w:val="center"/>
        <w:rPr>
          <w:rFonts w:ascii="Arial" w:hAnsi="Arial" w:cs="Arial"/>
          <w:b/>
          <w:lang w:val="en-GB"/>
        </w:rPr>
      </w:pPr>
      <w:r w:rsidRPr="00A15058">
        <w:rPr>
          <w:rFonts w:ascii="Arial" w:hAnsi="Arial" w:cs="Arial"/>
          <w:noProof/>
        </w:rPr>
        <w:drawing>
          <wp:inline distT="0" distB="0" distL="0" distR="0" wp14:anchorId="1997AB6C" wp14:editId="6A980C7F">
            <wp:extent cx="2491740" cy="975360"/>
            <wp:effectExtent l="0" t="0" r="381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491740" cy="975360"/>
                    </a:xfrm>
                    <a:prstGeom prst="rect">
                      <a:avLst/>
                    </a:prstGeom>
                    <a:noFill/>
                    <a:ln>
                      <a:noFill/>
                    </a:ln>
                  </pic:spPr>
                </pic:pic>
              </a:graphicData>
            </a:graphic>
          </wp:inline>
        </w:drawing>
      </w:r>
    </w:p>
    <w:p w14:paraId="02FE8AF2" w14:textId="77777777" w:rsidR="00A15058" w:rsidRPr="00A15058" w:rsidRDefault="00A15058" w:rsidP="00A15058">
      <w:pPr>
        <w:spacing w:line="360" w:lineRule="auto"/>
        <w:jc w:val="center"/>
        <w:rPr>
          <w:rFonts w:ascii="Arial" w:hAnsi="Arial" w:cs="Arial"/>
          <w:b/>
          <w:lang w:val="en-GB"/>
        </w:rPr>
      </w:pPr>
      <w:r w:rsidRPr="00A15058">
        <w:rPr>
          <w:rFonts w:ascii="Arial" w:hAnsi="Arial" w:cs="Arial"/>
          <w:b/>
          <w:lang w:val="en-GB"/>
        </w:rPr>
        <w:t>Prepared By</w:t>
      </w:r>
    </w:p>
    <w:p w14:paraId="7A250A07" w14:textId="77777777" w:rsidR="00A15058" w:rsidRPr="00A15058" w:rsidRDefault="00A15058" w:rsidP="00A15058">
      <w:pPr>
        <w:spacing w:line="360" w:lineRule="auto"/>
        <w:jc w:val="center"/>
        <w:rPr>
          <w:rFonts w:ascii="Arial" w:hAnsi="Arial" w:cs="Arial"/>
          <w:b/>
          <w:lang w:val="en-GB"/>
        </w:rPr>
      </w:pPr>
      <w:r w:rsidRPr="00A15058">
        <w:rPr>
          <w:rFonts w:ascii="Arial" w:hAnsi="Arial" w:cs="Arial"/>
          <w:b/>
          <w:lang w:val="en-GB"/>
        </w:rPr>
        <w:t>Fazle Rabby Nahi</w:t>
      </w:r>
    </w:p>
    <w:p w14:paraId="79FE9D83" w14:textId="77777777" w:rsidR="00A15058" w:rsidRPr="00A15058" w:rsidRDefault="00A15058" w:rsidP="00A15058">
      <w:pPr>
        <w:spacing w:line="360" w:lineRule="auto"/>
        <w:jc w:val="center"/>
        <w:rPr>
          <w:rFonts w:ascii="Arial" w:hAnsi="Arial" w:cs="Arial"/>
          <w:b/>
          <w:lang w:val="en-GB"/>
        </w:rPr>
      </w:pPr>
      <w:r w:rsidRPr="00A15058">
        <w:rPr>
          <w:rFonts w:ascii="Arial" w:hAnsi="Arial" w:cs="Arial"/>
          <w:b/>
          <w:lang w:val="en-GB"/>
        </w:rPr>
        <w:t>Student ID: 2515592</w:t>
      </w:r>
    </w:p>
    <w:p w14:paraId="37ED9BCF" w14:textId="77777777" w:rsidR="00A15058" w:rsidRPr="00A15058" w:rsidRDefault="00A15058" w:rsidP="00A15058">
      <w:pPr>
        <w:spacing w:line="360" w:lineRule="auto"/>
        <w:jc w:val="center"/>
        <w:rPr>
          <w:rFonts w:ascii="Arial" w:hAnsi="Arial" w:cs="Arial"/>
          <w:b/>
          <w:bCs/>
          <w:lang w:val="en-GB"/>
        </w:rPr>
      </w:pPr>
    </w:p>
    <w:p w14:paraId="317F195C" w14:textId="77777777" w:rsidR="00A15058" w:rsidRPr="00A15058" w:rsidRDefault="00A15058" w:rsidP="00A15058">
      <w:pPr>
        <w:spacing w:line="360" w:lineRule="auto"/>
        <w:jc w:val="center"/>
        <w:rPr>
          <w:rFonts w:ascii="Arial" w:hAnsi="Arial" w:cs="Arial"/>
          <w:b/>
          <w:bCs/>
        </w:rPr>
      </w:pPr>
      <w:r w:rsidRPr="00A15058">
        <w:rPr>
          <w:rFonts w:ascii="Arial" w:hAnsi="Arial" w:cs="Arial"/>
          <w:b/>
          <w:bCs/>
        </w:rPr>
        <w:t>Master of Business Administration</w:t>
      </w:r>
    </w:p>
    <w:p w14:paraId="11D45B9A" w14:textId="316AB29E" w:rsidR="00A15058" w:rsidRPr="00A15058" w:rsidRDefault="00A15058" w:rsidP="00A15058">
      <w:pPr>
        <w:spacing w:line="360" w:lineRule="auto"/>
        <w:jc w:val="center"/>
        <w:rPr>
          <w:rFonts w:ascii="Arial" w:hAnsi="Arial" w:cs="Arial"/>
          <w:b/>
          <w:bCs/>
        </w:rPr>
      </w:pPr>
      <w:r w:rsidRPr="00A15058">
        <w:rPr>
          <w:rFonts w:ascii="Arial" w:hAnsi="Arial" w:cs="Arial"/>
          <w:b/>
        </w:rPr>
        <w:t>Lecturer Name</w:t>
      </w:r>
      <w:r w:rsidRPr="00A15058">
        <w:rPr>
          <w:rFonts w:ascii="Arial" w:hAnsi="Arial" w:cs="Arial"/>
          <w:b/>
          <w:lang w:val="en-GB"/>
        </w:rPr>
        <w:t xml:space="preserve">: </w:t>
      </w:r>
      <w:r w:rsidRPr="00A15058">
        <w:rPr>
          <w:rFonts w:ascii="Arial" w:hAnsi="Arial" w:cs="Arial"/>
          <w:b/>
        </w:rPr>
        <w:t xml:space="preserve">Masud Ibrahim and </w:t>
      </w:r>
      <w:r w:rsidRPr="00A15058">
        <w:rPr>
          <w:rFonts w:ascii="Arial" w:hAnsi="Arial" w:cs="Arial"/>
          <w:b/>
          <w:bCs/>
        </w:rPr>
        <w:t>Vasilios Tavlaridis</w:t>
      </w:r>
    </w:p>
    <w:p w14:paraId="438C2338" w14:textId="7F3045C2" w:rsidR="00A15058" w:rsidRPr="00A15058" w:rsidRDefault="00A15058" w:rsidP="00A15058">
      <w:pPr>
        <w:spacing w:line="360" w:lineRule="auto"/>
        <w:jc w:val="center"/>
        <w:rPr>
          <w:rFonts w:ascii="Arial" w:hAnsi="Arial" w:cs="Arial"/>
          <w:b/>
        </w:rPr>
      </w:pPr>
      <w:r w:rsidRPr="00A15058">
        <w:rPr>
          <w:rFonts w:ascii="Arial" w:hAnsi="Arial" w:cs="Arial"/>
          <w:b/>
          <w:bCs/>
        </w:rPr>
        <w:t>Supervisor: Mazen Joureih</w:t>
      </w:r>
    </w:p>
    <w:p w14:paraId="3F38EAE7" w14:textId="5C240A5C" w:rsidR="00A15058" w:rsidRPr="00A15058" w:rsidRDefault="00A15058" w:rsidP="00A15058">
      <w:pPr>
        <w:spacing w:line="360" w:lineRule="auto"/>
        <w:jc w:val="center"/>
        <w:rPr>
          <w:rFonts w:ascii="Arial" w:hAnsi="Arial" w:cs="Arial"/>
          <w:b/>
          <w:bCs/>
          <w:lang w:val="en-GB"/>
        </w:rPr>
      </w:pPr>
      <w:r w:rsidRPr="00A15058">
        <w:rPr>
          <w:rFonts w:ascii="Arial" w:hAnsi="Arial" w:cs="Arial"/>
          <w:b/>
          <w:bCs/>
        </w:rPr>
        <w:t>Module: Dissertation</w:t>
      </w:r>
      <w:r w:rsidR="0038352A">
        <w:rPr>
          <w:rFonts w:ascii="Arial" w:hAnsi="Arial" w:cs="Arial"/>
          <w:b/>
          <w:bCs/>
        </w:rPr>
        <w:t xml:space="preserve"> – Research Proposal</w:t>
      </w:r>
    </w:p>
    <w:p w14:paraId="059879E9" w14:textId="27849FA3" w:rsidR="00A15058" w:rsidRPr="00A15058" w:rsidRDefault="00A15058" w:rsidP="00A15058">
      <w:pPr>
        <w:spacing w:line="360" w:lineRule="auto"/>
        <w:jc w:val="center"/>
        <w:rPr>
          <w:rFonts w:ascii="Arial" w:hAnsi="Arial" w:cs="Arial"/>
          <w:b/>
          <w:bCs/>
        </w:rPr>
      </w:pPr>
      <w:r w:rsidRPr="00A15058">
        <w:rPr>
          <w:rFonts w:ascii="Arial" w:hAnsi="Arial" w:cs="Arial"/>
          <w:b/>
          <w:bCs/>
          <w:lang w:val="en-GB"/>
        </w:rPr>
        <w:t xml:space="preserve">Module Code: </w:t>
      </w:r>
      <w:r w:rsidRPr="00A15058">
        <w:rPr>
          <w:rFonts w:ascii="Arial" w:hAnsi="Arial" w:cs="Arial"/>
          <w:b/>
          <w:bCs/>
        </w:rPr>
        <w:t>LCMB7035</w:t>
      </w:r>
    </w:p>
    <w:p w14:paraId="458998E4" w14:textId="77777777" w:rsidR="00A15058" w:rsidRPr="00A15058" w:rsidRDefault="00A15058" w:rsidP="00A15058">
      <w:pPr>
        <w:spacing w:line="360" w:lineRule="auto"/>
        <w:jc w:val="center"/>
        <w:rPr>
          <w:rFonts w:ascii="Arial" w:hAnsi="Arial" w:cs="Arial"/>
          <w:b/>
          <w:lang w:val="en-GB"/>
        </w:rPr>
      </w:pPr>
    </w:p>
    <w:p w14:paraId="113650D8" w14:textId="1F1381A6" w:rsidR="00A9028F" w:rsidRDefault="00A15058" w:rsidP="00A15058">
      <w:pPr>
        <w:spacing w:line="360" w:lineRule="auto"/>
        <w:jc w:val="center"/>
        <w:rPr>
          <w:rFonts w:ascii="Arial" w:hAnsi="Arial" w:cs="Arial"/>
          <w:b/>
          <w:bCs/>
        </w:rPr>
      </w:pPr>
      <w:r w:rsidRPr="00A15058">
        <w:rPr>
          <w:rFonts w:ascii="Arial" w:hAnsi="Arial" w:cs="Arial"/>
          <w:b/>
        </w:rPr>
        <w:t>Research Proposal T</w:t>
      </w:r>
      <w:r w:rsidR="007C454D">
        <w:rPr>
          <w:rFonts w:ascii="Arial" w:hAnsi="Arial" w:cs="Arial"/>
          <w:b/>
        </w:rPr>
        <w:t>opic</w:t>
      </w:r>
      <w:r w:rsidRPr="00A15058">
        <w:rPr>
          <w:rFonts w:ascii="Arial" w:hAnsi="Arial" w:cs="Arial"/>
          <w:b/>
        </w:rPr>
        <w:t>:</w:t>
      </w:r>
      <w:r w:rsidRPr="00A15058">
        <w:rPr>
          <w:rFonts w:ascii="Arial" w:hAnsi="Arial" w:cs="Arial"/>
          <w:b/>
          <w:bCs/>
        </w:rPr>
        <w:t xml:space="preserve"> </w:t>
      </w:r>
    </w:p>
    <w:p w14:paraId="4ABB33FA" w14:textId="37938929" w:rsidR="00A15058" w:rsidRPr="00A15058" w:rsidRDefault="00A15058" w:rsidP="00A15058">
      <w:pPr>
        <w:spacing w:line="360" w:lineRule="auto"/>
        <w:jc w:val="center"/>
        <w:rPr>
          <w:rFonts w:ascii="Arial" w:hAnsi="Arial" w:cs="Arial"/>
          <w:b/>
          <w:lang w:val="en-GB"/>
        </w:rPr>
      </w:pPr>
      <w:r w:rsidRPr="00A15058">
        <w:rPr>
          <w:rFonts w:ascii="Arial" w:hAnsi="Arial" w:cs="Arial"/>
          <w:b/>
          <w:bCs/>
        </w:rPr>
        <w:t xml:space="preserve">An Empirical Analysis of the Impact of Changes in UK Immigration Rules on Human Capital Sustainability among </w:t>
      </w:r>
      <w:r w:rsidR="00A56A62">
        <w:rPr>
          <w:rFonts w:ascii="Arial" w:hAnsi="Arial" w:cs="Arial"/>
          <w:b/>
          <w:bCs/>
        </w:rPr>
        <w:t xml:space="preserve">Migrant </w:t>
      </w:r>
      <w:r w:rsidRPr="00A15058">
        <w:rPr>
          <w:rFonts w:ascii="Arial" w:hAnsi="Arial" w:cs="Arial"/>
          <w:b/>
          <w:bCs/>
        </w:rPr>
        <w:t>Healthcare Support Workers.</w:t>
      </w:r>
      <w:r w:rsidRPr="00A15058">
        <w:rPr>
          <w:rFonts w:ascii="Arial" w:hAnsi="Arial" w:cs="Arial"/>
          <w:b/>
        </w:rPr>
        <w:t xml:space="preserve"> </w:t>
      </w:r>
    </w:p>
    <w:p w14:paraId="614E72D1" w14:textId="46E14263" w:rsidR="00A15058" w:rsidRPr="00A15058" w:rsidRDefault="00A15058" w:rsidP="00A15058">
      <w:pPr>
        <w:spacing w:line="360" w:lineRule="auto"/>
        <w:jc w:val="center"/>
        <w:rPr>
          <w:rFonts w:ascii="Arial" w:hAnsi="Arial" w:cs="Arial"/>
          <w:bCs/>
          <w:lang w:val="en-GB"/>
        </w:rPr>
      </w:pPr>
      <w:r w:rsidRPr="00A15058">
        <w:rPr>
          <w:rFonts w:ascii="Arial" w:hAnsi="Arial" w:cs="Arial"/>
          <w:b/>
          <w:lang w:val="en-GB"/>
        </w:rPr>
        <w:t>Date of Submission:</w:t>
      </w:r>
      <w:r w:rsidRPr="00A15058">
        <w:rPr>
          <w:rFonts w:ascii="Arial" w:hAnsi="Arial" w:cs="Arial"/>
          <w:bCs/>
          <w:lang w:val="en-GB"/>
        </w:rPr>
        <w:t xml:space="preserve"> </w:t>
      </w:r>
      <w:r w:rsidRPr="00A15058">
        <w:rPr>
          <w:rFonts w:ascii="Arial" w:hAnsi="Arial" w:cs="Arial"/>
          <w:b/>
          <w:bCs/>
        </w:rPr>
        <w:t xml:space="preserve">11/06/2026  </w:t>
      </w:r>
    </w:p>
    <w:p w14:paraId="59207F0C" w14:textId="43BCDC41" w:rsidR="00A15058" w:rsidRPr="00A15058" w:rsidRDefault="00A15058">
      <w:pPr>
        <w:rPr>
          <w:rFonts w:ascii="Arial" w:hAnsi="Arial" w:cs="Arial"/>
          <w:b/>
          <w:bCs/>
        </w:rPr>
      </w:pPr>
      <w:r w:rsidRPr="00A15058">
        <w:rPr>
          <w:rFonts w:ascii="Arial" w:hAnsi="Arial" w:cs="Arial"/>
          <w:b/>
          <w:bCs/>
        </w:rPr>
        <w:br w:type="page"/>
      </w:r>
    </w:p>
    <w:p w14:paraId="19423296" w14:textId="792CC1EF" w:rsidR="0033783D" w:rsidRPr="00247370" w:rsidRDefault="0033783D" w:rsidP="0033783D">
      <w:pPr>
        <w:rPr>
          <w:rFonts w:ascii="Arial" w:hAnsi="Arial" w:cs="Arial"/>
          <w:b/>
          <w:bCs/>
        </w:rPr>
      </w:pPr>
      <w:r w:rsidRPr="00A15058">
        <w:rPr>
          <w:rFonts w:ascii="Arial" w:hAnsi="Arial" w:cs="Arial"/>
          <w:b/>
          <w:bCs/>
        </w:rPr>
        <w:lastRenderedPageBreak/>
        <w:t>Title</w:t>
      </w:r>
      <w:r w:rsidR="00A15058" w:rsidRPr="00A15058">
        <w:rPr>
          <w:rFonts w:ascii="Arial" w:hAnsi="Arial" w:cs="Arial"/>
          <w:b/>
          <w:bCs/>
        </w:rPr>
        <w:t>:</w:t>
      </w:r>
      <w:r w:rsidR="00247370">
        <w:rPr>
          <w:rFonts w:ascii="Arial" w:hAnsi="Arial" w:cs="Arial"/>
          <w:b/>
          <w:bCs/>
        </w:rPr>
        <w:t xml:space="preserve"> </w:t>
      </w:r>
      <w:r w:rsidRPr="00A15058">
        <w:rPr>
          <w:rFonts w:ascii="Arial" w:hAnsi="Arial" w:cs="Arial"/>
          <w:b/>
          <w:bCs/>
        </w:rPr>
        <w:t xml:space="preserve">An Empirical Analysis of the Impact of Changes in UK Immigration Rules on Human Capital Sustainability among </w:t>
      </w:r>
      <w:r w:rsidR="00A56A62">
        <w:rPr>
          <w:rFonts w:ascii="Arial" w:hAnsi="Arial" w:cs="Arial"/>
          <w:b/>
          <w:bCs/>
        </w:rPr>
        <w:t xml:space="preserve">Migrant </w:t>
      </w:r>
      <w:r w:rsidRPr="0066550E">
        <w:rPr>
          <w:rFonts w:ascii="Arial" w:hAnsi="Arial" w:cs="Arial"/>
          <w:b/>
          <w:bCs/>
        </w:rPr>
        <w:t>Healthcare</w:t>
      </w:r>
      <w:r w:rsidRPr="00A15058">
        <w:rPr>
          <w:rFonts w:ascii="Arial" w:hAnsi="Arial" w:cs="Arial"/>
          <w:b/>
          <w:bCs/>
        </w:rPr>
        <w:t xml:space="preserve"> Support Workers</w:t>
      </w:r>
      <w:r w:rsidR="00051FDA">
        <w:rPr>
          <w:rFonts w:ascii="Arial" w:hAnsi="Arial" w:cs="Arial"/>
          <w:b/>
          <w:bCs/>
        </w:rPr>
        <w:t>.</w:t>
      </w:r>
    </w:p>
    <w:p w14:paraId="1B9B6229" w14:textId="77777777" w:rsidR="0033783D" w:rsidRPr="000F191F" w:rsidRDefault="0033783D" w:rsidP="00A15058">
      <w:pPr>
        <w:pStyle w:val="Heading1"/>
        <w:rPr>
          <w:rFonts w:ascii="Arial" w:hAnsi="Arial" w:cs="Arial"/>
          <w:sz w:val="32"/>
          <w:szCs w:val="32"/>
        </w:rPr>
      </w:pPr>
      <w:r w:rsidRPr="000F191F">
        <w:rPr>
          <w:rFonts w:ascii="Arial" w:hAnsi="Arial" w:cs="Arial"/>
          <w:sz w:val="32"/>
          <w:szCs w:val="32"/>
        </w:rPr>
        <w:t>1. Introduction / Background / Research Problem</w:t>
      </w:r>
    </w:p>
    <w:p w14:paraId="3311852E" w14:textId="77777777" w:rsidR="0033783D" w:rsidRPr="00A15058" w:rsidRDefault="0033783D" w:rsidP="00A15058">
      <w:pPr>
        <w:jc w:val="both"/>
        <w:rPr>
          <w:rFonts w:ascii="Arial" w:hAnsi="Arial" w:cs="Arial"/>
        </w:rPr>
      </w:pPr>
      <w:r w:rsidRPr="00A15058">
        <w:rPr>
          <w:rFonts w:ascii="Arial" w:hAnsi="Arial" w:cs="Arial"/>
        </w:rPr>
        <w:t>The United Kingdom's healthcare system is navigating a turbulent period for workforce planning and international recruitment. Human resources are widely recognised as the most important asset of any healthcare system because they integrate physical resources and services to deliver patient care. However, the sustainability of this human capital—defined as the maintenance and development of knowledge, skills and capabilities over time—is increasingly challenged by the sector's historical reliance on overseas recruitment to fill domestic workforce gaps (Kabene et al., 2006; Slaus and Jacobs, 2011).</w:t>
      </w:r>
    </w:p>
    <w:p w14:paraId="422EF7B9" w14:textId="77777777" w:rsidR="0033783D" w:rsidRPr="00A15058" w:rsidRDefault="0033783D" w:rsidP="00A15058">
      <w:pPr>
        <w:jc w:val="both"/>
        <w:rPr>
          <w:rFonts w:ascii="Arial" w:hAnsi="Arial" w:cs="Arial"/>
        </w:rPr>
      </w:pPr>
      <w:r w:rsidRPr="00A15058">
        <w:rPr>
          <w:rFonts w:ascii="Arial" w:hAnsi="Arial" w:cs="Arial"/>
        </w:rPr>
        <w:t>The scale of the challenge is substantial. As of late 2024, NHS England alone reported over 110,000 vacant posts, with healthcare support worker vacancies among the highest across all staff groups. Skills for Care (2024) estimated that the adult social care sector loses approximately 390,000 staff annually, a turnover rate exceeding 30%. International recruitment has partially filled these gaps: between 2021 and 2024, over 80,000 Care Worker visas were issued to non</w:t>
      </w:r>
      <w:r w:rsidRPr="00A15058">
        <w:rPr>
          <w:rFonts w:ascii="Arial" w:hAnsi="Arial" w:cs="Arial"/>
        </w:rPr>
        <w:noBreakHyphen/>
        <w:t>UK nationals. However, the 2025 rule changes abruptly raised the skill threshold from RQF Level 3 to Level 6—roughly equivalent to a bachelor's degree. Most experienced healthcare support workers do not hold a degree. The Home Office's own impact assessment acknowledged a potential "substitution effect" whereby employers would be unable to replace departing migrant workers (Home Office, 2025b). This proposal directly examines whether that risk has materialised.</w:t>
      </w:r>
    </w:p>
    <w:p w14:paraId="1EE24F06" w14:textId="77777777" w:rsidR="0033783D" w:rsidRPr="00A15058" w:rsidRDefault="0033783D" w:rsidP="00A15058">
      <w:pPr>
        <w:jc w:val="both"/>
        <w:rPr>
          <w:rFonts w:ascii="Arial" w:hAnsi="Arial" w:cs="Arial"/>
        </w:rPr>
      </w:pPr>
      <w:r w:rsidRPr="00A15058">
        <w:rPr>
          <w:rFonts w:ascii="Arial" w:hAnsi="Arial" w:cs="Arial"/>
        </w:rPr>
        <w:t>The policy context has shifted dramatically. Between June 2019 and June 2023, net migration to the UK reached a record 906,000 (Office for National Statistics, 2024). In response, the government published the </w:t>
      </w:r>
      <w:r w:rsidRPr="00A15058">
        <w:rPr>
          <w:rFonts w:ascii="Arial" w:hAnsi="Arial" w:cs="Arial"/>
          <w:i/>
          <w:iCs/>
        </w:rPr>
        <w:t>Restoring Control over the Immigration System</w:t>
      </w:r>
      <w:r w:rsidRPr="00A15058">
        <w:rPr>
          <w:rFonts w:ascii="Arial" w:hAnsi="Arial" w:cs="Arial"/>
        </w:rPr>
        <w:t> White Paper (Home Office, 2025a), proposing reforms to reduce migration and promote a higher</w:t>
      </w:r>
      <w:r w:rsidRPr="00A15058">
        <w:rPr>
          <w:rFonts w:ascii="Arial" w:hAnsi="Arial" w:cs="Arial"/>
        </w:rPr>
        <w:noBreakHyphen/>
        <w:t>skilled workforce. Key changes include raising the skills threshold for Skilled Worker and Health and Care visas from RQF Level 3 to RQF Level 6, increasing salary thresholds, and restricting dependant visas for care workers (Home Office, 2025a).</w:t>
      </w:r>
    </w:p>
    <w:p w14:paraId="6AFE5259" w14:textId="6769BB17" w:rsidR="0033783D" w:rsidRPr="00A15058" w:rsidRDefault="0033783D" w:rsidP="00A15058">
      <w:pPr>
        <w:jc w:val="both"/>
        <w:rPr>
          <w:rFonts w:ascii="Arial" w:hAnsi="Arial" w:cs="Arial"/>
        </w:rPr>
      </w:pPr>
      <w:r w:rsidRPr="00A15058">
        <w:rPr>
          <w:rFonts w:ascii="Arial" w:hAnsi="Arial" w:cs="Arial"/>
        </w:rPr>
        <w:t xml:space="preserve">Healthcare Support Workers (HCSWs) are central to this discussion. They make up roughly 40% of the NHS workforce and deliver frontline care, yet they have historically received little investment in training or career progression. Recent restrictions on Care Worker visas may further reduce the availability and retention of migrant staff (Anderson et al., 2021; Home Office, 2025b). </w:t>
      </w:r>
      <w:r w:rsidR="00EF484F" w:rsidRPr="00EF484F">
        <w:rPr>
          <w:rFonts w:ascii="Arial" w:hAnsi="Arial" w:cs="Arial"/>
        </w:rPr>
        <w:t>This creates a pressing quantitative question: can the UK healthcare system maintain a sustainable, skilled workforce under these new immigration rules, as measured by visa grant rates and workforce turnover statistics?</w:t>
      </w:r>
    </w:p>
    <w:p w14:paraId="39AA10E0" w14:textId="77777777" w:rsidR="0033783D" w:rsidRPr="000F191F" w:rsidRDefault="0033783D" w:rsidP="00A15058">
      <w:pPr>
        <w:pStyle w:val="Heading1"/>
        <w:rPr>
          <w:rFonts w:ascii="Arial" w:hAnsi="Arial" w:cs="Arial"/>
          <w:sz w:val="32"/>
          <w:szCs w:val="32"/>
        </w:rPr>
      </w:pPr>
      <w:r w:rsidRPr="000F191F">
        <w:rPr>
          <w:rFonts w:ascii="Arial" w:hAnsi="Arial" w:cs="Arial"/>
          <w:sz w:val="32"/>
          <w:szCs w:val="32"/>
        </w:rPr>
        <w:lastRenderedPageBreak/>
        <w:t>2. Research Aim, Objectives and Questions</w:t>
      </w:r>
    </w:p>
    <w:p w14:paraId="4C56349F" w14:textId="77777777" w:rsidR="0033783D" w:rsidRPr="00A15058" w:rsidRDefault="0033783D" w:rsidP="0033783D">
      <w:pPr>
        <w:rPr>
          <w:rFonts w:ascii="Arial" w:hAnsi="Arial" w:cs="Arial"/>
        </w:rPr>
      </w:pPr>
      <w:r w:rsidRPr="00A15058">
        <w:rPr>
          <w:rFonts w:ascii="Arial" w:hAnsi="Arial" w:cs="Arial"/>
          <w:b/>
          <w:bCs/>
        </w:rPr>
        <w:t>Research Aim</w:t>
      </w:r>
    </w:p>
    <w:p w14:paraId="222D8A09" w14:textId="77777777" w:rsidR="0033783D" w:rsidRPr="00A15058" w:rsidRDefault="0033783D" w:rsidP="00A15058">
      <w:pPr>
        <w:jc w:val="both"/>
        <w:rPr>
          <w:rFonts w:ascii="Arial" w:hAnsi="Arial" w:cs="Arial"/>
        </w:rPr>
      </w:pPr>
      <w:r w:rsidRPr="00A15058">
        <w:rPr>
          <w:rFonts w:ascii="Arial" w:hAnsi="Arial" w:cs="Arial"/>
        </w:rPr>
        <w:t>To critically evaluate the impact of UK immigration rule changes implemented between 2020 and 2026 on the long</w:t>
      </w:r>
      <w:r w:rsidRPr="00A15058">
        <w:rPr>
          <w:rFonts w:ascii="Arial" w:hAnsi="Arial" w:cs="Arial"/>
        </w:rPr>
        <w:noBreakHyphen/>
        <w:t>term sustainability of human capital among migrant healthcare support workers, using an adapted Triple Bottom Line (TBL) framework focused on social and economic sustainability.</w:t>
      </w:r>
    </w:p>
    <w:p w14:paraId="48153FAE" w14:textId="77777777" w:rsidR="0033783D" w:rsidRPr="00A15058" w:rsidRDefault="0033783D" w:rsidP="00A15058">
      <w:pPr>
        <w:jc w:val="both"/>
        <w:rPr>
          <w:rFonts w:ascii="Arial" w:hAnsi="Arial" w:cs="Arial"/>
        </w:rPr>
      </w:pPr>
      <w:r w:rsidRPr="00A15058">
        <w:rPr>
          <w:rFonts w:ascii="Arial" w:hAnsi="Arial" w:cs="Arial"/>
          <w:b/>
          <w:bCs/>
        </w:rPr>
        <w:t>Research Objectives</w:t>
      </w:r>
    </w:p>
    <w:p w14:paraId="7238C9D4" w14:textId="77777777" w:rsidR="0033783D" w:rsidRPr="00A15058" w:rsidRDefault="0033783D" w:rsidP="0033783D">
      <w:pPr>
        <w:numPr>
          <w:ilvl w:val="0"/>
          <w:numId w:val="1"/>
        </w:numPr>
        <w:rPr>
          <w:rFonts w:ascii="Arial" w:hAnsi="Arial" w:cs="Arial"/>
        </w:rPr>
      </w:pPr>
      <w:r w:rsidRPr="00A15058">
        <w:rPr>
          <w:rFonts w:ascii="Arial" w:hAnsi="Arial" w:cs="Arial"/>
        </w:rPr>
        <w:t>To critically evaluate the drivers for changes in UK immigration rules from 2020 to 2026.</w:t>
      </w:r>
    </w:p>
    <w:p w14:paraId="07A3BF22" w14:textId="77777777" w:rsidR="0033783D" w:rsidRPr="00A15058" w:rsidRDefault="0033783D" w:rsidP="0033783D">
      <w:pPr>
        <w:numPr>
          <w:ilvl w:val="0"/>
          <w:numId w:val="1"/>
        </w:numPr>
        <w:rPr>
          <w:rFonts w:ascii="Arial" w:hAnsi="Arial" w:cs="Arial"/>
        </w:rPr>
      </w:pPr>
      <w:r w:rsidRPr="00A15058">
        <w:rPr>
          <w:rFonts w:ascii="Arial" w:hAnsi="Arial" w:cs="Arial"/>
        </w:rPr>
        <w:t>To identify the key determinants of human capital sustainability among healthcare support workers.</w:t>
      </w:r>
    </w:p>
    <w:p w14:paraId="2FE82B3B" w14:textId="77777777" w:rsidR="0033783D" w:rsidRPr="00A15058" w:rsidRDefault="0033783D" w:rsidP="0033783D">
      <w:pPr>
        <w:numPr>
          <w:ilvl w:val="0"/>
          <w:numId w:val="1"/>
        </w:numPr>
        <w:rPr>
          <w:rFonts w:ascii="Arial" w:hAnsi="Arial" w:cs="Arial"/>
        </w:rPr>
      </w:pPr>
      <w:r w:rsidRPr="00A15058">
        <w:rPr>
          <w:rFonts w:ascii="Arial" w:hAnsi="Arial" w:cs="Arial"/>
        </w:rPr>
        <w:t>To critically evaluate the impact of immigration rule changes on human capital sustainability among migrant healthcare support workers.</w:t>
      </w:r>
    </w:p>
    <w:p w14:paraId="78CF52E4" w14:textId="77777777" w:rsidR="0033783D" w:rsidRPr="00A15058" w:rsidRDefault="0033783D" w:rsidP="0033783D">
      <w:pPr>
        <w:numPr>
          <w:ilvl w:val="0"/>
          <w:numId w:val="1"/>
        </w:numPr>
        <w:rPr>
          <w:rFonts w:ascii="Arial" w:hAnsi="Arial" w:cs="Arial"/>
        </w:rPr>
      </w:pPr>
      <w:r w:rsidRPr="00A15058">
        <w:rPr>
          <w:rFonts w:ascii="Arial" w:hAnsi="Arial" w:cs="Arial"/>
        </w:rPr>
        <w:t>To assess HR strategies for sustaining the healthcare workforce under immigration restrictions, including domestic upskilling and retention initiatives.</w:t>
      </w:r>
    </w:p>
    <w:p w14:paraId="44ABFA93" w14:textId="77777777" w:rsidR="0033783D" w:rsidRPr="00A15058" w:rsidRDefault="0033783D" w:rsidP="0033783D">
      <w:pPr>
        <w:rPr>
          <w:rFonts w:ascii="Arial" w:hAnsi="Arial" w:cs="Arial"/>
        </w:rPr>
      </w:pPr>
      <w:r w:rsidRPr="00A15058">
        <w:rPr>
          <w:rFonts w:ascii="Arial" w:hAnsi="Arial" w:cs="Arial"/>
          <w:b/>
          <w:bCs/>
        </w:rPr>
        <w:t>Research Questions</w:t>
      </w:r>
    </w:p>
    <w:p w14:paraId="14B8BC16" w14:textId="77777777" w:rsidR="0033783D" w:rsidRPr="00A15058" w:rsidRDefault="0033783D" w:rsidP="0033783D">
      <w:pPr>
        <w:rPr>
          <w:rFonts w:ascii="Arial" w:hAnsi="Arial" w:cs="Arial"/>
        </w:rPr>
      </w:pPr>
      <w:r w:rsidRPr="00A15058">
        <w:rPr>
          <w:rFonts w:ascii="Arial" w:hAnsi="Arial" w:cs="Arial"/>
          <w:b/>
          <w:bCs/>
        </w:rPr>
        <w:t>Q1:</w:t>
      </w:r>
      <w:r w:rsidRPr="00A15058">
        <w:rPr>
          <w:rFonts w:ascii="Arial" w:hAnsi="Arial" w:cs="Arial"/>
        </w:rPr>
        <w:t> What are the key drivers for changes in UK immigration rules from 2020 to 2026?</w:t>
      </w:r>
    </w:p>
    <w:p w14:paraId="0E1453F0" w14:textId="77777777" w:rsidR="0033783D" w:rsidRPr="00A15058" w:rsidRDefault="0033783D" w:rsidP="0033783D">
      <w:pPr>
        <w:rPr>
          <w:rFonts w:ascii="Arial" w:hAnsi="Arial" w:cs="Arial"/>
        </w:rPr>
      </w:pPr>
      <w:r w:rsidRPr="00A15058">
        <w:rPr>
          <w:rFonts w:ascii="Arial" w:hAnsi="Arial" w:cs="Arial"/>
          <w:b/>
          <w:bCs/>
        </w:rPr>
        <w:t>Q2:</w:t>
      </w:r>
      <w:r w:rsidRPr="00A15058">
        <w:rPr>
          <w:rFonts w:ascii="Arial" w:hAnsi="Arial" w:cs="Arial"/>
        </w:rPr>
        <w:t> What are the key determinants of human capital sustainability among healthcare support workers in the UK?</w:t>
      </w:r>
    </w:p>
    <w:p w14:paraId="3CE4DDA7" w14:textId="5CFB2750" w:rsidR="0033783D" w:rsidRPr="00A15058" w:rsidRDefault="0033783D" w:rsidP="0033783D">
      <w:pPr>
        <w:rPr>
          <w:rFonts w:ascii="Arial" w:hAnsi="Arial" w:cs="Arial"/>
        </w:rPr>
      </w:pPr>
      <w:r w:rsidRPr="00A15058">
        <w:rPr>
          <w:rFonts w:ascii="Arial" w:hAnsi="Arial" w:cs="Arial"/>
          <w:b/>
          <w:bCs/>
        </w:rPr>
        <w:t>Q3:</w:t>
      </w:r>
      <w:r w:rsidRPr="00A15058">
        <w:rPr>
          <w:rFonts w:ascii="Arial" w:hAnsi="Arial" w:cs="Arial"/>
        </w:rPr>
        <w:t> </w:t>
      </w:r>
      <w:r w:rsidR="00DB0BF5">
        <w:rPr>
          <w:rFonts w:ascii="Arial" w:hAnsi="Arial" w:cs="Arial"/>
        </w:rPr>
        <w:t>To what extent</w:t>
      </w:r>
      <w:r w:rsidR="00DB0BF5" w:rsidRPr="00A15058">
        <w:rPr>
          <w:rFonts w:ascii="Arial" w:hAnsi="Arial" w:cs="Arial"/>
        </w:rPr>
        <w:t xml:space="preserve"> have </w:t>
      </w:r>
      <w:r w:rsidR="00DB0BF5">
        <w:rPr>
          <w:rFonts w:ascii="Arial" w:hAnsi="Arial" w:cs="Arial"/>
        </w:rPr>
        <w:t xml:space="preserve">the </w:t>
      </w:r>
      <w:r w:rsidR="00DB0BF5" w:rsidRPr="00A15058">
        <w:rPr>
          <w:rFonts w:ascii="Arial" w:hAnsi="Arial" w:cs="Arial"/>
        </w:rPr>
        <w:t xml:space="preserve">changes in </w:t>
      </w:r>
      <w:r w:rsidR="00BC483E">
        <w:rPr>
          <w:rFonts w:ascii="Arial" w:hAnsi="Arial" w:cs="Arial"/>
        </w:rPr>
        <w:t>UK</w:t>
      </w:r>
      <w:r w:rsidR="00DB0BF5" w:rsidRPr="00A15058">
        <w:rPr>
          <w:rFonts w:ascii="Arial" w:hAnsi="Arial" w:cs="Arial"/>
        </w:rPr>
        <w:t xml:space="preserve"> immigration rules </w:t>
      </w:r>
      <w:r w:rsidR="00DB0BF5">
        <w:rPr>
          <w:rFonts w:ascii="Arial" w:hAnsi="Arial" w:cs="Arial"/>
        </w:rPr>
        <w:t>affect</w:t>
      </w:r>
      <w:r w:rsidR="00DF2CAB">
        <w:rPr>
          <w:rFonts w:ascii="Arial" w:hAnsi="Arial" w:cs="Arial"/>
        </w:rPr>
        <w:t>ed</w:t>
      </w:r>
      <w:r w:rsidR="00DB0BF5" w:rsidRPr="00A15058">
        <w:rPr>
          <w:rFonts w:ascii="Arial" w:hAnsi="Arial" w:cs="Arial"/>
        </w:rPr>
        <w:t xml:space="preserve"> human capital sustainability</w:t>
      </w:r>
      <w:r w:rsidR="005C2C0C">
        <w:rPr>
          <w:rFonts w:ascii="Arial" w:hAnsi="Arial" w:cs="Arial"/>
        </w:rPr>
        <w:t xml:space="preserve"> </w:t>
      </w:r>
      <w:r w:rsidR="005C2C0C" w:rsidRPr="00A15058">
        <w:rPr>
          <w:rFonts w:ascii="Arial" w:hAnsi="Arial" w:cs="Arial"/>
        </w:rPr>
        <w:t xml:space="preserve">among </w:t>
      </w:r>
      <w:r w:rsidR="00BC483E">
        <w:rPr>
          <w:rFonts w:ascii="Arial" w:hAnsi="Arial" w:cs="Arial"/>
        </w:rPr>
        <w:t xml:space="preserve">migrant </w:t>
      </w:r>
      <w:r w:rsidR="005C2C0C" w:rsidRPr="00A15058">
        <w:rPr>
          <w:rFonts w:ascii="Arial" w:hAnsi="Arial" w:cs="Arial"/>
        </w:rPr>
        <w:t>healthcare support workers</w:t>
      </w:r>
      <w:r w:rsidR="00DB0BF5" w:rsidRPr="00A15058">
        <w:rPr>
          <w:rFonts w:ascii="Arial" w:hAnsi="Arial" w:cs="Arial"/>
        </w:rPr>
        <w:t>?</w:t>
      </w:r>
    </w:p>
    <w:p w14:paraId="331823BD" w14:textId="77777777" w:rsidR="0033783D" w:rsidRPr="00A15058" w:rsidRDefault="0033783D" w:rsidP="0033783D">
      <w:pPr>
        <w:rPr>
          <w:rFonts w:ascii="Arial" w:hAnsi="Arial" w:cs="Arial"/>
        </w:rPr>
      </w:pPr>
      <w:r w:rsidRPr="00A15058">
        <w:rPr>
          <w:rFonts w:ascii="Arial" w:hAnsi="Arial" w:cs="Arial"/>
          <w:b/>
          <w:bCs/>
        </w:rPr>
        <w:t>Q4:</w:t>
      </w:r>
      <w:r w:rsidRPr="00A15058">
        <w:rPr>
          <w:rFonts w:ascii="Arial" w:hAnsi="Arial" w:cs="Arial"/>
        </w:rPr>
        <w:t> How can healthcare organisations effectively adapt their human resource management practices to maintain a fit</w:t>
      </w:r>
      <w:r w:rsidRPr="00A15058">
        <w:rPr>
          <w:rFonts w:ascii="Arial" w:hAnsi="Arial" w:cs="Arial"/>
        </w:rPr>
        <w:noBreakHyphen/>
        <w:t>for</w:t>
      </w:r>
      <w:r w:rsidRPr="00A15058">
        <w:rPr>
          <w:rFonts w:ascii="Arial" w:hAnsi="Arial" w:cs="Arial"/>
        </w:rPr>
        <w:noBreakHyphen/>
        <w:t>purpose workforce despite reduced migrant availability?</w:t>
      </w:r>
    </w:p>
    <w:p w14:paraId="2142445E" w14:textId="77777777" w:rsidR="0033783D" w:rsidRPr="000F191F" w:rsidRDefault="0033783D" w:rsidP="00A15058">
      <w:pPr>
        <w:pStyle w:val="Heading1"/>
        <w:rPr>
          <w:rFonts w:ascii="Arial" w:hAnsi="Arial" w:cs="Arial"/>
          <w:sz w:val="32"/>
          <w:szCs w:val="32"/>
        </w:rPr>
      </w:pPr>
      <w:r w:rsidRPr="000F191F">
        <w:rPr>
          <w:rFonts w:ascii="Arial" w:hAnsi="Arial" w:cs="Arial"/>
          <w:sz w:val="32"/>
          <w:szCs w:val="32"/>
        </w:rPr>
        <w:t>3. Preliminary Literature Review</w:t>
      </w:r>
    </w:p>
    <w:p w14:paraId="06457B88" w14:textId="77777777" w:rsidR="0033783D" w:rsidRPr="00A15058" w:rsidRDefault="0033783D" w:rsidP="0033783D">
      <w:pPr>
        <w:rPr>
          <w:rFonts w:ascii="Arial" w:hAnsi="Arial" w:cs="Arial"/>
          <w:b/>
          <w:bCs/>
        </w:rPr>
      </w:pPr>
      <w:r w:rsidRPr="00A15058">
        <w:rPr>
          <w:rFonts w:ascii="Arial" w:hAnsi="Arial" w:cs="Arial"/>
          <w:b/>
          <w:bCs/>
        </w:rPr>
        <w:t>Human Capital Theory and Workforce Sustainability</w:t>
      </w:r>
    </w:p>
    <w:p w14:paraId="32A0B86B" w14:textId="77777777" w:rsidR="0033783D" w:rsidRPr="00A15058" w:rsidRDefault="0033783D" w:rsidP="00A15058">
      <w:pPr>
        <w:jc w:val="both"/>
        <w:rPr>
          <w:rFonts w:ascii="Arial" w:hAnsi="Arial" w:cs="Arial"/>
        </w:rPr>
      </w:pPr>
      <w:r w:rsidRPr="00A15058">
        <w:rPr>
          <w:rFonts w:ascii="Arial" w:hAnsi="Arial" w:cs="Arial"/>
        </w:rPr>
        <w:t>Human Capital Theory, originating from Becker (1964), suggests that individuals are active contributors to economic and social development through their knowledge, skills and competencies. Within healthcare organisations, human capital represents a critical resource because workforce quality directly influences service delivery and patient outcomes. The sustainability of human capital is therefore essential for maintaining healthcare performance over time (Slaus and Jacobs, 2011; Kabene et al., 2006).</w:t>
      </w:r>
    </w:p>
    <w:p w14:paraId="5ACFBA8F" w14:textId="135687B2" w:rsidR="0033783D" w:rsidRPr="00A15058" w:rsidRDefault="0033783D" w:rsidP="00A15058">
      <w:pPr>
        <w:jc w:val="both"/>
        <w:rPr>
          <w:rFonts w:ascii="Arial" w:hAnsi="Arial" w:cs="Arial"/>
        </w:rPr>
      </w:pPr>
      <w:r w:rsidRPr="00A15058">
        <w:rPr>
          <w:rFonts w:ascii="Arial" w:hAnsi="Arial" w:cs="Arial"/>
        </w:rPr>
        <w:lastRenderedPageBreak/>
        <w:t xml:space="preserve">A </w:t>
      </w:r>
      <w:r w:rsidR="00D42BD2" w:rsidRPr="00D42BD2">
        <w:rPr>
          <w:rFonts w:ascii="Arial" w:hAnsi="Arial" w:cs="Arial"/>
        </w:rPr>
        <w:t>key distinction within the theory is between general human capital (transferable skills such as communication and basic care) and specific human capital (knowledge unique to an employer, such as NHS protocols, local patient populations, and team dynamics). Migrant healthcare support workers often possess both: they bring general care skills from their home countries but also develop specific knowledge of UK healthcare practices. Losing such workers therefore imposes a double cost: the employer must recruit replacement staff (costly) and then retrain them in organisation</w:t>
      </w:r>
      <w:r w:rsidR="00D42BD2" w:rsidRPr="00D42BD2">
        <w:rPr>
          <w:rFonts w:ascii="Arial" w:hAnsi="Arial" w:cs="Arial"/>
        </w:rPr>
        <w:noBreakHyphen/>
        <w:t>specific practices (even more costly). Sustainability, under this theory, requires continuous investment in upskilling and clear career pathways. Yet existing evidence suggests that healthcare support workers receive significantly less training than registered nurses or doctors, with migrant staff often reporting feeling "stuck" in entry</w:t>
      </w:r>
      <w:r w:rsidR="00D42BD2" w:rsidRPr="00D42BD2">
        <w:rPr>
          <w:rFonts w:ascii="Arial" w:hAnsi="Arial" w:cs="Arial"/>
        </w:rPr>
        <w:noBreakHyphen/>
        <w:t>level roles. The 2025 immigration reforms may reduce incentives to invest in specific human capital, and this study will quantify that effect using visa and turnover data (Home Office, 2025b).</w:t>
      </w:r>
    </w:p>
    <w:p w14:paraId="6AD00063" w14:textId="07F6F943" w:rsidR="00D42BD2" w:rsidRPr="00D42BD2" w:rsidRDefault="00D42BD2" w:rsidP="00D42BD2">
      <w:pPr>
        <w:jc w:val="both"/>
        <w:rPr>
          <w:rFonts w:ascii="Arial" w:hAnsi="Arial" w:cs="Arial"/>
          <w:b/>
          <w:bCs/>
        </w:rPr>
      </w:pPr>
      <w:r w:rsidRPr="00A15058">
        <w:rPr>
          <w:rFonts w:ascii="Arial" w:hAnsi="Arial" w:cs="Arial"/>
          <w:b/>
          <w:bCs/>
        </w:rPr>
        <w:t>T</w:t>
      </w:r>
      <w:r w:rsidRPr="00D42BD2">
        <w:rPr>
          <w:rFonts w:ascii="Arial" w:hAnsi="Arial" w:cs="Arial"/>
          <w:b/>
          <w:bCs/>
        </w:rPr>
        <w:t>he Triple Bottom Line (TBL) – Adapted as a Quantitative Framework</w:t>
      </w:r>
    </w:p>
    <w:p w14:paraId="7F03AFFD" w14:textId="48ABC1B6" w:rsidR="0033783D" w:rsidRPr="00A15058" w:rsidRDefault="0033783D" w:rsidP="00A15058">
      <w:pPr>
        <w:jc w:val="both"/>
        <w:rPr>
          <w:rFonts w:ascii="Arial" w:hAnsi="Arial" w:cs="Arial"/>
        </w:rPr>
      </w:pPr>
      <w:r w:rsidRPr="00A15058">
        <w:rPr>
          <w:rFonts w:ascii="Arial" w:hAnsi="Arial" w:cs="Arial"/>
        </w:rPr>
        <w:t>Traditional TBL balances economic, social and environmental pillars (Alhaddi, 2015). Because this study examines migrant workforce retention, the environmental pillar is not directly relevant. I therefore adapt TBL to focus on </w:t>
      </w:r>
      <w:r w:rsidRPr="00A15058">
        <w:rPr>
          <w:rFonts w:ascii="Arial" w:hAnsi="Arial" w:cs="Arial"/>
          <w:b/>
          <w:bCs/>
        </w:rPr>
        <w:t>social</w:t>
      </w:r>
      <w:r w:rsidRPr="00A15058">
        <w:rPr>
          <w:rFonts w:ascii="Arial" w:hAnsi="Arial" w:cs="Arial"/>
        </w:rPr>
        <w:t> and </w:t>
      </w:r>
      <w:r w:rsidRPr="00A15058">
        <w:rPr>
          <w:rFonts w:ascii="Arial" w:hAnsi="Arial" w:cs="Arial"/>
          <w:b/>
          <w:bCs/>
        </w:rPr>
        <w:t>economic</w:t>
      </w:r>
      <w:r w:rsidRPr="00A15058">
        <w:rPr>
          <w:rFonts w:ascii="Arial" w:hAnsi="Arial" w:cs="Arial"/>
        </w:rPr>
        <w:t> sustainability.</w:t>
      </w:r>
    </w:p>
    <w:p w14:paraId="4B8370D3" w14:textId="77777777" w:rsidR="0033783D" w:rsidRPr="00A15058" w:rsidRDefault="0033783D" w:rsidP="00A15058">
      <w:pPr>
        <w:jc w:val="both"/>
        <w:rPr>
          <w:rFonts w:ascii="Arial" w:hAnsi="Arial" w:cs="Arial"/>
        </w:rPr>
      </w:pPr>
      <w:r w:rsidRPr="00A15058">
        <w:rPr>
          <w:rFonts w:ascii="Arial" w:hAnsi="Arial" w:cs="Arial"/>
        </w:rPr>
        <w:t>Social sustainability, in this context, means fair treatment, family unity (access to dependant visas), training opportunities, and career progression for migrant HCSWs. Economic sustainability refers to the healthcare system's ability to maintain a stable, cost</w:t>
      </w:r>
      <w:r w:rsidRPr="00A15058">
        <w:rPr>
          <w:rFonts w:ascii="Arial" w:hAnsi="Arial" w:cs="Arial"/>
        </w:rPr>
        <w:noBreakHyphen/>
        <w:t>effective workforce without endless expensive international recruitment cycles.</w:t>
      </w:r>
    </w:p>
    <w:p w14:paraId="0C8C287F" w14:textId="042D489F" w:rsidR="0033783D" w:rsidRPr="00A15058" w:rsidRDefault="0033783D" w:rsidP="00A15058">
      <w:pPr>
        <w:jc w:val="both"/>
        <w:rPr>
          <w:rFonts w:ascii="Arial" w:hAnsi="Arial" w:cs="Arial"/>
        </w:rPr>
      </w:pPr>
      <w:r w:rsidRPr="00A15058">
        <w:rPr>
          <w:rFonts w:ascii="Arial" w:hAnsi="Arial" w:cs="Arial"/>
        </w:rPr>
        <w:t>A legitimate criticism of the Triple Bottom Line framework is that it can become a vague "checklist" rather than an analytical tool. To avoid this, this study operationalises each pillar with measurable indicators drawn from Home Office and ONS data. For social sustainability, the key indicators are: (a) visa grant rates for dependants of HCSWs, (b) the proportion of migrant HCSWs reporting intentions to remain in the UK long</w:t>
      </w:r>
      <w:r w:rsidRPr="00A15058">
        <w:rPr>
          <w:rFonts w:ascii="Arial" w:hAnsi="Arial" w:cs="Arial"/>
        </w:rPr>
        <w:noBreakHyphen/>
        <w:t>term (where available from surveys), and (c</w:t>
      </w:r>
      <w:r w:rsidRPr="0016525F">
        <w:rPr>
          <w:rFonts w:ascii="Arial" w:hAnsi="Arial" w:cs="Arial"/>
          <w:color w:val="000000" w:themeColor="text1"/>
        </w:rPr>
        <w:t xml:space="preserve">) </w:t>
      </w:r>
      <w:r w:rsidR="0016525F" w:rsidRPr="0016525F">
        <w:rPr>
          <w:rFonts w:ascii="Arial" w:hAnsi="Arial" w:cs="Arial"/>
          <w:color w:val="000000" w:themeColor="text1"/>
        </w:rPr>
        <w:t xml:space="preserve">the number of </w:t>
      </w:r>
      <w:r w:rsidR="0016525F">
        <w:rPr>
          <w:rFonts w:ascii="Arial" w:hAnsi="Arial" w:cs="Arial"/>
          <w:color w:val="000000" w:themeColor="text1"/>
        </w:rPr>
        <w:t>dependent</w:t>
      </w:r>
      <w:r w:rsidR="0016525F" w:rsidRPr="0016525F">
        <w:rPr>
          <w:rFonts w:ascii="Arial" w:hAnsi="Arial" w:cs="Arial"/>
          <w:color w:val="000000" w:themeColor="text1"/>
        </w:rPr>
        <w:t xml:space="preserve"> visas granted per HCSW applicant as a proxy for family unity</w:t>
      </w:r>
      <w:r w:rsidRPr="0016525F">
        <w:rPr>
          <w:rFonts w:ascii="Arial" w:hAnsi="Arial" w:cs="Arial"/>
          <w:color w:val="000000" w:themeColor="text1"/>
        </w:rPr>
        <w:t xml:space="preserve">. </w:t>
      </w:r>
      <w:r w:rsidRPr="00A15058">
        <w:rPr>
          <w:rFonts w:ascii="Arial" w:hAnsi="Arial" w:cs="Arial"/>
        </w:rPr>
        <w:t>For economic sustainability, the indicators are: (a) the estimated cost of replacing a departing HCSW (recruitment, relocation, training), (b) visa fee revenues versus NHS recruitment expenditure, and (c) the Home Office's modelled "outflow profiles" under different policy scenarios (Home Office, 2025b). By anchoring TBL to specific, observable metrics, the analysis moves beyond abstract principles to a testable evaluation of trade</w:t>
      </w:r>
      <w:r w:rsidRPr="00A15058">
        <w:rPr>
          <w:rFonts w:ascii="Arial" w:hAnsi="Arial" w:cs="Arial"/>
        </w:rPr>
        <w:noBreakHyphen/>
        <w:t>offs. This adapted TBL lens helps expose potential trade</w:t>
      </w:r>
      <w:r w:rsidRPr="00A15058">
        <w:rPr>
          <w:rFonts w:ascii="Arial" w:hAnsi="Arial" w:cs="Arial"/>
        </w:rPr>
        <w:noBreakHyphen/>
        <w:t>offs: policies designed to reduce net migration may achieve short</w:t>
      </w:r>
      <w:r w:rsidRPr="00A15058">
        <w:rPr>
          <w:rFonts w:ascii="Arial" w:hAnsi="Arial" w:cs="Arial"/>
        </w:rPr>
        <w:noBreakHyphen/>
        <w:t>term economic goals while quietly eroding social sustainability, which ultimately damages long</w:t>
      </w:r>
      <w:r w:rsidRPr="00A15058">
        <w:rPr>
          <w:rFonts w:ascii="Arial" w:hAnsi="Arial" w:cs="Arial"/>
        </w:rPr>
        <w:noBreakHyphen/>
        <w:t>term workforce retention.</w:t>
      </w:r>
    </w:p>
    <w:p w14:paraId="77FA3B71" w14:textId="77777777" w:rsidR="0033783D" w:rsidRPr="00A15058" w:rsidRDefault="0033783D" w:rsidP="00A15058">
      <w:pPr>
        <w:jc w:val="both"/>
        <w:rPr>
          <w:rFonts w:ascii="Arial" w:hAnsi="Arial" w:cs="Arial"/>
          <w:b/>
          <w:bCs/>
        </w:rPr>
      </w:pPr>
      <w:r w:rsidRPr="00A15058">
        <w:rPr>
          <w:rFonts w:ascii="Arial" w:hAnsi="Arial" w:cs="Arial"/>
          <w:b/>
          <w:bCs/>
        </w:rPr>
        <w:t>Conservation of Resources (COR) Theory</w:t>
      </w:r>
    </w:p>
    <w:p w14:paraId="42B54D87" w14:textId="77777777" w:rsidR="00D42BD2" w:rsidRDefault="00D42BD2" w:rsidP="00344E9E">
      <w:pPr>
        <w:jc w:val="both"/>
        <w:rPr>
          <w:rFonts w:ascii="Arial" w:hAnsi="Arial" w:cs="Arial"/>
        </w:rPr>
      </w:pPr>
      <w:r w:rsidRPr="00D42BD2">
        <w:rPr>
          <w:rFonts w:ascii="Arial" w:hAnsi="Arial" w:cs="Arial"/>
        </w:rPr>
        <w:lastRenderedPageBreak/>
        <w:t>COR Theory proposes that individuals seek to acquire, maintain and protect valuable resources. Stress occurs when those resources are threatened, lost or insufficiently replenished. Resources may include employment security, family relationships, social status and future opportunities (Muhammad, 2015). The 2025 rules restricted dependant visas and closed pathways to settlement (Home Office, 2025a). COR predicts that such resource threats lead to increased outflow and reduced retention. This study will quantitatively test that prediction by analysing visa grant rates and outflow statistics before and after the rule changes (Home Office, 2025b).</w:t>
      </w:r>
    </w:p>
    <w:p w14:paraId="61CEEF6F" w14:textId="3F9498C3" w:rsidR="0033783D" w:rsidRPr="00A15058" w:rsidRDefault="0033783D" w:rsidP="00344E9E">
      <w:pPr>
        <w:jc w:val="both"/>
        <w:rPr>
          <w:rFonts w:ascii="Arial" w:hAnsi="Arial" w:cs="Arial"/>
          <w:b/>
          <w:bCs/>
        </w:rPr>
      </w:pPr>
      <w:r w:rsidRPr="00A15058">
        <w:rPr>
          <w:rFonts w:ascii="Arial" w:hAnsi="Arial" w:cs="Arial"/>
          <w:b/>
          <w:bCs/>
        </w:rPr>
        <w:t>How COR and TBL Work Together</w:t>
      </w:r>
    </w:p>
    <w:p w14:paraId="1739F751" w14:textId="77777777" w:rsidR="00E765AD" w:rsidRPr="00E765AD" w:rsidRDefault="00E765AD" w:rsidP="00E765AD">
      <w:pPr>
        <w:jc w:val="both"/>
        <w:rPr>
          <w:rFonts w:ascii="Arial" w:hAnsi="Arial" w:cs="Arial"/>
        </w:rPr>
      </w:pPr>
      <w:r w:rsidRPr="00E765AD">
        <w:rPr>
          <w:rFonts w:ascii="Arial" w:hAnsi="Arial" w:cs="Arial"/>
        </w:rPr>
        <w:t>COR Theory provides a mechanism (resource threat → withdrawal behaviour) that can be tested through quantitative indicators. TBL measures the consequences: reduced social sustainability (declining dependant visa rates) and reduced economic sustainability (increasing turnover costs). Together, they form a quantitative analytical chain: if the Home Office's outflow modelling shows a statistically significant increase following the 2025 rule changes, and if dependant visa grants simultaneously decrease, then the combined framework predicts a measurable sustainability decline. This study will test that prediction using regression analysis and descriptive trend statistics.</w:t>
      </w:r>
    </w:p>
    <w:p w14:paraId="25D1A4B6" w14:textId="77777777" w:rsidR="00E765AD" w:rsidRPr="00E765AD" w:rsidRDefault="00E765AD" w:rsidP="00E765AD">
      <w:pPr>
        <w:jc w:val="both"/>
        <w:rPr>
          <w:rFonts w:ascii="Arial" w:hAnsi="Arial" w:cs="Arial"/>
          <w:b/>
          <w:bCs/>
        </w:rPr>
      </w:pPr>
      <w:r w:rsidRPr="00E765AD">
        <w:rPr>
          <w:rFonts w:ascii="Arial" w:hAnsi="Arial" w:cs="Arial"/>
          <w:b/>
          <w:bCs/>
        </w:rPr>
        <w:t>Knowledge Gaps</w:t>
      </w:r>
    </w:p>
    <w:p w14:paraId="158F391D" w14:textId="6025B698" w:rsidR="0033783D" w:rsidRPr="00A15058" w:rsidRDefault="00E765AD" w:rsidP="00344E9E">
      <w:pPr>
        <w:jc w:val="both"/>
        <w:rPr>
          <w:rFonts w:ascii="Arial" w:hAnsi="Arial" w:cs="Arial"/>
        </w:rPr>
      </w:pPr>
      <w:r w:rsidRPr="00E765AD">
        <w:rPr>
          <w:rFonts w:ascii="Arial" w:hAnsi="Arial" w:cs="Arial"/>
        </w:rPr>
        <w:t>Several important gaps exist within the current literature. First, most migration and healthcare workforce studies focus on highly skilled professionals such as doctors and nurses, while healthcare support workers remain comparatively under</w:t>
      </w:r>
      <w:r w:rsidRPr="00E765AD">
        <w:rPr>
          <w:rFonts w:ascii="Arial" w:hAnsi="Arial" w:cs="Arial"/>
        </w:rPr>
        <w:noBreakHyphen/>
        <w:t>researched despite representing a substantial proportion of the NHS workforce (Anderson et al., 2021). Second, much of the existing literature predates the major immigration reforms introduced after 2020. As a result, there is limited empirical evidence regarding the effects of recent policy changes on migrant healthcare support workers (Davda, Gallagher and Radford, 2018; Home Office, 2025a). Third, policymakers have emphasised domestic workforce development as a substitute for international recruitment; however, there is limited quantitative evidence on whether domestic upskilling initiatives can effectively replace migrant labour within the healthcare sector (NHS England, 2023). Finally, limited research has explored how UK</w:t>
      </w:r>
      <w:r w:rsidRPr="00E765AD">
        <w:rPr>
          <w:rFonts w:ascii="Arial" w:hAnsi="Arial" w:cs="Arial"/>
        </w:rPr>
        <w:noBreakHyphen/>
        <w:t>wide immigration policies affect healthcare workforce sustainability across the four nations of England, Scotland, Wales and Northern Ireland, despite differences in workforce structures and healthcare governance arrangements (Anderson et al., 2021). This proposal directly addresses those gaps using secondary quantitative data</w:t>
      </w:r>
      <w:r w:rsidR="0033783D" w:rsidRPr="00A15058">
        <w:rPr>
          <w:rFonts w:ascii="Arial" w:hAnsi="Arial" w:cs="Arial"/>
        </w:rPr>
        <w:t>.</w:t>
      </w:r>
    </w:p>
    <w:p w14:paraId="328ECE93" w14:textId="77777777" w:rsidR="0033783D" w:rsidRPr="000F6CC2" w:rsidRDefault="0033783D" w:rsidP="00E845E4">
      <w:pPr>
        <w:pStyle w:val="Heading1"/>
      </w:pPr>
      <w:r w:rsidRPr="000F191F">
        <w:t>4</w:t>
      </w:r>
      <w:r w:rsidRPr="000F6CC2">
        <w:t>. Research Methodology</w:t>
      </w:r>
    </w:p>
    <w:p w14:paraId="2B97AA5B" w14:textId="77777777" w:rsidR="0033783D" w:rsidRPr="00BD479B" w:rsidRDefault="0033783D" w:rsidP="00A15058">
      <w:pPr>
        <w:jc w:val="both"/>
        <w:rPr>
          <w:rFonts w:ascii="Arial" w:hAnsi="Arial" w:cs="Arial"/>
          <w:b/>
          <w:bCs/>
          <w:color w:val="000000" w:themeColor="text1"/>
        </w:rPr>
      </w:pPr>
      <w:r w:rsidRPr="00BD479B">
        <w:rPr>
          <w:rFonts w:ascii="Arial" w:hAnsi="Arial" w:cs="Arial"/>
          <w:b/>
          <w:bCs/>
          <w:color w:val="000000" w:themeColor="text1"/>
        </w:rPr>
        <w:t>Research Philosophy</w:t>
      </w:r>
    </w:p>
    <w:p w14:paraId="37C1D7ED" w14:textId="77777777" w:rsidR="00D81B54" w:rsidRDefault="00D81B54" w:rsidP="00A15058">
      <w:pPr>
        <w:jc w:val="both"/>
        <w:rPr>
          <w:rFonts w:ascii="Arial" w:hAnsi="Arial" w:cs="Arial"/>
        </w:rPr>
      </w:pPr>
      <w:r w:rsidRPr="00D81B54">
        <w:rPr>
          <w:rFonts w:ascii="Arial" w:hAnsi="Arial" w:cs="Arial"/>
        </w:rPr>
        <w:lastRenderedPageBreak/>
        <w:t xml:space="preserve">This study adopts a </w:t>
      </w:r>
      <w:r w:rsidRPr="00D81B54">
        <w:rPr>
          <w:rFonts w:ascii="Arial" w:hAnsi="Arial" w:cs="Arial"/>
          <w:b/>
          <w:bCs/>
        </w:rPr>
        <w:t>positivist</w:t>
      </w:r>
      <w:r w:rsidRPr="00D81B54">
        <w:rPr>
          <w:rFonts w:ascii="Arial" w:hAnsi="Arial" w:cs="Arial"/>
        </w:rPr>
        <w:t xml:space="preserve"> research philosophy, asserting that the impact of immigration policy is an objective reality that can be measured through numerical data and statistical facts. Positivism is chosen over interpretivism because the researcher remains independent of the subject matter, ensuring that the analysis of visa grant rates, vacancy volumes, and "outflow profiles" is reliable and generalisable. While interpretivism focuses on subjective meanings, this study utilizes national-level datasets from the Home Office and ONS to identify causal relationships between the independent variable (immigration rules) and the dependent variable (human capital sustainability indicators)</w:t>
      </w:r>
    </w:p>
    <w:p w14:paraId="399C55FA" w14:textId="77777777" w:rsidR="006B5903" w:rsidRPr="00BD479B" w:rsidRDefault="006B5903" w:rsidP="00A15058">
      <w:pPr>
        <w:jc w:val="both"/>
        <w:rPr>
          <w:rFonts w:ascii="Arial" w:hAnsi="Arial" w:cs="Arial"/>
          <w:b/>
          <w:bCs/>
          <w:color w:val="000000" w:themeColor="text1"/>
        </w:rPr>
      </w:pPr>
      <w:r w:rsidRPr="00BD479B">
        <w:rPr>
          <w:rFonts w:ascii="Arial" w:hAnsi="Arial" w:cs="Arial"/>
          <w:b/>
          <w:bCs/>
          <w:color w:val="000000" w:themeColor="text1"/>
        </w:rPr>
        <w:t>Research Design: Secondary Quantitative Empirical Analysis:</w:t>
      </w:r>
    </w:p>
    <w:p w14:paraId="5585DE62" w14:textId="77777777" w:rsidR="00BD4A54" w:rsidRDefault="00BD4A54" w:rsidP="00C81FA0">
      <w:pPr>
        <w:jc w:val="both"/>
        <w:rPr>
          <w:rFonts w:ascii="Arial" w:hAnsi="Arial" w:cs="Arial"/>
        </w:rPr>
      </w:pPr>
      <w:r w:rsidRPr="00BD4A54">
        <w:rPr>
          <w:rFonts w:ascii="Arial" w:hAnsi="Arial" w:cs="Arial"/>
        </w:rPr>
        <w:t>This is a secondary quantitative, longitudinal study using documentary research techniques</w:t>
      </w:r>
      <w:r w:rsidRPr="00BD479B">
        <w:rPr>
          <w:rFonts w:ascii="Arial" w:hAnsi="Arial" w:cs="Arial"/>
        </w:rPr>
        <w:t>. No primary data collection (surveys or interviews) will be undertaken.</w:t>
      </w:r>
      <w:r w:rsidRPr="00BD4A54">
        <w:rPr>
          <w:rFonts w:ascii="Arial" w:hAnsi="Arial" w:cs="Arial"/>
        </w:rPr>
        <w:t> The design is justified by the rich volume of numerical data available in Home Office impact assessments, ONS migration statistics, and Skills for Care workforce datasets for the 2020–2026 period. This approach relies on official behavioural data—actual visa grants, employment stocks, and outflow statistics—rather than subjective stated intentions, which can be unreliable during periods of policy shock.</w:t>
      </w:r>
    </w:p>
    <w:p w14:paraId="37179763" w14:textId="1E2D93A5" w:rsidR="0033783D" w:rsidRPr="00A15058" w:rsidRDefault="0033783D" w:rsidP="00C81FA0">
      <w:pPr>
        <w:jc w:val="both"/>
        <w:rPr>
          <w:rFonts w:ascii="Arial" w:hAnsi="Arial" w:cs="Arial"/>
          <w:b/>
          <w:bCs/>
        </w:rPr>
      </w:pPr>
      <w:r w:rsidRPr="00A15058">
        <w:rPr>
          <w:rFonts w:ascii="Arial" w:hAnsi="Arial" w:cs="Arial"/>
          <w:b/>
          <w:bCs/>
        </w:rPr>
        <w:t>Data Collection (Exclusively Secondary Sources)</w:t>
      </w:r>
    </w:p>
    <w:p w14:paraId="7CB0C0AD" w14:textId="65BF11DA" w:rsidR="00BD4A54" w:rsidRPr="00BD4A54" w:rsidRDefault="0033783D" w:rsidP="00BD4A54">
      <w:pPr>
        <w:numPr>
          <w:ilvl w:val="0"/>
          <w:numId w:val="2"/>
        </w:numPr>
        <w:jc w:val="both"/>
        <w:rPr>
          <w:rFonts w:ascii="Arial" w:hAnsi="Arial" w:cs="Arial"/>
        </w:rPr>
      </w:pPr>
      <w:r w:rsidRPr="00A15058">
        <w:rPr>
          <w:rFonts w:ascii="Arial" w:hAnsi="Arial" w:cs="Arial"/>
        </w:rPr>
        <w:t>Official policy and impact assessments:</w:t>
      </w:r>
      <w:r w:rsidR="003B5D72">
        <w:rPr>
          <w:rFonts w:ascii="Arial" w:hAnsi="Arial" w:cs="Arial"/>
        </w:rPr>
        <w:t xml:space="preserve"> </w:t>
      </w:r>
      <w:r w:rsidR="00BD4A54" w:rsidRPr="00BD4A54">
        <w:rPr>
          <w:rFonts w:ascii="Arial" w:hAnsi="Arial" w:cs="Arial"/>
        </w:rPr>
        <w:t>Home Office (2025a; 2025b; 2026) immigration rule changes, technical annexes, and the </w:t>
      </w:r>
      <w:r w:rsidR="00BD4A54" w:rsidRPr="00BD4A54">
        <w:rPr>
          <w:rFonts w:ascii="Arial" w:hAnsi="Arial" w:cs="Arial"/>
          <w:i/>
          <w:iCs/>
        </w:rPr>
        <w:t>Statement of Changes</w:t>
      </w:r>
      <w:r w:rsidR="00BD4A54" w:rsidRPr="00BD4A54">
        <w:rPr>
          <w:rFonts w:ascii="Arial" w:hAnsi="Arial" w:cs="Arial"/>
        </w:rPr>
        <w:t> (HC 1691). Only numerical data (visa grant rates, salary thresholds, outflow profiles) will be extracted from these documents.</w:t>
      </w:r>
    </w:p>
    <w:p w14:paraId="23DCB359" w14:textId="77777777" w:rsidR="00BD4A54" w:rsidRPr="00BD4A54" w:rsidRDefault="00BD4A54" w:rsidP="00BD4A54">
      <w:pPr>
        <w:numPr>
          <w:ilvl w:val="0"/>
          <w:numId w:val="2"/>
        </w:numPr>
        <w:jc w:val="both"/>
        <w:rPr>
          <w:rFonts w:ascii="Arial" w:hAnsi="Arial" w:cs="Arial"/>
        </w:rPr>
      </w:pPr>
      <w:r w:rsidRPr="00BD4A54">
        <w:rPr>
          <w:rFonts w:ascii="Arial" w:hAnsi="Arial" w:cs="Arial"/>
        </w:rPr>
        <w:t>National workforce and migration statistics: Office for National Statistics (2024) long</w:t>
      </w:r>
      <w:r w:rsidRPr="00BD4A54">
        <w:rPr>
          <w:rFonts w:ascii="Arial" w:hAnsi="Arial" w:cs="Arial"/>
        </w:rPr>
        <w:noBreakHyphen/>
        <w:t>term international migration data, plus Adult Social Care Workforce Data Set (ASC</w:t>
      </w:r>
      <w:r w:rsidRPr="00BD4A54">
        <w:rPr>
          <w:rFonts w:ascii="Arial" w:hAnsi="Arial" w:cs="Arial"/>
        </w:rPr>
        <w:noBreakHyphen/>
        <w:t>WDS) and Skills for Care (2024) intelligence (turnover rates, vacancy statistics, training expenditure).</w:t>
      </w:r>
    </w:p>
    <w:p w14:paraId="64D9129B" w14:textId="77777777" w:rsidR="00BD4A54" w:rsidRDefault="00BD4A54" w:rsidP="00BD4A54">
      <w:pPr>
        <w:numPr>
          <w:ilvl w:val="0"/>
          <w:numId w:val="2"/>
        </w:numPr>
        <w:jc w:val="both"/>
        <w:rPr>
          <w:rFonts w:ascii="Arial" w:hAnsi="Arial" w:cs="Arial"/>
        </w:rPr>
      </w:pPr>
      <w:r w:rsidRPr="00BD4A54">
        <w:rPr>
          <w:rFonts w:ascii="Arial" w:hAnsi="Arial" w:cs="Arial"/>
        </w:rPr>
        <w:t>Government workforce plan: NHS 15</w:t>
      </w:r>
      <w:r w:rsidRPr="00BD4A54">
        <w:rPr>
          <w:rFonts w:ascii="Arial" w:hAnsi="Arial" w:cs="Arial"/>
        </w:rPr>
        <w:noBreakHyphen/>
        <w:t>year Workforce Plan (NHS England, 2023) – only numerical targets and retention metrics will be used.</w:t>
      </w:r>
    </w:p>
    <w:p w14:paraId="64AB8A19" w14:textId="76E15870" w:rsidR="00BD4A54" w:rsidRPr="00BD4A54" w:rsidRDefault="00BD4A54" w:rsidP="00BD4A54">
      <w:pPr>
        <w:jc w:val="both"/>
        <w:rPr>
          <w:rFonts w:ascii="Arial" w:hAnsi="Arial" w:cs="Arial"/>
        </w:rPr>
      </w:pPr>
      <w:r w:rsidRPr="00BD4A54">
        <w:rPr>
          <w:rFonts w:ascii="Arial" w:hAnsi="Arial" w:cs="Arial"/>
        </w:rPr>
        <w:t>No qualitative document analysis (e.g., thematic analysis of policy narratives) will be performed.</w:t>
      </w:r>
    </w:p>
    <w:p w14:paraId="0B90FC56" w14:textId="76ABA3C4" w:rsidR="0033783D" w:rsidRPr="00A15058" w:rsidRDefault="0033783D" w:rsidP="00BD4A54">
      <w:pPr>
        <w:jc w:val="both"/>
        <w:rPr>
          <w:rFonts w:ascii="Arial" w:hAnsi="Arial" w:cs="Arial"/>
          <w:b/>
          <w:bCs/>
        </w:rPr>
      </w:pPr>
      <w:r w:rsidRPr="00A15058">
        <w:rPr>
          <w:rFonts w:ascii="Arial" w:hAnsi="Arial" w:cs="Arial"/>
          <w:b/>
          <w:bCs/>
        </w:rPr>
        <w:t>Data Analysis</w:t>
      </w:r>
    </w:p>
    <w:p w14:paraId="0566C274" w14:textId="20E5B72A" w:rsidR="00BD4A54" w:rsidRDefault="0033783D" w:rsidP="007F6A88">
      <w:pPr>
        <w:jc w:val="both"/>
        <w:rPr>
          <w:rFonts w:ascii="Arial" w:hAnsi="Arial" w:cs="Arial"/>
        </w:rPr>
      </w:pPr>
      <w:r w:rsidRPr="00A15058">
        <w:rPr>
          <w:rFonts w:ascii="Arial" w:hAnsi="Arial" w:cs="Arial"/>
          <w:b/>
          <w:bCs/>
        </w:rPr>
        <w:t>Quantitative analysis:</w:t>
      </w:r>
      <w:r w:rsidRPr="00A15058">
        <w:rPr>
          <w:rFonts w:ascii="Arial" w:hAnsi="Arial" w:cs="Arial"/>
        </w:rPr>
        <w:t> </w:t>
      </w:r>
      <w:r w:rsidR="002E2487" w:rsidRPr="002E2487">
        <w:rPr>
          <w:rFonts w:ascii="Arial" w:hAnsi="Arial" w:cs="Arial"/>
        </w:rPr>
        <w:t>Data will be analysed using descriptive and inferential statistical techniques.</w:t>
      </w:r>
    </w:p>
    <w:p w14:paraId="3044AB6F" w14:textId="77777777" w:rsidR="00BD4A54" w:rsidRDefault="002E2487" w:rsidP="007F6A88">
      <w:pPr>
        <w:jc w:val="both"/>
        <w:rPr>
          <w:rFonts w:ascii="Arial" w:hAnsi="Arial" w:cs="Arial"/>
        </w:rPr>
      </w:pPr>
      <w:r w:rsidRPr="002E2487">
        <w:rPr>
          <w:rFonts w:ascii="Arial" w:hAnsi="Arial" w:cs="Arial"/>
        </w:rPr>
        <w:t>Descriptive statistics will be used to track trends in visa grant rates for SOC 6135 and SOC 6136.</w:t>
      </w:r>
    </w:p>
    <w:p w14:paraId="542D2D35" w14:textId="462C65A8" w:rsidR="0033783D" w:rsidRPr="00A15058" w:rsidRDefault="002E2487" w:rsidP="007F6A88">
      <w:pPr>
        <w:jc w:val="both"/>
        <w:rPr>
          <w:rFonts w:ascii="Arial" w:hAnsi="Arial" w:cs="Arial"/>
        </w:rPr>
      </w:pPr>
      <w:r w:rsidRPr="002E2487">
        <w:rPr>
          <w:rFonts w:ascii="Arial" w:hAnsi="Arial" w:cs="Arial"/>
        </w:rPr>
        <w:lastRenderedPageBreak/>
        <w:t>Inferential statistics, including multiple regression models, will be utilised to test the correlation between increased salary/skill thresholds and the retention of migrant human capital. The study will specifically evaluate the Home Office's modelling of "outflow profiles" to quantify the long-term risk of human capital depletion.</w:t>
      </w:r>
    </w:p>
    <w:p w14:paraId="113BED26" w14:textId="35397850" w:rsidR="002E2487" w:rsidRPr="00C84D14" w:rsidRDefault="0033783D" w:rsidP="002E2487">
      <w:pPr>
        <w:jc w:val="both"/>
        <w:rPr>
          <w:rFonts w:ascii="Arial" w:hAnsi="Arial" w:cs="Arial"/>
        </w:rPr>
      </w:pPr>
      <w:r w:rsidRPr="00A15058">
        <w:rPr>
          <w:rFonts w:ascii="Arial" w:hAnsi="Arial" w:cs="Arial"/>
          <w:b/>
          <w:bCs/>
        </w:rPr>
        <w:t>Qualitative analysis –</w:t>
      </w:r>
      <w:r w:rsidR="002E2487">
        <w:rPr>
          <w:rFonts w:ascii="Arial" w:hAnsi="Arial" w:cs="Arial"/>
          <w:b/>
          <w:bCs/>
        </w:rPr>
        <w:t xml:space="preserve"> </w:t>
      </w:r>
      <w:r w:rsidR="00BD4A54" w:rsidRPr="00BD4A54">
        <w:rPr>
          <w:rFonts w:ascii="Arial" w:hAnsi="Arial" w:cs="Arial"/>
        </w:rPr>
        <w:t>None. No thematic analysis of policy documents will be undertaken</w:t>
      </w:r>
      <w:r w:rsidR="002E2487">
        <w:rPr>
          <w:rFonts w:ascii="Arial" w:hAnsi="Arial" w:cs="Arial"/>
        </w:rPr>
        <w:t>.</w:t>
      </w:r>
    </w:p>
    <w:p w14:paraId="69B38E6A" w14:textId="77777777" w:rsidR="002E2487" w:rsidRDefault="0033783D" w:rsidP="002E2487">
      <w:pPr>
        <w:jc w:val="both"/>
        <w:rPr>
          <w:rFonts w:ascii="Arial" w:hAnsi="Arial" w:cs="Arial"/>
          <w:b/>
          <w:bCs/>
        </w:rPr>
      </w:pPr>
      <w:r w:rsidRPr="00A15058">
        <w:rPr>
          <w:rFonts w:ascii="Arial" w:hAnsi="Arial" w:cs="Arial"/>
          <w:b/>
          <w:bCs/>
        </w:rPr>
        <w:t>Ethical Considerations</w:t>
      </w:r>
    </w:p>
    <w:p w14:paraId="3B0BD1EF" w14:textId="4F817EA3" w:rsidR="002E2487" w:rsidRPr="002E2487" w:rsidRDefault="002E2487" w:rsidP="002E2487">
      <w:pPr>
        <w:jc w:val="both"/>
        <w:rPr>
          <w:rFonts w:ascii="Arial" w:hAnsi="Arial" w:cs="Arial"/>
        </w:rPr>
      </w:pPr>
      <w:r w:rsidRPr="002E2487">
        <w:rPr>
          <w:rFonts w:ascii="Arial" w:hAnsi="Arial" w:cs="Arial"/>
        </w:rPr>
        <w:t>Because the research is restricted to public-domain secondary data, direct informed consent from human participants is not required. However, the study will adhere to UWTSD standards of data integrity and ensure the objective and ethical representation of information involving "sensitive personal information" related to migrant status.</w:t>
      </w:r>
    </w:p>
    <w:p w14:paraId="207E85D7" w14:textId="286B64EE" w:rsidR="0033783D" w:rsidRPr="002E2487" w:rsidRDefault="0033783D" w:rsidP="00E845E4">
      <w:pPr>
        <w:pStyle w:val="Heading1"/>
        <w:rPr>
          <w:b/>
          <w:bCs/>
          <w:sz w:val="24"/>
          <w:szCs w:val="24"/>
        </w:rPr>
      </w:pPr>
      <w:r w:rsidRPr="000F191F">
        <w:t>5. Risks, Limitations and Mitigations</w:t>
      </w:r>
    </w:p>
    <w:p w14:paraId="30E15B14" w14:textId="77777777" w:rsidR="0033783D" w:rsidRPr="00A15058" w:rsidRDefault="0033783D" w:rsidP="007F6A88">
      <w:pPr>
        <w:numPr>
          <w:ilvl w:val="0"/>
          <w:numId w:val="4"/>
        </w:numPr>
        <w:jc w:val="both"/>
        <w:rPr>
          <w:rFonts w:ascii="Arial" w:hAnsi="Arial" w:cs="Arial"/>
        </w:rPr>
      </w:pPr>
      <w:r w:rsidRPr="00A15058">
        <w:rPr>
          <w:rFonts w:ascii="Arial" w:hAnsi="Arial" w:cs="Arial"/>
          <w:b/>
          <w:bCs/>
        </w:rPr>
        <w:t>Policy volatility:</w:t>
      </w:r>
      <w:r w:rsidRPr="00A15058">
        <w:rPr>
          <w:rFonts w:ascii="Arial" w:hAnsi="Arial" w:cs="Arial"/>
        </w:rPr>
        <w:t> Immigration rules may change again during the research period. </w:t>
      </w:r>
      <w:r w:rsidRPr="00A15058">
        <w:rPr>
          <w:rFonts w:ascii="Arial" w:hAnsi="Arial" w:cs="Arial"/>
          <w:i/>
          <w:iCs/>
        </w:rPr>
        <w:t>Mitigation</w:t>
      </w:r>
      <w:r w:rsidRPr="00A15058">
        <w:rPr>
          <w:rFonts w:ascii="Arial" w:hAnsi="Arial" w:cs="Arial"/>
        </w:rPr>
        <w:t>: I will clearly state the cut</w:t>
      </w:r>
      <w:r w:rsidRPr="00A15058">
        <w:rPr>
          <w:rFonts w:ascii="Arial" w:hAnsi="Arial" w:cs="Arial"/>
        </w:rPr>
        <w:noBreakHyphen/>
        <w:t>off date for policy inclusion (e.g., April 2026) and treat any later changes as beyond the study's scope.</w:t>
      </w:r>
    </w:p>
    <w:p w14:paraId="506FDD2A" w14:textId="77777777" w:rsidR="0033783D" w:rsidRPr="00A15058" w:rsidRDefault="0033783D" w:rsidP="007F6A88">
      <w:pPr>
        <w:numPr>
          <w:ilvl w:val="0"/>
          <w:numId w:val="4"/>
        </w:numPr>
        <w:jc w:val="both"/>
        <w:rPr>
          <w:rFonts w:ascii="Arial" w:hAnsi="Arial" w:cs="Arial"/>
        </w:rPr>
      </w:pPr>
      <w:r w:rsidRPr="00A15058">
        <w:rPr>
          <w:rFonts w:ascii="Arial" w:hAnsi="Arial" w:cs="Arial"/>
          <w:b/>
          <w:bCs/>
        </w:rPr>
        <w:t>Data comparability across UK nations:</w:t>
      </w:r>
      <w:r w:rsidRPr="00A15058">
        <w:rPr>
          <w:rFonts w:ascii="Arial" w:hAnsi="Arial" w:cs="Arial"/>
        </w:rPr>
        <w:t> Scotland, Wales and Northern Ireland have different healthcare governance and workforce data systems. </w:t>
      </w:r>
      <w:r w:rsidRPr="00A15058">
        <w:rPr>
          <w:rFonts w:ascii="Arial" w:hAnsi="Arial" w:cs="Arial"/>
          <w:i/>
          <w:iCs/>
        </w:rPr>
        <w:t>Mitigation</w:t>
      </w:r>
      <w:r w:rsidRPr="00A15058">
        <w:rPr>
          <w:rFonts w:ascii="Arial" w:hAnsi="Arial" w:cs="Arial"/>
        </w:rPr>
        <w:t>: Where data are not comparable, I will analyse England separately and note the limitation explicitly.</w:t>
      </w:r>
    </w:p>
    <w:p w14:paraId="6E84785C" w14:textId="77777777" w:rsidR="0033783D" w:rsidRPr="00A15058" w:rsidRDefault="0033783D" w:rsidP="007F6A88">
      <w:pPr>
        <w:numPr>
          <w:ilvl w:val="0"/>
          <w:numId w:val="4"/>
        </w:numPr>
        <w:jc w:val="both"/>
        <w:rPr>
          <w:rFonts w:ascii="Arial" w:hAnsi="Arial" w:cs="Arial"/>
        </w:rPr>
      </w:pPr>
      <w:r w:rsidRPr="00A15058">
        <w:rPr>
          <w:rFonts w:ascii="Arial" w:hAnsi="Arial" w:cs="Arial"/>
          <w:b/>
          <w:bCs/>
        </w:rPr>
        <w:t>Forward projection risk (2026 policies):</w:t>
      </w:r>
      <w:r w:rsidRPr="00A15058">
        <w:rPr>
          <w:rFonts w:ascii="Arial" w:hAnsi="Arial" w:cs="Arial"/>
        </w:rPr>
        <w:t> Full implementation data for HC 1691 (Home Office, 2026) may not be available. </w:t>
      </w:r>
      <w:r w:rsidRPr="00A15058">
        <w:rPr>
          <w:rFonts w:ascii="Arial" w:hAnsi="Arial" w:cs="Arial"/>
          <w:i/>
          <w:iCs/>
        </w:rPr>
        <w:t>Mitigation</w:t>
      </w:r>
      <w:r w:rsidRPr="00A15058">
        <w:rPr>
          <w:rFonts w:ascii="Arial" w:hAnsi="Arial" w:cs="Arial"/>
        </w:rPr>
        <w:t>: I will rely on the Home Office's own modelled projections and label findings as "estimated impacts" rather than confirmed outcomes.</w:t>
      </w:r>
    </w:p>
    <w:p w14:paraId="6B0A5509" w14:textId="77777777" w:rsidR="0033783D" w:rsidRDefault="0033783D" w:rsidP="007F6A88">
      <w:pPr>
        <w:numPr>
          <w:ilvl w:val="0"/>
          <w:numId w:val="4"/>
        </w:numPr>
        <w:jc w:val="both"/>
        <w:rPr>
          <w:rFonts w:ascii="Arial" w:hAnsi="Arial" w:cs="Arial"/>
        </w:rPr>
      </w:pPr>
      <w:r w:rsidRPr="00A15058">
        <w:rPr>
          <w:rFonts w:ascii="Arial" w:hAnsi="Arial" w:cs="Arial"/>
          <w:b/>
          <w:bCs/>
        </w:rPr>
        <w:t>TBL environmental pillar exclusion:</w:t>
      </w:r>
      <w:r w:rsidRPr="00A15058">
        <w:rPr>
          <w:rFonts w:ascii="Arial" w:hAnsi="Arial" w:cs="Arial"/>
        </w:rPr>
        <w:t> This is a conceptual limitation. </w:t>
      </w:r>
      <w:r w:rsidRPr="00A15058">
        <w:rPr>
          <w:rFonts w:ascii="Arial" w:hAnsi="Arial" w:cs="Arial"/>
          <w:i/>
          <w:iCs/>
        </w:rPr>
        <w:t>Mitigation</w:t>
      </w:r>
      <w:r w:rsidRPr="00A15058">
        <w:rPr>
          <w:rFonts w:ascii="Arial" w:hAnsi="Arial" w:cs="Arial"/>
        </w:rPr>
        <w:t>: I state upfront that the study is limited to social and economic sustainability.</w:t>
      </w:r>
    </w:p>
    <w:p w14:paraId="291CF7A6" w14:textId="4911967E" w:rsidR="00760B53" w:rsidRPr="00A15058" w:rsidRDefault="00760B53" w:rsidP="007F6A88">
      <w:pPr>
        <w:numPr>
          <w:ilvl w:val="0"/>
          <w:numId w:val="4"/>
        </w:numPr>
        <w:jc w:val="both"/>
        <w:rPr>
          <w:rFonts w:ascii="Arial" w:hAnsi="Arial" w:cs="Arial"/>
        </w:rPr>
      </w:pPr>
      <w:r w:rsidRPr="00760B53">
        <w:rPr>
          <w:rFonts w:ascii="Arial" w:hAnsi="Arial" w:cs="Arial"/>
          <w:b/>
          <w:bCs/>
        </w:rPr>
        <w:t>Correlation vs causation</w:t>
      </w:r>
      <w:r w:rsidRPr="00760B53">
        <w:rPr>
          <w:rFonts w:ascii="Arial" w:hAnsi="Arial" w:cs="Arial"/>
        </w:rPr>
        <w:t> – Regression analysis can show statistical association but cannot prove that rule changes directly caused human capital changes.</w:t>
      </w:r>
      <w:r>
        <w:rPr>
          <w:rFonts w:ascii="Arial" w:hAnsi="Arial" w:cs="Arial"/>
        </w:rPr>
        <w:t xml:space="preserve"> </w:t>
      </w:r>
      <w:r w:rsidRPr="00A15058">
        <w:rPr>
          <w:rFonts w:ascii="Arial" w:hAnsi="Arial" w:cs="Arial"/>
          <w:i/>
          <w:iCs/>
        </w:rPr>
        <w:t>Mitigation</w:t>
      </w:r>
      <w:r w:rsidRPr="00A15058">
        <w:rPr>
          <w:rFonts w:ascii="Arial" w:hAnsi="Arial" w:cs="Arial"/>
        </w:rPr>
        <w:t>:</w:t>
      </w:r>
      <w:r>
        <w:rPr>
          <w:rFonts w:ascii="Arial" w:hAnsi="Arial" w:cs="Arial"/>
        </w:rPr>
        <w:t xml:space="preserve"> This</w:t>
      </w:r>
      <w:r w:rsidRPr="00760B53">
        <w:rPr>
          <w:rFonts w:ascii="Arial" w:hAnsi="Arial" w:cs="Arial"/>
        </w:rPr>
        <w:t xml:space="preserve"> limitation </w:t>
      </w:r>
      <w:r>
        <w:rPr>
          <w:rFonts w:ascii="Arial" w:hAnsi="Arial" w:cs="Arial"/>
        </w:rPr>
        <w:t>is explicitly stated</w:t>
      </w:r>
      <w:r w:rsidRPr="00760B53">
        <w:rPr>
          <w:rFonts w:ascii="Arial" w:hAnsi="Arial" w:cs="Arial"/>
        </w:rPr>
        <w:t xml:space="preserve"> in the findings chapter; use terms such as "association" and "statistical relationship" not "causation".</w:t>
      </w:r>
    </w:p>
    <w:p w14:paraId="233BB5D1" w14:textId="77777777" w:rsidR="0033783D" w:rsidRPr="000F191F" w:rsidRDefault="0033783D" w:rsidP="00A15058">
      <w:pPr>
        <w:pStyle w:val="Heading1"/>
        <w:rPr>
          <w:rFonts w:ascii="Arial" w:hAnsi="Arial" w:cs="Arial"/>
          <w:sz w:val="32"/>
          <w:szCs w:val="32"/>
        </w:rPr>
      </w:pPr>
      <w:r w:rsidRPr="000F191F">
        <w:rPr>
          <w:rFonts w:ascii="Arial" w:hAnsi="Arial" w:cs="Arial"/>
          <w:sz w:val="32"/>
          <w:szCs w:val="32"/>
        </w:rPr>
        <w:t>6. Timeline (Gantt Chart)</w:t>
      </w:r>
    </w:p>
    <w:p w14:paraId="5A696B26" w14:textId="77777777" w:rsidR="00281971" w:rsidRPr="00A15058" w:rsidRDefault="00281971" w:rsidP="00281971">
      <w:pPr>
        <w:rPr>
          <w:rFonts w:ascii="Arial" w:hAnsi="Arial" w:cs="Arial"/>
          <w:color w:val="000000" w:themeColor="text1"/>
        </w:rPr>
      </w:pPr>
      <w:r w:rsidRPr="00A15058">
        <w:rPr>
          <w:rFonts w:ascii="Arial" w:hAnsi="Arial" w:cs="Arial"/>
          <w:b/>
          <w:bCs/>
          <w:color w:val="000000" w:themeColor="text1"/>
        </w:rPr>
        <w:t>Week 1:</w:t>
      </w:r>
      <w:r w:rsidRPr="00A15058">
        <w:rPr>
          <w:rFonts w:ascii="Arial" w:hAnsi="Arial" w:cs="Arial"/>
          <w:color w:val="000000" w:themeColor="text1"/>
        </w:rPr>
        <w:t xml:space="preserve"> Idea of getting or searching for a topic.</w:t>
      </w:r>
    </w:p>
    <w:p w14:paraId="1940761C" w14:textId="77777777" w:rsidR="00281971" w:rsidRPr="00A15058" w:rsidRDefault="00281971" w:rsidP="00281971">
      <w:pPr>
        <w:rPr>
          <w:rFonts w:ascii="Arial" w:hAnsi="Arial" w:cs="Arial"/>
          <w:color w:val="000000" w:themeColor="text1"/>
        </w:rPr>
      </w:pPr>
      <w:r w:rsidRPr="00A15058">
        <w:rPr>
          <w:rFonts w:ascii="Arial" w:hAnsi="Arial" w:cs="Arial"/>
          <w:b/>
          <w:bCs/>
          <w:color w:val="000000" w:themeColor="text1"/>
        </w:rPr>
        <w:t>Week 2:</w:t>
      </w:r>
      <w:r w:rsidRPr="00A15058">
        <w:rPr>
          <w:rFonts w:ascii="Arial" w:hAnsi="Arial" w:cs="Arial"/>
          <w:color w:val="000000" w:themeColor="text1"/>
        </w:rPr>
        <w:t xml:space="preserve"> Defining the Dissertation topic &amp; Reviewing the Literature</w:t>
      </w:r>
    </w:p>
    <w:p w14:paraId="58FFD9D3" w14:textId="77777777" w:rsidR="00281971" w:rsidRPr="00A15058" w:rsidRDefault="00281971" w:rsidP="00281971">
      <w:pPr>
        <w:rPr>
          <w:rFonts w:ascii="Arial" w:hAnsi="Arial" w:cs="Arial"/>
          <w:color w:val="000000" w:themeColor="text1"/>
        </w:rPr>
      </w:pPr>
      <w:r w:rsidRPr="00A15058">
        <w:rPr>
          <w:rFonts w:ascii="Arial" w:hAnsi="Arial" w:cs="Arial"/>
          <w:b/>
          <w:bCs/>
          <w:color w:val="000000" w:themeColor="text1"/>
        </w:rPr>
        <w:lastRenderedPageBreak/>
        <w:t>Week 3:</w:t>
      </w:r>
      <w:r w:rsidRPr="00A15058">
        <w:rPr>
          <w:rFonts w:ascii="Arial" w:hAnsi="Arial" w:cs="Arial"/>
          <w:color w:val="000000" w:themeColor="text1"/>
        </w:rPr>
        <w:t xml:space="preserve"> Systematic review of literature and gap identification.</w:t>
      </w:r>
    </w:p>
    <w:p w14:paraId="6A5462B2" w14:textId="77777777" w:rsidR="00281971" w:rsidRPr="00A15058" w:rsidRDefault="00281971" w:rsidP="00281971">
      <w:pPr>
        <w:rPr>
          <w:rFonts w:ascii="Arial" w:hAnsi="Arial" w:cs="Arial"/>
          <w:color w:val="000000" w:themeColor="text1"/>
        </w:rPr>
      </w:pPr>
      <w:r w:rsidRPr="00A15058">
        <w:rPr>
          <w:rFonts w:ascii="Arial" w:hAnsi="Arial" w:cs="Arial"/>
          <w:b/>
          <w:bCs/>
          <w:color w:val="000000" w:themeColor="text1"/>
        </w:rPr>
        <w:t>Week 4:</w:t>
      </w:r>
      <w:r w:rsidRPr="00A15058">
        <w:rPr>
          <w:rFonts w:ascii="Arial" w:hAnsi="Arial" w:cs="Arial"/>
          <w:color w:val="000000" w:themeColor="text1"/>
        </w:rPr>
        <w:t xml:space="preserve"> Proposal writing and ethics review (secondary data exemption).</w:t>
      </w:r>
    </w:p>
    <w:p w14:paraId="425B27D9" w14:textId="77777777" w:rsidR="00281971" w:rsidRPr="00A15058" w:rsidRDefault="00281971" w:rsidP="00281971">
      <w:pPr>
        <w:rPr>
          <w:rFonts w:ascii="Arial" w:hAnsi="Arial" w:cs="Arial"/>
          <w:color w:val="000000" w:themeColor="text1"/>
        </w:rPr>
      </w:pPr>
      <w:r w:rsidRPr="00A15058">
        <w:rPr>
          <w:rFonts w:ascii="Arial" w:hAnsi="Arial" w:cs="Arial"/>
          <w:b/>
          <w:bCs/>
          <w:color w:val="000000" w:themeColor="text1"/>
        </w:rPr>
        <w:t>Week 5:</w:t>
      </w:r>
      <w:r w:rsidRPr="00A15058">
        <w:rPr>
          <w:rFonts w:ascii="Arial" w:hAnsi="Arial" w:cs="Arial"/>
          <w:color w:val="000000" w:themeColor="text1"/>
        </w:rPr>
        <w:t xml:space="preserve"> Proposal refinement and ethics approval.</w:t>
      </w:r>
    </w:p>
    <w:p w14:paraId="3E1479DD" w14:textId="42FEE398" w:rsidR="00281971" w:rsidRPr="00A15058" w:rsidRDefault="00281971" w:rsidP="00281971">
      <w:pPr>
        <w:rPr>
          <w:rFonts w:ascii="Arial" w:hAnsi="Arial" w:cs="Arial"/>
          <w:color w:val="000000" w:themeColor="text1"/>
        </w:rPr>
      </w:pPr>
      <w:r w:rsidRPr="00A15058">
        <w:rPr>
          <w:rFonts w:ascii="Arial" w:hAnsi="Arial" w:cs="Arial"/>
          <w:b/>
          <w:bCs/>
          <w:color w:val="000000" w:themeColor="text1"/>
        </w:rPr>
        <w:t>Weeks 6–8:</w:t>
      </w:r>
      <w:r w:rsidRPr="00A15058">
        <w:rPr>
          <w:rFonts w:ascii="Arial" w:hAnsi="Arial" w:cs="Arial"/>
          <w:color w:val="000000" w:themeColor="text1"/>
        </w:rPr>
        <w:t xml:space="preserve"> </w:t>
      </w:r>
      <w:r w:rsidR="009D35E7">
        <w:rPr>
          <w:rFonts w:ascii="Arial" w:hAnsi="Arial" w:cs="Arial"/>
          <w:color w:val="000000" w:themeColor="text1"/>
        </w:rPr>
        <w:t>Presentation and expanded</w:t>
      </w:r>
      <w:r w:rsidRPr="00A15058">
        <w:rPr>
          <w:rFonts w:ascii="Arial" w:hAnsi="Arial" w:cs="Arial"/>
          <w:color w:val="000000" w:themeColor="text1"/>
        </w:rPr>
        <w:t xml:space="preserve"> literature review and framework development.</w:t>
      </w:r>
    </w:p>
    <w:p w14:paraId="3293D872" w14:textId="77777777" w:rsidR="00281971" w:rsidRPr="00A15058" w:rsidRDefault="00281971" w:rsidP="00281971">
      <w:pPr>
        <w:rPr>
          <w:rFonts w:ascii="Arial" w:hAnsi="Arial" w:cs="Arial"/>
          <w:color w:val="000000" w:themeColor="text1"/>
        </w:rPr>
      </w:pPr>
      <w:r w:rsidRPr="00A15058">
        <w:rPr>
          <w:rFonts w:ascii="Arial" w:hAnsi="Arial" w:cs="Arial"/>
          <w:b/>
          <w:bCs/>
          <w:color w:val="000000" w:themeColor="text1"/>
        </w:rPr>
        <w:t>Weeks 9–12:</w:t>
      </w:r>
      <w:r w:rsidRPr="00A15058">
        <w:rPr>
          <w:rFonts w:ascii="Arial" w:hAnsi="Arial" w:cs="Arial"/>
          <w:color w:val="000000" w:themeColor="text1"/>
        </w:rPr>
        <w:t xml:space="preserve"> Secondary data extraction (ONS, Home Office, ASC-WDS) and document analysis.</w:t>
      </w:r>
    </w:p>
    <w:p w14:paraId="6CE359FD" w14:textId="436AECD5" w:rsidR="00281971" w:rsidRPr="00A15058" w:rsidRDefault="00281971" w:rsidP="00281971">
      <w:pPr>
        <w:rPr>
          <w:rFonts w:ascii="Arial" w:hAnsi="Arial" w:cs="Arial"/>
          <w:color w:val="000000" w:themeColor="text1"/>
        </w:rPr>
      </w:pPr>
      <w:r w:rsidRPr="00A15058">
        <w:rPr>
          <w:rFonts w:ascii="Arial" w:hAnsi="Arial" w:cs="Arial"/>
          <w:b/>
          <w:bCs/>
          <w:color w:val="000000" w:themeColor="text1"/>
        </w:rPr>
        <w:t>Weeks 12–13:</w:t>
      </w:r>
      <w:r w:rsidRPr="00A15058">
        <w:rPr>
          <w:rFonts w:ascii="Arial" w:hAnsi="Arial" w:cs="Arial"/>
          <w:color w:val="000000" w:themeColor="text1"/>
        </w:rPr>
        <w:t xml:space="preserve"> </w:t>
      </w:r>
      <w:r w:rsidR="009D35E7" w:rsidRPr="009D35E7">
        <w:rPr>
          <w:rFonts w:ascii="Arial" w:hAnsi="Arial" w:cs="Arial"/>
          <w:color w:val="000000" w:themeColor="text1"/>
        </w:rPr>
        <w:t>Quantitative analysis (descriptive statistics, correlation, regression)</w:t>
      </w:r>
      <w:r w:rsidRPr="00A15058">
        <w:rPr>
          <w:rFonts w:ascii="Arial" w:hAnsi="Arial" w:cs="Arial"/>
          <w:color w:val="000000" w:themeColor="text1"/>
        </w:rPr>
        <w:t>.</w:t>
      </w:r>
    </w:p>
    <w:p w14:paraId="6900312C" w14:textId="77777777" w:rsidR="00281971" w:rsidRPr="00A15058" w:rsidRDefault="00281971" w:rsidP="00281971">
      <w:pPr>
        <w:rPr>
          <w:rFonts w:ascii="Arial" w:hAnsi="Arial" w:cs="Arial"/>
          <w:color w:val="000000" w:themeColor="text1"/>
        </w:rPr>
      </w:pPr>
      <w:r w:rsidRPr="00A15058">
        <w:rPr>
          <w:rFonts w:ascii="Arial" w:hAnsi="Arial" w:cs="Arial"/>
          <w:b/>
          <w:bCs/>
          <w:color w:val="000000" w:themeColor="text1"/>
        </w:rPr>
        <w:t>Weeks 14–16:</w:t>
      </w:r>
      <w:r w:rsidRPr="00A15058">
        <w:rPr>
          <w:rFonts w:ascii="Arial" w:hAnsi="Arial" w:cs="Arial"/>
          <w:color w:val="000000" w:themeColor="text1"/>
        </w:rPr>
        <w:t xml:space="preserve"> Dissertation writing, conclusions, editing, and submission.</w:t>
      </w:r>
    </w:p>
    <w:p w14:paraId="2D3980D3" w14:textId="77777777" w:rsidR="00281971" w:rsidRPr="00A15058" w:rsidRDefault="00281971" w:rsidP="0033783D">
      <w:pPr>
        <w:rPr>
          <w:rFonts w:ascii="Arial" w:hAnsi="Arial" w:cs="Arial"/>
          <w:b/>
          <w:bCs/>
        </w:rPr>
      </w:pPr>
    </w:p>
    <w:p w14:paraId="04F03738" w14:textId="1819B4CB" w:rsidR="0033783D" w:rsidRPr="000F191F" w:rsidRDefault="0033783D" w:rsidP="00A15058">
      <w:pPr>
        <w:pStyle w:val="Heading1"/>
        <w:rPr>
          <w:rFonts w:ascii="Arial" w:hAnsi="Arial" w:cs="Arial"/>
          <w:sz w:val="32"/>
          <w:szCs w:val="32"/>
        </w:rPr>
      </w:pPr>
      <w:r w:rsidRPr="000F191F">
        <w:rPr>
          <w:rFonts w:ascii="Arial" w:hAnsi="Arial" w:cs="Arial"/>
          <w:sz w:val="32"/>
          <w:szCs w:val="32"/>
        </w:rPr>
        <w:t>7. References</w:t>
      </w:r>
    </w:p>
    <w:p w14:paraId="0E831DC3" w14:textId="57ED56C7" w:rsidR="0033783D" w:rsidRPr="00A15058" w:rsidRDefault="0004248B" w:rsidP="0033783D">
      <w:pPr>
        <w:rPr>
          <w:rFonts w:ascii="Arial" w:hAnsi="Arial" w:cs="Arial"/>
        </w:rPr>
      </w:pPr>
      <w:r w:rsidRPr="00A15058">
        <w:rPr>
          <w:rFonts w:ascii="Arial" w:hAnsi="Arial" w:cs="Arial"/>
        </w:rPr>
        <w:t>Alhaddi, H., 2015</w:t>
      </w:r>
      <w:r w:rsidR="00867990">
        <w:rPr>
          <w:rFonts w:ascii="Arial" w:hAnsi="Arial" w:cs="Arial"/>
        </w:rPr>
        <w:t>.</w:t>
      </w:r>
      <w:r w:rsidRPr="00A15058">
        <w:rPr>
          <w:rFonts w:ascii="Arial" w:hAnsi="Arial" w:cs="Arial"/>
        </w:rPr>
        <w:t xml:space="preserve"> Triple bottom line and sustainability: A literature review. </w:t>
      </w:r>
      <w:r w:rsidRPr="00A15058">
        <w:rPr>
          <w:rFonts w:ascii="Arial" w:hAnsi="Arial" w:cs="Arial"/>
          <w:i/>
          <w:iCs/>
        </w:rPr>
        <w:t xml:space="preserve">Business and Management </w:t>
      </w:r>
      <w:r w:rsidR="00B056BF">
        <w:rPr>
          <w:rFonts w:ascii="Arial" w:hAnsi="Arial" w:cs="Arial"/>
          <w:i/>
          <w:iCs/>
        </w:rPr>
        <w:t>Studies</w:t>
      </w:r>
      <w:r w:rsidRPr="00A15058">
        <w:rPr>
          <w:rFonts w:ascii="Arial" w:hAnsi="Arial" w:cs="Arial"/>
        </w:rPr>
        <w:t>, </w:t>
      </w:r>
      <w:r w:rsidRPr="00A15058">
        <w:rPr>
          <w:rFonts w:ascii="Arial" w:hAnsi="Arial" w:cs="Arial"/>
          <w:i/>
          <w:iCs/>
        </w:rPr>
        <w:t>1</w:t>
      </w:r>
      <w:r w:rsidRPr="00A15058">
        <w:rPr>
          <w:rFonts w:ascii="Arial" w:hAnsi="Arial" w:cs="Arial"/>
        </w:rPr>
        <w:t>(2), pp.6-10</w:t>
      </w:r>
      <w:r w:rsidR="0033783D" w:rsidRPr="00A15058">
        <w:rPr>
          <w:rFonts w:ascii="Arial" w:hAnsi="Arial" w:cs="Arial"/>
        </w:rPr>
        <w:t>.</w:t>
      </w:r>
    </w:p>
    <w:p w14:paraId="54DDA22C" w14:textId="77777777" w:rsidR="00005444" w:rsidRPr="00A15058" w:rsidRDefault="00005444" w:rsidP="0033783D">
      <w:pPr>
        <w:rPr>
          <w:rFonts w:ascii="Arial" w:hAnsi="Arial" w:cs="Arial"/>
        </w:rPr>
      </w:pPr>
      <w:r w:rsidRPr="00A15058">
        <w:rPr>
          <w:rFonts w:ascii="Arial" w:hAnsi="Arial" w:cs="Arial"/>
        </w:rPr>
        <w:t>Anderson, M., O'Neill, C., Clark, J.M., Street, A., Woods, M., Johnston-Webber, C., Charlesworth, A., Whyte, M., Foster, M., Majeed, A. and Pitchforth, E., 2021. Securing a sustainable and fit-for-purpose UK health and care workforce. </w:t>
      </w:r>
      <w:r w:rsidRPr="00A15058">
        <w:rPr>
          <w:rFonts w:ascii="Arial" w:hAnsi="Arial" w:cs="Arial"/>
          <w:i/>
          <w:iCs/>
        </w:rPr>
        <w:t>The Lancet</w:t>
      </w:r>
      <w:r w:rsidRPr="00A15058">
        <w:rPr>
          <w:rFonts w:ascii="Arial" w:hAnsi="Arial" w:cs="Arial"/>
        </w:rPr>
        <w:t>, </w:t>
      </w:r>
      <w:r w:rsidRPr="00A15058">
        <w:rPr>
          <w:rFonts w:ascii="Arial" w:hAnsi="Arial" w:cs="Arial"/>
          <w:i/>
          <w:iCs/>
        </w:rPr>
        <w:t>397</w:t>
      </w:r>
      <w:r w:rsidRPr="00A15058">
        <w:rPr>
          <w:rFonts w:ascii="Arial" w:hAnsi="Arial" w:cs="Arial"/>
        </w:rPr>
        <w:t>(10288), pp.1992-2011.</w:t>
      </w:r>
    </w:p>
    <w:p w14:paraId="0879C1CC" w14:textId="0ED9CEC2" w:rsidR="0033783D" w:rsidRPr="00A15058" w:rsidRDefault="0033783D" w:rsidP="0033783D">
      <w:pPr>
        <w:rPr>
          <w:rFonts w:ascii="Arial" w:hAnsi="Arial" w:cs="Arial"/>
          <w:color w:val="000000" w:themeColor="text1"/>
        </w:rPr>
      </w:pPr>
      <w:r w:rsidRPr="00A15058">
        <w:rPr>
          <w:rFonts w:ascii="Arial" w:hAnsi="Arial" w:cs="Arial"/>
          <w:color w:val="000000" w:themeColor="text1"/>
        </w:rPr>
        <w:t>Becker, G.S. (1964) </w:t>
      </w:r>
      <w:r w:rsidRPr="00A15058">
        <w:rPr>
          <w:rFonts w:ascii="Arial" w:hAnsi="Arial" w:cs="Arial"/>
          <w:i/>
          <w:iCs/>
          <w:color w:val="000000" w:themeColor="text1"/>
        </w:rPr>
        <w:t>Human Capital: A Theoretical and Empirical Analysis, with Special Reference to Education</w:t>
      </w:r>
      <w:r w:rsidRPr="00A15058">
        <w:rPr>
          <w:rFonts w:ascii="Arial" w:hAnsi="Arial" w:cs="Arial"/>
          <w:color w:val="000000" w:themeColor="text1"/>
        </w:rPr>
        <w:t>. National Bureau of Economic Research.</w:t>
      </w:r>
    </w:p>
    <w:p w14:paraId="70E3FE04" w14:textId="1E3F7B9F" w:rsidR="0033783D" w:rsidRPr="00A15058" w:rsidRDefault="00B10107" w:rsidP="0033783D">
      <w:pPr>
        <w:rPr>
          <w:rFonts w:ascii="Arial" w:hAnsi="Arial" w:cs="Arial"/>
        </w:rPr>
      </w:pPr>
      <w:r w:rsidRPr="00A15058">
        <w:rPr>
          <w:rFonts w:ascii="Arial" w:hAnsi="Arial" w:cs="Arial"/>
        </w:rPr>
        <w:t>Davda, L.S., Gallagher, J.E. and Radford, D.R., 2018. Migration motives and integration of international human resources of health in the United Kingdom: systematic review and meta-synthesis of qualitative studies using framework analysis. </w:t>
      </w:r>
      <w:r w:rsidRPr="00A15058">
        <w:rPr>
          <w:rFonts w:ascii="Arial" w:hAnsi="Arial" w:cs="Arial"/>
          <w:i/>
          <w:iCs/>
        </w:rPr>
        <w:t>Human resources for health</w:t>
      </w:r>
      <w:r w:rsidRPr="00A15058">
        <w:rPr>
          <w:rFonts w:ascii="Arial" w:hAnsi="Arial" w:cs="Arial"/>
        </w:rPr>
        <w:t>, </w:t>
      </w:r>
      <w:r w:rsidRPr="00A15058">
        <w:rPr>
          <w:rFonts w:ascii="Arial" w:hAnsi="Arial" w:cs="Arial"/>
          <w:i/>
          <w:iCs/>
        </w:rPr>
        <w:t>16</w:t>
      </w:r>
      <w:r w:rsidRPr="00A15058">
        <w:rPr>
          <w:rFonts w:ascii="Arial" w:hAnsi="Arial" w:cs="Arial"/>
        </w:rPr>
        <w:t>(1), p.27.</w:t>
      </w:r>
    </w:p>
    <w:p w14:paraId="7594C1C2" w14:textId="77777777" w:rsidR="0033783D" w:rsidRPr="00A15058" w:rsidRDefault="0033783D" w:rsidP="0033783D">
      <w:pPr>
        <w:rPr>
          <w:rFonts w:ascii="Arial" w:hAnsi="Arial" w:cs="Arial"/>
        </w:rPr>
      </w:pPr>
      <w:r w:rsidRPr="00A15058">
        <w:rPr>
          <w:rFonts w:ascii="Arial" w:hAnsi="Arial" w:cs="Arial"/>
        </w:rPr>
        <w:t>Hatton, T.J. (2005) 'Explaining trends in UK immigration', </w:t>
      </w:r>
      <w:r w:rsidRPr="00A15058">
        <w:rPr>
          <w:rFonts w:ascii="Arial" w:hAnsi="Arial" w:cs="Arial"/>
          <w:i/>
          <w:iCs/>
        </w:rPr>
        <w:t>Journal of Population Economics</w:t>
      </w:r>
      <w:r w:rsidRPr="00A15058">
        <w:rPr>
          <w:rFonts w:ascii="Arial" w:hAnsi="Arial" w:cs="Arial"/>
        </w:rPr>
        <w:t>, 18, pp. 719–740.</w:t>
      </w:r>
    </w:p>
    <w:p w14:paraId="66DA154D" w14:textId="4B5BDD31" w:rsidR="0033783D" w:rsidRPr="00A15058" w:rsidRDefault="0033783D" w:rsidP="0033783D">
      <w:pPr>
        <w:rPr>
          <w:rFonts w:ascii="Arial" w:hAnsi="Arial" w:cs="Arial"/>
        </w:rPr>
      </w:pPr>
      <w:r w:rsidRPr="00A15058">
        <w:rPr>
          <w:rFonts w:ascii="Arial" w:hAnsi="Arial" w:cs="Arial"/>
        </w:rPr>
        <w:t>Home Office (2025a) </w:t>
      </w:r>
      <w:r w:rsidRPr="00A15058">
        <w:rPr>
          <w:rFonts w:ascii="Arial" w:hAnsi="Arial" w:cs="Arial"/>
          <w:i/>
          <w:iCs/>
        </w:rPr>
        <w:t>Restoring Control over the Immigration System</w:t>
      </w:r>
      <w:r w:rsidRPr="00A15058">
        <w:rPr>
          <w:rFonts w:ascii="Arial" w:hAnsi="Arial" w:cs="Arial"/>
        </w:rPr>
        <w:t>. Available at: </w:t>
      </w:r>
      <w:hyperlink r:id="rId9" w:history="1">
        <w:r w:rsidR="00D76EDE" w:rsidRPr="00A15058">
          <w:rPr>
            <w:rStyle w:val="Hyperlink"/>
            <w:rFonts w:ascii="Arial" w:hAnsi="Arial" w:cs="Arial"/>
          </w:rPr>
          <w:t>https://www.gov.uk/government/publications/restoring-control-over-the-immigration-system-white-paper/restoring-control-over-the-immigration-system-accessible</w:t>
        </w:r>
      </w:hyperlink>
      <w:r w:rsidR="00D76EDE" w:rsidRPr="00A15058">
        <w:rPr>
          <w:rFonts w:ascii="Arial" w:hAnsi="Arial" w:cs="Arial"/>
        </w:rPr>
        <w:t xml:space="preserve"> </w:t>
      </w:r>
      <w:r w:rsidRPr="00A15058">
        <w:rPr>
          <w:rFonts w:ascii="Arial" w:hAnsi="Arial" w:cs="Arial"/>
        </w:rPr>
        <w:t xml:space="preserve">(Accessed: </w:t>
      </w:r>
      <w:r w:rsidR="00134C4A" w:rsidRPr="00A15058">
        <w:rPr>
          <w:rFonts w:ascii="Arial" w:hAnsi="Arial" w:cs="Arial"/>
        </w:rPr>
        <w:t>2</w:t>
      </w:r>
      <w:r w:rsidRPr="00A15058">
        <w:rPr>
          <w:rFonts w:ascii="Arial" w:hAnsi="Arial" w:cs="Arial"/>
        </w:rPr>
        <w:t xml:space="preserve"> June 2026).</w:t>
      </w:r>
    </w:p>
    <w:p w14:paraId="5770257B" w14:textId="146EDB40" w:rsidR="0033783D" w:rsidRPr="00A15058" w:rsidRDefault="0033783D" w:rsidP="0033783D">
      <w:pPr>
        <w:rPr>
          <w:rFonts w:ascii="Arial" w:hAnsi="Arial" w:cs="Arial"/>
        </w:rPr>
      </w:pPr>
      <w:r w:rsidRPr="00A15058">
        <w:rPr>
          <w:rFonts w:ascii="Arial" w:hAnsi="Arial" w:cs="Arial"/>
        </w:rPr>
        <w:t>Home Office (2025b) </w:t>
      </w:r>
      <w:r w:rsidRPr="00A15058">
        <w:rPr>
          <w:rFonts w:ascii="Arial" w:hAnsi="Arial" w:cs="Arial"/>
          <w:i/>
          <w:iCs/>
        </w:rPr>
        <w:t>Spring 2025 Immigration Rules Impact Assessment (Skilled Worker and Care Worker)</w:t>
      </w:r>
      <w:r w:rsidRPr="00A15058">
        <w:rPr>
          <w:rFonts w:ascii="Arial" w:hAnsi="Arial" w:cs="Arial"/>
        </w:rPr>
        <w:t>. Available at:</w:t>
      </w:r>
      <w:r w:rsidR="009928FD">
        <w:rPr>
          <w:rFonts w:ascii="Arial" w:hAnsi="Arial" w:cs="Arial"/>
        </w:rPr>
        <w:t xml:space="preserve"> </w:t>
      </w:r>
      <w:hyperlink r:id="rId10" w:history="1">
        <w:r w:rsidR="009928FD" w:rsidRPr="00865366">
          <w:rPr>
            <w:rStyle w:val="Hyperlink"/>
            <w:rFonts w:ascii="Arial" w:hAnsi="Arial" w:cs="Arial"/>
          </w:rPr>
          <w:t>https://www.gov.uk/government/publications/statement-of-changes-to-the-immigration-</w:t>
        </w:r>
        <w:r w:rsidR="009928FD" w:rsidRPr="00865366">
          <w:rPr>
            <w:rStyle w:val="Hyperlink"/>
            <w:rFonts w:ascii="Arial" w:hAnsi="Arial" w:cs="Arial"/>
          </w:rPr>
          <w:lastRenderedPageBreak/>
          <w:t>rules-hc-997-1-july-2025/spring-2025-immigration-rules-impact-assessment-skilled-worker-and-care-worker-july-2025-accessible-version</w:t>
        </w:r>
      </w:hyperlink>
      <w:r w:rsidR="009928FD">
        <w:rPr>
          <w:rFonts w:ascii="Arial" w:hAnsi="Arial" w:cs="Arial"/>
        </w:rPr>
        <w:t xml:space="preserve"> </w:t>
      </w:r>
      <w:r w:rsidRPr="00A15058">
        <w:rPr>
          <w:rFonts w:ascii="Arial" w:hAnsi="Arial" w:cs="Arial"/>
        </w:rPr>
        <w:t>(Accessed: 3 June 2026).</w:t>
      </w:r>
    </w:p>
    <w:p w14:paraId="045AB8DA" w14:textId="193C8882" w:rsidR="0033783D" w:rsidRPr="00A15058" w:rsidRDefault="0033783D" w:rsidP="0033783D">
      <w:pPr>
        <w:rPr>
          <w:rFonts w:ascii="Arial" w:hAnsi="Arial" w:cs="Arial"/>
        </w:rPr>
      </w:pPr>
      <w:r w:rsidRPr="00A15058">
        <w:rPr>
          <w:rFonts w:ascii="Arial" w:hAnsi="Arial" w:cs="Arial"/>
        </w:rPr>
        <w:t>Home Office (2026) </w:t>
      </w:r>
      <w:r w:rsidRPr="00A15058">
        <w:rPr>
          <w:rFonts w:ascii="Arial" w:hAnsi="Arial" w:cs="Arial"/>
          <w:i/>
          <w:iCs/>
        </w:rPr>
        <w:t>Statement of Changes to the Immigration Rules: HC 1691</w:t>
      </w:r>
      <w:r w:rsidRPr="00A15058">
        <w:rPr>
          <w:rFonts w:ascii="Arial" w:hAnsi="Arial" w:cs="Arial"/>
        </w:rPr>
        <w:t>. Available at:</w:t>
      </w:r>
      <w:r w:rsidR="009928FD">
        <w:rPr>
          <w:rFonts w:ascii="Arial" w:hAnsi="Arial" w:cs="Arial"/>
        </w:rPr>
        <w:t xml:space="preserve"> </w:t>
      </w:r>
      <w:hyperlink r:id="rId11" w:history="1">
        <w:r w:rsidR="009928FD" w:rsidRPr="00865366">
          <w:rPr>
            <w:rStyle w:val="Hyperlink"/>
            <w:rFonts w:ascii="Arial" w:hAnsi="Arial" w:cs="Arial"/>
          </w:rPr>
          <w:t>https://assets.publishing.service.gov.uk/media/69a9a1f58fd807b03bbe92e5/E03553349_-_HC_1691_-_Immigration_Rules_Changes__Web_Accessible_.pdf</w:t>
        </w:r>
      </w:hyperlink>
      <w:r w:rsidR="009928FD">
        <w:rPr>
          <w:rFonts w:ascii="Arial" w:hAnsi="Arial" w:cs="Arial"/>
        </w:rPr>
        <w:t xml:space="preserve"> </w:t>
      </w:r>
      <w:r w:rsidRPr="00A15058">
        <w:rPr>
          <w:rFonts w:ascii="Arial" w:hAnsi="Arial" w:cs="Arial"/>
        </w:rPr>
        <w:t>(Accessed: 3 June 2026).</w:t>
      </w:r>
    </w:p>
    <w:p w14:paraId="27723C84" w14:textId="77777777" w:rsidR="0033783D" w:rsidRPr="00A15058" w:rsidRDefault="0033783D" w:rsidP="0033783D">
      <w:pPr>
        <w:rPr>
          <w:rFonts w:ascii="Arial" w:hAnsi="Arial" w:cs="Arial"/>
        </w:rPr>
      </w:pPr>
      <w:r w:rsidRPr="00A15058">
        <w:rPr>
          <w:rFonts w:ascii="Arial" w:hAnsi="Arial" w:cs="Arial"/>
        </w:rPr>
        <w:t>Kabene, S.M. et al. (2006) 'The Importance of Human Resources Management in Health Care: A Global Context', </w:t>
      </w:r>
      <w:r w:rsidRPr="00A15058">
        <w:rPr>
          <w:rFonts w:ascii="Arial" w:hAnsi="Arial" w:cs="Arial"/>
          <w:i/>
          <w:iCs/>
        </w:rPr>
        <w:t>Human Resources for Health</w:t>
      </w:r>
      <w:r w:rsidRPr="00A15058">
        <w:rPr>
          <w:rFonts w:ascii="Arial" w:hAnsi="Arial" w:cs="Arial"/>
        </w:rPr>
        <w:t>, 4(20).</w:t>
      </w:r>
    </w:p>
    <w:p w14:paraId="64886C11" w14:textId="77777777" w:rsidR="0033783D" w:rsidRPr="00A15058" w:rsidRDefault="0033783D" w:rsidP="0033783D">
      <w:pPr>
        <w:rPr>
          <w:rFonts w:ascii="Arial" w:hAnsi="Arial" w:cs="Arial"/>
        </w:rPr>
      </w:pPr>
      <w:r w:rsidRPr="00A15058">
        <w:rPr>
          <w:rFonts w:ascii="Arial" w:hAnsi="Arial" w:cs="Arial"/>
        </w:rPr>
        <w:t>Muhammad, R. (2015) 'Survivors of Organisational Change: A Resource Perspective', </w:t>
      </w:r>
      <w:r w:rsidRPr="00A15058">
        <w:rPr>
          <w:rFonts w:ascii="Arial" w:hAnsi="Arial" w:cs="Arial"/>
          <w:i/>
          <w:iCs/>
        </w:rPr>
        <w:t>Business and Management Studies</w:t>
      </w:r>
      <w:r w:rsidRPr="00A15058">
        <w:rPr>
          <w:rFonts w:ascii="Arial" w:hAnsi="Arial" w:cs="Arial"/>
        </w:rPr>
        <w:t>, 1(2), pp. 1–5.</w:t>
      </w:r>
    </w:p>
    <w:p w14:paraId="60A6B964" w14:textId="06116AA6" w:rsidR="0033783D" w:rsidRPr="00A15058" w:rsidRDefault="0033783D" w:rsidP="0033783D">
      <w:pPr>
        <w:rPr>
          <w:rFonts w:ascii="Arial" w:hAnsi="Arial" w:cs="Arial"/>
        </w:rPr>
      </w:pPr>
      <w:r w:rsidRPr="00A15058">
        <w:rPr>
          <w:rFonts w:ascii="Arial" w:hAnsi="Arial" w:cs="Arial"/>
        </w:rPr>
        <w:t>NHS England (2023) </w:t>
      </w:r>
      <w:r w:rsidRPr="00A15058">
        <w:rPr>
          <w:rFonts w:ascii="Arial" w:hAnsi="Arial" w:cs="Arial"/>
          <w:i/>
          <w:iCs/>
        </w:rPr>
        <w:t>NHS Long Term Workforce Plan</w:t>
      </w:r>
      <w:r w:rsidRPr="00A15058">
        <w:rPr>
          <w:rFonts w:ascii="Arial" w:hAnsi="Arial" w:cs="Arial"/>
        </w:rPr>
        <w:t>. Available at: </w:t>
      </w:r>
      <w:hyperlink r:id="rId12" w:tgtFrame="_blank" w:history="1">
        <w:r w:rsidRPr="00A15058">
          <w:rPr>
            <w:rStyle w:val="Hyperlink"/>
            <w:rFonts w:ascii="Arial" w:hAnsi="Arial" w:cs="Arial"/>
          </w:rPr>
          <w:t>https://www.england.nhs.uk/publication/nhs-long-term-workforce-plan/</w:t>
        </w:r>
      </w:hyperlink>
      <w:r w:rsidRPr="00A15058">
        <w:rPr>
          <w:rFonts w:ascii="Arial" w:hAnsi="Arial" w:cs="Arial"/>
        </w:rPr>
        <w:t xml:space="preserve"> (Accessed: </w:t>
      </w:r>
      <w:r w:rsidR="00B4207E" w:rsidRPr="00A15058">
        <w:rPr>
          <w:rFonts w:ascii="Arial" w:hAnsi="Arial" w:cs="Arial"/>
        </w:rPr>
        <w:t>2</w:t>
      </w:r>
      <w:r w:rsidRPr="00A15058">
        <w:rPr>
          <w:rFonts w:ascii="Arial" w:hAnsi="Arial" w:cs="Arial"/>
        </w:rPr>
        <w:t xml:space="preserve"> June 2026).</w:t>
      </w:r>
    </w:p>
    <w:p w14:paraId="77231CC6" w14:textId="0498475D" w:rsidR="0033783D" w:rsidRPr="00A15058" w:rsidRDefault="0033783D" w:rsidP="0033783D">
      <w:pPr>
        <w:rPr>
          <w:rFonts w:ascii="Arial" w:hAnsi="Arial" w:cs="Arial"/>
        </w:rPr>
      </w:pPr>
      <w:r w:rsidRPr="00A15058">
        <w:rPr>
          <w:rFonts w:ascii="Arial" w:hAnsi="Arial" w:cs="Arial"/>
        </w:rPr>
        <w:t>Office for National Statistics (2024) *Long-term international migration, provisional: year ending December 2023*. Available at: </w:t>
      </w:r>
      <w:hyperlink r:id="rId13" w:tgtFrame="_blank" w:history="1">
        <w:r w:rsidRPr="00A15058">
          <w:rPr>
            <w:rStyle w:val="Hyperlink"/>
            <w:rFonts w:ascii="Arial" w:hAnsi="Arial" w:cs="Arial"/>
          </w:rPr>
          <w:t>https://www.ons.gov.uk/peoplepopulationandcommunity/populationandmigration/internationalmigration/bulletins/longterminternationalmigrationprovisional/yearendingdecember2023</w:t>
        </w:r>
      </w:hyperlink>
      <w:r w:rsidRPr="00A15058">
        <w:rPr>
          <w:rFonts w:ascii="Arial" w:hAnsi="Arial" w:cs="Arial"/>
        </w:rPr>
        <w:t xml:space="preserve"> (Accessed: </w:t>
      </w:r>
      <w:r w:rsidR="007B3A51" w:rsidRPr="00A15058">
        <w:rPr>
          <w:rFonts w:ascii="Arial" w:hAnsi="Arial" w:cs="Arial"/>
        </w:rPr>
        <w:t>1</w:t>
      </w:r>
      <w:r w:rsidRPr="00A15058">
        <w:rPr>
          <w:rFonts w:ascii="Arial" w:hAnsi="Arial" w:cs="Arial"/>
        </w:rPr>
        <w:t xml:space="preserve"> June 2026).</w:t>
      </w:r>
    </w:p>
    <w:p w14:paraId="1913C3E7" w14:textId="3CD9E38E" w:rsidR="0033783D" w:rsidRPr="00A15058" w:rsidRDefault="0033783D" w:rsidP="0033783D">
      <w:pPr>
        <w:rPr>
          <w:rFonts w:ascii="Arial" w:hAnsi="Arial" w:cs="Arial"/>
        </w:rPr>
      </w:pPr>
      <w:r w:rsidRPr="00A15058">
        <w:rPr>
          <w:rFonts w:ascii="Arial" w:hAnsi="Arial" w:cs="Arial"/>
        </w:rPr>
        <w:t>Skills for Care (2024) </w:t>
      </w:r>
      <w:r w:rsidRPr="00A15058">
        <w:rPr>
          <w:rFonts w:ascii="Arial" w:hAnsi="Arial" w:cs="Arial"/>
          <w:i/>
          <w:iCs/>
        </w:rPr>
        <w:t>The state of the adult social care sector and workforce in England</w:t>
      </w:r>
      <w:r w:rsidRPr="00A15058">
        <w:rPr>
          <w:rFonts w:ascii="Arial" w:hAnsi="Arial" w:cs="Arial"/>
        </w:rPr>
        <w:t>. Available at: </w:t>
      </w:r>
      <w:hyperlink r:id="rId14" w:tgtFrame="_blank" w:history="1">
        <w:r w:rsidRPr="00A15058">
          <w:rPr>
            <w:rStyle w:val="Hyperlink"/>
            <w:rFonts w:ascii="Arial" w:hAnsi="Arial" w:cs="Arial"/>
          </w:rPr>
          <w:t>https://www.skillsforcare.org.uk/Adult-Social-Care-Workforce-Data/Workforce-intelligence/publications/national-information/The-state-of-the-adult-social-care-sector-and-workforce-in-England.aspx</w:t>
        </w:r>
      </w:hyperlink>
      <w:r w:rsidRPr="00A15058">
        <w:rPr>
          <w:rFonts w:ascii="Arial" w:hAnsi="Arial" w:cs="Arial"/>
        </w:rPr>
        <w:t xml:space="preserve"> (Accessed: </w:t>
      </w:r>
      <w:r w:rsidR="007B3A51" w:rsidRPr="00A15058">
        <w:rPr>
          <w:rFonts w:ascii="Arial" w:hAnsi="Arial" w:cs="Arial"/>
        </w:rPr>
        <w:t>1</w:t>
      </w:r>
      <w:r w:rsidRPr="00A15058">
        <w:rPr>
          <w:rFonts w:ascii="Arial" w:hAnsi="Arial" w:cs="Arial"/>
        </w:rPr>
        <w:t xml:space="preserve"> June 2026).</w:t>
      </w:r>
    </w:p>
    <w:p w14:paraId="264F4505" w14:textId="77777777" w:rsidR="0033783D" w:rsidRPr="00A15058" w:rsidRDefault="0033783D" w:rsidP="0033783D">
      <w:pPr>
        <w:rPr>
          <w:rFonts w:ascii="Arial" w:hAnsi="Arial" w:cs="Arial"/>
        </w:rPr>
      </w:pPr>
      <w:r w:rsidRPr="00A15058">
        <w:rPr>
          <w:rFonts w:ascii="Arial" w:hAnsi="Arial" w:cs="Arial"/>
        </w:rPr>
        <w:t>Slaus, I. and Jacobs, G. (2011) 'Human Capital and Sustainability', </w:t>
      </w:r>
      <w:r w:rsidRPr="00A15058">
        <w:rPr>
          <w:rFonts w:ascii="Arial" w:hAnsi="Arial" w:cs="Arial"/>
          <w:i/>
          <w:iCs/>
        </w:rPr>
        <w:t>Sustainability</w:t>
      </w:r>
      <w:r w:rsidRPr="00A15058">
        <w:rPr>
          <w:rFonts w:ascii="Arial" w:hAnsi="Arial" w:cs="Arial"/>
        </w:rPr>
        <w:t>, 3, pp. 97–154.</w:t>
      </w:r>
    </w:p>
    <w:p w14:paraId="4A178AF6" w14:textId="77777777" w:rsidR="0033783D" w:rsidRPr="00A15058" w:rsidRDefault="0033783D" w:rsidP="0033783D">
      <w:pPr>
        <w:rPr>
          <w:rFonts w:ascii="Arial" w:hAnsi="Arial" w:cs="Arial"/>
        </w:rPr>
      </w:pPr>
      <w:r w:rsidRPr="00A15058">
        <w:rPr>
          <w:rFonts w:ascii="Arial" w:hAnsi="Arial" w:cs="Arial"/>
        </w:rPr>
        <w:t>Stewart, E. and Mulvey, G. (2014) 'Seeking Safety Beyond Refuge: The Impact of Immigration and Citizenship Policy upon Refugees in the UK', </w:t>
      </w:r>
      <w:r w:rsidRPr="00A15058">
        <w:rPr>
          <w:rFonts w:ascii="Arial" w:hAnsi="Arial" w:cs="Arial"/>
          <w:i/>
          <w:iCs/>
        </w:rPr>
        <w:t>Journal of Ethnic and Migration Studies</w:t>
      </w:r>
      <w:r w:rsidRPr="00A15058">
        <w:rPr>
          <w:rFonts w:ascii="Arial" w:hAnsi="Arial" w:cs="Arial"/>
        </w:rPr>
        <w:t>, 40(7), pp. 1023–1039.</w:t>
      </w:r>
    </w:p>
    <w:p w14:paraId="18DD5226" w14:textId="77777777" w:rsidR="00E97BA5" w:rsidRPr="00A15058" w:rsidRDefault="00E97BA5">
      <w:pPr>
        <w:rPr>
          <w:rFonts w:ascii="Arial" w:hAnsi="Arial" w:cs="Arial"/>
        </w:rPr>
      </w:pPr>
    </w:p>
    <w:sectPr w:rsidR="00E97BA5" w:rsidRPr="00A15058">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5A9242" w14:textId="77777777" w:rsidR="00E909E3" w:rsidRDefault="00E909E3" w:rsidP="007C454D">
      <w:pPr>
        <w:spacing w:after="0" w:line="240" w:lineRule="auto"/>
      </w:pPr>
      <w:r>
        <w:separator/>
      </w:r>
    </w:p>
  </w:endnote>
  <w:endnote w:type="continuationSeparator" w:id="0">
    <w:p w14:paraId="497A9913" w14:textId="77777777" w:rsidR="00E909E3" w:rsidRDefault="00E909E3" w:rsidP="007C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2659503"/>
      <w:docPartObj>
        <w:docPartGallery w:val="Page Numbers (Bottom of Page)"/>
        <w:docPartUnique/>
      </w:docPartObj>
    </w:sdtPr>
    <w:sdtEndPr>
      <w:rPr>
        <w:noProof/>
      </w:rPr>
    </w:sdtEndPr>
    <w:sdtContent>
      <w:p w14:paraId="0E21F5F3" w14:textId="31DF0412" w:rsidR="007C454D" w:rsidRDefault="007C454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FFED11" w14:textId="77777777" w:rsidR="007C454D" w:rsidRDefault="007C45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989817" w14:textId="77777777" w:rsidR="00E909E3" w:rsidRDefault="00E909E3" w:rsidP="007C454D">
      <w:pPr>
        <w:spacing w:after="0" w:line="240" w:lineRule="auto"/>
      </w:pPr>
      <w:r>
        <w:separator/>
      </w:r>
    </w:p>
  </w:footnote>
  <w:footnote w:type="continuationSeparator" w:id="0">
    <w:p w14:paraId="7BB5E5A0" w14:textId="77777777" w:rsidR="00E909E3" w:rsidRDefault="00E909E3" w:rsidP="007C45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03C0A"/>
    <w:multiLevelType w:val="multilevel"/>
    <w:tmpl w:val="10FE45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A21C76"/>
    <w:multiLevelType w:val="multilevel"/>
    <w:tmpl w:val="11FAF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333926"/>
    <w:multiLevelType w:val="multilevel"/>
    <w:tmpl w:val="54583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3414DD"/>
    <w:multiLevelType w:val="multilevel"/>
    <w:tmpl w:val="39E21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B11C1B"/>
    <w:multiLevelType w:val="multilevel"/>
    <w:tmpl w:val="E9B8B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8622047">
    <w:abstractNumId w:val="0"/>
  </w:num>
  <w:num w:numId="2" w16cid:durableId="728191808">
    <w:abstractNumId w:val="3"/>
  </w:num>
  <w:num w:numId="3" w16cid:durableId="1673753581">
    <w:abstractNumId w:val="1"/>
  </w:num>
  <w:num w:numId="4" w16cid:durableId="1708724906">
    <w:abstractNumId w:val="2"/>
  </w:num>
  <w:num w:numId="5" w16cid:durableId="1861447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52"/>
    <w:rsid w:val="00005444"/>
    <w:rsid w:val="0004248B"/>
    <w:rsid w:val="00051FDA"/>
    <w:rsid w:val="000F191F"/>
    <w:rsid w:val="000F6CC2"/>
    <w:rsid w:val="001122E2"/>
    <w:rsid w:val="00134C4A"/>
    <w:rsid w:val="0016525F"/>
    <w:rsid w:val="00226468"/>
    <w:rsid w:val="00247370"/>
    <w:rsid w:val="00281971"/>
    <w:rsid w:val="002A459B"/>
    <w:rsid w:val="002E2487"/>
    <w:rsid w:val="00326701"/>
    <w:rsid w:val="0033783D"/>
    <w:rsid w:val="00344E9E"/>
    <w:rsid w:val="0038352A"/>
    <w:rsid w:val="003B5D72"/>
    <w:rsid w:val="003C5293"/>
    <w:rsid w:val="004A0024"/>
    <w:rsid w:val="00522F2D"/>
    <w:rsid w:val="0054151F"/>
    <w:rsid w:val="00592676"/>
    <w:rsid w:val="005C2C0C"/>
    <w:rsid w:val="0066550E"/>
    <w:rsid w:val="0066782E"/>
    <w:rsid w:val="006B5903"/>
    <w:rsid w:val="006D1763"/>
    <w:rsid w:val="00712B73"/>
    <w:rsid w:val="00760B53"/>
    <w:rsid w:val="00781CBC"/>
    <w:rsid w:val="007B3A51"/>
    <w:rsid w:val="007C454D"/>
    <w:rsid w:val="007F4C63"/>
    <w:rsid w:val="007F6A88"/>
    <w:rsid w:val="00804BA1"/>
    <w:rsid w:val="00867990"/>
    <w:rsid w:val="00893656"/>
    <w:rsid w:val="009073D2"/>
    <w:rsid w:val="009928FD"/>
    <w:rsid w:val="009D35E7"/>
    <w:rsid w:val="009E522B"/>
    <w:rsid w:val="00A15058"/>
    <w:rsid w:val="00A44552"/>
    <w:rsid w:val="00A54296"/>
    <w:rsid w:val="00A56A62"/>
    <w:rsid w:val="00A9028F"/>
    <w:rsid w:val="00B056BF"/>
    <w:rsid w:val="00B10107"/>
    <w:rsid w:val="00B4207E"/>
    <w:rsid w:val="00B9690B"/>
    <w:rsid w:val="00BC483E"/>
    <w:rsid w:val="00BD479B"/>
    <w:rsid w:val="00BD4A54"/>
    <w:rsid w:val="00BE4DDF"/>
    <w:rsid w:val="00C81FA0"/>
    <w:rsid w:val="00C84D14"/>
    <w:rsid w:val="00D0344E"/>
    <w:rsid w:val="00D236CF"/>
    <w:rsid w:val="00D42BD2"/>
    <w:rsid w:val="00D64B9A"/>
    <w:rsid w:val="00D76EDE"/>
    <w:rsid w:val="00D81B54"/>
    <w:rsid w:val="00DB0BF5"/>
    <w:rsid w:val="00DF2CAB"/>
    <w:rsid w:val="00DF7748"/>
    <w:rsid w:val="00E61E75"/>
    <w:rsid w:val="00E765AD"/>
    <w:rsid w:val="00E845E4"/>
    <w:rsid w:val="00E909E3"/>
    <w:rsid w:val="00E97BA5"/>
    <w:rsid w:val="00EF484F"/>
    <w:rsid w:val="00F06D6E"/>
    <w:rsid w:val="00FD69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3B9A7"/>
  <w15:chartTrackingRefBased/>
  <w15:docId w15:val="{2DB1A55B-EE6F-4FAF-AB9C-0A3096C19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45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45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45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45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45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45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45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45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45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45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45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45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45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45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45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45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45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4552"/>
    <w:rPr>
      <w:rFonts w:eastAsiaTheme="majorEastAsia" w:cstheme="majorBidi"/>
      <w:color w:val="272727" w:themeColor="text1" w:themeTint="D8"/>
    </w:rPr>
  </w:style>
  <w:style w:type="paragraph" w:styleId="Title">
    <w:name w:val="Title"/>
    <w:basedOn w:val="Normal"/>
    <w:next w:val="Normal"/>
    <w:link w:val="TitleChar"/>
    <w:uiPriority w:val="10"/>
    <w:qFormat/>
    <w:rsid w:val="00A445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45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45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45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4552"/>
    <w:pPr>
      <w:spacing w:before="160"/>
      <w:jc w:val="center"/>
    </w:pPr>
    <w:rPr>
      <w:i/>
      <w:iCs/>
      <w:color w:val="404040" w:themeColor="text1" w:themeTint="BF"/>
    </w:rPr>
  </w:style>
  <w:style w:type="character" w:customStyle="1" w:styleId="QuoteChar">
    <w:name w:val="Quote Char"/>
    <w:basedOn w:val="DefaultParagraphFont"/>
    <w:link w:val="Quote"/>
    <w:uiPriority w:val="29"/>
    <w:rsid w:val="00A44552"/>
    <w:rPr>
      <w:i/>
      <w:iCs/>
      <w:color w:val="404040" w:themeColor="text1" w:themeTint="BF"/>
    </w:rPr>
  </w:style>
  <w:style w:type="paragraph" w:styleId="ListParagraph">
    <w:name w:val="List Paragraph"/>
    <w:basedOn w:val="Normal"/>
    <w:uiPriority w:val="34"/>
    <w:qFormat/>
    <w:rsid w:val="00A44552"/>
    <w:pPr>
      <w:ind w:left="720"/>
      <w:contextualSpacing/>
    </w:pPr>
  </w:style>
  <w:style w:type="character" w:styleId="IntenseEmphasis">
    <w:name w:val="Intense Emphasis"/>
    <w:basedOn w:val="DefaultParagraphFont"/>
    <w:uiPriority w:val="21"/>
    <w:qFormat/>
    <w:rsid w:val="00A44552"/>
    <w:rPr>
      <w:i/>
      <w:iCs/>
      <w:color w:val="0F4761" w:themeColor="accent1" w:themeShade="BF"/>
    </w:rPr>
  </w:style>
  <w:style w:type="paragraph" w:styleId="IntenseQuote">
    <w:name w:val="Intense Quote"/>
    <w:basedOn w:val="Normal"/>
    <w:next w:val="Normal"/>
    <w:link w:val="IntenseQuoteChar"/>
    <w:uiPriority w:val="30"/>
    <w:qFormat/>
    <w:rsid w:val="00A445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4552"/>
    <w:rPr>
      <w:i/>
      <w:iCs/>
      <w:color w:val="0F4761" w:themeColor="accent1" w:themeShade="BF"/>
    </w:rPr>
  </w:style>
  <w:style w:type="character" w:styleId="IntenseReference">
    <w:name w:val="Intense Reference"/>
    <w:basedOn w:val="DefaultParagraphFont"/>
    <w:uiPriority w:val="32"/>
    <w:qFormat/>
    <w:rsid w:val="00A44552"/>
    <w:rPr>
      <w:b/>
      <w:bCs/>
      <w:smallCaps/>
      <w:color w:val="0F4761" w:themeColor="accent1" w:themeShade="BF"/>
      <w:spacing w:val="5"/>
    </w:rPr>
  </w:style>
  <w:style w:type="character" w:styleId="Hyperlink">
    <w:name w:val="Hyperlink"/>
    <w:basedOn w:val="DefaultParagraphFont"/>
    <w:uiPriority w:val="99"/>
    <w:unhideWhenUsed/>
    <w:rsid w:val="0033783D"/>
    <w:rPr>
      <w:color w:val="467886" w:themeColor="hyperlink"/>
      <w:u w:val="single"/>
    </w:rPr>
  </w:style>
  <w:style w:type="character" w:styleId="UnresolvedMention">
    <w:name w:val="Unresolved Mention"/>
    <w:basedOn w:val="DefaultParagraphFont"/>
    <w:uiPriority w:val="99"/>
    <w:semiHidden/>
    <w:unhideWhenUsed/>
    <w:rsid w:val="0033783D"/>
    <w:rPr>
      <w:color w:val="605E5C"/>
      <w:shd w:val="clear" w:color="auto" w:fill="E1DFDD"/>
    </w:rPr>
  </w:style>
  <w:style w:type="paragraph" w:styleId="Header">
    <w:name w:val="header"/>
    <w:basedOn w:val="Normal"/>
    <w:link w:val="HeaderChar"/>
    <w:uiPriority w:val="99"/>
    <w:unhideWhenUsed/>
    <w:rsid w:val="007C45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454D"/>
  </w:style>
  <w:style w:type="paragraph" w:styleId="Footer">
    <w:name w:val="footer"/>
    <w:basedOn w:val="Normal"/>
    <w:link w:val="FooterChar"/>
    <w:uiPriority w:val="99"/>
    <w:unhideWhenUsed/>
    <w:rsid w:val="007C45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45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ons.gov.uk/peoplepopulationandcommunity/populationandmigration/internationalmigration/bulletins/longterminternationalmigrationprovisional/yearendingdecember2023"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england.nhs.uk/publication/nhs-long-term-workforce-pla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media/69a9a1f58fd807b03bbe92e5/E03553349_-_HC_1691_-_Immigration_Rules_Changes__Web_Accessible_.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gov.uk/government/publications/statement-of-changes-to-the-immigration-rules-hc-997-1-july-2025/spring-2025-immigration-rules-impact-assessment-skilled-worker-and-care-worker-july-2025-accessible-version" TargetMode="External"/><Relationship Id="rId4" Type="http://schemas.openxmlformats.org/officeDocument/2006/relationships/webSettings" Target="webSettings.xml"/><Relationship Id="rId9" Type="http://schemas.openxmlformats.org/officeDocument/2006/relationships/hyperlink" Target="https://www.gov.uk/government/publications/restoring-control-over-the-immigration-system-white-paper/restoring-control-over-the-immigration-system-accessible" TargetMode="External"/><Relationship Id="rId14" Type="http://schemas.openxmlformats.org/officeDocument/2006/relationships/hyperlink" Target="https://www.skillsforcare.org.uk/Adult-Social-Care-Workforce-Data/Workforce-intelligence/publications/national-information/The-state-of-the-adult-social-care-sector-and-workforce-in-England.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3064</TotalTime>
  <Pages>9</Pages>
  <Words>3058</Words>
  <Characters>17432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BBM FAZLE RABBY NAHI</dc:creator>
  <cp:keywords/>
  <dc:description/>
  <cp:lastModifiedBy>BBM FAZLE RABBY NAHI</cp:lastModifiedBy>
  <cp:revision>79</cp:revision>
  <dcterms:created xsi:type="dcterms:W3CDTF">2026-06-03T12:12:00Z</dcterms:created>
  <dcterms:modified xsi:type="dcterms:W3CDTF">2026-06-09T20:06:00Z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42e931f7-dbb9-4591-8d91-b0280fd95e3f</vt:lpwstr>
  </property>
</Properties>
</file>