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6A8A4F" w14:textId="77777777" w:rsidR="00AA0192" w:rsidRDefault="00AA0192">
      <w:pPr>
        <w:pStyle w:val="NormalWeb"/>
        <w:spacing w:line="480" w:lineRule="auto"/>
      </w:pPr>
    </w:p>
    <w:p w14:paraId="6B48E095" w14:textId="573E7A18" w:rsidR="003862DB" w:rsidRDefault="00A149EA">
      <w:pPr>
        <w:spacing w:line="480" w:lineRule="auto"/>
      </w:pPr>
      <w:r>
        <w:t xml:space="preserve">The relevance of research for psychotherapy began with the early approaches of psychoanalysis, humanistic and behavioural modalities. Psychoanalytic schools of therapy have historically viewed research as an internal idiographic process, closely related </w:t>
      </w:r>
      <w:r w:rsidR="00C038AD">
        <w:t>to,</w:t>
      </w:r>
      <w:r>
        <w:t xml:space="preserve"> and rooted in the clinical experience of the therapist. Its source of research was based on in-depth case studies of individual clients and subjective clinical material rather than statistical evidence. Early practitioners such as Freud suggested that empirical, data-driven research could not capture the complex nature of human experience, particularly the unconscious, as effectively as clinical experience (Freud, 1925; Willemsen, Della Rosa and Kegerreis, 2017).</w:t>
      </w:r>
    </w:p>
    <w:p w14:paraId="3631179F" w14:textId="3AB1A636" w:rsidR="005A648C" w:rsidRDefault="005A648C">
      <w:pPr>
        <w:spacing w:line="480" w:lineRule="auto"/>
        <w:rPr>
          <w:kern w:val="0"/>
          <w14:ligatures w14:val="none"/>
        </w:rPr>
      </w:pPr>
      <w:r>
        <w:t>Behaviouralism has been historically central to the development of modern research practices particularly in the fields of psychology and therapy. It shifted the emphasis from Freudian individualistic case studies to empirical and objective investigation; the methods used were scientifically based and researcher bias was kept to a minimum. It emerged in the early 20</w:t>
      </w:r>
      <w:r>
        <w:rPr>
          <w:vertAlign w:val="superscript"/>
        </w:rPr>
        <w:t>th</w:t>
      </w:r>
      <w:r>
        <w:t xml:space="preserve"> century with the work of Watson, Pavlov, and Skinner, rejecting introspection and subjectivism in favour of observable behaviour and controlled experimentation to achieve measurable data (Watson, 1913; Skinner, 1953). The emphasis on observation and quantification assisted psychology in becoming validated as a scientific discipline, which endures today. Research is still required to be quantifiable, </w:t>
      </w:r>
      <w:r w:rsidR="00E82DD1">
        <w:t>replicable,</w:t>
      </w:r>
      <w:r>
        <w:t xml:space="preserve"> and observable.</w:t>
      </w:r>
    </w:p>
    <w:p w14:paraId="1747EEDE" w14:textId="77777777" w:rsidR="0095203E" w:rsidRDefault="0095203E">
      <w:pPr>
        <w:spacing w:line="480" w:lineRule="auto"/>
        <w:rPr>
          <w:kern w:val="0"/>
          <w14:ligatures w14:val="none"/>
        </w:rPr>
      </w:pPr>
      <w:r>
        <w:t>Humanist modalities took the middle ground in the developing debate around what research was valid and what research should look like. They were interested in scientific rigour, scientific investigation, and rational enquiry, suggesting that this was the most reliable method for understanding the universe and solving human problems (Maslow, 1962). The difference from behaviourism seems to relate to also valuing not just scientific research but research from literature, the arts, history, and philosophy to understand the human experience, meaning and ethical choices (Rogers, 1961).</w:t>
      </w:r>
    </w:p>
    <w:p w14:paraId="69991A22" w14:textId="6962D35C" w:rsidR="00C409C0" w:rsidRDefault="00C409C0">
      <w:pPr>
        <w:spacing w:line="480" w:lineRule="auto"/>
        <w:rPr>
          <w:kern w:val="0"/>
          <w14:ligatures w14:val="none"/>
        </w:rPr>
      </w:pPr>
      <w:r>
        <w:t xml:space="preserve">Qualitative research traditions are both foundational and have transformed over time psychotherapeutic practise. They help to provide context, so why therapists need to examine how human beings relate and function in their world. They support real-world decisions and understanding of the “how” and “why” of social interventions and generic health, because qualitative research can explore people’s experiences, beliefs, preferences, behaviour, </w:t>
      </w:r>
      <w:r w:rsidR="00E82DD1">
        <w:t>interactions,</w:t>
      </w:r>
      <w:r>
        <w:t xml:space="preserve"> and social context (NICE, 2022). Qualitative methods are used to see if a particular intervention works; methods such as case studies, phenomenology and ethnography can elucidate how an investigation works, why it might fail, and include the subjective experiences of clients and practitioners. It provides a bridge between research and practice. Phenomenology focuses on the lived experiences of a client; it tends not to be based on numbers but on how a client perceives, for example, the therapeutic experience. Ethnography is an observational tool, watching the target population in its natural settings, used to document culturally specific behaviours. Narrative approaches use storytelling to understand subjective experiences; this is useful to chart a client’s journey around an issue. The integration of both evidence-based practice and qualitative research is recognised as essential to developing knowledge of the constantly changing landscape of human beings and their lived experiences; it can be used to explain change and explore anomalies in human nature (Gaglio et al., 2020).</w:t>
      </w:r>
    </w:p>
    <w:p w14:paraId="5E181C42" w14:textId="77777777" w:rsidR="009D3667" w:rsidRDefault="009D3667">
      <w:pPr>
        <w:spacing w:line="480" w:lineRule="auto"/>
        <w:rPr>
          <w:kern w:val="0"/>
          <w14:ligatures w14:val="none"/>
        </w:rPr>
      </w:pPr>
      <w:r>
        <w:t>However, with the growth of qualitative research, therapy saw the development of randomised controlled trials. These trials are considered the gold standard for effectiveness, particularly in reference to health care studies (Matthews, 2017). These studies randomly assign individuals and put them into groups, including a control group. This is then used to compare against an intervention; this is used to reduce any bias that may be present in the study whilst being able to show causality. In psychotherapy research, randomised controlled trials can also be strengthened when effectiveness and implementation are considered together, as this helps connect research findings with real-world therapeutic practice (Johnson et al., 2020). So randomised controlled trials offer effectiveness, qualitative research explains the context and experience, whilst practice-based evidence provides real world applications. It would appear no one methodology can fully represent the challenges of research around human emotions and expressions.</w:t>
      </w:r>
    </w:p>
    <w:p w14:paraId="06EBBA54" w14:textId="033C9725" w:rsidR="005D2DB2" w:rsidRDefault="005D2DB2">
      <w:pPr>
        <w:spacing w:line="480" w:lineRule="auto"/>
        <w:rPr>
          <w:kern w:val="0"/>
          <w14:ligatures w14:val="none"/>
        </w:rPr>
      </w:pPr>
      <w:r>
        <w:t xml:space="preserve">What does research offer therapy, particularly in reference to practice at the point a therapist meets a client, and how has evidence gathering changed as clients and issues have changed? The major and key move was from subjective evidence to qualitative evidence whilst strictly adhering to the structure of empirical evidence. Qualitative evidence does also allow for the integration of the client’s lived experience, and it has reduced the issues of therapist bias. However, there is still a strong link between research and the medical model, which is the model of choice for research and consequently has supported the move towards brief therapy and results-driven therapeutic interventions. Hence the popularity of cognitive behavioural therapy to address mental health issues such as depression, anxiety, </w:t>
      </w:r>
      <w:r w:rsidR="005029B5">
        <w:t>PTSD,</w:t>
      </w:r>
      <w:r>
        <w:t xml:space="preserve"> and addictions. This challenged research further, and two patterns have emerged. The first is practice-based evidence; this method uses evidence gathered from routine clinical settings to evaluate how interventions work, or do not work, in actual therapeutic practice (Holmqvist, Philips and Barkham, 2015). The second looks at the common factors within a therapy session that achieve results, not based only on the therapeutic modality of the therapist, but on the therapeutic relationship, the provision of a safe space and the core conditions, particularly empathy (Bailey and Ogles, 2023).</w:t>
      </w:r>
    </w:p>
    <w:p w14:paraId="15B1F198" w14:textId="77777777" w:rsidR="00AA0192" w:rsidRDefault="00AA0192">
      <w:pPr>
        <w:spacing w:line="480" w:lineRule="auto"/>
        <w:rPr>
          <w:kern w:val="0"/>
          <w14:ligatures w14:val="none"/>
        </w:rPr>
      </w:pPr>
      <w:r>
        <w:t>The medical model or positivist research culture is responsible for the direction that therapy has taken within research; it could be argued that it is still driving therapeutic research even now, with randomised controlled trials still viewed as pertinent and meta-analysis increasingly used to support claims about the validity and effectiveness of NHS talking therapies (Wakefield et al., 2021). It has given rise to CBT (cognitive behavioural therapy) being positioned strongly within NHS provision because it lends itself to standardisation, manualisation and outcome measurement, although this can be critiqued for privileging a medical-model view of psychotherapy over relational and contextual understandings of therapeutic change (Wampold and Imel, 2015). It has led to short-term, results-driven interventions and protocol-led responses to issues such as anxiety and depression.</w:t>
      </w:r>
    </w:p>
    <w:p w14:paraId="003B37B8" w14:textId="6EEC5CF0" w:rsidR="00AA0192" w:rsidRDefault="00AA0192">
      <w:pPr>
        <w:spacing w:line="480" w:lineRule="auto"/>
        <w:rPr>
          <w:kern w:val="0"/>
          <w14:ligatures w14:val="none"/>
        </w:rPr>
      </w:pPr>
      <w:r>
        <w:t xml:space="preserve">There are several criticisms offered which elucidate the way in which this research culture has constrained psychotherapy. It reduces therapies that are relational, long term or individualised, suggesting that they are evidence poor, despite research indicating that therapeutic relationship, client </w:t>
      </w:r>
      <w:r w:rsidR="005029B5">
        <w:t>factors,</w:t>
      </w:r>
      <w:r>
        <w:t xml:space="preserve"> and individualised practice are central to positive outcomes (Cooper, 2008). It does not allow fully for subjective experience, so the impact of culture, context and emotion can be difficult to assess and quantify. It also runs the risk of pathologising human distress rather than understanding it as a response to power, threat, meaning and lived experience (Johnstone and Boyle, 2018).</w:t>
      </w:r>
    </w:p>
    <w:p w14:paraId="7E93310B" w14:textId="7E6FDB60" w:rsidR="00AA0192" w:rsidRDefault="00AA0192">
      <w:pPr>
        <w:spacing w:line="480" w:lineRule="auto"/>
        <w:rPr>
          <w:kern w:val="0"/>
          <w14:ligatures w14:val="none"/>
        </w:rPr>
      </w:pPr>
      <w:r>
        <w:t xml:space="preserve">The interpretivist research culture was a response to the science-based positivist research culture. The premise of interpretivism was that a client’s reality is created through language, </w:t>
      </w:r>
      <w:r w:rsidR="005029B5">
        <w:t>meaning,</w:t>
      </w:r>
      <w:r>
        <w:t xml:space="preserve"> and social context; therefore, understanding a client or a client’s response comes through interpreting lived experience rather than measuring variables (McLeod, 2011). It revealed the importance of the therapeutic alliance and of clients’ own experiences of their lives, identified by themselves rather than by scientific measurement. It helped validate the work of longer-term therapies because it placed clients’ experiences as central to this method of research. It returned to case studies and a more person-centred approach to research, and it began to understand distress as socially constructed rather than only biological (Berger and Luckmann, 1966).</w:t>
      </w:r>
    </w:p>
    <w:p w14:paraId="284F12AA" w14:textId="77777777" w:rsidR="00AA0192" w:rsidRDefault="00AA0192">
      <w:pPr>
        <w:spacing w:line="480" w:lineRule="auto"/>
        <w:rPr>
          <w:kern w:val="0"/>
          <w14:ligatures w14:val="none"/>
        </w:rPr>
      </w:pPr>
      <w:r>
        <w:t>Although it offered a different approach to research, interpretivism still constrained the development of psychotherapy. The research produces rich and meaningful results, but these can be difficult to generalise, which may make them harder to use in a wider policy context (Leung, 2015). This, in turn, makes it harder to create a policy response to the evidence, as highly individualistic information does not always fit national funding briefs in the same way as positivist evidence. However, this criticism can also be challenged, as case-study and qualitative research can still contribute to knowledge when its transferability, context and practical meaning are properly understood (Flyvbjerg, 2006).</w:t>
      </w:r>
    </w:p>
    <w:p w14:paraId="5371D6E9" w14:textId="77777777" w:rsidR="00AA0192" w:rsidRDefault="00AA0192">
      <w:pPr>
        <w:spacing w:line="480" w:lineRule="auto"/>
        <w:rPr>
          <w:kern w:val="0"/>
          <w14:ligatures w14:val="none"/>
        </w:rPr>
      </w:pPr>
      <w:r>
        <w:t xml:space="preserve"> </w:t>
      </w:r>
    </w:p>
    <w:p w14:paraId="5E258AE4" w14:textId="39A5CBBC" w:rsidR="00AA0192" w:rsidRDefault="00AA0192">
      <w:pPr>
        <w:spacing w:line="480" w:lineRule="auto"/>
        <w:rPr>
          <w:kern w:val="0"/>
          <w14:ligatures w14:val="none"/>
        </w:rPr>
      </w:pPr>
      <w:r>
        <w:t xml:space="preserve">Phenomenological research can, in some ways, be tied to interpretivism, but it has the goal of describing experience rather than trying to explain it or interpret it. It reintroduced the concept of personal experience, not in isolation but in relation to the wider social world, with phenomenology focusing on the lived world and the meaning of experience as it is encountered by the person (Finlay, 2011). It introduces the concept of self and how that interacts with the outside world, where the individual meets community and where relational connection to the wider world shapes human existence. Interpretative phenomenological analysis has also been influential in psychotherapy-related research because it examines how people make sense of significant life experiences, including distress, </w:t>
      </w:r>
      <w:r w:rsidR="005029B5">
        <w:t>identity,</w:t>
      </w:r>
      <w:r>
        <w:t xml:space="preserve"> and change (Smith, </w:t>
      </w:r>
      <w:bookmarkStart w:id="0" w:name="_Int_NyMsl19r"/>
      <w:r>
        <w:t>Flowers</w:t>
      </w:r>
      <w:bookmarkEnd w:id="0"/>
      <w:r>
        <w:t xml:space="preserve"> and Larkin, 2009).</w:t>
      </w:r>
    </w:p>
    <w:p w14:paraId="2F18956B" w14:textId="7DAA36C3" w:rsidR="00AA0192" w:rsidRDefault="00AA0192">
      <w:pPr>
        <w:spacing w:line="480" w:lineRule="auto"/>
        <w:rPr>
          <w:kern w:val="0"/>
          <w14:ligatures w14:val="none"/>
        </w:rPr>
      </w:pPr>
      <w:r>
        <w:t xml:space="preserve">As a research medium, phenomenology has issues with numbers, </w:t>
      </w:r>
      <w:r w:rsidR="009028E7">
        <w:t>repeatability,</w:t>
      </w:r>
      <w:r>
        <w:t xml:space="preserve"> and generalisability. It can be hard to revisit and repeat the research because the impact of the original inquiry may change the meaning of any later repetition, and qualitative research is often judged through criteria such as sensitivity to context, transparency, coherence and impact rather than through statistical replication alone (Yardley, 2000). The focus on depth also makes studies with large numbers difficult, and because current political and policy systems often base responses on generalisability, this type of research may not fit that political narrative. However, qualitative research in counselling psychology can still be evaluated through trustworthiness, reflexivity, adequacy of data and adequacy of interpretation, rather than being dismissed only because it does not produce large-scale numerical findings (Morrow, 2005).</w:t>
      </w:r>
    </w:p>
    <w:p w14:paraId="2CC8C69D" w14:textId="287FD0D6" w:rsidR="00AA0192" w:rsidRDefault="00AA0192">
      <w:pPr>
        <w:spacing w:line="480" w:lineRule="auto"/>
        <w:rPr>
          <w:kern w:val="0"/>
          <w14:ligatures w14:val="none"/>
        </w:rPr>
      </w:pPr>
      <w:bookmarkStart w:id="1" w:name="_Int_RFmg5Brt"/>
      <w:r>
        <w:t>Clearly, there</w:t>
      </w:r>
      <w:bookmarkEnd w:id="1"/>
      <w:r>
        <w:t xml:space="preserve"> is importance in research not just for learning from it, but also for being able to follow a client’s journey. Evidence-informed practice assists therapists to make informed decisions about the direction of a therapeutic relationship by integrating research evidence with clinical expertise and the client’s own preferences and circumstances (Sackett et al., 1996). It provides a backdrop to understanding the client and their issue; in some cases, it can provide a map for the therapist to follow in delivering the best help possible in a given situation. It also encourages reflexivity and reflection, which support both personal and professional development, particularly when practitioners use reflection-in-action to respond to the unique and uncertain nature of practice (Schön, 1983). Each of the research cultures provides valuable tools around measurement, </w:t>
      </w:r>
      <w:r w:rsidR="003B451A">
        <w:t>meaning,</w:t>
      </w:r>
      <w:r>
        <w:t xml:space="preserve"> and experience. Together, they make therapy a multidimensional and multidisciplinary field.</w:t>
      </w:r>
    </w:p>
    <w:p w14:paraId="58232EF6" w14:textId="77777777" w:rsidR="00AA0192" w:rsidRDefault="00AA0192">
      <w:pPr>
        <w:spacing w:line="480" w:lineRule="auto"/>
        <w:rPr>
          <w:kern w:val="0"/>
          <w14:ligatures w14:val="none"/>
        </w:rPr>
      </w:pPr>
      <w:r>
        <w:t>As a trainee practitioner and a student, the validity in my journey within training and my relationship with research cannot be overstated. Research provides students with knowledge in the field but also a wider concept of the profession and its position in society. It brings a sense of connection and provides a structure within the field. For trainees, research is important because it helps them understand what research is, why it matters, its historical and philosophical context, and how it can be used to evaluate both outcomes and the process of therapy (McLeod, 2013). It aids trainees by providing up-to-date information and often clear data about the position of the profession. It keeps the field informed but also produces new directions and more questions; it prevents the profession becoming stale and not current. Research also helps trainees and practitioners access evidence about therapeutic effectiveness and the factors associated with positive outcomes, supporting more informed and effective practice (Cooper, 2008).</w:t>
      </w:r>
    </w:p>
    <w:p w14:paraId="494C4B0A" w14:textId="77777777" w:rsidR="00AA0192" w:rsidRDefault="00AA0192">
      <w:pPr>
        <w:spacing w:line="480" w:lineRule="auto"/>
        <w:rPr>
          <w:kern w:val="0"/>
          <w14:ligatures w14:val="none"/>
        </w:rPr>
      </w:pPr>
      <w:r>
        <w:t xml:space="preserve">Research is also important because government bodies, institutions, and employers use it to make decisions about, for example, how long therapy should last and which therapy provides the ‘best’ results. These bodies are figure driven, which is also resource driven; they need figures to </w:t>
      </w:r>
      <w:bookmarkStart w:id="2" w:name="_Int_9hURSgAe"/>
      <w:r>
        <w:t>compare and contrast</w:t>
      </w:r>
      <w:bookmarkEnd w:id="2"/>
      <w:r>
        <w:t xml:space="preserve"> with available resources. NICE guidance, for example, bases treatment recommendations on systematic reviews of the best available evidence alongside explicit consideration of cost effectiveness (Kendrick et al., 2022).</w:t>
      </w:r>
    </w:p>
    <w:p w14:paraId="5E0FE1C5" w14:textId="77777777" w:rsidR="00AA0192" w:rsidRDefault="00AA0192">
      <w:pPr>
        <w:spacing w:line="480" w:lineRule="auto"/>
        <w:rPr>
          <w:kern w:val="0"/>
          <w14:ligatures w14:val="none"/>
        </w:rPr>
      </w:pPr>
      <w:r>
        <w:t>It is ethical and professional for me as a trainee to be aware of the diverse types of therapeutic intervention and how it works for each client and to be able to differentiate what is beneficial but also what could be harmful. Research provides the field with this information. The BACP Ethical Framework states that practitioners should work within their competence and keep their skills and knowledge up to date (British Association for Counselling and Psychotherapy, 2018). In addition, it is also useful to have key information about your practice if a client asks, client awareness of therapy has increased with the rise of social media platforms and AI (Artificial Intelligence). Therefore, it is good to have awareness that clients have not just innate awareness of themselves and their position in therapy from this information, but an awareness of therapist roles and responsibilities and the different forms of therapy available.</w:t>
      </w:r>
    </w:p>
    <w:p w14:paraId="7AD390E2" w14:textId="77777777" w:rsidR="00AA0192" w:rsidRDefault="00AA0192">
      <w:pPr>
        <w:spacing w:line="480" w:lineRule="auto"/>
        <w:rPr>
          <w:kern w:val="0"/>
          <w14:ligatures w14:val="none"/>
        </w:rPr>
      </w:pPr>
      <w:r>
        <w:t>Research encourages questions which in turn makes the field more reflexive and reflective. When as therapists or trainees we see clients, change and learning follow. Research is challenging but beneficial but also necessary. It is not however all positive because research culture can also constrain therapy and its development. An example of this is how the medical model is still the model that informs, for example, government policy through the organisation NICE (National Institute for Health and Care Excellence). NICE guidance recommends a range of psychological interventions for depression, including cognitive behavioural approaches, and bases recommendations on systematic reviews of evidence and cost effectiveness (National Institute for Health and Care Excellence, 2022). This body has given approval for CBT as a main therapeutic response to key mental health issues such as depression, PTSD, and some addictions. CBT is data driven and short term in its delivery; it produces figures and results. It can be generalised across mental health issues which fits the narrative of NICE. This concerns me as it is very directive and can also skew clients’ needs. As I mentioned before, today’s clients are better informed and can access information about therapeutic modalities and make informed choices. However, if that information is skewed one way or another, clearly the client will make the decision based on what is considered best, not what may offer them a source of potential change and growth. This concern is supported by arguments that evidence-based practice can become incomplete or misleading if it focuses only on specific treatment models and does not sufficiently include the therapy relationship, client preferences and responsiveness to the individual person (Norcross and Wampold, 2011).</w:t>
      </w:r>
    </w:p>
    <w:p w14:paraId="6F69F337" w14:textId="2FDD1261" w:rsidR="00AA0192" w:rsidRDefault="00AA0192">
      <w:pPr>
        <w:spacing w:line="480" w:lineRule="auto"/>
        <w:rPr>
          <w:kern w:val="0"/>
          <w14:ligatures w14:val="none"/>
        </w:rPr>
      </w:pPr>
      <w:r>
        <w:t xml:space="preserve">There are therapists who are challenging the dominance of the medical model, raising concerns that it may be pathologising distress rather than understanding it. The argument is that the medical model is reductionist; it reduces human distress to symptoms and eventually categories. The Power Threat Meaning Framework offers an alternative to psychiatric diagnosis by understanding distress in relation to power, threat, meaning and survival responses, rather than reducing it to symptoms alone (Johnstone and Boyle, 2018). This goes against ethical principles, and, for me personally, the one that relates most strongly is autonomy: if our client’s distress is reduced to symptoms, are we really offering autonomy? To a degree, it can sacrifice our ability to create relational depth; we begin to look for symptoms and causes rather than offering the client a safe space to explore their distress. Safe space is created by empathy and unconditional positive regard; if a therapist is focused truly on the client, are we looking for symptoms or are we seeing the person? Rogers argued that therapeutic change depends on relational conditions such as empathy, </w:t>
      </w:r>
      <w:r w:rsidR="003B451A">
        <w:t>congruence,</w:t>
      </w:r>
      <w:r>
        <w:t xml:space="preserve"> and unconditional positive regard, which places the person rather than the diagnosis at the centre of therapy (Rogers, 1957). In conclusion, there should be informed research, but it needs to come in an anti-establishment way: a broader, more encompassing journey with the client, not just the symptoms.</w:t>
      </w:r>
    </w:p>
    <w:p w14:paraId="6D43A990" w14:textId="77777777" w:rsidR="00AA0192" w:rsidRDefault="00AA0192">
      <w:pPr>
        <w:spacing w:line="480" w:lineRule="auto"/>
        <w:rPr>
          <w:kern w:val="0"/>
          <w14:ligatures w14:val="none"/>
        </w:rPr>
      </w:pPr>
      <w:r>
        <w:t>As I was asking questions about how NICE made decisions in relation to which type of therapy produces the ‘best’ results in relation to specific types of client issues, I wanted to review a paper looking at CBT and its results with PTSD. NICE guidance for PTSD recommends trauma-focused CBT and EMDR as evidence-based psychological interventions for adults, while also stating that care should take account of the individual needs, preferences and values of the person using the service (National Institute for Health and Care Excellence, 2018).</w:t>
      </w:r>
    </w:p>
    <w:p w14:paraId="017BE41E" w14:textId="77777777" w:rsidR="00AA0192" w:rsidRDefault="00AA0192">
      <w:pPr>
        <w:spacing w:line="480" w:lineRule="auto"/>
        <w:rPr>
          <w:kern w:val="0"/>
          <w14:ligatures w14:val="none"/>
        </w:rPr>
      </w:pPr>
      <w:r>
        <w:t xml:space="preserve">Structure of the paper and Research design </w:t>
      </w:r>
    </w:p>
    <w:p w14:paraId="0A70DF5C" w14:textId="77777777" w:rsidR="00AA0192" w:rsidRDefault="00AA0192">
      <w:pPr>
        <w:spacing w:line="480" w:lineRule="auto"/>
        <w:rPr>
          <w:kern w:val="0"/>
          <w14:ligatures w14:val="none"/>
        </w:rPr>
      </w:pPr>
      <w:r>
        <w:t>This study is based on collated data from evidence-based practice. It uses evidence collected over an eleven-year period for patients in London visiting an NHS Talking Therapies outpatient clinic. It was targeted at adults with PTSD. The aim of the study was to look in depth at what both CBT and EMDR achieved with adults with PTSD symptoms. The purpose of the study was to gain a better understanding of the relative effectiveness of trauma-informed CBT and EMDR as provided by this particular service in the geographical area of London. Belli et al. (2025) describe this as a service evaluation of trauma-focused CBT and EMDR outcomes for PTSD in a London NHS Talking Therapies outpatient service over 11 years, using a sample of 1,580 adults. The study aimed to allow for a better-informed clinical and treatment pathway for individuals with trauma problems in a talking therapies service and to contribute to the wider research on trauma interventions within CBT and NHS frameworks. Its main aim was to determine overall recovery rates for PTSD in this service and how these might have changed over time. The introduction is well structured for the purposes of the investigation as it mentions other studies, including meta-analysis studies.</w:t>
      </w:r>
    </w:p>
    <w:p w14:paraId="55F5421C" w14:textId="77777777" w:rsidR="00AA0192" w:rsidRDefault="00AA0192">
      <w:pPr>
        <w:spacing w:line="480" w:lineRule="auto"/>
        <w:rPr>
          <w:kern w:val="0"/>
          <w14:ligatures w14:val="none"/>
        </w:rPr>
      </w:pPr>
      <w:r>
        <w:t xml:space="preserve">It accesses both past and present data available on the topic and uses it to inform the outcome of this study it follows the the medical model theory whilst accessing practice-based data from an interface called IAPTUS all information collected over an eleven-year period from 2012 to 2023. This system used a questionnaire type system to illicit the answers from clients about their outcomes. The study outlines the data was achieved by retrospectively analysing routinely collected data. The data was comprehensive the individuals concerned completed weekly measures of depressive or anxious symptoms using PHQ-9 and GAD-7 questionnaires they also completed a PTSD checklist for DSM -5 or the Impact of Event Scale-Revised (IES-R), the PLC-5. These were used to classify the results for the purpose of this study. The sample size was originally 1696 but some were excluded due to a change in their status and symptoms analysis, the eventual number included was 1580. It included a statement outlining strengths and limitations, engaged with what could be drawn from the study in terms of key practice points. </w:t>
      </w:r>
    </w:p>
    <w:p w14:paraId="05622D61" w14:textId="47CF8440" w:rsidR="00AA0192" w:rsidRDefault="00AA0192">
      <w:pPr>
        <w:spacing w:line="480" w:lineRule="auto"/>
        <w:rPr>
          <w:kern w:val="0"/>
          <w14:ligatures w14:val="none"/>
        </w:rPr>
      </w:pPr>
      <w:r>
        <w:t xml:space="preserve">The paper firmly places both CBT and EMDR as key actors in recovery from PTSD. However, critically observing the paper from a person-centred perspective, it lacks the client’s perspective; the reason for this is that it is very much data based and data driven, and none of the questionnaires allow for full exploration of emotions from the clients’ perspective. McLeod argues that qualitative research in counselling and psychotherapy is valuable because it can allow the experiences of therapy participants, particularly clients, to be heard in ways that quantitative measurement may not fully capture (McLeod, 2011). The clients’ words about their own experiences are missing; structured questionnaires obtain structured answers. To obtain this data in a form that fits the government narrative and the NICE narrative of effective therapeutic engagement, it may have missed an important client story. This fits the medical research agenda, so its validity can be questioned. A recent qualitative meta-analysis of client-identified psychotherapy outcomes also suggests that clients value changes beyond symptom reduction, including self-understanding, agency, emotional </w:t>
      </w:r>
      <w:r w:rsidR="00317D71">
        <w:t>functioning,</w:t>
      </w:r>
      <w:r>
        <w:t xml:space="preserve"> and social engagement, which may be overlooked when outcomes are measured mainly through symptom questionnaires (Ladmanová et al., 2025).</w:t>
      </w:r>
    </w:p>
    <w:p w14:paraId="640A436E" w14:textId="77777777" w:rsidR="00AA0192" w:rsidRDefault="00AA0192">
      <w:pPr>
        <w:spacing w:line="480" w:lineRule="auto"/>
        <w:rPr>
          <w:kern w:val="0"/>
          <w14:ligatures w14:val="none"/>
        </w:rPr>
      </w:pPr>
      <w:r>
        <w:t xml:space="preserve">Purpose and Findings </w:t>
      </w:r>
    </w:p>
    <w:p w14:paraId="2F2F9FCF" w14:textId="77777777" w:rsidR="00AA0192" w:rsidRDefault="00AA0192">
      <w:pPr>
        <w:spacing w:line="480" w:lineRule="auto"/>
        <w:rPr>
          <w:kern w:val="0"/>
          <w14:ligatures w14:val="none"/>
        </w:rPr>
      </w:pPr>
      <w:r>
        <w:t>This study using its own collected data had the purpose of tracking the recovery rates over 11 years of PTSD suffers who visited an outpatient talking therapies service in London. The main purpose was to identify the effectiveness of both CBT and EMDR on PTSD patients. To compare recovery rates and symptom changes of individuals with PTSD and to decide whether there are any definable differences between the recovery rates of either CBT or EMDR. It does raise questions of validity in the sense of was it providing any new insights into that data. Did it lead to further research, this study appears to be more of a validation exercise the outcomes it sought were skewed to the purpose of the study. This is evidenced in the key practice points the first one stating that there was no difference in recovery rates between CBT and EMDR. The conclusion being to continue to offer both and let the client choose. So effectively the study perfectly answered its question. Later in the key points the study then reveals gaps in the study showing there should be further audits of the service to consider cultural backgrounds, men and those who are non-binary. Effectively offering a glimpse into research bias and how the study may accomplish delivery of the service to wider sections of society and how culture affects clients, as does status, age, sexual identity. However, it then talks about using the findings from this study to inform its future outreach work with these target groups. Whilst indicating it needs more auditing in these groups. Which may indicate further studies are needed before they apply the findings to the planned outreach work.</w:t>
      </w:r>
    </w:p>
    <w:p w14:paraId="703FBAE4" w14:textId="77777777" w:rsidR="00AA0192" w:rsidRDefault="00AA0192">
      <w:pPr>
        <w:spacing w:line="480" w:lineRule="auto"/>
        <w:rPr>
          <w:kern w:val="0"/>
          <w14:ligatures w14:val="none"/>
        </w:rPr>
      </w:pPr>
    </w:p>
    <w:p w14:paraId="3A8E50DD" w14:textId="77777777" w:rsidR="00AA0192" w:rsidRDefault="00AA0192">
      <w:pPr>
        <w:spacing w:line="480" w:lineRule="auto"/>
        <w:rPr>
          <w:kern w:val="0"/>
          <w14:ligatures w14:val="none"/>
        </w:rPr>
      </w:pPr>
      <w:r>
        <w:t xml:space="preserve">Effectiveness of claims </w:t>
      </w:r>
    </w:p>
    <w:p w14:paraId="2D1A30E3" w14:textId="7C186931" w:rsidR="00AA0192" w:rsidRDefault="00AA0192">
      <w:pPr>
        <w:spacing w:line="480" w:lineRule="auto"/>
        <w:rPr>
          <w:kern w:val="0"/>
          <w14:ligatures w14:val="none"/>
        </w:rPr>
      </w:pPr>
      <w:r>
        <w:t xml:space="preserve">This study sets out to infer that both CBT and EMDR work with PTSD clients using service data collected over an eleven-year period. So effectively it was constructed to fit that purpose. Although the authors acknowledge that further research is required, they defend the purpose of this by writing a paragraph based on key practice points which reiterates the initial introduction and why they are conducting the research. It is an evaluation of effectiveness of both the modalities they use in this service and supports the continued use of both, finding no differences in outcomes between them. This is consistent with practice-based evidence approaches, which use routinely collected clinical data to evaluate therapeutic outcomes in real-world services, while also raising questions about the limits of such evidence when it is used to support existing models of provision (Holmqvist, Philips and Barkham, 2015). It is not strictly a comparative study although it is set out as one. It only compares the collected data, not any other outside data. This method of course creates the results they are looking for, as naturalistic service evaluations can demonstrate effectiveness in routine settings but do not offer the same control over allocation, comparison </w:t>
      </w:r>
      <w:r w:rsidR="00317D71">
        <w:t>groups,</w:t>
      </w:r>
      <w:r>
        <w:t xml:space="preserve"> or causality as randomised controlled trials (Matthews, 2017).</w:t>
      </w:r>
    </w:p>
    <w:p w14:paraId="4C444C10" w14:textId="3FFC85DA" w:rsidR="00AA0192" w:rsidRDefault="00AA0192">
      <w:pPr>
        <w:spacing w:line="480" w:lineRule="auto"/>
        <w:rPr>
          <w:kern w:val="0"/>
          <w14:ligatures w14:val="none"/>
        </w:rPr>
      </w:pPr>
      <w:r>
        <w:t xml:space="preserve">Given that the study was conducted using the evidence collected from numerous questionnaires given to clients at varying stages of the process of either EMDR or CBT, it provides figures to the facts and as such the results are empirical and make the study easy to replicate. As to whether the data provides a true picture of the client experience could be debated, as questionnaires may standardise the client’s response but can also shape how symptoms are understood and reported within psychotherapy research (Truijens et al., 2022). Are questionnaires the most effective way to gain access to the client's journey? Would it have produced different results had they done, say, a focus group of people who received the service and one of people receiving the service? Qualitative psychotherapy research suggests that clients often identify outcomes beyond symptom reduction, including self-understanding, agency, emotional </w:t>
      </w:r>
      <w:r w:rsidR="00317D71">
        <w:t>functioning,</w:t>
      </w:r>
      <w:r>
        <w:t xml:space="preserve"> and social engagement, which may not be fully captured by routine symptom measures (Ladmanová et al., 2025). Would the results have been different if they did a truly comparative study by using a study about the same presenting issue but using, say, person-centred therapy or existential therapy as the comparison? Instead, the authors choose to use collected data from the service to state its effectiveness; it also forgoes the need to collect and collate any new or emerging data. In its favour, it is longitudinal, covers a long-time span and defended its hypothesis. It has also tried to show some growth by suggesting they need further study on their outreach project, but despite this they will use the findings from this study to inform the outreach work and continue to use the current models within the service. It is a study that could be replicated and the results being figure-based would lend itself to the researchers being able to generalise to any current or future service user in terms of service provision. Overall, it elucidates what the service does and the results it achieves.</w:t>
      </w:r>
    </w:p>
    <w:p w14:paraId="5B531CDC" w14:textId="77777777" w:rsidR="00AA0192" w:rsidRDefault="00AA0192">
      <w:pPr>
        <w:spacing w:line="480" w:lineRule="auto"/>
        <w:rPr>
          <w:kern w:val="0"/>
          <w14:ligatures w14:val="none"/>
        </w:rPr>
      </w:pPr>
      <w:r>
        <w:t xml:space="preserve">Conclusion and overall value of the work </w:t>
      </w:r>
    </w:p>
    <w:p w14:paraId="6B79929C" w14:textId="55F9E8E6" w:rsidR="00AA0192" w:rsidRDefault="00AA0192">
      <w:pPr>
        <w:spacing w:line="480" w:lineRule="auto"/>
        <w:rPr>
          <w:kern w:val="0"/>
          <w14:ligatures w14:val="none"/>
        </w:rPr>
      </w:pPr>
      <w:r>
        <w:t xml:space="preserve">Overall if I judge this research from the point of view of a student it is clear, concise and provides tables and figures that can be used to provide information about how EMDR and CBT work well for PTSD. It offers a structured response to an increasing issue as people begin to differentiate between issues like depression or addiction and PTSD. Individuals presenting with PTSD is on the rise; some of this may be attributable to the Covid pandemic, although it may also reflect better diagnostic tools and more accurate recognition of PTSD. This is supported by research showing that pandemic-related trauma and stressor symptoms became a significant public health concern, while diagnostic interviews can produce more precise estimates than screening measures alone (Scott et al., 2023). This study points to the increase relating to better diagnostic tools and more precision in diagnosis and response. The debate for me is not its practical use as a paper about PTSD and the types of therapy that work with it, but what impact it makes for the field at large. I feel that research should challenge the status quo; it should impact the field, increase learning and lead to additional research. This piece mentions </w:t>
      </w:r>
      <w:bookmarkStart w:id="3" w:name="_Int_Deacjs4j"/>
      <w:r>
        <w:t>other</w:t>
      </w:r>
      <w:bookmarkEnd w:id="3"/>
      <w:r>
        <w:t xml:space="preserve"> research it could do but retains the status quo. Its findings reveal merely that the current therapies work for some clients, but what about the clients it does not work for? Should that not be the goal of the field: to move with the clients and keep on challenging the status quo? For me as a therapist I am duty bound to challenge myself and my learning so I can deliver the best me into the relationship with the client. Did this study give the field greater understanding? In my view, no. I think, in fact, it limited the field to just one or two ways of addressing clients’ needs. If one way works, should we stop trying to examine others and just do that one way? For me, that limits rather than extends our practical efficiency, especially when psychotherapy research also emphasises common factors such as the therapeutic alliance, therapist effects, </w:t>
      </w:r>
      <w:r w:rsidR="00317D71">
        <w:t>expectations,</w:t>
      </w:r>
      <w:r>
        <w:t xml:space="preserve"> and empathy rather than treatment technique alone (Wampold and Imel, 2015).</w:t>
      </w:r>
    </w:p>
    <w:p w14:paraId="7D0822E7" w14:textId="30961B0C" w:rsidR="00AA0192" w:rsidRDefault="00AA0192">
      <w:pPr>
        <w:spacing w:line="480" w:lineRule="auto"/>
        <w:rPr>
          <w:kern w:val="0"/>
          <w14:ligatures w14:val="none"/>
        </w:rPr>
      </w:pPr>
      <w:r>
        <w:t xml:space="preserve">Bessel Van Der Kolk (2015) states that our brains, </w:t>
      </w:r>
      <w:r w:rsidR="00317D71">
        <w:t>minds,</w:t>
      </w:r>
      <w:r>
        <w:t xml:space="preserve"> and bodies are geared totally to collaboration; it is a technique for survival, and we have created social systems that meet this need. It is this very collaboration breaking down that creates mental suffering. Research needs to examine this break down, to unravel it with empathy and unconditional positive regard, but also to challenge this mental suffering. The difficulty is </w:t>
      </w:r>
      <w:r w:rsidR="00AA4C29">
        <w:t>that</w:t>
      </w:r>
      <w:r>
        <w:t xml:space="preserve"> to be validated in the current epistemological framework of the medical model of mental suffering, research must prove its validity, accountability and transparency within a system that is still operating in a positivist way. Research must be repeatable and accurate, but not necessarily relatable. In research, we are chasing </w:t>
      </w:r>
      <w:bookmarkStart w:id="4" w:name="_Int_Ie0ze3Va"/>
      <w:r>
        <w:t>facts and figures</w:t>
      </w:r>
      <w:bookmarkEnd w:id="4"/>
      <w:r>
        <w:t xml:space="preserve">, information which comes from the type of questions we ask rather than from ourselves or in a genuine way from our clients’ explorations. This is important because client-centred psychotherapy research suggests that clients often identify meaningful outcomes beyond symptom reduction, including self-understanding, agency, emotional </w:t>
      </w:r>
      <w:r w:rsidR="00DB2C26">
        <w:t>functioning,</w:t>
      </w:r>
      <w:r>
        <w:t xml:space="preserve"> and social engagement (Ladmanová et al., 2025).</w:t>
      </w:r>
    </w:p>
    <w:p w14:paraId="7E2F1CB9" w14:textId="77777777" w:rsidR="00AA0192" w:rsidRDefault="00AA0192">
      <w:pPr>
        <w:spacing w:line="480" w:lineRule="auto"/>
        <w:rPr>
          <w:kern w:val="0"/>
          <w14:ligatures w14:val="none"/>
        </w:rPr>
      </w:pPr>
      <w:r>
        <w:t>This piece of research, from my view, exemplifies the problematic aspects of the relationship between research and therapy, with its directive nature and the way it targeted its findings to reiterate its position in the treatment of PTSD. For example, it used pre-collected data, some of which was eleven years old, with no follow-up questionnaire asking how those individuals were now, where they were in their journey with PTSD, or how many of them had needed more therapy. They conducted a longitudinal study but without the kind of follow-up that most longitudinal studies use when revisiting participants. This was not the case for all participants but was relevant to a number of them. This study, for me, appears to have had one purpose: to consolidate the successes of the project. The information analysed was chosen to represent the project’s success; it did not use all information available and eliminated questionnaires from, for example, people with both depression and PTSD. The questionnaire was structured and did not allow for the subjects to ask questions, which is why it blocked client autonomy. Structured questionnaires are designed to elicit an exact response, not to help a client explore, and research suggests that questionnaires can shape how symptoms are experienced and reported within psychotherapy research (Truijens et al., 2022). CBT operates very much as an exact science, much like behaviourism, so certain behaviours elicit certain responses; it misses that core that makes us human. Whilst some of our behaviours can be predicted as such, there is always a client who will engage differently. A client may indeed present with a similar, if not the same, dilemma, but what will be different is the response because we are all affected in diverse ways by events. Clients arrive to therapy with their own unique responses to situations; it is where resilience comes from, as we all experience the world from our own unique perspective. This study does not see individual uniqueness or elicit the subject’s uniqueness; this would have needed a different type of study, such as qualitative inquiry, which can allow the experiences of clients and therapy participants to be heard in a way that controlled measurement may not fully capture (McLeod, 2011). Did it deliver what it stated in the abstract? Yes, so from that point of view it was a good study. However, it left, from my perspective, a lot of unanswered questions, which made it problematic for me both as a student and a practitioner. This is particularly important in PTSD research, where systematic reviews support trauma-focused CBT and EMDR as effective treatments but also point to the need for shared decision-making and attention to what matters to the individual client, rather than relying only on manualised symptom outcomes (Lewis et al., 2020).</w:t>
      </w:r>
    </w:p>
    <w:p w14:paraId="326C03C6" w14:textId="77777777" w:rsidR="00AA0192" w:rsidRDefault="00AA0192" w:rsidP="00AA0192">
      <w:pPr>
        <w:pStyle w:val="Heading1"/>
        <w:spacing w:line="480" w:lineRule="auto"/>
        <w:rPr>
          <w:rFonts w:cstheme="minorBidi"/>
          <w:kern w:val="36"/>
          <w14:ligatures w14:val="none"/>
        </w:rPr>
      </w:pPr>
      <w:r>
        <w:rPr>
          <w:rFonts w:ascii="Aptos" w:hAnsi="Aptos" w:cstheme="minorBidi"/>
        </w:rPr>
        <w:t>Reference List</w:t>
      </w:r>
    </w:p>
    <w:p w14:paraId="00A2BA08" w14:textId="77777777" w:rsidR="00A149EA" w:rsidRDefault="00A149EA">
      <w:pPr>
        <w:rPr>
          <w:kern w:val="0"/>
          <w14:ligatures w14:val="none"/>
        </w:rPr>
      </w:pPr>
      <w:r>
        <w:t xml:space="preserve">Freud, S. (1925) ‘An autobiographical study’, in Strachey, J. (ed. and trans.) </w:t>
      </w:r>
      <w:r>
        <w:rPr>
          <w:i/>
          <w:iCs/>
        </w:rPr>
        <w:t>The Standard Edition of the Complete Psychological Works of Sigmund Freud, Volume XX</w:t>
      </w:r>
      <w:r>
        <w:t>. London: Hogarth Press, pp. 1–74.</w:t>
      </w:r>
    </w:p>
    <w:p w14:paraId="61A74040" w14:textId="1705A13A" w:rsidR="00A149EA" w:rsidRDefault="00A149EA">
      <w:pPr>
        <w:rPr>
          <w:kern w:val="0"/>
          <w14:ligatures w14:val="none"/>
        </w:rPr>
      </w:pPr>
      <w:r>
        <w:t xml:space="preserve">Willemsen, J., Della Rosa, </w:t>
      </w:r>
      <w:r w:rsidR="008D354C">
        <w:t>E.,</w:t>
      </w:r>
      <w:r>
        <w:t xml:space="preserve"> and Kegerreis, S. (2017) ‘Clinical case studies in psychoanalytic and psychodynamic treatment’, </w:t>
      </w:r>
      <w:r>
        <w:rPr>
          <w:i/>
          <w:iCs/>
        </w:rPr>
        <w:t>Frontiers in Psychology</w:t>
      </w:r>
      <w:r>
        <w:t>, 8, article 108.</w:t>
      </w:r>
    </w:p>
    <w:p w14:paraId="0502B1EB" w14:textId="77777777" w:rsidR="005A648C" w:rsidRDefault="005A648C">
      <w:pPr>
        <w:rPr>
          <w:kern w:val="0"/>
          <w14:ligatures w14:val="none"/>
        </w:rPr>
      </w:pPr>
      <w:r>
        <w:t xml:space="preserve">Watson, J.B. (1913) ‘Psychology as the behaviorist views it’, </w:t>
      </w:r>
      <w:r>
        <w:rPr>
          <w:i/>
          <w:iCs/>
        </w:rPr>
        <w:t>Psychological Review</w:t>
      </w:r>
      <w:r>
        <w:t>, 20, pp. 158–177.</w:t>
      </w:r>
    </w:p>
    <w:p w14:paraId="15F15EB0" w14:textId="77777777" w:rsidR="005A648C" w:rsidRDefault="005A648C">
      <w:pPr>
        <w:rPr>
          <w:kern w:val="0"/>
          <w14:ligatures w14:val="none"/>
        </w:rPr>
      </w:pPr>
      <w:r>
        <w:t xml:space="preserve">Skinner, B.F. (1953) </w:t>
      </w:r>
      <w:r>
        <w:rPr>
          <w:i/>
          <w:iCs/>
        </w:rPr>
        <w:t>Science and human behavior</w:t>
      </w:r>
      <w:r>
        <w:t>. New York: Macmillan.</w:t>
      </w:r>
    </w:p>
    <w:p w14:paraId="543DA0E2" w14:textId="77777777" w:rsidR="0095203E" w:rsidRDefault="0095203E">
      <w:pPr>
        <w:rPr>
          <w:kern w:val="0"/>
          <w14:ligatures w14:val="none"/>
        </w:rPr>
      </w:pPr>
      <w:r>
        <w:t xml:space="preserve">Maslow, A.H. (1962) </w:t>
      </w:r>
      <w:r>
        <w:rPr>
          <w:i/>
          <w:iCs/>
        </w:rPr>
        <w:t>Toward a psychology of being</w:t>
      </w:r>
      <w:r>
        <w:t>. Princeton, NJ: Van Nostrand.</w:t>
      </w:r>
    </w:p>
    <w:p w14:paraId="172938FA" w14:textId="77777777" w:rsidR="0095203E" w:rsidRDefault="0095203E">
      <w:pPr>
        <w:rPr>
          <w:kern w:val="0"/>
          <w14:ligatures w14:val="none"/>
        </w:rPr>
      </w:pPr>
      <w:r>
        <w:t xml:space="preserve">Rogers, C.R. (1961) </w:t>
      </w:r>
      <w:r>
        <w:rPr>
          <w:i/>
          <w:iCs/>
        </w:rPr>
        <w:t>On becoming a person: A therapist’s view of psychotherapy</w:t>
      </w:r>
      <w:r>
        <w:t>. Boston: Houghton Mifflin.</w:t>
      </w:r>
    </w:p>
    <w:p w14:paraId="79FADFF5" w14:textId="77777777" w:rsidR="00C409C0" w:rsidRDefault="00C409C0">
      <w:pPr>
        <w:rPr>
          <w:kern w:val="0"/>
          <w14:ligatures w14:val="none"/>
        </w:rPr>
      </w:pPr>
      <w:r>
        <w:t xml:space="preserve">National Institute for Health and Care Excellence (NICE) (2022) </w:t>
      </w:r>
      <w:r>
        <w:rPr>
          <w:i/>
          <w:iCs/>
        </w:rPr>
        <w:t>NICE real-world evidence framework: Appendix 4: Conduct of qualitative research studies</w:t>
      </w:r>
      <w:r>
        <w:t>. Available at: https://www.nice.org.uk/corporate/ecd9/chapter/appendix-4-conduct-of-qualitative-research-studies (Accessed: 29 June 2026).</w:t>
      </w:r>
    </w:p>
    <w:p w14:paraId="006C11AC" w14:textId="77777777" w:rsidR="00C409C0" w:rsidRDefault="00C409C0">
      <w:pPr>
        <w:rPr>
          <w:kern w:val="0"/>
          <w14:ligatures w14:val="none"/>
        </w:rPr>
      </w:pPr>
      <w:r>
        <w:t xml:space="preserve">Gaglio, B., Henton, M., Barbeau, A., Evans, E., Hickam, D., Newhouse, </w:t>
      </w:r>
      <w:bookmarkStart w:id="5" w:name="_Int_goXefer8"/>
      <w:r>
        <w:t>R.</w:t>
      </w:r>
      <w:bookmarkEnd w:id="5"/>
      <w:r>
        <w:t xml:space="preserve"> and Zickmund, S. (2020) ‘Methodological standards for qualitative and mixed methods patient-centered outcomes research’, </w:t>
      </w:r>
      <w:r>
        <w:rPr>
          <w:i/>
          <w:iCs/>
        </w:rPr>
        <w:t>BMJ</w:t>
      </w:r>
      <w:r>
        <w:t>, 371, m4435.</w:t>
      </w:r>
    </w:p>
    <w:p w14:paraId="232F2B0B" w14:textId="77777777" w:rsidR="00082C2B" w:rsidRDefault="00082C2B">
      <w:pPr>
        <w:rPr>
          <w:kern w:val="0"/>
          <w14:ligatures w14:val="none"/>
        </w:rPr>
      </w:pPr>
      <w:r>
        <w:t xml:space="preserve">Johnson, A.L., Ecker, A.H., Fletcher, T.L., Hundt, N., Kauth, M.R., Martin, L.A., Curran, G.M. and Cully, J.A. (2020) ‘Increasing the impact of randomized controlled trials: an example of a hybrid effectiveness-implementation design in psychotherapy research’, </w:t>
      </w:r>
      <w:r>
        <w:rPr>
          <w:i/>
          <w:iCs/>
        </w:rPr>
        <w:t>Translational Behavioral Medicine</w:t>
      </w:r>
      <w:r>
        <w:t>, 10(3), pp. 629–636.</w:t>
      </w:r>
    </w:p>
    <w:p w14:paraId="5293BFEF" w14:textId="77777777" w:rsidR="00082C2B" w:rsidRDefault="00082C2B">
      <w:pPr>
        <w:rPr>
          <w:kern w:val="0"/>
          <w14:ligatures w14:val="none"/>
        </w:rPr>
      </w:pPr>
      <w:r>
        <w:t xml:space="preserve">Matthews, J.N.S. (2017) </w:t>
      </w:r>
      <w:r>
        <w:rPr>
          <w:i/>
          <w:iCs/>
        </w:rPr>
        <w:t>Introduction to randomized controlled clinical trials</w:t>
      </w:r>
      <w:r>
        <w:t>. 2nd edn. Boca Raton, FL: CRC Press.</w:t>
      </w:r>
    </w:p>
    <w:p w14:paraId="1BCBE204" w14:textId="77777777" w:rsidR="003235A9" w:rsidRDefault="003235A9">
      <w:pPr>
        <w:rPr>
          <w:kern w:val="0"/>
          <w14:ligatures w14:val="none"/>
        </w:rPr>
      </w:pPr>
      <w:r>
        <w:t xml:space="preserve">Truijens, F.L., Van Nieuwenhove, K., De Smet, M., Desmet, M. and Meganck, R. (2022) ‘How questionnaires shape experienced symptoms: A qualitative case comparison study of questionnaire administration in psychotherapy research’, </w:t>
      </w:r>
      <w:r>
        <w:rPr>
          <w:i/>
          <w:iCs/>
        </w:rPr>
        <w:t>Qualitative Research in Psychology</w:t>
      </w:r>
      <w:r>
        <w:t>, 19(3), pp. 806–830.</w:t>
      </w:r>
    </w:p>
    <w:p w14:paraId="37134275" w14:textId="77777777" w:rsidR="005D2DB2" w:rsidRDefault="005D2DB2">
      <w:pPr>
        <w:rPr>
          <w:kern w:val="0"/>
          <w14:ligatures w14:val="none"/>
        </w:rPr>
      </w:pPr>
      <w:r>
        <w:t xml:space="preserve">Holmqvist, R., Philips, </w:t>
      </w:r>
      <w:bookmarkStart w:id="6" w:name="_Int_hJxikWHL"/>
      <w:r>
        <w:t>B.</w:t>
      </w:r>
      <w:bookmarkEnd w:id="6"/>
      <w:r>
        <w:t xml:space="preserve"> and Barkham, M. (2015) ‘Developing practice-based evidence: Benefits, challenges, and tensions’, </w:t>
      </w:r>
      <w:r>
        <w:rPr>
          <w:i/>
          <w:iCs/>
        </w:rPr>
        <w:t>Psychotherapy Research</w:t>
      </w:r>
      <w:r>
        <w:t>, 25(1), pp. 20–31.</w:t>
      </w:r>
    </w:p>
    <w:p w14:paraId="211C13EF" w14:textId="77777777" w:rsidR="005D2DB2" w:rsidRDefault="005D2DB2">
      <w:pPr>
        <w:rPr>
          <w:kern w:val="0"/>
          <w14:ligatures w14:val="none"/>
        </w:rPr>
      </w:pPr>
      <w:r>
        <w:t xml:space="preserve">Bailey, R.J. and Ogles, B.M. (2023) </w:t>
      </w:r>
      <w:r>
        <w:rPr>
          <w:i/>
          <w:iCs/>
        </w:rPr>
        <w:t>Common factors therapy: A principle-based treatment framework</w:t>
      </w:r>
      <w:r>
        <w:t>. Washington, DC: American Psychological Association.</w:t>
      </w:r>
    </w:p>
    <w:p w14:paraId="13E9303B" w14:textId="77777777" w:rsidR="00FF0336" w:rsidRDefault="00FF0336">
      <w:pPr>
        <w:rPr>
          <w:kern w:val="0"/>
          <w14:ligatures w14:val="none"/>
        </w:rPr>
      </w:pPr>
      <w:r>
        <w:t xml:space="preserve">Wakefield, S., Kellett, S., Simmonds-Buckley, M., Stockton, D., Bradbury, A. and Delgadillo, J. (2021) ‘Improving Access to Psychological Therapies (IAPT) in the United Kingdom: A systematic review and meta-analysis of 10-years of practice-based evidence’, </w:t>
      </w:r>
      <w:r>
        <w:rPr>
          <w:i/>
          <w:iCs/>
        </w:rPr>
        <w:t>British Journal of Clinical Psychology</w:t>
      </w:r>
      <w:r>
        <w:t>, 60(1), pp. 1–37.</w:t>
      </w:r>
    </w:p>
    <w:p w14:paraId="01948339" w14:textId="77777777" w:rsidR="00FF0336" w:rsidRDefault="00FF0336">
      <w:pPr>
        <w:rPr>
          <w:kern w:val="0"/>
          <w14:ligatures w14:val="none"/>
        </w:rPr>
      </w:pPr>
      <w:r>
        <w:t xml:space="preserve">Wampold, B.E. and Imel, Z.E. (2015) </w:t>
      </w:r>
      <w:r>
        <w:rPr>
          <w:i/>
          <w:iCs/>
        </w:rPr>
        <w:t>The great psychotherapy debate: The evidence for what makes psychotherapy work</w:t>
      </w:r>
      <w:r>
        <w:t>. 2nd edn. New York: Routledge.</w:t>
      </w:r>
    </w:p>
    <w:p w14:paraId="09DB1CA2" w14:textId="77777777" w:rsidR="005521FA" w:rsidRDefault="005521FA">
      <w:pPr>
        <w:rPr>
          <w:kern w:val="0"/>
          <w14:ligatures w14:val="none"/>
        </w:rPr>
      </w:pPr>
      <w:r>
        <w:t xml:space="preserve">Cooper, M. (2008) </w:t>
      </w:r>
      <w:r>
        <w:rPr>
          <w:i/>
          <w:iCs/>
        </w:rPr>
        <w:t>Essential research findings in counselling and psychotherapy: The facts are friendly</w:t>
      </w:r>
      <w:r>
        <w:t>. London: SAGE.</w:t>
      </w:r>
    </w:p>
    <w:p w14:paraId="1C7074A2" w14:textId="77777777" w:rsidR="005521FA" w:rsidRDefault="005521FA">
      <w:pPr>
        <w:rPr>
          <w:kern w:val="0"/>
          <w14:ligatures w14:val="none"/>
        </w:rPr>
      </w:pPr>
      <w:r>
        <w:t xml:space="preserve">Johnstone, L. and Boyle, M. with Cromby, J., Dillon, J., Harper, D., Kinderman, P., Longden, E., Pilgrim, D. and Read, J. (2018) </w:t>
      </w:r>
      <w:r>
        <w:rPr>
          <w:i/>
          <w:iCs/>
        </w:rPr>
        <w:t>The Power Threat Meaning Framework: Towards the identification of patterns in emotional distress, unusual experiences and troubled or troubling behaviour, as an alternative to functional psychiatric diagnosis</w:t>
      </w:r>
      <w:r>
        <w:t>. Leicester: British Psychological Society.</w:t>
      </w:r>
    </w:p>
    <w:p w14:paraId="2525AD76" w14:textId="77777777" w:rsidR="00D75B53" w:rsidRDefault="00D75B53">
      <w:pPr>
        <w:rPr>
          <w:kern w:val="0"/>
          <w14:ligatures w14:val="none"/>
        </w:rPr>
      </w:pPr>
      <w:r>
        <w:t xml:space="preserve">McLeod, J. (2011) </w:t>
      </w:r>
      <w:r>
        <w:rPr>
          <w:i/>
          <w:iCs/>
        </w:rPr>
        <w:t>Qualitative research in counselling and psychotherapy</w:t>
      </w:r>
      <w:r>
        <w:t>. 2nd edn. London: SAGE.</w:t>
      </w:r>
    </w:p>
    <w:p w14:paraId="79D2A41C" w14:textId="77777777" w:rsidR="00D75B53" w:rsidRDefault="00D75B53">
      <w:pPr>
        <w:rPr>
          <w:kern w:val="0"/>
          <w14:ligatures w14:val="none"/>
        </w:rPr>
      </w:pPr>
      <w:r>
        <w:t xml:space="preserve">Berger, P.L. and Luckmann, T. (1966) </w:t>
      </w:r>
      <w:r>
        <w:rPr>
          <w:i/>
          <w:iCs/>
        </w:rPr>
        <w:t>The social construction of reality: A treatise in the sociology of knowledge</w:t>
      </w:r>
      <w:r>
        <w:t>. Garden City, NY: Doubleday.</w:t>
      </w:r>
    </w:p>
    <w:p w14:paraId="1D001BBA" w14:textId="77777777" w:rsidR="00686530" w:rsidRDefault="00686530">
      <w:pPr>
        <w:rPr>
          <w:kern w:val="0"/>
          <w14:ligatures w14:val="none"/>
        </w:rPr>
      </w:pPr>
      <w:r>
        <w:t xml:space="preserve">Leung, L. (2015) ‘Validity, reliability, and generalizability in qualitative research’, </w:t>
      </w:r>
      <w:r>
        <w:rPr>
          <w:i/>
          <w:iCs/>
        </w:rPr>
        <w:t>Journal of Family Medicine and Primary Care</w:t>
      </w:r>
      <w:r>
        <w:t>, 4(3), pp. 324–327.</w:t>
      </w:r>
    </w:p>
    <w:p w14:paraId="7FEBEB31" w14:textId="77777777" w:rsidR="00686530" w:rsidRDefault="00686530">
      <w:pPr>
        <w:rPr>
          <w:kern w:val="0"/>
          <w14:ligatures w14:val="none"/>
        </w:rPr>
      </w:pPr>
      <w:r>
        <w:t xml:space="preserve">Flyvbjerg, B. (2006) ‘Five misunderstandings about case-study research’, </w:t>
      </w:r>
      <w:r>
        <w:rPr>
          <w:i/>
          <w:iCs/>
        </w:rPr>
        <w:t>Qualitative Inquiry</w:t>
      </w:r>
      <w:r>
        <w:t>, 12(2), pp. 219–245.</w:t>
      </w:r>
    </w:p>
    <w:p w14:paraId="490C3031" w14:textId="77777777" w:rsidR="00686530" w:rsidRDefault="00686530">
      <w:pPr>
        <w:rPr>
          <w:kern w:val="0"/>
          <w14:ligatures w14:val="none"/>
        </w:rPr>
      </w:pPr>
      <w:r>
        <w:t xml:space="preserve">Finlay, L. (2011) </w:t>
      </w:r>
      <w:r>
        <w:rPr>
          <w:i/>
          <w:iCs/>
        </w:rPr>
        <w:t>Phenomenology for therapists: Researching the lived world</w:t>
      </w:r>
      <w:r>
        <w:t>. Chichester: Wiley-Blackwell.</w:t>
      </w:r>
    </w:p>
    <w:p w14:paraId="7C146461" w14:textId="77777777" w:rsidR="00686530" w:rsidRDefault="00686530">
      <w:pPr>
        <w:rPr>
          <w:kern w:val="0"/>
          <w14:ligatures w14:val="none"/>
        </w:rPr>
      </w:pPr>
      <w:r>
        <w:t xml:space="preserve">Smith, J.A., Flowers, </w:t>
      </w:r>
      <w:bookmarkStart w:id="7" w:name="_Int_gPKqytBj"/>
      <w:r>
        <w:t>P.</w:t>
      </w:r>
      <w:bookmarkEnd w:id="7"/>
      <w:r>
        <w:t xml:space="preserve"> and Larkin, M. (2009) </w:t>
      </w:r>
      <w:r>
        <w:rPr>
          <w:i/>
          <w:iCs/>
        </w:rPr>
        <w:t xml:space="preserve">Interpretative phenomenological analysis: Theory, </w:t>
      </w:r>
      <w:bookmarkStart w:id="8" w:name="_Int_z7LoNN2D"/>
      <w:r>
        <w:rPr>
          <w:i/>
          <w:iCs/>
        </w:rPr>
        <w:t>method</w:t>
      </w:r>
      <w:bookmarkEnd w:id="8"/>
      <w:r>
        <w:rPr>
          <w:i/>
          <w:iCs/>
        </w:rPr>
        <w:t xml:space="preserve"> and research</w:t>
      </w:r>
      <w:r>
        <w:t>. London: SAGE.</w:t>
      </w:r>
    </w:p>
    <w:p w14:paraId="4374B251" w14:textId="77777777" w:rsidR="007A0292" w:rsidRDefault="007A0292">
      <w:pPr>
        <w:rPr>
          <w:kern w:val="0"/>
          <w14:ligatures w14:val="none"/>
        </w:rPr>
      </w:pPr>
      <w:r>
        <w:t xml:space="preserve">Yardley, L. (2000) ‘Dilemmas in qualitative health research’, </w:t>
      </w:r>
      <w:r>
        <w:rPr>
          <w:i/>
          <w:iCs/>
        </w:rPr>
        <w:t>Psychology &amp; Health</w:t>
      </w:r>
      <w:r>
        <w:t>, 15(2), pp. 215–228.</w:t>
      </w:r>
    </w:p>
    <w:p w14:paraId="66734698" w14:textId="77777777" w:rsidR="007A0292" w:rsidRDefault="007A0292">
      <w:pPr>
        <w:rPr>
          <w:kern w:val="0"/>
          <w14:ligatures w14:val="none"/>
        </w:rPr>
      </w:pPr>
      <w:r>
        <w:t xml:space="preserve">Morrow, S.L. (2005) ‘Quality and trustworthiness in qualitative research in counseling psychology’, </w:t>
      </w:r>
      <w:r>
        <w:rPr>
          <w:i/>
          <w:iCs/>
        </w:rPr>
        <w:t>Journal of Counseling Psychology</w:t>
      </w:r>
      <w:r>
        <w:t>, 52(2), pp. 250–260.</w:t>
      </w:r>
    </w:p>
    <w:p w14:paraId="7B9AB202" w14:textId="77777777" w:rsidR="007A0292" w:rsidRDefault="007A0292">
      <w:pPr>
        <w:rPr>
          <w:kern w:val="0"/>
          <w14:ligatures w14:val="none"/>
        </w:rPr>
      </w:pPr>
      <w:r>
        <w:t xml:space="preserve">Sackett, D.L., Rosenberg, W.M.C., Gray, J.A.M., Haynes, R.B. and Richardson, W.S. (1996) ‘Evidence based medicine: what it is and what it isn’t’, </w:t>
      </w:r>
      <w:r>
        <w:rPr>
          <w:i/>
          <w:iCs/>
        </w:rPr>
        <w:t>BMJ</w:t>
      </w:r>
      <w:r>
        <w:t>, 312(7023), pp. 71–72.</w:t>
      </w:r>
    </w:p>
    <w:p w14:paraId="68E891F7" w14:textId="77777777" w:rsidR="007A0292" w:rsidRDefault="007A0292">
      <w:pPr>
        <w:rPr>
          <w:kern w:val="0"/>
          <w14:ligatures w14:val="none"/>
        </w:rPr>
      </w:pPr>
      <w:r>
        <w:t xml:space="preserve">Schön, D.A. (1983) </w:t>
      </w:r>
      <w:r>
        <w:rPr>
          <w:i/>
          <w:iCs/>
        </w:rPr>
        <w:t>The reflective practitioner: How professionals think in action</w:t>
      </w:r>
      <w:r>
        <w:t>. New York: Basic Books.</w:t>
      </w:r>
    </w:p>
    <w:p w14:paraId="4B8D651D" w14:textId="77777777" w:rsidR="00BC51D2" w:rsidRDefault="00BC51D2">
      <w:pPr>
        <w:rPr>
          <w:kern w:val="0"/>
          <w14:ligatures w14:val="none"/>
        </w:rPr>
      </w:pPr>
      <w:r>
        <w:t xml:space="preserve">Kendrick, T., Pilling, S., Mavranezouli, I., Megnin-Viggars, O., Ruane, C., Eadon, H. and Kapur, N. (2022) ‘Management of depression in adults: summary of updated NICE guidance’, </w:t>
      </w:r>
      <w:r>
        <w:rPr>
          <w:i/>
          <w:iCs/>
        </w:rPr>
        <w:t>BMJ</w:t>
      </w:r>
      <w:r>
        <w:t>, 378, o1557.</w:t>
      </w:r>
    </w:p>
    <w:p w14:paraId="10072BB7" w14:textId="77777777" w:rsidR="00BC51D2" w:rsidRDefault="00BC51D2">
      <w:pPr>
        <w:rPr>
          <w:kern w:val="0"/>
          <w14:ligatures w14:val="none"/>
        </w:rPr>
      </w:pPr>
      <w:r>
        <w:t xml:space="preserve">British Association for Counselling and Psychotherapy (2018) </w:t>
      </w:r>
      <w:r>
        <w:rPr>
          <w:i/>
          <w:iCs/>
        </w:rPr>
        <w:t>Ethical Framework for the Counselling Professions</w:t>
      </w:r>
      <w:r>
        <w:t>. Lutterworth: British Association for Counselling and Psychotherapy.</w:t>
      </w:r>
    </w:p>
    <w:p w14:paraId="4908ABB0" w14:textId="77777777" w:rsidR="00CC41D1" w:rsidRDefault="00CC41D1">
      <w:pPr>
        <w:rPr>
          <w:kern w:val="0"/>
          <w14:ligatures w14:val="none"/>
        </w:rPr>
      </w:pPr>
      <w:r>
        <w:t xml:space="preserve">McLeod, J. (2013) </w:t>
      </w:r>
      <w:r>
        <w:rPr>
          <w:i/>
          <w:iCs/>
        </w:rPr>
        <w:t>An introduction to research in counselling and psychotherapy</w:t>
      </w:r>
      <w:r>
        <w:t>. London: SAGE.</w:t>
      </w:r>
    </w:p>
    <w:p w14:paraId="03099009" w14:textId="77777777" w:rsidR="00CC41D1" w:rsidRDefault="00CC41D1">
      <w:pPr>
        <w:rPr>
          <w:kern w:val="0"/>
          <w14:ligatures w14:val="none"/>
        </w:rPr>
      </w:pPr>
      <w:r>
        <w:t xml:space="preserve">Cooper, M. (2008) </w:t>
      </w:r>
      <w:r>
        <w:rPr>
          <w:i/>
          <w:iCs/>
        </w:rPr>
        <w:t>Essential research findings in counselling and psychotherapy: The facts are friendly</w:t>
      </w:r>
      <w:r>
        <w:t>. London: SAGE.</w:t>
      </w:r>
    </w:p>
    <w:p w14:paraId="67EDC858" w14:textId="77777777" w:rsidR="0089085D" w:rsidRDefault="0089085D">
      <w:pPr>
        <w:rPr>
          <w:kern w:val="0"/>
          <w14:ligatures w14:val="none"/>
        </w:rPr>
      </w:pPr>
      <w:r>
        <w:t xml:space="preserve">National Institute for Health and Care Excellence (2022) </w:t>
      </w:r>
      <w:r>
        <w:rPr>
          <w:i/>
          <w:iCs/>
        </w:rPr>
        <w:t>Depression in adults: treatment and management</w:t>
      </w:r>
      <w:r>
        <w:t>. NICE guideline NG222. London: NICE.</w:t>
      </w:r>
    </w:p>
    <w:p w14:paraId="2A6EC3F1" w14:textId="77777777" w:rsidR="0089085D" w:rsidRDefault="0089085D">
      <w:pPr>
        <w:rPr>
          <w:kern w:val="0"/>
          <w14:ligatures w14:val="none"/>
        </w:rPr>
      </w:pPr>
      <w:r>
        <w:t xml:space="preserve">Norcross, J.C. and Wampold, B.E. (2011) ‘Evidence-based therapy relationships: Research conclusions and clinical practices’, </w:t>
      </w:r>
      <w:r>
        <w:rPr>
          <w:i/>
          <w:iCs/>
        </w:rPr>
        <w:t>Psychotherapy</w:t>
      </w:r>
      <w:r>
        <w:t>, 48(1), pp. 98–102.</w:t>
      </w:r>
    </w:p>
    <w:p w14:paraId="5D2F59CC" w14:textId="77777777" w:rsidR="00AC112D" w:rsidRDefault="00AC112D">
      <w:pPr>
        <w:rPr>
          <w:kern w:val="0"/>
          <w14:ligatures w14:val="none"/>
        </w:rPr>
      </w:pPr>
      <w:r>
        <w:t xml:space="preserve">Johnstone, L. and Boyle, M. with Cromby, J., Dillon, J., Harper, D., Kinderman, P., Longden, E., Pilgrim, D. and Read, J. (2018) </w:t>
      </w:r>
      <w:r>
        <w:rPr>
          <w:i/>
          <w:iCs/>
        </w:rPr>
        <w:t>The Power Threat Meaning Framework: Towards the identification of patterns in emotional distress, unusual experiences and troubled or troubling behaviour, as an alternative to functional psychiatric diagnosis</w:t>
      </w:r>
      <w:r>
        <w:t>. Leicester: British Psychological Society.</w:t>
      </w:r>
    </w:p>
    <w:p w14:paraId="5FB324E7" w14:textId="77777777" w:rsidR="00AC112D" w:rsidRDefault="00AC112D">
      <w:pPr>
        <w:rPr>
          <w:kern w:val="0"/>
          <w14:ligatures w14:val="none"/>
        </w:rPr>
      </w:pPr>
      <w:r>
        <w:t xml:space="preserve">Rogers, C.R. (1957) ‘The necessary and sufficient conditions of therapeutic personality change’, </w:t>
      </w:r>
      <w:r>
        <w:rPr>
          <w:i/>
          <w:iCs/>
        </w:rPr>
        <w:t>Journal of Consulting Psychology</w:t>
      </w:r>
      <w:r>
        <w:t>, 21(2), pp. 95–103.</w:t>
      </w:r>
    </w:p>
    <w:p w14:paraId="5238907E" w14:textId="77777777" w:rsidR="003C7872" w:rsidRDefault="003C7872">
      <w:pPr>
        <w:rPr>
          <w:kern w:val="0"/>
          <w14:ligatures w14:val="none"/>
        </w:rPr>
      </w:pPr>
      <w:r>
        <w:t xml:space="preserve">National Institute for Health and Care Excellence (2018) </w:t>
      </w:r>
      <w:r>
        <w:rPr>
          <w:i/>
          <w:iCs/>
        </w:rPr>
        <w:t>Post-traumatic stress disorder</w:t>
      </w:r>
      <w:r>
        <w:t>. NICE guideline NG116. London: NICE.</w:t>
      </w:r>
    </w:p>
    <w:p w14:paraId="1877B7A8" w14:textId="77777777" w:rsidR="003C7872" w:rsidRDefault="003C7872">
      <w:pPr>
        <w:rPr>
          <w:kern w:val="0"/>
          <w14:ligatures w14:val="none"/>
        </w:rPr>
      </w:pPr>
      <w:r>
        <w:t xml:space="preserve">Belli, S.R., Howell, M., Grey, N., Tiraboschi, S. and Sim, A. (2025) ‘Evaluating the effectiveness of tfCBT and EMDR interventions for PTSD in an NHS Talking Therapies service’, </w:t>
      </w:r>
      <w:r>
        <w:rPr>
          <w:i/>
          <w:iCs/>
        </w:rPr>
        <w:t>The Cognitive Behaviour Therapist</w:t>
      </w:r>
      <w:r>
        <w:t>, 18, e6.</w:t>
      </w:r>
    </w:p>
    <w:p w14:paraId="28F2EA4A" w14:textId="77777777" w:rsidR="006351D8" w:rsidRDefault="006351D8">
      <w:pPr>
        <w:rPr>
          <w:kern w:val="0"/>
          <w14:ligatures w14:val="none"/>
        </w:rPr>
      </w:pPr>
      <w:r>
        <w:t xml:space="preserve">Van der Kolk, B.A. (2015) </w:t>
      </w:r>
      <w:r>
        <w:rPr>
          <w:i/>
          <w:iCs/>
        </w:rPr>
        <w:t>The body keeps the score: Brain, mind, and body in the healing of trauma</w:t>
      </w:r>
      <w:r>
        <w:t>. London: Penguin Books.</w:t>
      </w:r>
    </w:p>
    <w:p w14:paraId="73728B29" w14:textId="77777777" w:rsidR="005A6C89" w:rsidRDefault="005A6C89">
      <w:pPr>
        <w:rPr>
          <w:kern w:val="0"/>
          <w14:ligatures w14:val="none"/>
        </w:rPr>
      </w:pPr>
      <w:r>
        <w:t xml:space="preserve">Scott, H.R., Stevelink, S.A.M., Gafoor, R., Lamb, D., Carr, E., Bakolis, I., Bhundia, R., Docherty, M.J., Dorrington, S., Gnanapragasam, S., Hegarty, S., Hotopf, M., Madan, I., McManus, S., Moran, P., Souliou, E., Raine, R., Razavi, R., Weston, D., Greenberg, N. and Wessely, S. (2023) ‘Prevalence of post-traumatic stress disorder and common mental disorders in health-care workers in England during the COVID-19 pandemic: a two-phase cross-sectional study’, </w:t>
      </w:r>
      <w:r>
        <w:rPr>
          <w:i/>
          <w:iCs/>
        </w:rPr>
        <w:t>The Lancet Psychiatry</w:t>
      </w:r>
      <w:r>
        <w:t>, 10(1), pp. 40–49.</w:t>
      </w:r>
    </w:p>
    <w:p w14:paraId="62B26066" w14:textId="77777777" w:rsidR="005A6C89" w:rsidRDefault="005A6C89">
      <w:pPr>
        <w:rPr>
          <w:kern w:val="0"/>
          <w14:ligatures w14:val="none"/>
        </w:rPr>
      </w:pPr>
      <w:r>
        <w:t xml:space="preserve">Wampold, B.E. and Imel, Z.E. (2015) </w:t>
      </w:r>
      <w:r>
        <w:rPr>
          <w:i/>
          <w:iCs/>
        </w:rPr>
        <w:t>The great psychotherapy debate: The evidence for what makes psychotherapy work</w:t>
      </w:r>
      <w:r>
        <w:t>. 2nd edn. New York: Routledge.</w:t>
      </w:r>
    </w:p>
    <w:p w14:paraId="2D759A11" w14:textId="77777777" w:rsidR="00CD5178" w:rsidRDefault="00CD5178">
      <w:pPr>
        <w:rPr>
          <w:kern w:val="0"/>
          <w14:ligatures w14:val="none"/>
        </w:rPr>
      </w:pPr>
      <w:r>
        <w:t xml:space="preserve">Ladmanová, M., Řiháček, T., Timulak, L., Jonášová, K., Kubantová, B. and Mikoška, P. (2025) ‘Client-identified outcomes of individual psychotherapy: a qualitative meta-analysis’, </w:t>
      </w:r>
      <w:r>
        <w:rPr>
          <w:i/>
          <w:iCs/>
        </w:rPr>
        <w:t>The Lancet Psychiatry</w:t>
      </w:r>
      <w:r>
        <w:t>, 12(1), pp. 18–31.</w:t>
      </w:r>
    </w:p>
    <w:p w14:paraId="4255EC95" w14:textId="77777777" w:rsidR="00086A2F" w:rsidRDefault="00086A2F">
      <w:pPr>
        <w:rPr>
          <w:kern w:val="0"/>
          <w14:ligatures w14:val="none"/>
        </w:rPr>
      </w:pPr>
      <w:r>
        <w:t xml:space="preserve">Lewis, C., Roberts, N.P., Andrew, M., Starling, </w:t>
      </w:r>
      <w:bookmarkStart w:id="9" w:name="_Int_Zre1i19D"/>
      <w:r>
        <w:t>E.</w:t>
      </w:r>
      <w:bookmarkEnd w:id="9"/>
      <w:r>
        <w:t xml:space="preserve"> and Bisson, J.I. (2020) ‘Psychological therapies for post-traumatic stress disorder in adults: systematic review and meta-analysis’, </w:t>
      </w:r>
      <w:r>
        <w:rPr>
          <w:i/>
          <w:iCs/>
        </w:rPr>
        <w:t>European Journal of Psychotraumatology</w:t>
      </w:r>
      <w:r>
        <w:t>, 11(1), article 1729633.</w:t>
      </w:r>
    </w:p>
    <w:sectPr w:rsidR="00086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9hURSgAe" int2:invalidationBookmarkName="" int2:hashCode="MpqnFO4K6lfpZ9" int2:id="Yq34dA6d">
      <int2:state int2:value="Rejected" int2:type="style"/>
    </int2:bookmark>
    <int2:bookmark int2:bookmarkName="_Int_Deacjs4j" int2:invalidationBookmarkName="" int2:hashCode="0JQeaNqPOBUf+G" int2:id="5Y5ziH3V">
      <int2:state int2:value="Rejected" int2:type="gram"/>
    </int2:bookmark>
    <int2:bookmark int2:bookmarkName="_Int_goXefer8" int2:invalidationBookmarkName="" int2:hashCode="d/hG+iXuH0JdFC" int2:id="JjRpN549">
      <int2:state int2:value="Rejected" int2:type="style"/>
    </int2:bookmark>
    <int2:bookmark int2:bookmarkName="_Int_hJxikWHL" int2:invalidationBookmarkName="" int2:hashCode="G+gN0YkN7p2o3t" int2:id="kP5PVdTe">
      <int2:state int2:value="Rejected" int2:type="style"/>
    </int2:bookmark>
    <int2:bookmark int2:bookmarkName="_Int_gPKqytBj" int2:invalidationBookmarkName="" int2:hashCode="Hx+zZ2Wa1AxG0O" int2:id="4fge7FKV">
      <int2:state int2:value="Rejected" int2:type="style"/>
    </int2:bookmark>
    <int2:bookmark int2:bookmarkName="_Int_z7LoNN2D" int2:invalidationBookmarkName="" int2:hashCode="v7r4stHN+Sv4OF" int2:id="edyoVEby">
      <int2:state int2:value="Rejected" int2:type="style"/>
    </int2:bookmark>
    <int2:bookmark int2:bookmarkName="_Int_Zre1i19D" int2:invalidationBookmarkName="" int2:hashCode="BHuuaJUHYNMEwW" int2:id="5qB53Tz2">
      <int2:state int2:value="Rejected" int2:type="style"/>
    </int2:bookmark>
    <int2:bookmark int2:bookmarkName="_Int_Ie0ze3Va" int2:invalidationBookmarkName="" int2:hashCode="Ri1OCD50thavep" int2:id="SiCv32zL">
      <int2:state int2:value="Rejected" int2:type="style"/>
    </int2:bookmark>
    <int2:bookmark int2:bookmarkName="_Int_NyMsl19r" int2:invalidationBookmarkName="" int2:hashCode="1OfX0zDwHG8Ts+" int2:id="BFZEL3nL">
      <int2:state int2:value="Rejected" int2:type="style"/>
    </int2:bookmark>
    <int2:bookmark int2:bookmarkName="_Int_RFmg5Brt" int2:invalidationBookmarkName="" int2:hashCode="YJQdiU7GgrBTj6" int2:id="dwdLKti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8CE32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80532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17F"/>
    <w:rsid w:val="00000FCC"/>
    <w:rsid w:val="0000286E"/>
    <w:rsid w:val="00004B2D"/>
    <w:rsid w:val="00005239"/>
    <w:rsid w:val="0000640E"/>
    <w:rsid w:val="00007522"/>
    <w:rsid w:val="000075A0"/>
    <w:rsid w:val="00007E5B"/>
    <w:rsid w:val="000113C7"/>
    <w:rsid w:val="00013293"/>
    <w:rsid w:val="0001679C"/>
    <w:rsid w:val="00021EBD"/>
    <w:rsid w:val="00022685"/>
    <w:rsid w:val="00022FD3"/>
    <w:rsid w:val="00025868"/>
    <w:rsid w:val="00030949"/>
    <w:rsid w:val="0003498A"/>
    <w:rsid w:val="00037BA4"/>
    <w:rsid w:val="00041342"/>
    <w:rsid w:val="000416C5"/>
    <w:rsid w:val="000418D5"/>
    <w:rsid w:val="00042DB0"/>
    <w:rsid w:val="00045611"/>
    <w:rsid w:val="00046FCB"/>
    <w:rsid w:val="00054B3C"/>
    <w:rsid w:val="00054BFE"/>
    <w:rsid w:val="000554B3"/>
    <w:rsid w:val="00056A4A"/>
    <w:rsid w:val="0005772D"/>
    <w:rsid w:val="00057927"/>
    <w:rsid w:val="00060165"/>
    <w:rsid w:val="0006020A"/>
    <w:rsid w:val="0006178A"/>
    <w:rsid w:val="00064061"/>
    <w:rsid w:val="00065B77"/>
    <w:rsid w:val="00066B4F"/>
    <w:rsid w:val="00067926"/>
    <w:rsid w:val="000714EC"/>
    <w:rsid w:val="000720E6"/>
    <w:rsid w:val="00072D73"/>
    <w:rsid w:val="00075DD4"/>
    <w:rsid w:val="000817FA"/>
    <w:rsid w:val="00081AFA"/>
    <w:rsid w:val="00082C2B"/>
    <w:rsid w:val="00085732"/>
    <w:rsid w:val="00085798"/>
    <w:rsid w:val="00085822"/>
    <w:rsid w:val="00086A2F"/>
    <w:rsid w:val="00086CEC"/>
    <w:rsid w:val="000871E8"/>
    <w:rsid w:val="00092569"/>
    <w:rsid w:val="0009545F"/>
    <w:rsid w:val="000974BE"/>
    <w:rsid w:val="000A0481"/>
    <w:rsid w:val="000A1E48"/>
    <w:rsid w:val="000A2475"/>
    <w:rsid w:val="000A3D81"/>
    <w:rsid w:val="000A7179"/>
    <w:rsid w:val="000B0B18"/>
    <w:rsid w:val="000B1028"/>
    <w:rsid w:val="000B25DD"/>
    <w:rsid w:val="000B4726"/>
    <w:rsid w:val="000B5713"/>
    <w:rsid w:val="000C01D4"/>
    <w:rsid w:val="000C11E3"/>
    <w:rsid w:val="000C494C"/>
    <w:rsid w:val="000C594B"/>
    <w:rsid w:val="000D1169"/>
    <w:rsid w:val="000D140B"/>
    <w:rsid w:val="000D3BEA"/>
    <w:rsid w:val="000D63C8"/>
    <w:rsid w:val="000D76E6"/>
    <w:rsid w:val="000D7D4B"/>
    <w:rsid w:val="000E351F"/>
    <w:rsid w:val="000F436F"/>
    <w:rsid w:val="000F7497"/>
    <w:rsid w:val="001011DC"/>
    <w:rsid w:val="0010308B"/>
    <w:rsid w:val="00103AF0"/>
    <w:rsid w:val="00104087"/>
    <w:rsid w:val="00104DCB"/>
    <w:rsid w:val="00106B4B"/>
    <w:rsid w:val="00106C92"/>
    <w:rsid w:val="00107FEE"/>
    <w:rsid w:val="0011705B"/>
    <w:rsid w:val="001241A8"/>
    <w:rsid w:val="001243AF"/>
    <w:rsid w:val="00124489"/>
    <w:rsid w:val="001277F3"/>
    <w:rsid w:val="00130BE9"/>
    <w:rsid w:val="00132E2E"/>
    <w:rsid w:val="00135379"/>
    <w:rsid w:val="00143AC9"/>
    <w:rsid w:val="00144111"/>
    <w:rsid w:val="00146AEC"/>
    <w:rsid w:val="00147F19"/>
    <w:rsid w:val="001510D3"/>
    <w:rsid w:val="0015145D"/>
    <w:rsid w:val="00153663"/>
    <w:rsid w:val="001540C2"/>
    <w:rsid w:val="001558BD"/>
    <w:rsid w:val="00161DEC"/>
    <w:rsid w:val="00162F8C"/>
    <w:rsid w:val="00164FA7"/>
    <w:rsid w:val="001655CD"/>
    <w:rsid w:val="00166DA7"/>
    <w:rsid w:val="00167072"/>
    <w:rsid w:val="00167C1D"/>
    <w:rsid w:val="001724DE"/>
    <w:rsid w:val="00172EEC"/>
    <w:rsid w:val="001736EF"/>
    <w:rsid w:val="00175CAC"/>
    <w:rsid w:val="00183999"/>
    <w:rsid w:val="00184C21"/>
    <w:rsid w:val="001876C8"/>
    <w:rsid w:val="001941A0"/>
    <w:rsid w:val="001956F9"/>
    <w:rsid w:val="00196448"/>
    <w:rsid w:val="001975A6"/>
    <w:rsid w:val="001A66A9"/>
    <w:rsid w:val="001A7C70"/>
    <w:rsid w:val="001B1D25"/>
    <w:rsid w:val="001B642F"/>
    <w:rsid w:val="001B65B8"/>
    <w:rsid w:val="001B79AA"/>
    <w:rsid w:val="001C2464"/>
    <w:rsid w:val="001C3E8B"/>
    <w:rsid w:val="001C42EA"/>
    <w:rsid w:val="001C6DE7"/>
    <w:rsid w:val="001C7EE6"/>
    <w:rsid w:val="001D1735"/>
    <w:rsid w:val="001D28AD"/>
    <w:rsid w:val="001D4C62"/>
    <w:rsid w:val="001D7B69"/>
    <w:rsid w:val="001E069F"/>
    <w:rsid w:val="001E1601"/>
    <w:rsid w:val="001E162A"/>
    <w:rsid w:val="001E1CB9"/>
    <w:rsid w:val="001E240E"/>
    <w:rsid w:val="001E4882"/>
    <w:rsid w:val="001F08C3"/>
    <w:rsid w:val="001F245A"/>
    <w:rsid w:val="001F5503"/>
    <w:rsid w:val="00200393"/>
    <w:rsid w:val="00207EB2"/>
    <w:rsid w:val="002102A8"/>
    <w:rsid w:val="00210602"/>
    <w:rsid w:val="0021183E"/>
    <w:rsid w:val="0021379B"/>
    <w:rsid w:val="0021496A"/>
    <w:rsid w:val="0021785A"/>
    <w:rsid w:val="00220334"/>
    <w:rsid w:val="00226B17"/>
    <w:rsid w:val="00232367"/>
    <w:rsid w:val="0023273A"/>
    <w:rsid w:val="00237685"/>
    <w:rsid w:val="00240923"/>
    <w:rsid w:val="00240DD8"/>
    <w:rsid w:val="0024419F"/>
    <w:rsid w:val="002455D5"/>
    <w:rsid w:val="00247E7A"/>
    <w:rsid w:val="0025250C"/>
    <w:rsid w:val="00254C91"/>
    <w:rsid w:val="0025501F"/>
    <w:rsid w:val="002620DD"/>
    <w:rsid w:val="00262C9D"/>
    <w:rsid w:val="00266186"/>
    <w:rsid w:val="002668A7"/>
    <w:rsid w:val="002674EB"/>
    <w:rsid w:val="00280CDE"/>
    <w:rsid w:val="00280F7E"/>
    <w:rsid w:val="002816AB"/>
    <w:rsid w:val="00283F11"/>
    <w:rsid w:val="002865B4"/>
    <w:rsid w:val="00287C18"/>
    <w:rsid w:val="00291B94"/>
    <w:rsid w:val="00293BEC"/>
    <w:rsid w:val="002A1DE3"/>
    <w:rsid w:val="002A26EF"/>
    <w:rsid w:val="002A2D37"/>
    <w:rsid w:val="002A6483"/>
    <w:rsid w:val="002B1882"/>
    <w:rsid w:val="002B1CEF"/>
    <w:rsid w:val="002B36C7"/>
    <w:rsid w:val="002B49CB"/>
    <w:rsid w:val="002C14D8"/>
    <w:rsid w:val="002C30A4"/>
    <w:rsid w:val="002C46E6"/>
    <w:rsid w:val="002C7D37"/>
    <w:rsid w:val="002D19E2"/>
    <w:rsid w:val="002D313D"/>
    <w:rsid w:val="002D31F8"/>
    <w:rsid w:val="002D3D72"/>
    <w:rsid w:val="002D57E3"/>
    <w:rsid w:val="002D7C6F"/>
    <w:rsid w:val="002E0B23"/>
    <w:rsid w:val="002E1658"/>
    <w:rsid w:val="002E2260"/>
    <w:rsid w:val="002F2DD9"/>
    <w:rsid w:val="002F4367"/>
    <w:rsid w:val="00300F0B"/>
    <w:rsid w:val="00305F09"/>
    <w:rsid w:val="00306143"/>
    <w:rsid w:val="0030695E"/>
    <w:rsid w:val="0030749E"/>
    <w:rsid w:val="00310462"/>
    <w:rsid w:val="003114A0"/>
    <w:rsid w:val="00311519"/>
    <w:rsid w:val="00313949"/>
    <w:rsid w:val="0031555A"/>
    <w:rsid w:val="00316D73"/>
    <w:rsid w:val="003173B3"/>
    <w:rsid w:val="00317D71"/>
    <w:rsid w:val="00321260"/>
    <w:rsid w:val="00322801"/>
    <w:rsid w:val="003235A9"/>
    <w:rsid w:val="003245F7"/>
    <w:rsid w:val="0032504E"/>
    <w:rsid w:val="0033109C"/>
    <w:rsid w:val="00331AA5"/>
    <w:rsid w:val="00332A5D"/>
    <w:rsid w:val="00334D1B"/>
    <w:rsid w:val="00341710"/>
    <w:rsid w:val="00342518"/>
    <w:rsid w:val="003468EE"/>
    <w:rsid w:val="00350501"/>
    <w:rsid w:val="003514D3"/>
    <w:rsid w:val="003517C0"/>
    <w:rsid w:val="0035250D"/>
    <w:rsid w:val="003525C2"/>
    <w:rsid w:val="00354025"/>
    <w:rsid w:val="003564EE"/>
    <w:rsid w:val="00360996"/>
    <w:rsid w:val="00360F30"/>
    <w:rsid w:val="00361F65"/>
    <w:rsid w:val="00362FB3"/>
    <w:rsid w:val="00364204"/>
    <w:rsid w:val="00364A5E"/>
    <w:rsid w:val="00373221"/>
    <w:rsid w:val="00374076"/>
    <w:rsid w:val="00376F53"/>
    <w:rsid w:val="003817B9"/>
    <w:rsid w:val="00382826"/>
    <w:rsid w:val="00383BB8"/>
    <w:rsid w:val="00384A26"/>
    <w:rsid w:val="003862DB"/>
    <w:rsid w:val="00390D0A"/>
    <w:rsid w:val="00391BBA"/>
    <w:rsid w:val="00392A63"/>
    <w:rsid w:val="00393F72"/>
    <w:rsid w:val="00394E3C"/>
    <w:rsid w:val="00396302"/>
    <w:rsid w:val="00396FAC"/>
    <w:rsid w:val="00397B79"/>
    <w:rsid w:val="003A166A"/>
    <w:rsid w:val="003A263A"/>
    <w:rsid w:val="003A387D"/>
    <w:rsid w:val="003A53F9"/>
    <w:rsid w:val="003A5AA4"/>
    <w:rsid w:val="003B1557"/>
    <w:rsid w:val="003B225E"/>
    <w:rsid w:val="003B42D1"/>
    <w:rsid w:val="003B451A"/>
    <w:rsid w:val="003B72B7"/>
    <w:rsid w:val="003B7CC4"/>
    <w:rsid w:val="003C1767"/>
    <w:rsid w:val="003C35A7"/>
    <w:rsid w:val="003C6836"/>
    <w:rsid w:val="003C775A"/>
    <w:rsid w:val="003C7872"/>
    <w:rsid w:val="003D205F"/>
    <w:rsid w:val="003D517F"/>
    <w:rsid w:val="003D5684"/>
    <w:rsid w:val="003D6A08"/>
    <w:rsid w:val="003E2341"/>
    <w:rsid w:val="003E3AB7"/>
    <w:rsid w:val="003E551A"/>
    <w:rsid w:val="003F13B4"/>
    <w:rsid w:val="003F2E36"/>
    <w:rsid w:val="004001F9"/>
    <w:rsid w:val="004014BF"/>
    <w:rsid w:val="004014DF"/>
    <w:rsid w:val="0040155A"/>
    <w:rsid w:val="00406241"/>
    <w:rsid w:val="0041067F"/>
    <w:rsid w:val="00410BD3"/>
    <w:rsid w:val="00411CCD"/>
    <w:rsid w:val="004124EB"/>
    <w:rsid w:val="00414E05"/>
    <w:rsid w:val="00416441"/>
    <w:rsid w:val="00416962"/>
    <w:rsid w:val="00421FB7"/>
    <w:rsid w:val="00422448"/>
    <w:rsid w:val="004227D7"/>
    <w:rsid w:val="00425CC3"/>
    <w:rsid w:val="00432768"/>
    <w:rsid w:val="00434433"/>
    <w:rsid w:val="00437FC5"/>
    <w:rsid w:val="00441556"/>
    <w:rsid w:val="00441F4C"/>
    <w:rsid w:val="00442F24"/>
    <w:rsid w:val="00443BF5"/>
    <w:rsid w:val="00444066"/>
    <w:rsid w:val="0044797F"/>
    <w:rsid w:val="0045057B"/>
    <w:rsid w:val="00450746"/>
    <w:rsid w:val="00451C0C"/>
    <w:rsid w:val="00451E9D"/>
    <w:rsid w:val="0045222C"/>
    <w:rsid w:val="00453F6A"/>
    <w:rsid w:val="00455AD5"/>
    <w:rsid w:val="00456101"/>
    <w:rsid w:val="004603CD"/>
    <w:rsid w:val="004634F1"/>
    <w:rsid w:val="00463984"/>
    <w:rsid w:val="0046533D"/>
    <w:rsid w:val="00466794"/>
    <w:rsid w:val="0046683E"/>
    <w:rsid w:val="00472620"/>
    <w:rsid w:val="0048069E"/>
    <w:rsid w:val="00483F6E"/>
    <w:rsid w:val="00484982"/>
    <w:rsid w:val="00484E47"/>
    <w:rsid w:val="004872EB"/>
    <w:rsid w:val="004947C9"/>
    <w:rsid w:val="00494BB6"/>
    <w:rsid w:val="00496F76"/>
    <w:rsid w:val="004A00D3"/>
    <w:rsid w:val="004A03A3"/>
    <w:rsid w:val="004A2C23"/>
    <w:rsid w:val="004A3500"/>
    <w:rsid w:val="004A410F"/>
    <w:rsid w:val="004A5CE0"/>
    <w:rsid w:val="004A739A"/>
    <w:rsid w:val="004B0E3E"/>
    <w:rsid w:val="004B5CDC"/>
    <w:rsid w:val="004B7BB3"/>
    <w:rsid w:val="004B7D91"/>
    <w:rsid w:val="004C299B"/>
    <w:rsid w:val="004C3972"/>
    <w:rsid w:val="004D1559"/>
    <w:rsid w:val="004D1677"/>
    <w:rsid w:val="004D1EDB"/>
    <w:rsid w:val="004D20DB"/>
    <w:rsid w:val="004D543A"/>
    <w:rsid w:val="004D7A61"/>
    <w:rsid w:val="004E16E1"/>
    <w:rsid w:val="004E18D9"/>
    <w:rsid w:val="004E3CBB"/>
    <w:rsid w:val="004E4D7D"/>
    <w:rsid w:val="004E52E2"/>
    <w:rsid w:val="004E5912"/>
    <w:rsid w:val="004E6A2F"/>
    <w:rsid w:val="004F2181"/>
    <w:rsid w:val="004F26BB"/>
    <w:rsid w:val="004F46D3"/>
    <w:rsid w:val="004F64B8"/>
    <w:rsid w:val="004F78AF"/>
    <w:rsid w:val="004F7A17"/>
    <w:rsid w:val="005003FE"/>
    <w:rsid w:val="00500672"/>
    <w:rsid w:val="005018C5"/>
    <w:rsid w:val="005029B5"/>
    <w:rsid w:val="00502CAF"/>
    <w:rsid w:val="00505B04"/>
    <w:rsid w:val="00507488"/>
    <w:rsid w:val="00511E01"/>
    <w:rsid w:val="00513259"/>
    <w:rsid w:val="0051650A"/>
    <w:rsid w:val="0051791A"/>
    <w:rsid w:val="00524871"/>
    <w:rsid w:val="00524BB9"/>
    <w:rsid w:val="005250AB"/>
    <w:rsid w:val="00526C1B"/>
    <w:rsid w:val="00531D69"/>
    <w:rsid w:val="00532520"/>
    <w:rsid w:val="005358F8"/>
    <w:rsid w:val="0053799F"/>
    <w:rsid w:val="00540D53"/>
    <w:rsid w:val="00542601"/>
    <w:rsid w:val="005521FA"/>
    <w:rsid w:val="00556611"/>
    <w:rsid w:val="005567C3"/>
    <w:rsid w:val="00556FEE"/>
    <w:rsid w:val="00557548"/>
    <w:rsid w:val="00561145"/>
    <w:rsid w:val="00565247"/>
    <w:rsid w:val="00565D7A"/>
    <w:rsid w:val="005678D0"/>
    <w:rsid w:val="00574C4B"/>
    <w:rsid w:val="00577AE1"/>
    <w:rsid w:val="00580410"/>
    <w:rsid w:val="005805C3"/>
    <w:rsid w:val="005817D2"/>
    <w:rsid w:val="005820EC"/>
    <w:rsid w:val="005843FD"/>
    <w:rsid w:val="00584788"/>
    <w:rsid w:val="0058543B"/>
    <w:rsid w:val="00585911"/>
    <w:rsid w:val="00593D7D"/>
    <w:rsid w:val="00595F26"/>
    <w:rsid w:val="005A027E"/>
    <w:rsid w:val="005A3339"/>
    <w:rsid w:val="005A648C"/>
    <w:rsid w:val="005A6C89"/>
    <w:rsid w:val="005B0A73"/>
    <w:rsid w:val="005B485E"/>
    <w:rsid w:val="005B650E"/>
    <w:rsid w:val="005C137F"/>
    <w:rsid w:val="005C1E4A"/>
    <w:rsid w:val="005C421C"/>
    <w:rsid w:val="005C64BB"/>
    <w:rsid w:val="005C7C44"/>
    <w:rsid w:val="005D0589"/>
    <w:rsid w:val="005D0CB3"/>
    <w:rsid w:val="005D1293"/>
    <w:rsid w:val="005D2DB2"/>
    <w:rsid w:val="005D4E3A"/>
    <w:rsid w:val="005D51CE"/>
    <w:rsid w:val="005D576D"/>
    <w:rsid w:val="005D730A"/>
    <w:rsid w:val="005E01EC"/>
    <w:rsid w:val="005E6D20"/>
    <w:rsid w:val="005E79D1"/>
    <w:rsid w:val="005F0E67"/>
    <w:rsid w:val="005F1BD9"/>
    <w:rsid w:val="005F7318"/>
    <w:rsid w:val="005F7FB9"/>
    <w:rsid w:val="00602858"/>
    <w:rsid w:val="00602C1D"/>
    <w:rsid w:val="0060310F"/>
    <w:rsid w:val="00604F96"/>
    <w:rsid w:val="00607BFF"/>
    <w:rsid w:val="00607CCA"/>
    <w:rsid w:val="00612980"/>
    <w:rsid w:val="0061476B"/>
    <w:rsid w:val="0061546F"/>
    <w:rsid w:val="00615D9A"/>
    <w:rsid w:val="006173EA"/>
    <w:rsid w:val="006219B0"/>
    <w:rsid w:val="006241B7"/>
    <w:rsid w:val="006253AD"/>
    <w:rsid w:val="006279AB"/>
    <w:rsid w:val="00630380"/>
    <w:rsid w:val="00630B2C"/>
    <w:rsid w:val="00631D67"/>
    <w:rsid w:val="0063339A"/>
    <w:rsid w:val="006351D8"/>
    <w:rsid w:val="0063573F"/>
    <w:rsid w:val="00636A74"/>
    <w:rsid w:val="006421DC"/>
    <w:rsid w:val="0064256A"/>
    <w:rsid w:val="006427A7"/>
    <w:rsid w:val="00647137"/>
    <w:rsid w:val="00652FED"/>
    <w:rsid w:val="00664AC3"/>
    <w:rsid w:val="006655E5"/>
    <w:rsid w:val="00665F63"/>
    <w:rsid w:val="006661B2"/>
    <w:rsid w:val="00666C87"/>
    <w:rsid w:val="006673F6"/>
    <w:rsid w:val="006677D7"/>
    <w:rsid w:val="006715F3"/>
    <w:rsid w:val="00673393"/>
    <w:rsid w:val="00673E7A"/>
    <w:rsid w:val="00676A72"/>
    <w:rsid w:val="00684D99"/>
    <w:rsid w:val="00684DDC"/>
    <w:rsid w:val="00684F7A"/>
    <w:rsid w:val="0068560E"/>
    <w:rsid w:val="00686530"/>
    <w:rsid w:val="00690067"/>
    <w:rsid w:val="0069197C"/>
    <w:rsid w:val="006919BB"/>
    <w:rsid w:val="0069228B"/>
    <w:rsid w:val="006949CD"/>
    <w:rsid w:val="00697EDA"/>
    <w:rsid w:val="00697F07"/>
    <w:rsid w:val="006A14B7"/>
    <w:rsid w:val="006A18D6"/>
    <w:rsid w:val="006A7345"/>
    <w:rsid w:val="006B0213"/>
    <w:rsid w:val="006B32E2"/>
    <w:rsid w:val="006B5420"/>
    <w:rsid w:val="006B5749"/>
    <w:rsid w:val="006B5EE2"/>
    <w:rsid w:val="006B797F"/>
    <w:rsid w:val="006B79F0"/>
    <w:rsid w:val="006C267A"/>
    <w:rsid w:val="006C2D19"/>
    <w:rsid w:val="006C34FA"/>
    <w:rsid w:val="006C4674"/>
    <w:rsid w:val="006C5CFB"/>
    <w:rsid w:val="006C6B67"/>
    <w:rsid w:val="006C7D33"/>
    <w:rsid w:val="006D6965"/>
    <w:rsid w:val="006D6EA9"/>
    <w:rsid w:val="006E0EA3"/>
    <w:rsid w:val="006E1705"/>
    <w:rsid w:val="006E2136"/>
    <w:rsid w:val="006E2DB1"/>
    <w:rsid w:val="006E3EDF"/>
    <w:rsid w:val="006E6883"/>
    <w:rsid w:val="006F0B17"/>
    <w:rsid w:val="006F0CCF"/>
    <w:rsid w:val="006F3328"/>
    <w:rsid w:val="006F350F"/>
    <w:rsid w:val="006F49BB"/>
    <w:rsid w:val="006F4A7B"/>
    <w:rsid w:val="006F4E53"/>
    <w:rsid w:val="006F58CF"/>
    <w:rsid w:val="006F77E4"/>
    <w:rsid w:val="00700D65"/>
    <w:rsid w:val="007013A3"/>
    <w:rsid w:val="00701B0A"/>
    <w:rsid w:val="00702C51"/>
    <w:rsid w:val="00705BF6"/>
    <w:rsid w:val="0071401C"/>
    <w:rsid w:val="00714AC3"/>
    <w:rsid w:val="00715457"/>
    <w:rsid w:val="00716770"/>
    <w:rsid w:val="0072006C"/>
    <w:rsid w:val="00725D74"/>
    <w:rsid w:val="00726C70"/>
    <w:rsid w:val="00726D57"/>
    <w:rsid w:val="00726FF3"/>
    <w:rsid w:val="00727E7A"/>
    <w:rsid w:val="00727F81"/>
    <w:rsid w:val="007301FA"/>
    <w:rsid w:val="0073418B"/>
    <w:rsid w:val="007353F2"/>
    <w:rsid w:val="00740D46"/>
    <w:rsid w:val="00740DA0"/>
    <w:rsid w:val="00742AFD"/>
    <w:rsid w:val="00743A93"/>
    <w:rsid w:val="00744579"/>
    <w:rsid w:val="00744AA0"/>
    <w:rsid w:val="00745F6A"/>
    <w:rsid w:val="00747BB2"/>
    <w:rsid w:val="00747D13"/>
    <w:rsid w:val="0075327E"/>
    <w:rsid w:val="0075627A"/>
    <w:rsid w:val="007573C3"/>
    <w:rsid w:val="00757DE5"/>
    <w:rsid w:val="0076019C"/>
    <w:rsid w:val="00763B09"/>
    <w:rsid w:val="007719CD"/>
    <w:rsid w:val="00772866"/>
    <w:rsid w:val="007733D8"/>
    <w:rsid w:val="00776350"/>
    <w:rsid w:val="00776A92"/>
    <w:rsid w:val="007773CD"/>
    <w:rsid w:val="00780F99"/>
    <w:rsid w:val="00782384"/>
    <w:rsid w:val="00787AC7"/>
    <w:rsid w:val="007916A7"/>
    <w:rsid w:val="007920DE"/>
    <w:rsid w:val="007929B4"/>
    <w:rsid w:val="00793B40"/>
    <w:rsid w:val="0079475F"/>
    <w:rsid w:val="007979A2"/>
    <w:rsid w:val="007A0292"/>
    <w:rsid w:val="007A4D80"/>
    <w:rsid w:val="007A7A7A"/>
    <w:rsid w:val="007B2C16"/>
    <w:rsid w:val="007B4594"/>
    <w:rsid w:val="007C17CC"/>
    <w:rsid w:val="007C6A9C"/>
    <w:rsid w:val="007C6EC1"/>
    <w:rsid w:val="007D1163"/>
    <w:rsid w:val="007D1B32"/>
    <w:rsid w:val="007D1C01"/>
    <w:rsid w:val="007D6290"/>
    <w:rsid w:val="007D69AD"/>
    <w:rsid w:val="007D704F"/>
    <w:rsid w:val="007F0457"/>
    <w:rsid w:val="007F246D"/>
    <w:rsid w:val="007F3DCD"/>
    <w:rsid w:val="007F4E63"/>
    <w:rsid w:val="00803C76"/>
    <w:rsid w:val="00804095"/>
    <w:rsid w:val="008110E7"/>
    <w:rsid w:val="0081349F"/>
    <w:rsid w:val="008165F8"/>
    <w:rsid w:val="00817BEA"/>
    <w:rsid w:val="008215BF"/>
    <w:rsid w:val="008227AC"/>
    <w:rsid w:val="00823ABF"/>
    <w:rsid w:val="00825609"/>
    <w:rsid w:val="008308B4"/>
    <w:rsid w:val="00831FED"/>
    <w:rsid w:val="00833221"/>
    <w:rsid w:val="00833AFB"/>
    <w:rsid w:val="00835B5C"/>
    <w:rsid w:val="00835FC7"/>
    <w:rsid w:val="00836BA3"/>
    <w:rsid w:val="00837307"/>
    <w:rsid w:val="00841710"/>
    <w:rsid w:val="0084605B"/>
    <w:rsid w:val="00847143"/>
    <w:rsid w:val="00850119"/>
    <w:rsid w:val="0085296C"/>
    <w:rsid w:val="00854289"/>
    <w:rsid w:val="008548D1"/>
    <w:rsid w:val="00856C71"/>
    <w:rsid w:val="00856E65"/>
    <w:rsid w:val="00860625"/>
    <w:rsid w:val="0086228F"/>
    <w:rsid w:val="00863F3D"/>
    <w:rsid w:val="00864112"/>
    <w:rsid w:val="008710B1"/>
    <w:rsid w:val="00877FF2"/>
    <w:rsid w:val="0088001F"/>
    <w:rsid w:val="00880AEC"/>
    <w:rsid w:val="008817F6"/>
    <w:rsid w:val="00885946"/>
    <w:rsid w:val="00886355"/>
    <w:rsid w:val="00886FB9"/>
    <w:rsid w:val="0089085D"/>
    <w:rsid w:val="00892096"/>
    <w:rsid w:val="00892660"/>
    <w:rsid w:val="00894C3A"/>
    <w:rsid w:val="008A05F2"/>
    <w:rsid w:val="008A18B3"/>
    <w:rsid w:val="008A1D3F"/>
    <w:rsid w:val="008A205F"/>
    <w:rsid w:val="008A255E"/>
    <w:rsid w:val="008A2EDD"/>
    <w:rsid w:val="008A4E69"/>
    <w:rsid w:val="008A5340"/>
    <w:rsid w:val="008A5A0F"/>
    <w:rsid w:val="008A6DC4"/>
    <w:rsid w:val="008B2206"/>
    <w:rsid w:val="008B2CD4"/>
    <w:rsid w:val="008B405D"/>
    <w:rsid w:val="008B49C2"/>
    <w:rsid w:val="008B5492"/>
    <w:rsid w:val="008B6049"/>
    <w:rsid w:val="008B7EB3"/>
    <w:rsid w:val="008C1A94"/>
    <w:rsid w:val="008C589F"/>
    <w:rsid w:val="008C6489"/>
    <w:rsid w:val="008D0179"/>
    <w:rsid w:val="008D0314"/>
    <w:rsid w:val="008D0781"/>
    <w:rsid w:val="008D0CA1"/>
    <w:rsid w:val="008D1C0E"/>
    <w:rsid w:val="008D354C"/>
    <w:rsid w:val="008D5F6E"/>
    <w:rsid w:val="008D5FFE"/>
    <w:rsid w:val="008D71C4"/>
    <w:rsid w:val="008E00F1"/>
    <w:rsid w:val="008E1361"/>
    <w:rsid w:val="008E4E2B"/>
    <w:rsid w:val="008E71A9"/>
    <w:rsid w:val="008F3981"/>
    <w:rsid w:val="008F42A5"/>
    <w:rsid w:val="008F594E"/>
    <w:rsid w:val="008F5EFD"/>
    <w:rsid w:val="009028E7"/>
    <w:rsid w:val="00911CB4"/>
    <w:rsid w:val="00923FF2"/>
    <w:rsid w:val="0092545A"/>
    <w:rsid w:val="00926239"/>
    <w:rsid w:val="00926CEB"/>
    <w:rsid w:val="0092722F"/>
    <w:rsid w:val="009279FE"/>
    <w:rsid w:val="00927C0F"/>
    <w:rsid w:val="00931BAF"/>
    <w:rsid w:val="00932562"/>
    <w:rsid w:val="009331C0"/>
    <w:rsid w:val="00935490"/>
    <w:rsid w:val="00935CAC"/>
    <w:rsid w:val="00936B38"/>
    <w:rsid w:val="00941E30"/>
    <w:rsid w:val="0094329F"/>
    <w:rsid w:val="009444EB"/>
    <w:rsid w:val="009452CB"/>
    <w:rsid w:val="0095203E"/>
    <w:rsid w:val="009529FA"/>
    <w:rsid w:val="00952EC5"/>
    <w:rsid w:val="009530A9"/>
    <w:rsid w:val="009532CC"/>
    <w:rsid w:val="00954005"/>
    <w:rsid w:val="00956FE3"/>
    <w:rsid w:val="00960467"/>
    <w:rsid w:val="00962CE9"/>
    <w:rsid w:val="00963C31"/>
    <w:rsid w:val="00966692"/>
    <w:rsid w:val="00967025"/>
    <w:rsid w:val="00974D8B"/>
    <w:rsid w:val="009762D8"/>
    <w:rsid w:val="0098381F"/>
    <w:rsid w:val="009854B8"/>
    <w:rsid w:val="00985F4F"/>
    <w:rsid w:val="00986A0D"/>
    <w:rsid w:val="00986AA1"/>
    <w:rsid w:val="00986D08"/>
    <w:rsid w:val="0098772D"/>
    <w:rsid w:val="009912BC"/>
    <w:rsid w:val="00991F83"/>
    <w:rsid w:val="009925C0"/>
    <w:rsid w:val="00994386"/>
    <w:rsid w:val="00995033"/>
    <w:rsid w:val="00995D99"/>
    <w:rsid w:val="00996CB8"/>
    <w:rsid w:val="00997261"/>
    <w:rsid w:val="009A0B30"/>
    <w:rsid w:val="009A3420"/>
    <w:rsid w:val="009A4145"/>
    <w:rsid w:val="009A6F1A"/>
    <w:rsid w:val="009A7D4C"/>
    <w:rsid w:val="009B4C6F"/>
    <w:rsid w:val="009B73A4"/>
    <w:rsid w:val="009B750F"/>
    <w:rsid w:val="009C0953"/>
    <w:rsid w:val="009C48B6"/>
    <w:rsid w:val="009C7756"/>
    <w:rsid w:val="009D12F6"/>
    <w:rsid w:val="009D356E"/>
    <w:rsid w:val="009D3667"/>
    <w:rsid w:val="009D36D4"/>
    <w:rsid w:val="009D3E13"/>
    <w:rsid w:val="009D4078"/>
    <w:rsid w:val="009D554A"/>
    <w:rsid w:val="009D6F15"/>
    <w:rsid w:val="009D7302"/>
    <w:rsid w:val="009D74F8"/>
    <w:rsid w:val="009E4AD7"/>
    <w:rsid w:val="009E5331"/>
    <w:rsid w:val="009F002C"/>
    <w:rsid w:val="009F0391"/>
    <w:rsid w:val="009F27CF"/>
    <w:rsid w:val="009F2C4B"/>
    <w:rsid w:val="009F54B2"/>
    <w:rsid w:val="009F7227"/>
    <w:rsid w:val="00A007D0"/>
    <w:rsid w:val="00A00A25"/>
    <w:rsid w:val="00A00D05"/>
    <w:rsid w:val="00A04109"/>
    <w:rsid w:val="00A05898"/>
    <w:rsid w:val="00A06145"/>
    <w:rsid w:val="00A06BBE"/>
    <w:rsid w:val="00A10AEF"/>
    <w:rsid w:val="00A11A5A"/>
    <w:rsid w:val="00A13B2F"/>
    <w:rsid w:val="00A149EA"/>
    <w:rsid w:val="00A14BE5"/>
    <w:rsid w:val="00A14D07"/>
    <w:rsid w:val="00A15815"/>
    <w:rsid w:val="00A15B58"/>
    <w:rsid w:val="00A16615"/>
    <w:rsid w:val="00A16EE9"/>
    <w:rsid w:val="00A16EF7"/>
    <w:rsid w:val="00A22E9B"/>
    <w:rsid w:val="00A241D0"/>
    <w:rsid w:val="00A24D85"/>
    <w:rsid w:val="00A2754A"/>
    <w:rsid w:val="00A278A2"/>
    <w:rsid w:val="00A30A99"/>
    <w:rsid w:val="00A321ED"/>
    <w:rsid w:val="00A32A96"/>
    <w:rsid w:val="00A34EE7"/>
    <w:rsid w:val="00A36078"/>
    <w:rsid w:val="00A40A8C"/>
    <w:rsid w:val="00A417EF"/>
    <w:rsid w:val="00A41992"/>
    <w:rsid w:val="00A41F19"/>
    <w:rsid w:val="00A42D73"/>
    <w:rsid w:val="00A43977"/>
    <w:rsid w:val="00A45683"/>
    <w:rsid w:val="00A46269"/>
    <w:rsid w:val="00A478BF"/>
    <w:rsid w:val="00A55065"/>
    <w:rsid w:val="00A572E7"/>
    <w:rsid w:val="00A621E9"/>
    <w:rsid w:val="00A62408"/>
    <w:rsid w:val="00A63F12"/>
    <w:rsid w:val="00A6445E"/>
    <w:rsid w:val="00A64887"/>
    <w:rsid w:val="00A64CB0"/>
    <w:rsid w:val="00A726BB"/>
    <w:rsid w:val="00A741EA"/>
    <w:rsid w:val="00A7423F"/>
    <w:rsid w:val="00A747C2"/>
    <w:rsid w:val="00A7589F"/>
    <w:rsid w:val="00A75FCF"/>
    <w:rsid w:val="00A762BA"/>
    <w:rsid w:val="00A772E5"/>
    <w:rsid w:val="00A80D30"/>
    <w:rsid w:val="00A81E89"/>
    <w:rsid w:val="00A83071"/>
    <w:rsid w:val="00A8357C"/>
    <w:rsid w:val="00A8456F"/>
    <w:rsid w:val="00A850E5"/>
    <w:rsid w:val="00A85BE4"/>
    <w:rsid w:val="00A90A44"/>
    <w:rsid w:val="00A935A1"/>
    <w:rsid w:val="00A93F2E"/>
    <w:rsid w:val="00A95643"/>
    <w:rsid w:val="00AA0192"/>
    <w:rsid w:val="00AA0674"/>
    <w:rsid w:val="00AA4C29"/>
    <w:rsid w:val="00AA6EA7"/>
    <w:rsid w:val="00AA7983"/>
    <w:rsid w:val="00AB5256"/>
    <w:rsid w:val="00AB65B2"/>
    <w:rsid w:val="00AB6CB0"/>
    <w:rsid w:val="00AC112D"/>
    <w:rsid w:val="00AC43B0"/>
    <w:rsid w:val="00AC51FB"/>
    <w:rsid w:val="00AD0BC5"/>
    <w:rsid w:val="00AD12A5"/>
    <w:rsid w:val="00AD1B88"/>
    <w:rsid w:val="00AD3521"/>
    <w:rsid w:val="00AD37EF"/>
    <w:rsid w:val="00AD43EE"/>
    <w:rsid w:val="00AD4648"/>
    <w:rsid w:val="00AE09C7"/>
    <w:rsid w:val="00AE20C9"/>
    <w:rsid w:val="00AE5087"/>
    <w:rsid w:val="00AE57B4"/>
    <w:rsid w:val="00AE5B95"/>
    <w:rsid w:val="00AE6E9B"/>
    <w:rsid w:val="00AF330A"/>
    <w:rsid w:val="00AF6356"/>
    <w:rsid w:val="00AF6BD4"/>
    <w:rsid w:val="00AF6E62"/>
    <w:rsid w:val="00B009E7"/>
    <w:rsid w:val="00B019AA"/>
    <w:rsid w:val="00B02245"/>
    <w:rsid w:val="00B02516"/>
    <w:rsid w:val="00B06929"/>
    <w:rsid w:val="00B16E30"/>
    <w:rsid w:val="00B200D0"/>
    <w:rsid w:val="00B2250A"/>
    <w:rsid w:val="00B22FD2"/>
    <w:rsid w:val="00B23579"/>
    <w:rsid w:val="00B2381E"/>
    <w:rsid w:val="00B24BBF"/>
    <w:rsid w:val="00B27FE3"/>
    <w:rsid w:val="00B347D1"/>
    <w:rsid w:val="00B36073"/>
    <w:rsid w:val="00B36BFF"/>
    <w:rsid w:val="00B37377"/>
    <w:rsid w:val="00B37B87"/>
    <w:rsid w:val="00B41461"/>
    <w:rsid w:val="00B41BC3"/>
    <w:rsid w:val="00B43458"/>
    <w:rsid w:val="00B43599"/>
    <w:rsid w:val="00B508F6"/>
    <w:rsid w:val="00B51CCB"/>
    <w:rsid w:val="00B5349D"/>
    <w:rsid w:val="00B54AC1"/>
    <w:rsid w:val="00B54E61"/>
    <w:rsid w:val="00B55CE3"/>
    <w:rsid w:val="00B55DEF"/>
    <w:rsid w:val="00B60AE2"/>
    <w:rsid w:val="00B6128B"/>
    <w:rsid w:val="00B62235"/>
    <w:rsid w:val="00B6277B"/>
    <w:rsid w:val="00B62BCC"/>
    <w:rsid w:val="00B6329D"/>
    <w:rsid w:val="00B64815"/>
    <w:rsid w:val="00B6574A"/>
    <w:rsid w:val="00B6603A"/>
    <w:rsid w:val="00B67100"/>
    <w:rsid w:val="00B67E1B"/>
    <w:rsid w:val="00B707D3"/>
    <w:rsid w:val="00B723D7"/>
    <w:rsid w:val="00B7291C"/>
    <w:rsid w:val="00B74171"/>
    <w:rsid w:val="00B76B8E"/>
    <w:rsid w:val="00B818BF"/>
    <w:rsid w:val="00B82234"/>
    <w:rsid w:val="00B8671F"/>
    <w:rsid w:val="00B91EEA"/>
    <w:rsid w:val="00B951B5"/>
    <w:rsid w:val="00BA01E0"/>
    <w:rsid w:val="00BA0C75"/>
    <w:rsid w:val="00BA1017"/>
    <w:rsid w:val="00BA1442"/>
    <w:rsid w:val="00BA197B"/>
    <w:rsid w:val="00BA1BF5"/>
    <w:rsid w:val="00BA5007"/>
    <w:rsid w:val="00BA7CDE"/>
    <w:rsid w:val="00BB3B5E"/>
    <w:rsid w:val="00BC167C"/>
    <w:rsid w:val="00BC29BD"/>
    <w:rsid w:val="00BC4EAB"/>
    <w:rsid w:val="00BC51D2"/>
    <w:rsid w:val="00BC5A2F"/>
    <w:rsid w:val="00BC7605"/>
    <w:rsid w:val="00BD22F0"/>
    <w:rsid w:val="00BD40E2"/>
    <w:rsid w:val="00BD44B4"/>
    <w:rsid w:val="00BD49CB"/>
    <w:rsid w:val="00BD666B"/>
    <w:rsid w:val="00BD7755"/>
    <w:rsid w:val="00BE0831"/>
    <w:rsid w:val="00BE161D"/>
    <w:rsid w:val="00BE1A64"/>
    <w:rsid w:val="00BF2983"/>
    <w:rsid w:val="00BF2F40"/>
    <w:rsid w:val="00BF3BA5"/>
    <w:rsid w:val="00BF4161"/>
    <w:rsid w:val="00BF53E0"/>
    <w:rsid w:val="00BF7B0E"/>
    <w:rsid w:val="00C038AD"/>
    <w:rsid w:val="00C03B7E"/>
    <w:rsid w:val="00C04C26"/>
    <w:rsid w:val="00C05282"/>
    <w:rsid w:val="00C06609"/>
    <w:rsid w:val="00C07068"/>
    <w:rsid w:val="00C109F6"/>
    <w:rsid w:val="00C1565C"/>
    <w:rsid w:val="00C22D82"/>
    <w:rsid w:val="00C24C03"/>
    <w:rsid w:val="00C25F01"/>
    <w:rsid w:val="00C2773B"/>
    <w:rsid w:val="00C27E4B"/>
    <w:rsid w:val="00C3099E"/>
    <w:rsid w:val="00C31D64"/>
    <w:rsid w:val="00C32056"/>
    <w:rsid w:val="00C32BA0"/>
    <w:rsid w:val="00C409C0"/>
    <w:rsid w:val="00C43DB3"/>
    <w:rsid w:val="00C44D2D"/>
    <w:rsid w:val="00C465E3"/>
    <w:rsid w:val="00C46948"/>
    <w:rsid w:val="00C46E04"/>
    <w:rsid w:val="00C470B2"/>
    <w:rsid w:val="00C473F4"/>
    <w:rsid w:val="00C50DD6"/>
    <w:rsid w:val="00C510E0"/>
    <w:rsid w:val="00C518E4"/>
    <w:rsid w:val="00C555A5"/>
    <w:rsid w:val="00C578D6"/>
    <w:rsid w:val="00C57F3A"/>
    <w:rsid w:val="00C64788"/>
    <w:rsid w:val="00C6585A"/>
    <w:rsid w:val="00C7065C"/>
    <w:rsid w:val="00C70F63"/>
    <w:rsid w:val="00C77FC8"/>
    <w:rsid w:val="00C8011F"/>
    <w:rsid w:val="00C874BD"/>
    <w:rsid w:val="00C91F71"/>
    <w:rsid w:val="00C92844"/>
    <w:rsid w:val="00C934DD"/>
    <w:rsid w:val="00C93BAC"/>
    <w:rsid w:val="00C93E8E"/>
    <w:rsid w:val="00C94DEE"/>
    <w:rsid w:val="00C974D7"/>
    <w:rsid w:val="00CA5BB9"/>
    <w:rsid w:val="00CB04A7"/>
    <w:rsid w:val="00CB0E03"/>
    <w:rsid w:val="00CB7F07"/>
    <w:rsid w:val="00CC12C0"/>
    <w:rsid w:val="00CC2EAC"/>
    <w:rsid w:val="00CC3534"/>
    <w:rsid w:val="00CC41D1"/>
    <w:rsid w:val="00CC5EA2"/>
    <w:rsid w:val="00CC6D61"/>
    <w:rsid w:val="00CD0A9E"/>
    <w:rsid w:val="00CD2666"/>
    <w:rsid w:val="00CD2BF7"/>
    <w:rsid w:val="00CD2F49"/>
    <w:rsid w:val="00CD3860"/>
    <w:rsid w:val="00CD49EE"/>
    <w:rsid w:val="00CD5178"/>
    <w:rsid w:val="00CD66EA"/>
    <w:rsid w:val="00CD6ADB"/>
    <w:rsid w:val="00CD6EF0"/>
    <w:rsid w:val="00CE3813"/>
    <w:rsid w:val="00CE417A"/>
    <w:rsid w:val="00CE5B23"/>
    <w:rsid w:val="00CE606A"/>
    <w:rsid w:val="00CE74DD"/>
    <w:rsid w:val="00CF1759"/>
    <w:rsid w:val="00CF5EDD"/>
    <w:rsid w:val="00CF7309"/>
    <w:rsid w:val="00D000CB"/>
    <w:rsid w:val="00D04818"/>
    <w:rsid w:val="00D05045"/>
    <w:rsid w:val="00D055DE"/>
    <w:rsid w:val="00D07CAB"/>
    <w:rsid w:val="00D1004C"/>
    <w:rsid w:val="00D11E66"/>
    <w:rsid w:val="00D12B9A"/>
    <w:rsid w:val="00D13A5D"/>
    <w:rsid w:val="00D16050"/>
    <w:rsid w:val="00D17004"/>
    <w:rsid w:val="00D172C2"/>
    <w:rsid w:val="00D212B4"/>
    <w:rsid w:val="00D217B6"/>
    <w:rsid w:val="00D21CF6"/>
    <w:rsid w:val="00D46AF5"/>
    <w:rsid w:val="00D5041E"/>
    <w:rsid w:val="00D510A6"/>
    <w:rsid w:val="00D53D10"/>
    <w:rsid w:val="00D551F8"/>
    <w:rsid w:val="00D57963"/>
    <w:rsid w:val="00D60E85"/>
    <w:rsid w:val="00D61128"/>
    <w:rsid w:val="00D6181A"/>
    <w:rsid w:val="00D647C8"/>
    <w:rsid w:val="00D65102"/>
    <w:rsid w:val="00D655DE"/>
    <w:rsid w:val="00D65702"/>
    <w:rsid w:val="00D67DA5"/>
    <w:rsid w:val="00D71BC5"/>
    <w:rsid w:val="00D72C3D"/>
    <w:rsid w:val="00D75918"/>
    <w:rsid w:val="00D75B53"/>
    <w:rsid w:val="00D7610E"/>
    <w:rsid w:val="00D76AC8"/>
    <w:rsid w:val="00D77F6B"/>
    <w:rsid w:val="00D8050C"/>
    <w:rsid w:val="00D824F5"/>
    <w:rsid w:val="00D825A0"/>
    <w:rsid w:val="00D82720"/>
    <w:rsid w:val="00D8552D"/>
    <w:rsid w:val="00D93D4A"/>
    <w:rsid w:val="00D95B2C"/>
    <w:rsid w:val="00D96617"/>
    <w:rsid w:val="00D977B9"/>
    <w:rsid w:val="00D97F4E"/>
    <w:rsid w:val="00DA208D"/>
    <w:rsid w:val="00DA2A27"/>
    <w:rsid w:val="00DA55DA"/>
    <w:rsid w:val="00DA5AC1"/>
    <w:rsid w:val="00DB2C26"/>
    <w:rsid w:val="00DB3EDC"/>
    <w:rsid w:val="00DB42A7"/>
    <w:rsid w:val="00DB451D"/>
    <w:rsid w:val="00DB6470"/>
    <w:rsid w:val="00DC2473"/>
    <w:rsid w:val="00DC7669"/>
    <w:rsid w:val="00DD3CEF"/>
    <w:rsid w:val="00DD66AD"/>
    <w:rsid w:val="00DD6DE3"/>
    <w:rsid w:val="00DE372C"/>
    <w:rsid w:val="00DE588D"/>
    <w:rsid w:val="00DF0ED1"/>
    <w:rsid w:val="00DF3C16"/>
    <w:rsid w:val="00DF5382"/>
    <w:rsid w:val="00DF6171"/>
    <w:rsid w:val="00DF6D8B"/>
    <w:rsid w:val="00E002AA"/>
    <w:rsid w:val="00E00D54"/>
    <w:rsid w:val="00E03191"/>
    <w:rsid w:val="00E03F55"/>
    <w:rsid w:val="00E04B6B"/>
    <w:rsid w:val="00E1127D"/>
    <w:rsid w:val="00E13B57"/>
    <w:rsid w:val="00E148A4"/>
    <w:rsid w:val="00E17F4C"/>
    <w:rsid w:val="00E2032B"/>
    <w:rsid w:val="00E215E1"/>
    <w:rsid w:val="00E218D7"/>
    <w:rsid w:val="00E258E2"/>
    <w:rsid w:val="00E279E5"/>
    <w:rsid w:val="00E31263"/>
    <w:rsid w:val="00E31866"/>
    <w:rsid w:val="00E32289"/>
    <w:rsid w:val="00E34809"/>
    <w:rsid w:val="00E35E81"/>
    <w:rsid w:val="00E371A6"/>
    <w:rsid w:val="00E37B5B"/>
    <w:rsid w:val="00E41098"/>
    <w:rsid w:val="00E44310"/>
    <w:rsid w:val="00E4666D"/>
    <w:rsid w:val="00E502D4"/>
    <w:rsid w:val="00E50495"/>
    <w:rsid w:val="00E526EE"/>
    <w:rsid w:val="00E57D70"/>
    <w:rsid w:val="00E6018A"/>
    <w:rsid w:val="00E6054F"/>
    <w:rsid w:val="00E7574A"/>
    <w:rsid w:val="00E77047"/>
    <w:rsid w:val="00E81402"/>
    <w:rsid w:val="00E82694"/>
    <w:rsid w:val="00E82DD1"/>
    <w:rsid w:val="00E83EBE"/>
    <w:rsid w:val="00E83FBE"/>
    <w:rsid w:val="00E85D6B"/>
    <w:rsid w:val="00E865B2"/>
    <w:rsid w:val="00E86822"/>
    <w:rsid w:val="00E9183F"/>
    <w:rsid w:val="00E91AD2"/>
    <w:rsid w:val="00E92ABD"/>
    <w:rsid w:val="00EA36B5"/>
    <w:rsid w:val="00EA4BAD"/>
    <w:rsid w:val="00EA62AF"/>
    <w:rsid w:val="00EA7C49"/>
    <w:rsid w:val="00EB1BCC"/>
    <w:rsid w:val="00EB4BBD"/>
    <w:rsid w:val="00EB653E"/>
    <w:rsid w:val="00EB6FFE"/>
    <w:rsid w:val="00EC0E1D"/>
    <w:rsid w:val="00EC242B"/>
    <w:rsid w:val="00EC51A6"/>
    <w:rsid w:val="00EC5CF8"/>
    <w:rsid w:val="00EC6167"/>
    <w:rsid w:val="00ED0F71"/>
    <w:rsid w:val="00ED1D2D"/>
    <w:rsid w:val="00ED67E3"/>
    <w:rsid w:val="00ED6998"/>
    <w:rsid w:val="00ED6A69"/>
    <w:rsid w:val="00EE3193"/>
    <w:rsid w:val="00EE469F"/>
    <w:rsid w:val="00EE5A5E"/>
    <w:rsid w:val="00EE7568"/>
    <w:rsid w:val="00EF00DC"/>
    <w:rsid w:val="00EF05EE"/>
    <w:rsid w:val="00EF12A5"/>
    <w:rsid w:val="00EF1DCF"/>
    <w:rsid w:val="00EF4A8A"/>
    <w:rsid w:val="00EF5FF0"/>
    <w:rsid w:val="00F012EE"/>
    <w:rsid w:val="00F05522"/>
    <w:rsid w:val="00F06EF2"/>
    <w:rsid w:val="00F07DAD"/>
    <w:rsid w:val="00F119BB"/>
    <w:rsid w:val="00F12CA6"/>
    <w:rsid w:val="00F13717"/>
    <w:rsid w:val="00F138BB"/>
    <w:rsid w:val="00F141BD"/>
    <w:rsid w:val="00F16A80"/>
    <w:rsid w:val="00F23C06"/>
    <w:rsid w:val="00F250A3"/>
    <w:rsid w:val="00F303A6"/>
    <w:rsid w:val="00F33B04"/>
    <w:rsid w:val="00F3464E"/>
    <w:rsid w:val="00F35728"/>
    <w:rsid w:val="00F36660"/>
    <w:rsid w:val="00F4025C"/>
    <w:rsid w:val="00F41F44"/>
    <w:rsid w:val="00F424F7"/>
    <w:rsid w:val="00F43A88"/>
    <w:rsid w:val="00F455E0"/>
    <w:rsid w:val="00F45A95"/>
    <w:rsid w:val="00F479E0"/>
    <w:rsid w:val="00F54EFC"/>
    <w:rsid w:val="00F60761"/>
    <w:rsid w:val="00F60D45"/>
    <w:rsid w:val="00F63923"/>
    <w:rsid w:val="00F650F8"/>
    <w:rsid w:val="00F67B3D"/>
    <w:rsid w:val="00F70DA1"/>
    <w:rsid w:val="00F7248F"/>
    <w:rsid w:val="00F731EB"/>
    <w:rsid w:val="00F75697"/>
    <w:rsid w:val="00F8030E"/>
    <w:rsid w:val="00F81977"/>
    <w:rsid w:val="00F821F0"/>
    <w:rsid w:val="00F83554"/>
    <w:rsid w:val="00F847A5"/>
    <w:rsid w:val="00F9388F"/>
    <w:rsid w:val="00F9506F"/>
    <w:rsid w:val="00F96EB6"/>
    <w:rsid w:val="00F97290"/>
    <w:rsid w:val="00F9780B"/>
    <w:rsid w:val="00F97B3B"/>
    <w:rsid w:val="00FA0C43"/>
    <w:rsid w:val="00FA5477"/>
    <w:rsid w:val="00FA5867"/>
    <w:rsid w:val="00FA5ED7"/>
    <w:rsid w:val="00FA7544"/>
    <w:rsid w:val="00FB0632"/>
    <w:rsid w:val="00FB3BB7"/>
    <w:rsid w:val="00FB3C62"/>
    <w:rsid w:val="00FB54CC"/>
    <w:rsid w:val="00FB5FB2"/>
    <w:rsid w:val="00FB7631"/>
    <w:rsid w:val="00FB7ABB"/>
    <w:rsid w:val="00FC0570"/>
    <w:rsid w:val="00FC11D3"/>
    <w:rsid w:val="00FC2D13"/>
    <w:rsid w:val="00FC3241"/>
    <w:rsid w:val="00FC38B2"/>
    <w:rsid w:val="00FC4AB0"/>
    <w:rsid w:val="00FC529E"/>
    <w:rsid w:val="00FD0BA9"/>
    <w:rsid w:val="00FD0CC7"/>
    <w:rsid w:val="00FD2FC6"/>
    <w:rsid w:val="00FE0198"/>
    <w:rsid w:val="00FE27CD"/>
    <w:rsid w:val="00FE2D6F"/>
    <w:rsid w:val="00FE402B"/>
    <w:rsid w:val="00FF021F"/>
    <w:rsid w:val="00FF0336"/>
    <w:rsid w:val="00FF0C25"/>
    <w:rsid w:val="00FF26B9"/>
    <w:rsid w:val="00FF3081"/>
    <w:rsid w:val="00FF3C8C"/>
    <w:rsid w:val="00FF56AE"/>
    <w:rsid w:val="00FF5A35"/>
    <w:rsid w:val="00FF64F2"/>
    <w:rsid w:val="00FF6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31180"/>
  <w15:chartTrackingRefBased/>
  <w15:docId w15:val="{67E4736A-4082-4424-A39B-1D4A05079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1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51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1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1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1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1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1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1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1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1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17F"/>
    <w:rPr>
      <w:rFonts w:eastAsiaTheme="majorEastAsia" w:cstheme="majorBidi"/>
      <w:color w:val="272727" w:themeColor="text1" w:themeTint="D8"/>
    </w:rPr>
  </w:style>
  <w:style w:type="paragraph" w:styleId="Title">
    <w:name w:val="Title"/>
    <w:basedOn w:val="Normal"/>
    <w:next w:val="Normal"/>
    <w:link w:val="TitleChar"/>
    <w:uiPriority w:val="10"/>
    <w:qFormat/>
    <w:rsid w:val="003D5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1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17F"/>
    <w:pPr>
      <w:spacing w:before="160"/>
      <w:jc w:val="center"/>
    </w:pPr>
    <w:rPr>
      <w:i/>
      <w:iCs/>
      <w:color w:val="404040" w:themeColor="text1" w:themeTint="BF"/>
    </w:rPr>
  </w:style>
  <w:style w:type="character" w:customStyle="1" w:styleId="QuoteChar">
    <w:name w:val="Quote Char"/>
    <w:basedOn w:val="DefaultParagraphFont"/>
    <w:link w:val="Quote"/>
    <w:uiPriority w:val="29"/>
    <w:rsid w:val="003D517F"/>
    <w:rPr>
      <w:i/>
      <w:iCs/>
      <w:color w:val="404040" w:themeColor="text1" w:themeTint="BF"/>
    </w:rPr>
  </w:style>
  <w:style w:type="paragraph" w:styleId="ListParagraph">
    <w:name w:val="List Paragraph"/>
    <w:basedOn w:val="Normal"/>
    <w:uiPriority w:val="34"/>
    <w:qFormat/>
    <w:rsid w:val="003D517F"/>
    <w:pPr>
      <w:ind w:left="720"/>
      <w:contextualSpacing/>
    </w:pPr>
  </w:style>
  <w:style w:type="character" w:styleId="IntenseEmphasis">
    <w:name w:val="Intense Emphasis"/>
    <w:basedOn w:val="DefaultParagraphFont"/>
    <w:uiPriority w:val="21"/>
    <w:qFormat/>
    <w:rsid w:val="003D517F"/>
    <w:rPr>
      <w:i/>
      <w:iCs/>
      <w:color w:val="0F4761" w:themeColor="accent1" w:themeShade="BF"/>
    </w:rPr>
  </w:style>
  <w:style w:type="paragraph" w:styleId="IntenseQuote">
    <w:name w:val="Intense Quote"/>
    <w:basedOn w:val="Normal"/>
    <w:next w:val="Normal"/>
    <w:link w:val="IntenseQuoteChar"/>
    <w:uiPriority w:val="30"/>
    <w:qFormat/>
    <w:rsid w:val="003D5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17F"/>
    <w:rPr>
      <w:i/>
      <w:iCs/>
      <w:color w:val="0F4761" w:themeColor="accent1" w:themeShade="BF"/>
    </w:rPr>
  </w:style>
  <w:style w:type="character" w:styleId="IntenseReference">
    <w:name w:val="Intense Reference"/>
    <w:basedOn w:val="DefaultParagraphFont"/>
    <w:uiPriority w:val="32"/>
    <w:qFormat/>
    <w:rsid w:val="003D517F"/>
    <w:rPr>
      <w:b/>
      <w:bCs/>
      <w:smallCaps/>
      <w:color w:val="0F4761" w:themeColor="accent1" w:themeShade="BF"/>
      <w:spacing w:val="5"/>
    </w:rPr>
  </w:style>
  <w:style w:type="paragraph" w:styleId="NormalWeb">
    <w:name w:val="Normal (Web)"/>
    <w:basedOn w:val="Normal"/>
    <w:uiPriority w:val="99"/>
    <w:unhideWhenUsed/>
    <w:rsid w:val="008308B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8308B4"/>
    <w:rPr>
      <w:color w:val="0000FF"/>
      <w:u w:val="single"/>
    </w:rPr>
  </w:style>
  <w:style w:type="character" w:styleId="Strong">
    <w:name w:val="Strong"/>
    <w:basedOn w:val="DefaultParagraphFont"/>
    <w:uiPriority w:val="22"/>
    <w:qFormat/>
    <w:rsid w:val="008308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8724380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6109</Words>
  <Characters>34827</Characters>
  <Application>Microsoft Office Word</Application>
  <DocSecurity>0</DocSecurity>
  <Lines>290</Lines>
  <Paragraphs>81</Paragraphs>
  <ScaleCrop>false</ScaleCrop>
  <Company/>
  <LinksUpToDate>false</LinksUpToDate>
  <CharactersWithSpaces>40855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Lewin</dc:creator>
  <cp:keywords/>
  <dc:description/>
  <cp:lastModifiedBy>Teresa Lewin</cp:lastModifiedBy>
  <cp:revision>2</cp:revision>
  <dcterms:created xsi:type="dcterms:W3CDTF">2026-06-30T18:36:00Z</dcterms:created>
  <dcterms:modified xsi:type="dcterms:W3CDTF">2026-06-30T18:36:00Z</dcterms:modified>
</cp:coreProperties>
</file>