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5860739" wp14:paraId="406FF161" wp14:textId="10715284">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6"/>
          <w:szCs w:val="26"/>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6"/>
          <w:szCs w:val="26"/>
          <w:lang w:val="en-US"/>
        </w:rPr>
        <w:t xml:space="preserve">1.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6"/>
          <w:szCs w:val="26"/>
          <w:lang w:val="en-US"/>
        </w:rPr>
        <w:t>Identify</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6"/>
          <w:szCs w:val="26"/>
          <w:lang w:val="en-US"/>
        </w:rPr>
        <w:t xml:space="preserve"> and discuss two art movements and evaluate through their differences and similarities the worldviews and principles they propose.</w:t>
      </w:r>
    </w:p>
    <w:p xmlns:wp14="http://schemas.microsoft.com/office/word/2010/wordml" w:rsidP="75860739" wp14:paraId="64669E9F" wp14:textId="4D2575FF">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6"/>
          <w:szCs w:val="26"/>
          <w:lang w:val="en-US"/>
        </w:rPr>
      </w:pPr>
    </w:p>
    <w:p xmlns:wp14="http://schemas.microsoft.com/office/word/2010/wordml" w:rsidP="75860739" wp14:paraId="61A90161" wp14:textId="68024D15">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433DBF9" wp14:textId="44757B0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Throughout history, art has been a pivotal tool in helping shape the constant shifting landscapes of our societies. Art movements form within these groups of people, by artists who collaborate with a shared goal of expression. The pursuit of this goal introduces many methods of change into the art world, such as introducing new ways of working, portraying meaning, techniques, styles and even materials into the way they create and display art, and the intent of which it has been made to be viewed. After the end of World War 1 in the early 20</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vertAlign w:val="superscript"/>
          <w:lang w:val="en-US"/>
        </w:rPr>
        <w:t>th</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century, societies had been exposed to experiences, scenes and truths that rearranged the lenses in which people viewed the world, and importantly the leaders that governed them. In the wake of this period of violence, art took a dive towards the absurd and deconstructive, rejecting senses of rationalism and favoring chaos. This was visualized heavily through the artistic expression at the time, perfectly exampled in the work coming from the Dadaist and Surrealist movements in the early 20</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vertAlign w:val="superscript"/>
          <w:lang w:val="en-US"/>
        </w:rPr>
        <w:t>th</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century. In this essay, we will be exploring these parallel movements in regard to their historical, worldly, and social contexts, the principles each manage to portray, the ways they collaborate in being public messengers and how effectively they do so.</w:t>
      </w:r>
    </w:p>
    <w:p xmlns:wp14="http://schemas.microsoft.com/office/word/2010/wordml" w:rsidP="75860739" wp14:paraId="3D74CDAF" wp14:textId="008ACC17">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7038CF9" wp14:textId="03FBA0DC">
      <w:pPr>
        <w:spacing w:before="0" w:beforeAutospacing="off" w:after="0" w:afterAutospacing="off" w:line="25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Shortly preceding Surrealism in 1916, the avant-garde art movement Dadaism took its place in the march against the horrors. After bearing firsthand witness to the destruction and violence that held hands with the decisions made by the structures of power, disillusionment rippled through communities like wildfire. Dadaists could be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largely postered</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by their anti-order, anti-establishment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sentiment</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and anger against the societies they viewed as helping perpetuate the atrocities that came with the war. ‘Although </w:t>
      </w:r>
      <w:r w:rsidRPr="75860739" w:rsidR="1B706769">
        <w:rPr>
          <w:rFonts w:ascii="Calibri Light" w:hAnsi="Calibri Light" w:eastAsia="Calibri Light" w:cs="Calibri Light"/>
          <w:b w:val="0"/>
          <w:bCs w:val="0"/>
          <w:i w:val="0"/>
          <w:iCs w:val="0"/>
          <w:caps w:val="0"/>
          <w:smallCaps w:val="0"/>
          <w:strike w:val="0"/>
          <w:dstrike w:val="0"/>
          <w:noProof w:val="0"/>
          <w:sz w:val="22"/>
          <w:szCs w:val="22"/>
          <w:lang w:val="en-US"/>
        </w:rPr>
        <w:t>Dadaism</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was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predominantly a</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visual arts movement, it was a writer who founded Dadaism. In 1916, two years after the outbreak of World War I, the Swiss writer </w:t>
      </w:r>
      <w:r w:rsidRPr="75860739" w:rsidR="1B706769">
        <w:rPr>
          <w:rFonts w:ascii="Calibri Light" w:hAnsi="Calibri Light" w:eastAsia="Calibri Light" w:cs="Calibri Light"/>
          <w:b w:val="0"/>
          <w:bCs w:val="0"/>
          <w:i w:val="0"/>
          <w:iCs w:val="0"/>
          <w:caps w:val="0"/>
          <w:smallCaps w:val="0"/>
          <w:strike w:val="0"/>
          <w:dstrike w:val="0"/>
          <w:noProof w:val="0"/>
          <w:sz w:val="22"/>
          <w:szCs w:val="22"/>
          <w:lang w:val="en-US"/>
        </w:rPr>
        <w:t>Hugo Ball</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founded a subversive nightclub in Zurich called the </w:t>
      </w:r>
      <w:r w:rsidRPr="75860739" w:rsidR="1B706769">
        <w:rPr>
          <w:rFonts w:ascii="Calibri Light" w:hAnsi="Calibri Light" w:eastAsia="Calibri Light" w:cs="Calibri Light"/>
          <w:b w:val="0"/>
          <w:bCs w:val="0"/>
          <w:i w:val="0"/>
          <w:iCs w:val="0"/>
          <w:caps w:val="0"/>
          <w:smallCaps w:val="0"/>
          <w:strike w:val="0"/>
          <w:dstrike w:val="0"/>
          <w:noProof w:val="0"/>
          <w:sz w:val="22"/>
          <w:szCs w:val="22"/>
          <w:lang w:val="en-US"/>
        </w:rPr>
        <w:t>Cabaret Voltaire,</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along with his friend, the poet and performance artist Emmy Hennings. Later, Ball and Hennings also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established</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the first ever Dada publication, a self-peened magazine where they launched the name of their new art movement which, “will bear the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name ”Dada</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Dada, Dada, Dada, Dada.”’ (</w:t>
      </w:r>
      <w:r w:rsidRPr="75860739" w:rsidR="1B706769">
        <w:rPr>
          <w:rFonts w:ascii="Calibri Light" w:hAnsi="Calibri Light" w:eastAsia="Calibri Light" w:cs="Calibri Light"/>
          <w:b w:val="1"/>
          <w:bCs w:val="1"/>
          <w:i w:val="0"/>
          <w:iCs w:val="0"/>
          <w:caps w:val="0"/>
          <w:smallCaps w:val="0"/>
          <w:strike w:val="0"/>
          <w:dstrike w:val="0"/>
          <w:noProof w:val="0"/>
          <w:color w:val="000000" w:themeColor="text1" w:themeTint="FF" w:themeShade="FF"/>
          <w:sz w:val="22"/>
          <w:szCs w:val="22"/>
          <w:u w:val="none"/>
          <w:lang w:val="en-US"/>
        </w:rPr>
        <w:t>Rosie Lesso,</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2022). They explored their criticism of these social structures and narratives through the development of a deconstructive, absurd, and highly satirical approach to art. The feelings expressing themselves as chaotic, mocking renditions of concepts, ideals, and images of figures of power and the social conventions that Dadaists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observed</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leading them to the cataclysmic events of the war. </w:t>
      </w:r>
    </w:p>
    <w:p xmlns:wp14="http://schemas.microsoft.com/office/word/2010/wordml" w:rsidP="75860739" wp14:paraId="5EBFB2B9" wp14:textId="5EB62980">
      <w:pPr>
        <w:spacing w:before="0" w:beforeAutospacing="off" w:after="0" w:afterAutospacing="off" w:line="25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6839345" wp14:textId="21AC98F1">
      <w:pPr>
        <w:spacing w:before="0" w:beforeAutospacing="off" w:after="0" w:afterAutospacing="off" w:line="25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A renowned Dadaist, George Grosz, was loudly vocal through his art practices of his opinions on the war and the aftermath. Moving to the USA to create after serving on the frontlines of the First World War, his personal context gave him an invaluable view on this war period with unfiltered honesty and rawness. His firsthand experiences led him to become loudly anti-war and against the moral bankruptcy that, in his opinion, led to the violence of the war, caricaturizing these loathsome qualities in his paintings and vocalising his thoughts in an autobiography and many poems. When discussing the war and his opinions on it, he was unafraid to voice his beliefs, stating he ‘was disappointed, not because we had lost the war but because our people had allowed it to go on for so many years, instead of heeding the few voices of protest against all that mass insanity and slaughter.’(</w:t>
      </w: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 xml:space="preserve">George Grosz, The autobiography of George Grosz: a small yes and a big no” 1982). </w:t>
      </w:r>
    </w:p>
    <w:p xmlns:wp14="http://schemas.microsoft.com/office/word/2010/wordml" w:rsidP="75860739" wp14:paraId="151D5E7D" wp14:textId="620EEC32">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EADD10E" wp14:textId="30BF6B91">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w:t>
      </w:r>
      <w:r w:rsidR="1B706769">
        <w:drawing>
          <wp:inline xmlns:wp14="http://schemas.microsoft.com/office/word/2010/wordprocessingDrawing" wp14:editId="045907DF" wp14:anchorId="61A199B2">
            <wp:extent cx="2562225" cy="3362325"/>
            <wp:effectExtent l="0" t="0" r="0" b="0"/>
            <wp:docPr id="2067173111" name="" title=""/>
            <wp:cNvGraphicFramePr>
              <a:graphicFrameLocks noChangeAspect="1"/>
            </wp:cNvGraphicFramePr>
            <a:graphic>
              <a:graphicData uri="http://schemas.openxmlformats.org/drawingml/2006/picture">
                <pic:pic>
                  <pic:nvPicPr>
                    <pic:cNvPr id="0" name=""/>
                    <pic:cNvPicPr/>
                  </pic:nvPicPr>
                  <pic:blipFill>
                    <a:blip r:embed="R406b2e4abcd74479">
                      <a:extLst>
                        <a:ext xmlns:a="http://schemas.openxmlformats.org/drawingml/2006/main" uri="{28A0092B-C50C-407E-A947-70E740481C1C}">
                          <a14:useLocalDpi val="0"/>
                        </a:ext>
                      </a:extLst>
                    </a:blip>
                    <a:stretch>
                      <a:fillRect/>
                    </a:stretch>
                  </pic:blipFill>
                  <pic:spPr>
                    <a:xfrm>
                      <a:off x="0" y="0"/>
                      <a:ext cx="2562225" cy="3362325"/>
                    </a:xfrm>
                    <a:prstGeom prst="rect">
                      <a:avLst/>
                    </a:prstGeom>
                  </pic:spPr>
                </pic:pic>
              </a:graphicData>
            </a:graphic>
          </wp:inline>
        </w:drawing>
      </w:r>
    </w:p>
    <w:p xmlns:wp14="http://schemas.microsoft.com/office/word/2010/wordml" w:rsidP="75860739" wp14:paraId="71F3ABB0" wp14:textId="566A0217">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An artwork of Grosz’ that captures the sentiment of this quote is his oil painting ‘Pillars of Society’ (1926). His caricatures stand focal, representing a multifaceted symbolic view of the opinions he held regarding the characters he observed in society at the time: depicting them with grotesque features, painted with an inherent lack of clarity, co-ordination, and derogatory symbolisim such as the chamber pot upon the head of the journalist, assumedly looking to signify a perceived lack of intelligence or foolishness. </w:t>
      </w:r>
    </w:p>
    <w:p xmlns:wp14="http://schemas.microsoft.com/office/word/2010/wordml" w:rsidP="75860739" wp14:paraId="5CBBB06A" wp14:textId="46B89F34">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18A4AAD" wp14:textId="7A1D62D3">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Where Dadaists produced work aimed to drag emotion from the viewer, the emotions Surrealists looked to find were a lot more subjective and introspective, taking on a personal, healing approach to the creation of art rather than mocking it. A few years later around 1920, in their desire to break away from the dark rationality of their environments, Surrealists began to explore and take inspiration from the psychological and philosophical climate at the time, heavily influenced by the psychoanalytical dream exploration theories of Sigmund Freud and his ideas of the unconscious mind. With the theories of Freud becoming popularised around this era, the exploration of the ID and the subconscious and the concept of psychoanalysis were embraced by artists, who would directly draw upon dreams and their interpretations to help construct work, namely so Salvador Dali. He was a pioneer of surrealism and loud supporter of the use of these psychoanalytical theories, using them to assess and create his own artistic practices through a lens of deconstruction and ‘healing’ analysis, which spanned from oil painting, photomontage and more. His work focused heavily on dreams and the deconstruction of the psyche, portraying symbols and concepts he would see in hypnotic and dream states and abstractifying them, as seen here in his work ‘The Persistence of Memory’ (1931).</w:t>
      </w:r>
    </w:p>
    <w:p xmlns:wp14="http://schemas.microsoft.com/office/word/2010/wordml" w:rsidP="75860739" wp14:paraId="528B983E" wp14:textId="0B01F81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1B706769">
        <w:drawing>
          <wp:inline xmlns:wp14="http://schemas.microsoft.com/office/word/2010/wordprocessingDrawing" wp14:editId="1940E0D9" wp14:anchorId="7C377B28">
            <wp:extent cx="4572000" cy="3286125"/>
            <wp:effectExtent l="0" t="0" r="0" b="0"/>
            <wp:docPr id="474144041" name="" title=""/>
            <wp:cNvGraphicFramePr>
              <a:graphicFrameLocks noChangeAspect="1"/>
            </wp:cNvGraphicFramePr>
            <a:graphic>
              <a:graphicData uri="http://schemas.openxmlformats.org/drawingml/2006/picture">
                <pic:pic>
                  <pic:nvPicPr>
                    <pic:cNvPr id="0" name=""/>
                    <pic:cNvPicPr/>
                  </pic:nvPicPr>
                  <pic:blipFill>
                    <a:blip r:embed="Rbdf728729a94448f">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xmlns:wp14="http://schemas.microsoft.com/office/word/2010/wordml" w:rsidP="75860739" wp14:paraId="257A05A9" wp14:textId="56D42BF3">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64059BB" wp14:textId="70615A4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While both these movements were largely shaped by their experiences of their society and cultures, the movements equally influenced, with Surrealism taking an almost direct take from Dadaism’s attitude to the world at the time. Due to their similarities, the artists within these movements felt comfortable enough to collaborate, Jean Arp explained how they ‘did exhibitions with the Surrealists [in Paris, circa 1929] because their attitude revolted against 'art' and their attitude toward life itself was wise, as was Dada's.’ (Jean Arp, 1966). </w:t>
      </w:r>
    </w:p>
    <w:p xmlns:wp14="http://schemas.microsoft.com/office/word/2010/wordml" w:rsidP="75860739" wp14:paraId="2B9B6720" wp14:textId="4A08DCD6">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64E767C3" wp14:textId="2F2956C8">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A pivotal difference for the Surrealists specifically is that they chose to align less with the nihilistic ideology that came married to the smog of satire within the scene and embraced the dreamlike detachment and exploration; ‘Surrealism's emphasis, however, was not on negation but on positive expression. It did not inherit Dada’s nihilistic, antirationalist critiques of society and its unrestrained attacks on formal artistic conventions. However, Surrealism did adopt Dada’s preoccupation with the bizarre, the irrational, and the fantastic as well as Dada artists’ reliance on accident and chance.‘ (Britannica, T. Editors of Encyclopedia. "How are Surrealism and Dada related? ." </w:t>
      </w: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Encyclopedia Britannica</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November 5, 2018.) Grosz himself went on to explain that in the eyes of Dadaists, ‘nothing was holy to us. Our movement was neither mystical, communistic nor anarchistic. All of these movements had some sort of program, but ours was completely nihilistic. We spat on everything, including ourselves. Our symbol was nothingness, a vacuum, a void.” (</w:t>
      </w:r>
      <w:r w:rsidRPr="75860739" w:rsidR="1B706769">
        <w:rPr>
          <w:rFonts w:ascii="Calibri Light" w:hAnsi="Calibri Light" w:eastAsia="Calibri Light" w:cs="Calibri Light"/>
          <w:b w:val="1"/>
          <w:bCs w:val="1"/>
          <w:i w:val="0"/>
          <w:iCs w:val="0"/>
          <w:caps w:val="0"/>
          <w:smallCaps w:val="0"/>
          <w:noProof w:val="0"/>
          <w:color w:val="000000" w:themeColor="text1" w:themeTint="FF" w:themeShade="FF"/>
          <w:sz w:val="22"/>
          <w:szCs w:val="22"/>
          <w:lang w:val="en-US"/>
        </w:rPr>
        <w:t>George Grosz: An Autobiography, 1955)</w:t>
      </w:r>
    </w:p>
    <w:p xmlns:wp14="http://schemas.microsoft.com/office/word/2010/wordml" w:rsidP="75860739" wp14:paraId="7808D71B" wp14:textId="13141AF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95D0E72" wp14:textId="5984B501">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Where both movements shared spirit of rebellion and deviation from societal norms, they differed in execution, meaning, and intent of consumption. Dadaists were provocateurs, while Surrealists were romanticists, with their similar senses of detachment from rationality and logic there was a profound mutual desire to embrace the essence of disorder and chaos which ran in the blood of the structures surrounding them at the time. They amplify these themes through their individual ways of working with the common goal of revolutionizing and opening eyes. The irrational and dreamlike aesthetic of Surrealism allowed for healthier public curiosity and exploration compared to the satirical brutalism of Dadaistic work. I find George Grosz summarizes their abstract partnership in the worldly messages they potray in his autobiography, stating that ‘The war was a mirror; it reflected man's every virtue and every vice, and if you looked closely, like an artist at his drawings, it showed up both with unusual clarity.’</w:t>
      </w:r>
    </w:p>
    <w:p xmlns:wp14="http://schemas.microsoft.com/office/word/2010/wordml" w:rsidP="75860739" wp14:paraId="40AE776D" wp14:textId="00D8E4F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 xml:space="preserve">George Grosz (1982). </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Although never venturing into Surrealism, this quote shows to me a common wavelength of understanding of the reflective nature of these art movements, and despite their differences, both take up a large and influential space in art history.</w:t>
      </w:r>
    </w:p>
    <w:p xmlns:wp14="http://schemas.microsoft.com/office/word/2010/wordml" w:rsidP="75860739" wp14:paraId="1D052214" wp14:textId="5CFB6089">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3B53123" wp14:textId="1057DA31">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70B4F9A8" wp14:textId="3B62964D">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5B2E0F7" wp14:textId="1231D201">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7CCCE1D" wp14:textId="10B509AF">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7EA811A" wp14:textId="0EA9935F">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957FD70" wp14:textId="2D8E7741">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78CB390" wp14:textId="5E1BCA52">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C70B70E" wp14:textId="310B52FC">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476A51D" wp14:textId="0319823E">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69C2732" wp14:textId="0FEBE741">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94229B8" wp14:textId="1E63D368">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14434C9" wp14:textId="43930212">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DC5695E" wp14:textId="5CF494A5">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7DB02BE" wp14:textId="063C64CE">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919E6B0" wp14:textId="327E9BE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C375E01" wp14:textId="507F3113">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D571F89" wp14:textId="4833CDAF">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4980AA5" wp14:textId="687A9B52">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B63ED5F" wp14:textId="41DCCC57">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1E17939" wp14:textId="6EA2C89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FD14257" wp14:textId="1AA54474">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6145FD14" wp14:textId="640FE17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260C1B9" wp14:textId="02BF9458">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B5B3523" wp14:textId="394AE78F">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ECC3099" wp14:textId="410A4312">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E8E3755" wp14:textId="7F97AEA9">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B914911" wp14:textId="1DF20BA1">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3534C16" wp14:textId="0259325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700688E" wp14:textId="4D579183">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76D00A87" wp14:textId="4BEE7F59">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3C1B3B5" wp14:textId="4C522DB2">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BDE0337" wp14:textId="79123ACD">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4F442BB4" wp14:textId="105DE37D">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79B42274" wp14:textId="43BA9A91">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8F3EA5E" wp14:textId="12272807">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778D0C5" wp14:textId="71BC0CB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9A37237" wp14:textId="7C94AAFE">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8950201" wp14:textId="6FAF3193">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D9A273B" wp14:textId="224D821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7A13385" wp14:textId="4241CFA5">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239DF0C" wp14:textId="354C9D0A">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D4E4188" wp14:textId="0BD366B9">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557D2F9" wp14:textId="78F54588">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BIBLIOGRAPHY: </w:t>
      </w:r>
    </w:p>
    <w:p xmlns:wp14="http://schemas.microsoft.com/office/word/2010/wordml" w:rsidP="75860739" wp14:paraId="5764598F" wp14:textId="2B2CD513">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B275AAE" wp14:textId="3985020B">
      <w:pPr>
        <w:spacing w:before="0" w:beforeAutospacing="off" w:after="0" w:afterAutospacing="off" w:line="360" w:lineRule="exact"/>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The autobiography of George Grosz: a small yes and a big no” George Grosz (1982).</w:t>
      </w:r>
    </w:p>
    <w:p xmlns:wp14="http://schemas.microsoft.com/office/word/2010/wordml" w:rsidP="75860739" wp14:paraId="2A7581D4" wp14:textId="4620D540">
      <w:pPr>
        <w:spacing w:before="0" w:beforeAutospacing="off" w:after="0" w:afterAutospacing="off" w:line="360" w:lineRule="exact"/>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C02DBBC" wp14:textId="1535EF39">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1"/>
          <w:bCs w:val="1"/>
          <w:i w:val="0"/>
          <w:iCs w:val="0"/>
          <w:caps w:val="0"/>
          <w:smallCaps w:val="0"/>
          <w:noProof w:val="0"/>
          <w:color w:val="000000" w:themeColor="text1" w:themeTint="FF" w:themeShade="FF"/>
          <w:sz w:val="22"/>
          <w:szCs w:val="22"/>
          <w:lang w:val="en-US"/>
        </w:rPr>
        <w:t>The Autobiography of George Grosz, George Grosz: An Autobiography (1955).</w:t>
      </w:r>
    </w:p>
    <w:p xmlns:wp14="http://schemas.microsoft.com/office/word/2010/wordml" w:rsidP="75860739" wp14:paraId="3D8EC6FF" wp14:textId="6B772E05">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EAE9F3D" wp14:textId="069C4C2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Britannica, The Editors of Encyclopedia. "How are Surrealism and Dada related? ". </w:t>
      </w: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Encyclopedia Britannica</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5 Nov. 2018, </w:t>
      </w:r>
      <w:hyperlink r:id="Rd6dd4eff38b644f8">
        <w:r w:rsidRPr="75860739" w:rsidR="1B706769">
          <w:rPr>
            <w:rStyle w:val="Hyperlink"/>
            <w:rFonts w:ascii="Calibri Light" w:hAnsi="Calibri Light" w:eastAsia="Calibri Light" w:cs="Calibri Light"/>
            <w:b w:val="0"/>
            <w:bCs w:val="0"/>
            <w:i w:val="0"/>
            <w:iCs w:val="0"/>
            <w:caps w:val="0"/>
            <w:smallCaps w:val="0"/>
            <w:noProof w:val="0"/>
            <w:sz w:val="22"/>
            <w:szCs w:val="22"/>
            <w:lang w:val="en-US"/>
          </w:rPr>
          <w:t>https://www.britannica.com/question/How-are-Surrealism-and-Dada-related</w:t>
        </w:r>
      </w:hyperlink>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5860739" wp14:paraId="713201FC" wp14:textId="0BE2CBF8">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67552E04" wp14:textId="76CEC2A0">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Britannica, The Editors of Encyclopedia. "How are Surrealism and Dada related? ". </w:t>
      </w: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Encyclopedia Britannica</w:t>
      </w:r>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5 Nov. 2018, </w:t>
      </w:r>
      <w:hyperlink r:id="R83c72fe94afd4eca">
        <w:r w:rsidRPr="75860739" w:rsidR="1B706769">
          <w:rPr>
            <w:rStyle w:val="Hyperlink"/>
            <w:rFonts w:ascii="Calibri Light" w:hAnsi="Calibri Light" w:eastAsia="Calibri Light" w:cs="Calibri Light"/>
            <w:b w:val="0"/>
            <w:bCs w:val="0"/>
            <w:i w:val="0"/>
            <w:iCs w:val="0"/>
            <w:caps w:val="0"/>
            <w:smallCaps w:val="0"/>
            <w:noProof w:val="0"/>
            <w:sz w:val="22"/>
            <w:szCs w:val="22"/>
            <w:lang w:val="en-US"/>
          </w:rPr>
          <w:t>https://www.britannica.com/question/How-are-Surrealism-and-Dada-related</w:t>
        </w:r>
      </w:hyperlink>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5860739" wp14:paraId="0AC3FCEE" wp14:textId="15FA3EE0">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05DDB82E" wp14:textId="6311B5C8">
      <w:pPr>
        <w:spacing w:before="0" w:beforeAutospacing="off" w:after="0" w:afterAutospacing="off" w:line="259" w:lineRule="auto"/>
        <w:ind w:left="0"/>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hyperlink r:id="Rdf9707eef6714ec3">
        <w:r w:rsidRPr="75860739" w:rsidR="1B706769">
          <w:rPr>
            <w:rStyle w:val="Hyperlink"/>
            <w:rFonts w:ascii="Calibri Light" w:hAnsi="Calibri Light" w:eastAsia="Calibri Light" w:cs="Calibri Light"/>
            <w:b w:val="0"/>
            <w:bCs w:val="0"/>
            <w:i w:val="0"/>
            <w:iCs w:val="0"/>
            <w:caps w:val="0"/>
            <w:smallCaps w:val="0"/>
            <w:strike w:val="0"/>
            <w:dstrike w:val="0"/>
            <w:noProof w:val="0"/>
            <w:sz w:val="22"/>
            <w:szCs w:val="22"/>
            <w:lang w:val="en-US"/>
          </w:rPr>
          <w:t>Jean Arp</w:t>
        </w:r>
      </w:hyperlink>
      <w:r w:rsidRPr="75860739" w:rsidR="1B70676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in 'Jours effeuillés: Poèmes, essaies, souvenirs Gallimard, Paris 1966, p. 406.</w:t>
      </w:r>
    </w:p>
    <w:p xmlns:wp14="http://schemas.microsoft.com/office/word/2010/wordml" w:rsidP="75860739" wp14:paraId="2409B809" wp14:textId="51F900F8">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0AAF391" wp14:textId="0EDA880B">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hyperlink r:id="R9bce2e5e8dc1408d">
        <w:r w:rsidRPr="75860739" w:rsidR="1B706769">
          <w:rPr>
            <w:rStyle w:val="Hyperlink"/>
            <w:rFonts w:ascii="Calibri Light" w:hAnsi="Calibri Light" w:eastAsia="Calibri Light" w:cs="Calibri Light"/>
            <w:b w:val="0"/>
            <w:bCs w:val="0"/>
            <w:i w:val="0"/>
            <w:iCs w:val="0"/>
            <w:caps w:val="0"/>
            <w:smallCaps w:val="0"/>
            <w:noProof w:val="0"/>
            <w:sz w:val="22"/>
            <w:szCs w:val="22"/>
            <w:lang w:val="en-US"/>
          </w:rPr>
          <w:t>https://en.wikiquote.org/wiki/George_Grosz</w:t>
        </w:r>
      </w:hyperlink>
    </w:p>
    <w:p xmlns:wp14="http://schemas.microsoft.com/office/word/2010/wordml" w:rsidP="75860739" wp14:paraId="20D55524" wp14:textId="0A238C6A">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E853DB8" wp14:textId="53845964">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 xml:space="preserve">Rosie Lesso, Aug 2022 </w:t>
      </w:r>
      <w:hyperlink r:id="Rf99b7b0eb9f44a1e">
        <w:r w:rsidRPr="75860739" w:rsidR="1B706769">
          <w:rPr>
            <w:rStyle w:val="Hyperlink"/>
            <w:rFonts w:ascii="Calibri Light" w:hAnsi="Calibri Light" w:eastAsia="Calibri Light" w:cs="Calibri Light"/>
            <w:b w:val="0"/>
            <w:bCs w:val="0"/>
            <w:i w:val="1"/>
            <w:iCs w:val="1"/>
            <w:caps w:val="0"/>
            <w:smallCaps w:val="0"/>
            <w:strike w:val="0"/>
            <w:dstrike w:val="0"/>
            <w:noProof w:val="0"/>
            <w:sz w:val="22"/>
            <w:szCs w:val="22"/>
            <w:lang w:val="en-US"/>
          </w:rPr>
          <w:t>https://www.thecollector.com/who-was-the-founder-of-dadaism/</w:t>
        </w:r>
      </w:hyperlink>
    </w:p>
    <w:p xmlns:wp14="http://schemas.microsoft.com/office/word/2010/wordml" w:rsidP="75860739" wp14:paraId="12FEA01A" wp14:textId="348FC3F4">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51EC8118" wp14:textId="5B513365">
      <w:pPr>
        <w:spacing w:before="0" w:beforeAutospacing="off" w:after="0" w:afterAutospacing="off" w:line="360" w:lineRule="exact"/>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George Grosz, Heartfield, Wieland Herzfelde (1987). “Art Is in Danger”</w:t>
      </w:r>
    </w:p>
    <w:p xmlns:wp14="http://schemas.microsoft.com/office/word/2010/wordml" w:rsidP="75860739" wp14:paraId="6AECA193" wp14:textId="50EF9C83">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1D2EF339" wp14:textId="2FCDFBED">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75860739" w:rsidR="1B706769">
        <w:rPr>
          <w:rFonts w:ascii="Calibri Light" w:hAnsi="Calibri Light" w:eastAsia="Calibri Light" w:cs="Calibri Light"/>
          <w:b w:val="0"/>
          <w:bCs w:val="0"/>
          <w:i w:val="1"/>
          <w:iCs w:val="1"/>
          <w:caps w:val="0"/>
          <w:smallCaps w:val="0"/>
          <w:noProof w:val="0"/>
          <w:color w:val="000000" w:themeColor="text1" w:themeTint="FF" w:themeShade="FF"/>
          <w:sz w:val="22"/>
          <w:szCs w:val="22"/>
          <w:lang w:val="en-US"/>
        </w:rPr>
        <w:t xml:space="preserve">Rosie Lesso, Oct 2022, </w:t>
      </w:r>
      <w:hyperlink r:id="R781da557ab654867">
        <w:r w:rsidRPr="75860739" w:rsidR="1B706769">
          <w:rPr>
            <w:rStyle w:val="Hyperlink"/>
            <w:rFonts w:ascii="Calibri Light" w:hAnsi="Calibri Light" w:eastAsia="Calibri Light" w:cs="Calibri Light"/>
            <w:b w:val="0"/>
            <w:bCs w:val="0"/>
            <w:i w:val="1"/>
            <w:iCs w:val="1"/>
            <w:caps w:val="0"/>
            <w:smallCaps w:val="0"/>
            <w:strike w:val="0"/>
            <w:dstrike w:val="0"/>
            <w:noProof w:val="0"/>
            <w:sz w:val="22"/>
            <w:szCs w:val="22"/>
            <w:lang w:val="en-US"/>
          </w:rPr>
          <w:t>https://www.thecollector.com/whats-the-difference-between-dadaism-and-surrealism/</w:t>
        </w:r>
      </w:hyperlink>
    </w:p>
    <w:p xmlns:wp14="http://schemas.microsoft.com/office/word/2010/wordml" w:rsidP="75860739" wp14:paraId="51B0DD74" wp14:textId="7B66789F">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3E8FBC02" wp14:textId="1C3CB060">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hyperlink r:id="R9a65395cf8324b96">
        <w:r w:rsidRPr="75860739" w:rsidR="1B706769">
          <w:rPr>
            <w:rStyle w:val="Hyperlink"/>
            <w:rFonts w:ascii="Calibri Light" w:hAnsi="Calibri Light" w:eastAsia="Calibri Light" w:cs="Calibri Light"/>
            <w:b w:val="0"/>
            <w:bCs w:val="0"/>
            <w:i w:val="0"/>
            <w:iCs w:val="0"/>
            <w:caps w:val="0"/>
            <w:smallCaps w:val="0"/>
            <w:noProof w:val="0"/>
            <w:sz w:val="22"/>
            <w:szCs w:val="22"/>
            <w:lang w:val="en-US"/>
          </w:rPr>
          <w:t>https://en.wikiquote.org/wiki/George_Grosz</w:t>
        </w:r>
      </w:hyperlink>
    </w:p>
    <w:p xmlns:wp14="http://schemas.microsoft.com/office/word/2010/wordml" w:rsidP="75860739" wp14:paraId="5E8C0E4D" wp14:textId="39198EC4">
      <w:pPr>
        <w:spacing w:before="0" w:beforeAutospacing="off" w:after="0" w:afterAutospacing="off"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xmlns:wp14="http://schemas.microsoft.com/office/word/2010/wordml" w:rsidP="75860739" wp14:paraId="2C078E63" wp14:textId="56EEECA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2ACE8C"/>
    <w:rsid w:val="14318B12"/>
    <w:rsid w:val="1B706769"/>
    <w:rsid w:val="5C2ACE8C"/>
    <w:rsid w:val="75860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82145"/>
  <w15:chartTrackingRefBased/>
  <w15:docId w15:val="{6D3C1CC0-3629-413C-86E3-7B0DB79494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06b2e4abcd74479" /><Relationship Type="http://schemas.openxmlformats.org/officeDocument/2006/relationships/image" Target="/media/image2.png" Id="Rbdf728729a94448f" /><Relationship Type="http://schemas.openxmlformats.org/officeDocument/2006/relationships/hyperlink" Target="https://www.britannica.com/question/How-are-Surrealism-and-Dada-related" TargetMode="External" Id="Rd6dd4eff38b644f8" /><Relationship Type="http://schemas.openxmlformats.org/officeDocument/2006/relationships/hyperlink" Target="https://www.britannica.com/question/How-are-Surrealism-and-Dada-related" TargetMode="External" Id="R83c72fe94afd4eca" /><Relationship Type="http://schemas.openxmlformats.org/officeDocument/2006/relationships/hyperlink" Target="https://en.wikiquote.org/wiki/Jean_Arp" TargetMode="External" Id="Rdf9707eef6714ec3" /><Relationship Type="http://schemas.openxmlformats.org/officeDocument/2006/relationships/hyperlink" Target="https://en.wikiquote.org/wiki/George_Grosz" TargetMode="External" Id="R9bce2e5e8dc1408d" /><Relationship Type="http://schemas.openxmlformats.org/officeDocument/2006/relationships/hyperlink" Target="https://www.thecollector.com/who-was-the-founder-of-dadaism/" TargetMode="External" Id="Rf99b7b0eb9f44a1e" /><Relationship Type="http://schemas.openxmlformats.org/officeDocument/2006/relationships/hyperlink" Target="https://www.thecollector.com/whats-the-difference-between-dadaism-and-surrealism/" TargetMode="External" Id="R781da557ab654867" /><Relationship Type="http://schemas.openxmlformats.org/officeDocument/2006/relationships/hyperlink" Target="https://en.wikiquote.org/wiki/George_Grosz" TargetMode="External" Id="R9a65395cf8324b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2023-12-12T12:05:54.0119656Z</dcterms:created>
  <dcterms:modified xsi:type="dcterms:W3CDTF">2023-12-12T12:07:11.5516414Z</dcterms:modified>
  <dc:creator>Kirra-Leigh Williams (1651431)</dc:creator>
  <lastModifiedBy>Kirra-Leigh Williams (1651431)</lastModifiedBy>
</coreProperties>
</file>