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FBC2B" w14:textId="41F996C4" w:rsidR="00EB38F6" w:rsidRDefault="00EB38F6" w:rsidP="00EB38F6">
      <w:pPr>
        <w:spacing w:line="480" w:lineRule="auto"/>
        <w:rPr>
          <w:rFonts w:ascii="Arial" w:hAnsi="Arial" w:cs="Arial"/>
          <w:sz w:val="28"/>
          <w:szCs w:val="28"/>
          <w:u w:val="single"/>
          <w:lang w:val="en-US"/>
        </w:rPr>
      </w:pPr>
      <w:r>
        <w:rPr>
          <w:rFonts w:ascii="Arial" w:hAnsi="Arial" w:cs="Arial"/>
          <w:sz w:val="28"/>
          <w:szCs w:val="28"/>
          <w:lang w:val="en-US"/>
        </w:rPr>
        <w:t xml:space="preserve">                                             </w:t>
      </w:r>
      <w:r w:rsidRPr="00EB38F6">
        <w:rPr>
          <w:rFonts w:ascii="Arial" w:hAnsi="Arial" w:cs="Arial"/>
          <w:sz w:val="28"/>
          <w:szCs w:val="28"/>
          <w:u w:val="single"/>
          <w:lang w:val="en-US"/>
        </w:rPr>
        <w:t>Equity and Trust</w:t>
      </w:r>
      <w:r>
        <w:rPr>
          <w:rFonts w:ascii="Arial" w:hAnsi="Arial" w:cs="Arial"/>
          <w:sz w:val="28"/>
          <w:szCs w:val="28"/>
          <w:u w:val="single"/>
          <w:lang w:val="en-US"/>
        </w:rPr>
        <w:t xml:space="preserve">.    </w:t>
      </w:r>
    </w:p>
    <w:p w14:paraId="1F19B4B9" w14:textId="6153B517" w:rsidR="00EB38F6" w:rsidRDefault="00EB38F6" w:rsidP="00EB38F6">
      <w:pPr>
        <w:spacing w:line="480" w:lineRule="auto"/>
        <w:rPr>
          <w:rFonts w:ascii="Arial" w:hAnsi="Arial" w:cs="Arial"/>
          <w:sz w:val="28"/>
          <w:szCs w:val="28"/>
          <w:lang w:val="en-US"/>
        </w:rPr>
      </w:pPr>
      <w:r>
        <w:rPr>
          <w:rFonts w:ascii="Arial" w:hAnsi="Arial" w:cs="Arial"/>
          <w:sz w:val="28"/>
          <w:szCs w:val="28"/>
          <w:lang w:val="en-US"/>
        </w:rPr>
        <w:t>Question 1:</w:t>
      </w:r>
    </w:p>
    <w:p w14:paraId="15264144" w14:textId="19014EB5" w:rsidR="0085690B" w:rsidRDefault="00EB38F6" w:rsidP="00EB38F6">
      <w:pPr>
        <w:spacing w:line="480" w:lineRule="auto"/>
        <w:rPr>
          <w:rFonts w:ascii="Arial" w:hAnsi="Arial" w:cs="Arial"/>
          <w:sz w:val="28"/>
          <w:szCs w:val="28"/>
          <w:lang w:val="en-US"/>
        </w:rPr>
      </w:pPr>
      <w:r>
        <w:rPr>
          <w:rFonts w:ascii="Arial" w:hAnsi="Arial" w:cs="Arial"/>
          <w:sz w:val="28"/>
          <w:szCs w:val="28"/>
          <w:lang w:val="en-US"/>
        </w:rPr>
        <w:tab/>
      </w:r>
      <w:r w:rsidR="00C27AB9">
        <w:rPr>
          <w:rFonts w:ascii="Arial" w:hAnsi="Arial" w:cs="Arial"/>
          <w:sz w:val="28"/>
          <w:szCs w:val="28"/>
          <w:lang w:val="en-US"/>
        </w:rPr>
        <w:t>The formality of</w:t>
      </w:r>
      <w:r w:rsidR="00376483">
        <w:rPr>
          <w:rFonts w:ascii="Arial" w:hAnsi="Arial" w:cs="Arial"/>
          <w:sz w:val="28"/>
          <w:szCs w:val="28"/>
          <w:lang w:val="en-US"/>
        </w:rPr>
        <w:t xml:space="preserve"> S</w:t>
      </w:r>
      <w:r w:rsidR="0033631C">
        <w:rPr>
          <w:rFonts w:ascii="Arial" w:hAnsi="Arial" w:cs="Arial"/>
          <w:sz w:val="28"/>
          <w:szCs w:val="28"/>
          <w:lang w:val="en-US"/>
        </w:rPr>
        <w:t xml:space="preserve">ection </w:t>
      </w:r>
      <w:r w:rsidR="00376483">
        <w:rPr>
          <w:rFonts w:ascii="Arial" w:hAnsi="Arial" w:cs="Arial"/>
          <w:sz w:val="28"/>
          <w:szCs w:val="28"/>
          <w:lang w:val="en-US"/>
        </w:rPr>
        <w:t>9 of</w:t>
      </w:r>
      <w:r w:rsidR="00C27AB9">
        <w:rPr>
          <w:rFonts w:ascii="Arial" w:hAnsi="Arial" w:cs="Arial"/>
          <w:sz w:val="28"/>
          <w:szCs w:val="28"/>
          <w:lang w:val="en-US"/>
        </w:rPr>
        <w:t xml:space="preserve"> the Wills Act 1837 states that no will shall be valid, except when it is: 1) Written, and signed by the settlor, or by a person close by in his presence and by his orders; and 2) it seems that the settlor gave effect to the will by his signature; and 3) the signature is approved or acknowledged by the settlors in the attendance of two or more witnesses at the same time; and 4) each witness must either: </w:t>
      </w:r>
      <w:r w:rsidR="00E879B5">
        <w:rPr>
          <w:rFonts w:ascii="Arial" w:hAnsi="Arial" w:cs="Arial"/>
          <w:sz w:val="28"/>
          <w:szCs w:val="28"/>
          <w:lang w:val="en-US"/>
        </w:rPr>
        <w:t xml:space="preserve">(i) </w:t>
      </w:r>
      <w:r w:rsidR="00C27AB9">
        <w:rPr>
          <w:rFonts w:ascii="Arial" w:hAnsi="Arial" w:cs="Arial"/>
          <w:sz w:val="28"/>
          <w:szCs w:val="28"/>
          <w:lang w:val="en-US"/>
        </w:rPr>
        <w:t>testify to and sign the will or</w:t>
      </w:r>
      <w:r w:rsidR="00E879B5">
        <w:rPr>
          <w:rFonts w:ascii="Arial" w:hAnsi="Arial" w:cs="Arial"/>
          <w:sz w:val="28"/>
          <w:szCs w:val="28"/>
          <w:lang w:val="en-US"/>
        </w:rPr>
        <w:t xml:space="preserve"> (ii) acknowledge his signature, in the attendance of the settlor and no form of testimonial shall be necessary (Watt, 2021, p. 57). </w:t>
      </w:r>
      <w:r w:rsidR="00376483">
        <w:rPr>
          <w:rFonts w:ascii="Arial" w:hAnsi="Arial" w:cs="Arial"/>
          <w:sz w:val="28"/>
          <w:szCs w:val="28"/>
          <w:lang w:val="en-US"/>
        </w:rPr>
        <w:t xml:space="preserve">As the act of giving is recognized as rightly a private one, the law does not insist upon any formality where a gift is given by a living person (as oppose to by the Will of a deceased person) (Watt, 2021, p. 47). </w:t>
      </w:r>
      <w:r w:rsidR="00FD6F29">
        <w:rPr>
          <w:rFonts w:ascii="Arial" w:hAnsi="Arial" w:cs="Arial"/>
          <w:sz w:val="28"/>
          <w:szCs w:val="28"/>
          <w:lang w:val="en-US"/>
        </w:rPr>
        <w:t>Secret trusts are</w:t>
      </w:r>
      <w:r w:rsidR="00CF2235">
        <w:rPr>
          <w:rFonts w:ascii="Arial" w:hAnsi="Arial" w:cs="Arial"/>
          <w:sz w:val="28"/>
          <w:szCs w:val="28"/>
          <w:lang w:val="en-US"/>
        </w:rPr>
        <w:t xml:space="preserve"> </w:t>
      </w:r>
      <w:r w:rsidR="00FD6F29">
        <w:rPr>
          <w:rFonts w:ascii="Arial" w:hAnsi="Arial" w:cs="Arial"/>
          <w:sz w:val="28"/>
          <w:szCs w:val="28"/>
          <w:lang w:val="en-US"/>
        </w:rPr>
        <w:t>measure</w:t>
      </w:r>
      <w:r w:rsidR="00CF2235">
        <w:rPr>
          <w:rFonts w:ascii="Arial" w:hAnsi="Arial" w:cs="Arial"/>
          <w:sz w:val="28"/>
          <w:szCs w:val="28"/>
          <w:lang w:val="en-US"/>
        </w:rPr>
        <w:t>s</w:t>
      </w:r>
      <w:r w:rsidR="00FD6F29">
        <w:rPr>
          <w:rFonts w:ascii="Arial" w:hAnsi="Arial" w:cs="Arial"/>
          <w:sz w:val="28"/>
          <w:szCs w:val="28"/>
          <w:lang w:val="en-US"/>
        </w:rPr>
        <w:t xml:space="preserve"> by which a settlor or testator is capable of bypassing the formality demands </w:t>
      </w:r>
      <w:r w:rsidR="00CF2235">
        <w:rPr>
          <w:rFonts w:ascii="Arial" w:hAnsi="Arial" w:cs="Arial"/>
          <w:sz w:val="28"/>
          <w:szCs w:val="28"/>
          <w:lang w:val="en-US"/>
        </w:rPr>
        <w:t>written</w:t>
      </w:r>
      <w:r w:rsidR="00FD6F29">
        <w:rPr>
          <w:rFonts w:ascii="Arial" w:hAnsi="Arial" w:cs="Arial"/>
          <w:sz w:val="28"/>
          <w:szCs w:val="28"/>
          <w:lang w:val="en-US"/>
        </w:rPr>
        <w:t xml:space="preserve"> down in the Wills Act 1837 (Chung, 2018). </w:t>
      </w:r>
      <w:r w:rsidR="00C24774">
        <w:rPr>
          <w:rFonts w:ascii="Arial" w:hAnsi="Arial" w:cs="Arial"/>
          <w:sz w:val="28"/>
          <w:szCs w:val="28"/>
          <w:lang w:val="en-US"/>
        </w:rPr>
        <w:t>Consequently, t</w:t>
      </w:r>
      <w:r w:rsidR="000A62D3">
        <w:rPr>
          <w:rFonts w:ascii="Arial" w:hAnsi="Arial" w:cs="Arial"/>
          <w:sz w:val="28"/>
          <w:szCs w:val="28"/>
          <w:lang w:val="en-US"/>
        </w:rPr>
        <w:t xml:space="preserve">he fundamental theory of forming a secret trust is that it operates outside the will and </w:t>
      </w:r>
      <w:r w:rsidR="00CF2235">
        <w:rPr>
          <w:rFonts w:ascii="Arial" w:hAnsi="Arial" w:cs="Arial"/>
          <w:sz w:val="28"/>
          <w:szCs w:val="28"/>
          <w:lang w:val="en-US"/>
        </w:rPr>
        <w:t>also</w:t>
      </w:r>
      <w:r w:rsidR="000A62D3">
        <w:rPr>
          <w:rFonts w:ascii="Arial" w:hAnsi="Arial" w:cs="Arial"/>
          <w:sz w:val="28"/>
          <w:szCs w:val="28"/>
          <w:lang w:val="en-US"/>
        </w:rPr>
        <w:t xml:space="preserve"> </w:t>
      </w:r>
      <w:r w:rsidR="00CF2235">
        <w:rPr>
          <w:rFonts w:ascii="Arial" w:hAnsi="Arial" w:cs="Arial"/>
          <w:sz w:val="28"/>
          <w:szCs w:val="28"/>
          <w:lang w:val="en-US"/>
        </w:rPr>
        <w:t xml:space="preserve">that </w:t>
      </w:r>
      <w:r w:rsidR="000A62D3">
        <w:rPr>
          <w:rFonts w:ascii="Arial" w:hAnsi="Arial" w:cs="Arial"/>
          <w:sz w:val="28"/>
          <w:szCs w:val="28"/>
          <w:lang w:val="en-US"/>
        </w:rPr>
        <w:t xml:space="preserve">the wills act has nothing to do with it </w:t>
      </w:r>
      <w:r w:rsidR="00BD1DA4">
        <w:rPr>
          <w:rFonts w:ascii="Arial" w:hAnsi="Arial" w:cs="Arial"/>
          <w:sz w:val="28"/>
          <w:szCs w:val="28"/>
          <w:lang w:val="en-US"/>
        </w:rPr>
        <w:t>as expressed</w:t>
      </w:r>
      <w:r w:rsidR="000A62D3">
        <w:rPr>
          <w:rFonts w:ascii="Arial" w:hAnsi="Arial" w:cs="Arial"/>
          <w:sz w:val="28"/>
          <w:szCs w:val="28"/>
          <w:lang w:val="en-US"/>
        </w:rPr>
        <w:t xml:space="preserve"> by the court in the case of </w:t>
      </w:r>
      <w:r w:rsidR="000A62D3">
        <w:rPr>
          <w:rFonts w:ascii="Arial" w:hAnsi="Arial" w:cs="Arial"/>
          <w:i/>
          <w:iCs/>
          <w:sz w:val="28"/>
          <w:szCs w:val="28"/>
          <w:lang w:val="en-US"/>
        </w:rPr>
        <w:t xml:space="preserve">‘Re Young’ </w:t>
      </w:r>
      <w:r w:rsidR="000A62D3">
        <w:rPr>
          <w:rFonts w:ascii="Arial" w:hAnsi="Arial" w:cs="Arial"/>
          <w:sz w:val="28"/>
          <w:szCs w:val="28"/>
          <w:lang w:val="en-US"/>
        </w:rPr>
        <w:t>(1951).</w:t>
      </w:r>
      <w:r w:rsidR="00BD1DA4">
        <w:rPr>
          <w:rFonts w:ascii="Arial" w:hAnsi="Arial" w:cs="Arial"/>
          <w:sz w:val="28"/>
          <w:szCs w:val="28"/>
          <w:lang w:val="en-US"/>
        </w:rPr>
        <w:t xml:space="preserve"> Moreover, secret trusts are</w:t>
      </w:r>
      <w:r w:rsidR="00FD6F29">
        <w:rPr>
          <w:rFonts w:ascii="Arial" w:hAnsi="Arial" w:cs="Arial"/>
          <w:sz w:val="28"/>
          <w:szCs w:val="28"/>
          <w:lang w:val="en-US"/>
        </w:rPr>
        <w:t xml:space="preserve"> </w:t>
      </w:r>
      <w:r w:rsidR="00BD1DA4">
        <w:rPr>
          <w:rFonts w:ascii="Arial" w:hAnsi="Arial" w:cs="Arial"/>
          <w:sz w:val="28"/>
          <w:szCs w:val="28"/>
          <w:lang w:val="en-US"/>
        </w:rPr>
        <w:t xml:space="preserve">recognized as operating dehors (outside) the </w:t>
      </w:r>
      <w:r w:rsidR="00CF2235">
        <w:rPr>
          <w:rFonts w:ascii="Arial" w:hAnsi="Arial" w:cs="Arial"/>
          <w:sz w:val="28"/>
          <w:szCs w:val="28"/>
          <w:lang w:val="en-US"/>
        </w:rPr>
        <w:t>W</w:t>
      </w:r>
      <w:r w:rsidR="00BD1DA4">
        <w:rPr>
          <w:rFonts w:ascii="Arial" w:hAnsi="Arial" w:cs="Arial"/>
          <w:sz w:val="28"/>
          <w:szCs w:val="28"/>
          <w:lang w:val="en-US"/>
        </w:rPr>
        <w:t xml:space="preserve">ill for the reason that </w:t>
      </w:r>
      <w:r w:rsidR="0085690B">
        <w:rPr>
          <w:rFonts w:ascii="Arial" w:hAnsi="Arial" w:cs="Arial"/>
          <w:sz w:val="28"/>
          <w:szCs w:val="28"/>
          <w:lang w:val="en-US"/>
        </w:rPr>
        <w:t>testators’</w:t>
      </w:r>
      <w:r w:rsidR="00BD1DA4">
        <w:rPr>
          <w:rFonts w:ascii="Arial" w:hAnsi="Arial" w:cs="Arial"/>
          <w:sz w:val="28"/>
          <w:szCs w:val="28"/>
          <w:lang w:val="en-US"/>
        </w:rPr>
        <w:t xml:space="preserve"> motives for creating a secret trust </w:t>
      </w:r>
      <w:r w:rsidR="00D03D76">
        <w:rPr>
          <w:rFonts w:ascii="Arial" w:hAnsi="Arial" w:cs="Arial"/>
          <w:sz w:val="28"/>
          <w:szCs w:val="28"/>
          <w:lang w:val="en-US"/>
        </w:rPr>
        <w:t>is</w:t>
      </w:r>
      <w:r w:rsidR="00BD1DA4">
        <w:rPr>
          <w:rFonts w:ascii="Arial" w:hAnsi="Arial" w:cs="Arial"/>
          <w:sz w:val="28"/>
          <w:szCs w:val="28"/>
          <w:lang w:val="en-US"/>
        </w:rPr>
        <w:t xml:space="preserve"> typically to </w:t>
      </w:r>
      <w:r w:rsidR="00BD1DA4">
        <w:rPr>
          <w:rFonts w:ascii="Arial" w:hAnsi="Arial" w:cs="Arial"/>
          <w:sz w:val="28"/>
          <w:szCs w:val="28"/>
          <w:lang w:val="en-US"/>
        </w:rPr>
        <w:lastRenderedPageBreak/>
        <w:t>provide a gift to an illegitimate child or a mistress for instance</w:t>
      </w:r>
      <w:r w:rsidR="0085690B">
        <w:rPr>
          <w:rFonts w:ascii="Arial" w:hAnsi="Arial" w:cs="Arial"/>
          <w:sz w:val="28"/>
          <w:szCs w:val="28"/>
          <w:lang w:val="en-US"/>
        </w:rPr>
        <w:t xml:space="preserve">, so the appearance of any trustee or beneficiary on a document will defeat the aim of keeping the identity of the beneficiary outside the </w:t>
      </w:r>
      <w:r w:rsidR="00CF2235">
        <w:rPr>
          <w:rFonts w:ascii="Arial" w:hAnsi="Arial" w:cs="Arial"/>
          <w:sz w:val="28"/>
          <w:szCs w:val="28"/>
          <w:lang w:val="en-US"/>
        </w:rPr>
        <w:t>W</w:t>
      </w:r>
      <w:r w:rsidR="0085690B">
        <w:rPr>
          <w:rFonts w:ascii="Arial" w:hAnsi="Arial" w:cs="Arial"/>
          <w:sz w:val="28"/>
          <w:szCs w:val="28"/>
          <w:lang w:val="en-US"/>
        </w:rPr>
        <w:t>ill (</w:t>
      </w:r>
      <w:proofErr w:type="spellStart"/>
      <w:r w:rsidR="0085690B">
        <w:rPr>
          <w:rFonts w:ascii="Arial" w:hAnsi="Arial" w:cs="Arial"/>
          <w:sz w:val="28"/>
          <w:szCs w:val="28"/>
          <w:lang w:val="en-US"/>
        </w:rPr>
        <w:t>Bandali</w:t>
      </w:r>
      <w:proofErr w:type="spellEnd"/>
      <w:r w:rsidR="0085690B">
        <w:rPr>
          <w:rFonts w:ascii="Arial" w:hAnsi="Arial" w:cs="Arial"/>
          <w:sz w:val="28"/>
          <w:szCs w:val="28"/>
          <w:lang w:val="en-US"/>
        </w:rPr>
        <w:t xml:space="preserve">, 1973, p. 211). </w:t>
      </w:r>
      <w:r w:rsidR="00992ED4">
        <w:rPr>
          <w:rFonts w:ascii="Arial" w:hAnsi="Arial" w:cs="Arial"/>
          <w:sz w:val="28"/>
          <w:szCs w:val="28"/>
          <w:lang w:val="en-US"/>
        </w:rPr>
        <w:t>Furthermore,</w:t>
      </w:r>
      <w:r w:rsidR="00992ED4" w:rsidRPr="00992ED4">
        <w:rPr>
          <w:rFonts w:ascii="Arial" w:hAnsi="Arial" w:cs="Arial"/>
          <w:sz w:val="28"/>
          <w:szCs w:val="28"/>
          <w:lang w:val="en-US"/>
        </w:rPr>
        <w:t xml:space="preserve"> </w:t>
      </w:r>
      <w:r w:rsidR="00992ED4">
        <w:rPr>
          <w:rFonts w:ascii="Arial" w:hAnsi="Arial" w:cs="Arial"/>
          <w:sz w:val="28"/>
          <w:szCs w:val="28"/>
          <w:lang w:val="en-US"/>
        </w:rPr>
        <w:t>the foundation of the doctrine of secret trusts is the duty imposed on the conscience of the primary trustee i</w:t>
      </w:r>
      <w:r w:rsidR="00C24774">
        <w:rPr>
          <w:rFonts w:ascii="Arial" w:hAnsi="Arial" w:cs="Arial"/>
          <w:sz w:val="28"/>
          <w:szCs w:val="28"/>
          <w:lang w:val="en-US"/>
        </w:rPr>
        <w:t>n the same way that the Wills act operates on the intention of the settlor</w:t>
      </w:r>
      <w:r w:rsidR="00992ED4">
        <w:rPr>
          <w:rFonts w:ascii="Arial" w:hAnsi="Arial" w:cs="Arial"/>
          <w:sz w:val="28"/>
          <w:szCs w:val="28"/>
          <w:lang w:val="en-US"/>
        </w:rPr>
        <w:t xml:space="preserve"> (</w:t>
      </w:r>
      <w:proofErr w:type="spellStart"/>
      <w:r w:rsidR="00992ED4">
        <w:rPr>
          <w:rFonts w:ascii="Arial" w:hAnsi="Arial" w:cs="Arial"/>
          <w:sz w:val="28"/>
          <w:szCs w:val="28"/>
          <w:lang w:val="en-US"/>
        </w:rPr>
        <w:t>Bandali</w:t>
      </w:r>
      <w:proofErr w:type="spellEnd"/>
      <w:r w:rsidR="00992ED4">
        <w:rPr>
          <w:rFonts w:ascii="Arial" w:hAnsi="Arial" w:cs="Arial"/>
          <w:sz w:val="28"/>
          <w:szCs w:val="28"/>
          <w:lang w:val="en-US"/>
        </w:rPr>
        <w:t xml:space="preserve">, 1973, p. 211). </w:t>
      </w:r>
      <w:r w:rsidR="0084667C">
        <w:rPr>
          <w:rFonts w:ascii="Arial" w:hAnsi="Arial" w:cs="Arial"/>
          <w:sz w:val="28"/>
          <w:szCs w:val="28"/>
          <w:lang w:val="en-US"/>
        </w:rPr>
        <w:t>Importantly, s</w:t>
      </w:r>
      <w:r w:rsidR="00992ED4">
        <w:rPr>
          <w:rFonts w:ascii="Arial" w:hAnsi="Arial" w:cs="Arial"/>
          <w:sz w:val="28"/>
          <w:szCs w:val="28"/>
          <w:lang w:val="en-US"/>
        </w:rPr>
        <w:t xml:space="preserve">ecret trust binds property </w:t>
      </w:r>
      <w:r w:rsidR="0084667C">
        <w:rPr>
          <w:rFonts w:ascii="Arial" w:hAnsi="Arial" w:cs="Arial"/>
          <w:sz w:val="28"/>
          <w:szCs w:val="28"/>
          <w:lang w:val="en-US"/>
        </w:rPr>
        <w:t xml:space="preserve">passed under a </w:t>
      </w:r>
      <w:r w:rsidR="00CF2235">
        <w:rPr>
          <w:rFonts w:ascii="Arial" w:hAnsi="Arial" w:cs="Arial"/>
          <w:sz w:val="28"/>
          <w:szCs w:val="28"/>
          <w:lang w:val="en-US"/>
        </w:rPr>
        <w:t>W</w:t>
      </w:r>
      <w:r w:rsidR="0084667C">
        <w:rPr>
          <w:rFonts w:ascii="Arial" w:hAnsi="Arial" w:cs="Arial"/>
          <w:sz w:val="28"/>
          <w:szCs w:val="28"/>
          <w:lang w:val="en-US"/>
        </w:rPr>
        <w:t>ill but, this concept does not abide with the formalities needed by the Wills Act (Watt, 2021, p. 59)</w:t>
      </w:r>
      <w:r w:rsidR="0016428C">
        <w:rPr>
          <w:rFonts w:ascii="Arial" w:hAnsi="Arial" w:cs="Arial"/>
          <w:sz w:val="28"/>
          <w:szCs w:val="28"/>
          <w:lang w:val="en-US"/>
        </w:rPr>
        <w:t xml:space="preserve"> as these trusts are accepted when the testator is still alive and it binds the person to whom the property has been passed over to</w:t>
      </w:r>
      <w:r w:rsidR="0084667C">
        <w:rPr>
          <w:rFonts w:ascii="Arial" w:hAnsi="Arial" w:cs="Arial"/>
          <w:sz w:val="28"/>
          <w:szCs w:val="28"/>
          <w:lang w:val="en-US"/>
        </w:rPr>
        <w:t xml:space="preserve">. </w:t>
      </w:r>
    </w:p>
    <w:p w14:paraId="7DB52621" w14:textId="6A3E0907" w:rsidR="00D03919" w:rsidRPr="00CF2235" w:rsidRDefault="00BE05E9" w:rsidP="00EB38F6">
      <w:pPr>
        <w:spacing w:line="480" w:lineRule="auto"/>
        <w:rPr>
          <w:rFonts w:ascii="Arial" w:hAnsi="Arial" w:cs="Arial"/>
          <w:sz w:val="28"/>
          <w:szCs w:val="28"/>
          <w:lang w:val="en-US"/>
        </w:rPr>
      </w:pPr>
      <w:r>
        <w:rPr>
          <w:rFonts w:ascii="Arial" w:hAnsi="Arial" w:cs="Arial"/>
          <w:sz w:val="28"/>
          <w:szCs w:val="28"/>
          <w:lang w:val="en-US"/>
        </w:rPr>
        <w:tab/>
        <w:t xml:space="preserve">It should be noted, that the testator who wants to create a trust over his/her property after their death needs to express their intention along with the terms of the trust in their </w:t>
      </w:r>
      <w:r w:rsidR="00CF2235">
        <w:rPr>
          <w:rFonts w:ascii="Arial" w:hAnsi="Arial" w:cs="Arial"/>
          <w:sz w:val="28"/>
          <w:szCs w:val="28"/>
          <w:lang w:val="en-US"/>
        </w:rPr>
        <w:t>W</w:t>
      </w:r>
      <w:r>
        <w:rPr>
          <w:rFonts w:ascii="Arial" w:hAnsi="Arial" w:cs="Arial"/>
          <w:sz w:val="28"/>
          <w:szCs w:val="28"/>
          <w:lang w:val="en-US"/>
        </w:rPr>
        <w:t>ill</w:t>
      </w:r>
      <w:r w:rsidR="008E0DA9">
        <w:rPr>
          <w:rFonts w:ascii="Arial" w:hAnsi="Arial" w:cs="Arial"/>
          <w:sz w:val="28"/>
          <w:szCs w:val="28"/>
          <w:lang w:val="en-US"/>
        </w:rPr>
        <w:t xml:space="preserve">, however, equity will nonetheless force a responsibility upon the party receiving the property under the </w:t>
      </w:r>
      <w:r w:rsidR="00CF2235">
        <w:rPr>
          <w:rFonts w:ascii="Arial" w:hAnsi="Arial" w:cs="Arial"/>
          <w:sz w:val="28"/>
          <w:szCs w:val="28"/>
          <w:lang w:val="en-US"/>
        </w:rPr>
        <w:t>W</w:t>
      </w:r>
      <w:r w:rsidR="008E0DA9">
        <w:rPr>
          <w:rFonts w:ascii="Arial" w:hAnsi="Arial" w:cs="Arial"/>
          <w:sz w:val="28"/>
          <w:szCs w:val="28"/>
          <w:lang w:val="en-US"/>
        </w:rPr>
        <w:t xml:space="preserve">ill to execute the intention of the settlor even where the testator has not complied fully with the formalities required in the Wills Act 1837 (Millett, 2012, p. </w:t>
      </w:r>
      <w:r w:rsidR="00C6038B">
        <w:rPr>
          <w:rFonts w:ascii="Arial" w:hAnsi="Arial" w:cs="Arial"/>
          <w:sz w:val="28"/>
          <w:szCs w:val="28"/>
          <w:lang w:val="en-US"/>
        </w:rPr>
        <w:t>586)</w:t>
      </w:r>
      <w:r w:rsidR="00CF2235">
        <w:rPr>
          <w:rFonts w:ascii="Arial" w:hAnsi="Arial" w:cs="Arial"/>
          <w:sz w:val="28"/>
          <w:szCs w:val="28"/>
          <w:lang w:val="en-US"/>
        </w:rPr>
        <w:t xml:space="preserve">. </w:t>
      </w:r>
      <w:r w:rsidR="002E7271">
        <w:rPr>
          <w:rFonts w:ascii="Arial" w:hAnsi="Arial" w:cs="Arial"/>
          <w:sz w:val="28"/>
          <w:szCs w:val="28"/>
          <w:lang w:val="en-US"/>
        </w:rPr>
        <w:t xml:space="preserve">Additionally, along with the </w:t>
      </w:r>
      <w:proofErr w:type="spellStart"/>
      <w:r w:rsidR="002E7271">
        <w:rPr>
          <w:rFonts w:ascii="Arial" w:hAnsi="Arial" w:cs="Arial"/>
          <w:sz w:val="28"/>
          <w:szCs w:val="28"/>
          <w:lang w:val="en-US"/>
        </w:rPr>
        <w:t>dehor</w:t>
      </w:r>
      <w:proofErr w:type="spellEnd"/>
      <w:r w:rsidR="002E7271">
        <w:rPr>
          <w:rFonts w:ascii="Arial" w:hAnsi="Arial" w:cs="Arial"/>
          <w:sz w:val="28"/>
          <w:szCs w:val="28"/>
          <w:lang w:val="en-US"/>
        </w:rPr>
        <w:t xml:space="preserve"> (outside) the </w:t>
      </w:r>
      <w:r w:rsidR="00CF2235">
        <w:rPr>
          <w:rFonts w:ascii="Arial" w:hAnsi="Arial" w:cs="Arial"/>
          <w:sz w:val="28"/>
          <w:szCs w:val="28"/>
          <w:lang w:val="en-US"/>
        </w:rPr>
        <w:t>W</w:t>
      </w:r>
      <w:r w:rsidR="002E7271">
        <w:rPr>
          <w:rFonts w:ascii="Arial" w:hAnsi="Arial" w:cs="Arial"/>
          <w:sz w:val="28"/>
          <w:szCs w:val="28"/>
          <w:lang w:val="en-US"/>
        </w:rPr>
        <w:t xml:space="preserve">ill theory, the intention </w:t>
      </w:r>
      <w:r w:rsidR="00902BDE">
        <w:rPr>
          <w:rFonts w:ascii="Arial" w:hAnsi="Arial" w:cs="Arial"/>
          <w:sz w:val="28"/>
          <w:szCs w:val="28"/>
          <w:lang w:val="en-US"/>
        </w:rPr>
        <w:t>to</w:t>
      </w:r>
      <w:r w:rsidR="002E7271">
        <w:rPr>
          <w:rFonts w:ascii="Arial" w:hAnsi="Arial" w:cs="Arial"/>
          <w:sz w:val="28"/>
          <w:szCs w:val="28"/>
          <w:lang w:val="en-US"/>
        </w:rPr>
        <w:t xml:space="preserve"> prevent fraud by the purported trustee is</w:t>
      </w:r>
      <w:r w:rsidR="00902BDE">
        <w:rPr>
          <w:rFonts w:ascii="Arial" w:hAnsi="Arial" w:cs="Arial"/>
          <w:sz w:val="28"/>
          <w:szCs w:val="28"/>
          <w:lang w:val="en-US"/>
        </w:rPr>
        <w:t xml:space="preserve"> another</w:t>
      </w:r>
      <w:r w:rsidR="002E7271">
        <w:rPr>
          <w:rFonts w:ascii="Arial" w:hAnsi="Arial" w:cs="Arial"/>
          <w:sz w:val="28"/>
          <w:szCs w:val="28"/>
          <w:lang w:val="en-US"/>
        </w:rPr>
        <w:t xml:space="preserve"> aim of the equitable jurisdiction</w:t>
      </w:r>
      <w:r w:rsidR="00902BDE">
        <w:rPr>
          <w:rFonts w:ascii="Arial" w:hAnsi="Arial" w:cs="Arial"/>
          <w:sz w:val="28"/>
          <w:szCs w:val="28"/>
          <w:lang w:val="en-US"/>
        </w:rPr>
        <w:t xml:space="preserve"> and justification</w:t>
      </w:r>
      <w:r w:rsidR="002E7271">
        <w:rPr>
          <w:rFonts w:ascii="Arial" w:hAnsi="Arial" w:cs="Arial"/>
          <w:sz w:val="28"/>
          <w:szCs w:val="28"/>
          <w:lang w:val="en-US"/>
        </w:rPr>
        <w:t xml:space="preserve"> to enforce a secret trust as illustrated in the case of </w:t>
      </w:r>
      <w:r w:rsidR="002E7271">
        <w:rPr>
          <w:rFonts w:ascii="Arial" w:hAnsi="Arial" w:cs="Arial"/>
          <w:i/>
          <w:iCs/>
          <w:sz w:val="28"/>
          <w:szCs w:val="28"/>
          <w:lang w:val="en-US"/>
        </w:rPr>
        <w:t xml:space="preserve">‘McCormick v Grogan’ </w:t>
      </w:r>
      <w:r w:rsidR="002E7271">
        <w:rPr>
          <w:rFonts w:ascii="Arial" w:hAnsi="Arial" w:cs="Arial"/>
          <w:sz w:val="28"/>
          <w:szCs w:val="28"/>
          <w:lang w:val="en-US"/>
        </w:rPr>
        <w:t>(1869).</w:t>
      </w:r>
      <w:r w:rsidR="00433138">
        <w:rPr>
          <w:rFonts w:ascii="Arial" w:hAnsi="Arial" w:cs="Arial"/>
          <w:sz w:val="28"/>
          <w:szCs w:val="28"/>
          <w:lang w:val="en-US"/>
        </w:rPr>
        <w:t xml:space="preserve"> </w:t>
      </w:r>
      <w:r w:rsidR="00433138" w:rsidRPr="00A61947">
        <w:rPr>
          <w:rFonts w:ascii="Arial" w:hAnsi="Arial" w:cs="Arial"/>
          <w:color w:val="000000" w:themeColor="text1"/>
          <w:sz w:val="28"/>
          <w:szCs w:val="28"/>
          <w:lang w:val="en-US"/>
        </w:rPr>
        <w:t xml:space="preserve">In the case of </w:t>
      </w:r>
      <w:r w:rsidR="00433138" w:rsidRPr="00A61947">
        <w:rPr>
          <w:rFonts w:ascii="Arial" w:hAnsi="Arial" w:cs="Arial"/>
          <w:i/>
          <w:iCs/>
          <w:color w:val="000000" w:themeColor="text1"/>
          <w:sz w:val="28"/>
          <w:szCs w:val="28"/>
          <w:lang w:val="en-US"/>
        </w:rPr>
        <w:t xml:space="preserve">McCormick v </w:t>
      </w:r>
      <w:r w:rsidR="00433138" w:rsidRPr="00A61947">
        <w:rPr>
          <w:rFonts w:ascii="Arial" w:hAnsi="Arial" w:cs="Arial"/>
          <w:i/>
          <w:iCs/>
          <w:color w:val="000000" w:themeColor="text1"/>
          <w:sz w:val="28"/>
          <w:szCs w:val="28"/>
          <w:lang w:val="en-US"/>
        </w:rPr>
        <w:lastRenderedPageBreak/>
        <w:t>Grogan’</w:t>
      </w:r>
      <w:r w:rsidR="00433138" w:rsidRPr="00A61947">
        <w:rPr>
          <w:rFonts w:ascii="Arial" w:hAnsi="Arial" w:cs="Arial"/>
          <w:color w:val="000000" w:themeColor="text1"/>
          <w:sz w:val="28"/>
          <w:szCs w:val="28"/>
          <w:lang w:val="en-US"/>
        </w:rPr>
        <w:t xml:space="preserve"> (</w:t>
      </w:r>
      <w:r w:rsidR="000D7538" w:rsidRPr="00A61947">
        <w:rPr>
          <w:rFonts w:ascii="Arial" w:hAnsi="Arial" w:cs="Arial"/>
          <w:color w:val="000000" w:themeColor="text1"/>
          <w:sz w:val="28"/>
          <w:szCs w:val="28"/>
          <w:lang w:val="en-US"/>
        </w:rPr>
        <w:t>1869) the court reached an agreement about whether fully secret trust should comply with the Wills Act by clarifying that even though secret trust have some characteristics of a testamentary deposition, it is essentially a inter vivos (known as ‘lifetime’ trust) as it is accepted during the testator’s lifetime, and so</w:t>
      </w:r>
      <w:r w:rsidR="00D03919">
        <w:rPr>
          <w:rFonts w:ascii="Arial" w:hAnsi="Arial" w:cs="Arial"/>
          <w:color w:val="000000" w:themeColor="text1"/>
          <w:sz w:val="28"/>
          <w:szCs w:val="28"/>
          <w:lang w:val="en-US"/>
        </w:rPr>
        <w:t xml:space="preserve"> therefore</w:t>
      </w:r>
      <w:r w:rsidR="000D7538" w:rsidRPr="00A61947">
        <w:rPr>
          <w:rFonts w:ascii="Arial" w:hAnsi="Arial" w:cs="Arial"/>
          <w:color w:val="000000" w:themeColor="text1"/>
          <w:sz w:val="28"/>
          <w:szCs w:val="28"/>
          <w:lang w:val="en-US"/>
        </w:rPr>
        <w:t xml:space="preserve"> works outside of the Wills Act 1837. </w:t>
      </w:r>
    </w:p>
    <w:p w14:paraId="66262BC3" w14:textId="1FB511C2" w:rsidR="00C0648B" w:rsidRDefault="00A61947" w:rsidP="006F5333">
      <w:pPr>
        <w:spacing w:line="480" w:lineRule="auto"/>
        <w:ind w:firstLine="720"/>
        <w:rPr>
          <w:rFonts w:ascii="Arial" w:hAnsi="Arial" w:cs="Arial"/>
          <w:sz w:val="28"/>
          <w:szCs w:val="28"/>
          <w:lang w:val="en-US"/>
        </w:rPr>
      </w:pPr>
      <w:r w:rsidRPr="00A61947">
        <w:rPr>
          <w:rFonts w:ascii="Arial" w:hAnsi="Arial" w:cs="Arial"/>
          <w:color w:val="000000" w:themeColor="text1"/>
          <w:sz w:val="28"/>
          <w:szCs w:val="28"/>
          <w:lang w:val="en-US"/>
        </w:rPr>
        <w:t xml:space="preserve">Furthermore, </w:t>
      </w:r>
      <w:r>
        <w:rPr>
          <w:rFonts w:ascii="Arial" w:hAnsi="Arial" w:cs="Arial"/>
          <w:sz w:val="28"/>
          <w:szCs w:val="28"/>
          <w:lang w:val="en-US"/>
        </w:rPr>
        <w:t>there</w:t>
      </w:r>
      <w:r w:rsidR="006F29DF">
        <w:rPr>
          <w:rFonts w:ascii="Arial" w:hAnsi="Arial" w:cs="Arial"/>
          <w:sz w:val="28"/>
          <w:szCs w:val="28"/>
          <w:lang w:val="en-US"/>
        </w:rPr>
        <w:t xml:space="preserve"> are two types</w:t>
      </w:r>
      <w:r>
        <w:rPr>
          <w:rFonts w:ascii="Arial" w:hAnsi="Arial" w:cs="Arial"/>
          <w:sz w:val="28"/>
          <w:szCs w:val="28"/>
          <w:lang w:val="en-US"/>
        </w:rPr>
        <w:t xml:space="preserve"> of</w:t>
      </w:r>
      <w:r w:rsidR="006F29DF">
        <w:rPr>
          <w:rFonts w:ascii="Arial" w:hAnsi="Arial" w:cs="Arial"/>
          <w:sz w:val="28"/>
          <w:szCs w:val="28"/>
          <w:lang w:val="en-US"/>
        </w:rPr>
        <w:t xml:space="preserve"> secret trust: fully secret trusts and half-secret trust (Myerson, 2019). </w:t>
      </w:r>
      <w:r w:rsidR="008806E7">
        <w:rPr>
          <w:rFonts w:ascii="Arial" w:hAnsi="Arial" w:cs="Arial"/>
          <w:sz w:val="28"/>
          <w:szCs w:val="28"/>
          <w:lang w:val="en-US"/>
        </w:rPr>
        <w:t xml:space="preserve">The difference between fully secret trust and half-secret is that a fully secret trust arises where the existence of the trust and its terms are both absent in the </w:t>
      </w:r>
      <w:r w:rsidR="00CF2235">
        <w:rPr>
          <w:rFonts w:ascii="Arial" w:hAnsi="Arial" w:cs="Arial"/>
          <w:sz w:val="28"/>
          <w:szCs w:val="28"/>
          <w:lang w:val="en-US"/>
        </w:rPr>
        <w:t>W</w:t>
      </w:r>
      <w:r w:rsidR="008806E7">
        <w:rPr>
          <w:rFonts w:ascii="Arial" w:hAnsi="Arial" w:cs="Arial"/>
          <w:sz w:val="28"/>
          <w:szCs w:val="28"/>
          <w:lang w:val="en-US"/>
        </w:rPr>
        <w:t>ill</w:t>
      </w:r>
      <w:r w:rsidR="006F5333">
        <w:rPr>
          <w:rFonts w:ascii="Arial" w:hAnsi="Arial" w:cs="Arial"/>
          <w:sz w:val="28"/>
          <w:szCs w:val="28"/>
          <w:lang w:val="en-US"/>
        </w:rPr>
        <w:t>,</w:t>
      </w:r>
      <w:r w:rsidR="008806E7">
        <w:rPr>
          <w:rFonts w:ascii="Arial" w:hAnsi="Arial" w:cs="Arial"/>
          <w:sz w:val="28"/>
          <w:szCs w:val="28"/>
          <w:lang w:val="en-US"/>
        </w:rPr>
        <w:t xml:space="preserve"> whereas a half-secret trust occurs where the trusteeship is visible in the </w:t>
      </w:r>
      <w:r>
        <w:rPr>
          <w:rFonts w:ascii="Arial" w:hAnsi="Arial" w:cs="Arial"/>
          <w:sz w:val="28"/>
          <w:szCs w:val="28"/>
          <w:lang w:val="en-US"/>
        </w:rPr>
        <w:t>W</w:t>
      </w:r>
      <w:r w:rsidR="008806E7">
        <w:rPr>
          <w:rFonts w:ascii="Arial" w:hAnsi="Arial" w:cs="Arial"/>
          <w:sz w:val="28"/>
          <w:szCs w:val="28"/>
          <w:lang w:val="en-US"/>
        </w:rPr>
        <w:t>ill but the terms and beneficiaries are not mentioned (</w:t>
      </w:r>
      <w:proofErr w:type="spellStart"/>
      <w:r w:rsidR="008806E7">
        <w:rPr>
          <w:rFonts w:ascii="Arial" w:hAnsi="Arial" w:cs="Arial"/>
          <w:sz w:val="28"/>
          <w:szCs w:val="28"/>
          <w:lang w:val="en-US"/>
        </w:rPr>
        <w:t>Lehavi</w:t>
      </w:r>
      <w:proofErr w:type="spellEnd"/>
      <w:r w:rsidR="008806E7">
        <w:rPr>
          <w:rFonts w:ascii="Arial" w:hAnsi="Arial" w:cs="Arial"/>
          <w:sz w:val="28"/>
          <w:szCs w:val="28"/>
          <w:lang w:val="en-US"/>
        </w:rPr>
        <w:t>, 2016, p. 396).</w:t>
      </w:r>
      <w:r w:rsidR="00B949E4">
        <w:rPr>
          <w:rFonts w:ascii="Arial" w:hAnsi="Arial" w:cs="Arial"/>
          <w:sz w:val="28"/>
          <w:szCs w:val="28"/>
          <w:lang w:val="en-US"/>
        </w:rPr>
        <w:t xml:space="preserve"> Moreover, for the court to consider a</w:t>
      </w:r>
      <w:r w:rsidR="00BA6868">
        <w:rPr>
          <w:rFonts w:ascii="Arial" w:hAnsi="Arial" w:cs="Arial"/>
          <w:sz w:val="28"/>
          <w:szCs w:val="28"/>
          <w:lang w:val="en-US"/>
        </w:rPr>
        <w:t xml:space="preserve"> fully secret trust</w:t>
      </w:r>
      <w:r w:rsidR="00B949E4">
        <w:rPr>
          <w:rFonts w:ascii="Arial" w:hAnsi="Arial" w:cs="Arial"/>
          <w:sz w:val="28"/>
          <w:szCs w:val="28"/>
          <w:lang w:val="en-US"/>
        </w:rPr>
        <w:t xml:space="preserve"> valid, it is crucial that the</w:t>
      </w:r>
      <w:r w:rsidR="006F5333">
        <w:rPr>
          <w:rFonts w:ascii="Arial" w:hAnsi="Arial" w:cs="Arial"/>
          <w:sz w:val="28"/>
          <w:szCs w:val="28"/>
          <w:lang w:val="en-US"/>
        </w:rPr>
        <w:t xml:space="preserve"> </w:t>
      </w:r>
      <w:r w:rsidR="00B949E4">
        <w:rPr>
          <w:rFonts w:ascii="Arial" w:hAnsi="Arial" w:cs="Arial"/>
          <w:sz w:val="28"/>
          <w:szCs w:val="28"/>
          <w:lang w:val="en-US"/>
        </w:rPr>
        <w:t>communication of the secret trust satisfies the three certainties necessary for the creation of an express trust: 1) there must be certain intention to create a trust; 2) subject matter</w:t>
      </w:r>
      <w:r w:rsidR="00500A77">
        <w:rPr>
          <w:rFonts w:ascii="Arial" w:hAnsi="Arial" w:cs="Arial"/>
          <w:sz w:val="28"/>
          <w:szCs w:val="28"/>
          <w:lang w:val="en-US"/>
        </w:rPr>
        <w:t xml:space="preserve"> (property) of the trust must be certain; and 3) the objects (beneficiaries) must be certain (Rickett, </w:t>
      </w:r>
      <w:r w:rsidR="00BC0C7D">
        <w:rPr>
          <w:rFonts w:ascii="Arial" w:hAnsi="Arial" w:cs="Arial"/>
          <w:sz w:val="28"/>
          <w:szCs w:val="28"/>
          <w:lang w:val="en-US"/>
        </w:rPr>
        <w:t xml:space="preserve">1979, p. 261). </w:t>
      </w:r>
      <w:r w:rsidR="00F370E5">
        <w:rPr>
          <w:rFonts w:ascii="Arial" w:hAnsi="Arial" w:cs="Arial"/>
          <w:sz w:val="28"/>
          <w:szCs w:val="28"/>
          <w:lang w:val="en-US"/>
        </w:rPr>
        <w:t>In</w:t>
      </w:r>
      <w:r w:rsidR="001B4CCB">
        <w:rPr>
          <w:rFonts w:ascii="Arial" w:hAnsi="Arial" w:cs="Arial"/>
          <w:sz w:val="28"/>
          <w:szCs w:val="28"/>
          <w:lang w:val="en-US"/>
        </w:rPr>
        <w:t xml:space="preserve"> the case of</w:t>
      </w:r>
      <w:r w:rsidR="00F370E5">
        <w:rPr>
          <w:rFonts w:ascii="Arial" w:hAnsi="Arial" w:cs="Arial"/>
          <w:sz w:val="28"/>
          <w:szCs w:val="28"/>
          <w:lang w:val="en-US"/>
        </w:rPr>
        <w:t xml:space="preserve"> </w:t>
      </w:r>
      <w:r w:rsidR="00F370E5">
        <w:rPr>
          <w:rFonts w:ascii="Arial" w:hAnsi="Arial" w:cs="Arial"/>
          <w:i/>
          <w:iCs/>
          <w:sz w:val="28"/>
          <w:szCs w:val="28"/>
          <w:lang w:val="en-US"/>
        </w:rPr>
        <w:t xml:space="preserve">‘Re Boyes’ </w:t>
      </w:r>
      <w:r w:rsidR="00F370E5">
        <w:rPr>
          <w:rFonts w:ascii="Arial" w:hAnsi="Arial" w:cs="Arial"/>
          <w:sz w:val="28"/>
          <w:szCs w:val="28"/>
          <w:lang w:val="en-US"/>
        </w:rPr>
        <w:t>(1884)</w:t>
      </w:r>
      <w:r w:rsidR="001B4CCB">
        <w:rPr>
          <w:rFonts w:ascii="Arial" w:hAnsi="Arial" w:cs="Arial"/>
          <w:sz w:val="28"/>
          <w:szCs w:val="28"/>
          <w:lang w:val="en-US"/>
        </w:rPr>
        <w:t>, the court failed to justify the enforcement of a secret trust due to the uncertainty of objects for the trust;</w:t>
      </w:r>
      <w:r w:rsidR="002204AB">
        <w:rPr>
          <w:rFonts w:ascii="Arial" w:hAnsi="Arial" w:cs="Arial"/>
          <w:sz w:val="28"/>
          <w:szCs w:val="28"/>
          <w:lang w:val="en-US"/>
        </w:rPr>
        <w:t xml:space="preserve"> In addition, it can be observed in this case that communication of the objects will only be valid when it is done during the testator’s lifetime, so the</w:t>
      </w:r>
      <w:r w:rsidR="00CF5712">
        <w:rPr>
          <w:rFonts w:ascii="Arial" w:hAnsi="Arial" w:cs="Arial"/>
          <w:sz w:val="28"/>
          <w:szCs w:val="28"/>
          <w:lang w:val="en-US"/>
        </w:rPr>
        <w:t>refore, the</w:t>
      </w:r>
      <w:r w:rsidR="002204AB">
        <w:rPr>
          <w:rFonts w:ascii="Arial" w:hAnsi="Arial" w:cs="Arial"/>
          <w:sz w:val="28"/>
          <w:szCs w:val="28"/>
          <w:lang w:val="en-US"/>
        </w:rPr>
        <w:t xml:space="preserve"> Wills </w:t>
      </w:r>
      <w:r w:rsidR="002204AB">
        <w:rPr>
          <w:rFonts w:ascii="Arial" w:hAnsi="Arial" w:cs="Arial"/>
          <w:sz w:val="28"/>
          <w:szCs w:val="28"/>
          <w:lang w:val="en-US"/>
        </w:rPr>
        <w:lastRenderedPageBreak/>
        <w:t xml:space="preserve">Act cannot be avoided by </w:t>
      </w:r>
      <w:r w:rsidR="00CF5712">
        <w:rPr>
          <w:rFonts w:ascii="Arial" w:hAnsi="Arial" w:cs="Arial"/>
          <w:sz w:val="28"/>
          <w:szCs w:val="28"/>
          <w:lang w:val="en-US"/>
        </w:rPr>
        <w:t>declaring the</w:t>
      </w:r>
      <w:r w:rsidR="002204AB">
        <w:rPr>
          <w:rFonts w:ascii="Arial" w:hAnsi="Arial" w:cs="Arial"/>
          <w:sz w:val="28"/>
          <w:szCs w:val="28"/>
          <w:lang w:val="en-US"/>
        </w:rPr>
        <w:t xml:space="preserve"> discover</w:t>
      </w:r>
      <w:r w:rsidR="00CF5712">
        <w:rPr>
          <w:rFonts w:ascii="Arial" w:hAnsi="Arial" w:cs="Arial"/>
          <w:sz w:val="28"/>
          <w:szCs w:val="28"/>
          <w:lang w:val="en-US"/>
        </w:rPr>
        <w:t>y of</w:t>
      </w:r>
      <w:r w:rsidR="002204AB">
        <w:rPr>
          <w:rFonts w:ascii="Arial" w:hAnsi="Arial" w:cs="Arial"/>
          <w:sz w:val="28"/>
          <w:szCs w:val="28"/>
          <w:lang w:val="en-US"/>
        </w:rPr>
        <w:t xml:space="preserve"> the objects (beneficiaries) of the trust after the death of the testator.</w:t>
      </w:r>
      <w:r w:rsidR="00CF5712">
        <w:rPr>
          <w:rFonts w:ascii="Arial" w:hAnsi="Arial" w:cs="Arial"/>
          <w:sz w:val="28"/>
          <w:szCs w:val="28"/>
          <w:lang w:val="en-US"/>
        </w:rPr>
        <w:t xml:space="preserve"> However,</w:t>
      </w:r>
      <w:r w:rsidR="009F0454">
        <w:rPr>
          <w:rFonts w:ascii="Arial" w:hAnsi="Arial" w:cs="Arial"/>
          <w:sz w:val="28"/>
          <w:szCs w:val="28"/>
          <w:lang w:val="en-US"/>
        </w:rPr>
        <w:t xml:space="preserve"> </w:t>
      </w:r>
      <w:r w:rsidR="008C0552">
        <w:rPr>
          <w:rFonts w:ascii="Arial" w:hAnsi="Arial" w:cs="Arial"/>
          <w:sz w:val="28"/>
          <w:szCs w:val="28"/>
          <w:lang w:val="en-US"/>
        </w:rPr>
        <w:t xml:space="preserve">a trust can be validated and </w:t>
      </w:r>
      <w:r w:rsidR="009F0454">
        <w:rPr>
          <w:rFonts w:ascii="Arial" w:hAnsi="Arial" w:cs="Arial"/>
          <w:sz w:val="28"/>
          <w:szCs w:val="28"/>
          <w:lang w:val="en-US"/>
        </w:rPr>
        <w:t xml:space="preserve">the Wills Act can be circumvented in similar instances if the executor had received a sealed letter containing the objects of the trust during the settlor’s lifetime, but chose to read the objects of the trust after the testator’s death as expressed by Lord Write in the case of </w:t>
      </w:r>
      <w:r w:rsidR="009F0454">
        <w:rPr>
          <w:rFonts w:ascii="Arial" w:hAnsi="Arial" w:cs="Arial"/>
          <w:i/>
          <w:iCs/>
          <w:sz w:val="28"/>
          <w:szCs w:val="28"/>
          <w:lang w:val="en-US"/>
        </w:rPr>
        <w:t xml:space="preserve">‘Re Keen’ </w:t>
      </w:r>
      <w:r w:rsidR="009F0454">
        <w:rPr>
          <w:rFonts w:ascii="Arial" w:hAnsi="Arial" w:cs="Arial"/>
          <w:sz w:val="28"/>
          <w:szCs w:val="28"/>
          <w:lang w:val="en-US"/>
        </w:rPr>
        <w:t>(1937)</w:t>
      </w:r>
      <w:r w:rsidR="008C0552">
        <w:rPr>
          <w:rFonts w:ascii="Arial" w:hAnsi="Arial" w:cs="Arial"/>
          <w:sz w:val="28"/>
          <w:szCs w:val="28"/>
          <w:lang w:val="en-US"/>
        </w:rPr>
        <w:t xml:space="preserve">. The court justified the decision in </w:t>
      </w:r>
      <w:r w:rsidR="008C0552">
        <w:rPr>
          <w:rFonts w:ascii="Arial" w:hAnsi="Arial" w:cs="Arial"/>
          <w:i/>
          <w:iCs/>
          <w:sz w:val="28"/>
          <w:szCs w:val="28"/>
          <w:lang w:val="en-US"/>
        </w:rPr>
        <w:t xml:space="preserve">‘Re Keen’ </w:t>
      </w:r>
      <w:r w:rsidR="008C0552">
        <w:rPr>
          <w:rFonts w:ascii="Arial" w:hAnsi="Arial" w:cs="Arial"/>
          <w:sz w:val="28"/>
          <w:szCs w:val="28"/>
          <w:lang w:val="en-US"/>
        </w:rPr>
        <w:t>(1937</w:t>
      </w:r>
      <w:r w:rsidR="00C51DA8">
        <w:rPr>
          <w:rFonts w:ascii="Arial" w:hAnsi="Arial" w:cs="Arial"/>
          <w:sz w:val="28"/>
          <w:szCs w:val="28"/>
          <w:lang w:val="en-US"/>
        </w:rPr>
        <w:t>) to</w:t>
      </w:r>
      <w:r w:rsidR="008C0552">
        <w:rPr>
          <w:rFonts w:ascii="Arial" w:hAnsi="Arial" w:cs="Arial"/>
          <w:sz w:val="28"/>
          <w:szCs w:val="28"/>
          <w:lang w:val="en-US"/>
        </w:rPr>
        <w:t xml:space="preserve"> enforce a secret trust under these circumstances by expressing that a ship that is sailing under sealed orders is still sailing under orders even though the precise terms of the order will not be confirmed by the captain until later. </w:t>
      </w:r>
      <w:r w:rsidR="00A868F6">
        <w:rPr>
          <w:rFonts w:ascii="Arial" w:hAnsi="Arial" w:cs="Arial"/>
          <w:sz w:val="28"/>
          <w:szCs w:val="28"/>
          <w:lang w:val="en-US"/>
        </w:rPr>
        <w:t xml:space="preserve">Furthermore, </w:t>
      </w:r>
      <w:r w:rsidR="0041672C">
        <w:rPr>
          <w:rFonts w:ascii="Arial" w:hAnsi="Arial" w:cs="Arial"/>
          <w:sz w:val="28"/>
          <w:szCs w:val="28"/>
          <w:lang w:val="en-US"/>
        </w:rPr>
        <w:t>the problem with the enforcement of fully secret trusts is known to be about identifying exactly the terms of the trust including when it was constructed along with recognizing the testator’s intention</w:t>
      </w:r>
      <w:r w:rsidR="00196CDF">
        <w:rPr>
          <w:rFonts w:ascii="Arial" w:hAnsi="Arial" w:cs="Arial"/>
          <w:sz w:val="28"/>
          <w:szCs w:val="28"/>
          <w:lang w:val="en-US"/>
        </w:rPr>
        <w:t xml:space="preserve"> (White, 1939, p. 320)</w:t>
      </w:r>
      <w:r w:rsidR="0041672C">
        <w:rPr>
          <w:rFonts w:ascii="Arial" w:hAnsi="Arial" w:cs="Arial"/>
          <w:sz w:val="28"/>
          <w:szCs w:val="28"/>
          <w:lang w:val="en-US"/>
        </w:rPr>
        <w:t>.</w:t>
      </w:r>
      <w:r w:rsidR="00A6178A">
        <w:rPr>
          <w:rFonts w:ascii="Arial" w:hAnsi="Arial" w:cs="Arial"/>
          <w:sz w:val="28"/>
          <w:szCs w:val="28"/>
          <w:lang w:val="en-US"/>
        </w:rPr>
        <w:t xml:space="preserve"> Consequently, the court grants the enforcement of secret trust even where the timing of the agreement is unknown as long as the intention of the testator is clear, communicated to the trustee, and accepted either expressly or by consent according to the case of </w:t>
      </w:r>
      <w:r w:rsidR="00A6178A">
        <w:rPr>
          <w:rFonts w:ascii="Arial" w:hAnsi="Arial" w:cs="Arial"/>
          <w:i/>
          <w:iCs/>
          <w:sz w:val="28"/>
          <w:szCs w:val="28"/>
          <w:lang w:val="en-US"/>
        </w:rPr>
        <w:t xml:space="preserve">‘Ottaway v Norman’ </w:t>
      </w:r>
      <w:r w:rsidR="00A6178A">
        <w:rPr>
          <w:rFonts w:ascii="Arial" w:hAnsi="Arial" w:cs="Arial"/>
          <w:sz w:val="28"/>
          <w:szCs w:val="28"/>
          <w:lang w:val="en-US"/>
        </w:rPr>
        <w:t>(1972).</w:t>
      </w:r>
      <w:r w:rsidR="00686C72">
        <w:rPr>
          <w:rFonts w:ascii="Arial" w:hAnsi="Arial" w:cs="Arial"/>
          <w:sz w:val="28"/>
          <w:szCs w:val="28"/>
          <w:lang w:val="en-US"/>
        </w:rPr>
        <w:t xml:space="preserve"> Importantly, the need for written</w:t>
      </w:r>
      <w:r w:rsidR="008F3263">
        <w:rPr>
          <w:rFonts w:ascii="Arial" w:hAnsi="Arial" w:cs="Arial"/>
          <w:sz w:val="28"/>
          <w:szCs w:val="28"/>
          <w:lang w:val="en-US"/>
        </w:rPr>
        <w:t xml:space="preserve"> proof</w:t>
      </w:r>
      <w:r w:rsidR="00686C72">
        <w:rPr>
          <w:rFonts w:ascii="Arial" w:hAnsi="Arial" w:cs="Arial"/>
          <w:sz w:val="28"/>
          <w:szCs w:val="28"/>
          <w:lang w:val="en-US"/>
        </w:rPr>
        <w:t xml:space="preserve"> under section 53 of the Law of Property Act 1925 was highlighted in </w:t>
      </w:r>
      <w:r w:rsidR="00686C72">
        <w:rPr>
          <w:rFonts w:ascii="Arial" w:hAnsi="Arial" w:cs="Arial"/>
          <w:i/>
          <w:iCs/>
          <w:sz w:val="28"/>
          <w:szCs w:val="28"/>
          <w:lang w:val="en-US"/>
        </w:rPr>
        <w:t xml:space="preserve">‘Ottaway v Norman’ </w:t>
      </w:r>
      <w:r w:rsidR="00686C72">
        <w:rPr>
          <w:rFonts w:ascii="Arial" w:hAnsi="Arial" w:cs="Arial"/>
          <w:sz w:val="28"/>
          <w:szCs w:val="28"/>
          <w:lang w:val="en-US"/>
        </w:rPr>
        <w:t xml:space="preserve">(1972), but the purpose of the testator was secrecy, so the fact that the defendant was </w:t>
      </w:r>
      <w:r w:rsidR="00686C72">
        <w:rPr>
          <w:rFonts w:ascii="Arial" w:hAnsi="Arial" w:cs="Arial"/>
          <w:sz w:val="28"/>
          <w:szCs w:val="28"/>
          <w:lang w:val="en-US"/>
        </w:rPr>
        <w:lastRenderedPageBreak/>
        <w:t>held to be subject to a trust thereby eliminated the need to comply with s53 (1)(b) according to the court.</w:t>
      </w:r>
      <w:r w:rsidR="00EC6BCC">
        <w:rPr>
          <w:rFonts w:ascii="Arial" w:hAnsi="Arial" w:cs="Arial"/>
          <w:sz w:val="28"/>
          <w:szCs w:val="28"/>
          <w:lang w:val="en-US"/>
        </w:rPr>
        <w:t xml:space="preserve"> Since the overall purpose for enforcing a secret trust is to prevent fraud as stated in </w:t>
      </w:r>
      <w:r w:rsidR="00EC6BCC">
        <w:rPr>
          <w:rFonts w:ascii="Arial" w:hAnsi="Arial" w:cs="Arial"/>
          <w:i/>
          <w:iCs/>
          <w:sz w:val="28"/>
          <w:szCs w:val="28"/>
          <w:lang w:val="en-US"/>
        </w:rPr>
        <w:t xml:space="preserve">‘Re Snowden’ </w:t>
      </w:r>
      <w:r w:rsidR="00EC6BCC">
        <w:rPr>
          <w:rFonts w:ascii="Arial" w:hAnsi="Arial" w:cs="Arial"/>
          <w:sz w:val="28"/>
          <w:szCs w:val="28"/>
          <w:lang w:val="en-US"/>
        </w:rPr>
        <w:t xml:space="preserve">(1979), </w:t>
      </w:r>
      <w:r w:rsidR="004A29F3">
        <w:rPr>
          <w:rFonts w:ascii="Arial" w:hAnsi="Arial" w:cs="Arial"/>
          <w:sz w:val="28"/>
          <w:szCs w:val="28"/>
          <w:lang w:val="en-US"/>
        </w:rPr>
        <w:t xml:space="preserve">a secret trust will only be validated when the intention of the testator is clear because a trustee or beneficiary may potentially interpret the trust to their advantage as opposed to the testator’s wishes. The case of </w:t>
      </w:r>
      <w:r w:rsidR="004A29F3">
        <w:rPr>
          <w:rFonts w:ascii="Arial" w:hAnsi="Arial" w:cs="Arial"/>
          <w:i/>
          <w:iCs/>
          <w:sz w:val="28"/>
          <w:szCs w:val="28"/>
          <w:lang w:val="en-US"/>
        </w:rPr>
        <w:t xml:space="preserve">‘Wallgrave v Tebbs’ </w:t>
      </w:r>
      <w:r w:rsidR="004A29F3">
        <w:rPr>
          <w:rFonts w:ascii="Arial" w:hAnsi="Arial" w:cs="Arial"/>
          <w:sz w:val="28"/>
          <w:szCs w:val="28"/>
          <w:lang w:val="en-US"/>
        </w:rPr>
        <w:t xml:space="preserve">(1955) demonstrates the </w:t>
      </w:r>
      <w:r w:rsidR="00C635DB">
        <w:rPr>
          <w:rFonts w:ascii="Arial" w:hAnsi="Arial" w:cs="Arial"/>
          <w:sz w:val="28"/>
          <w:szCs w:val="28"/>
          <w:lang w:val="en-US"/>
        </w:rPr>
        <w:t xml:space="preserve">urgency </w:t>
      </w:r>
      <w:r w:rsidR="004A29F3">
        <w:rPr>
          <w:rFonts w:ascii="Arial" w:hAnsi="Arial" w:cs="Arial"/>
          <w:sz w:val="28"/>
          <w:szCs w:val="28"/>
          <w:lang w:val="en-US"/>
        </w:rPr>
        <w:t>of intention</w:t>
      </w:r>
      <w:r w:rsidR="00C635DB">
        <w:rPr>
          <w:rFonts w:ascii="Arial" w:hAnsi="Arial" w:cs="Arial"/>
          <w:sz w:val="28"/>
          <w:szCs w:val="28"/>
          <w:lang w:val="en-US"/>
        </w:rPr>
        <w:t xml:space="preserve"> as</w:t>
      </w:r>
      <w:r w:rsidR="004A29F3">
        <w:rPr>
          <w:rFonts w:ascii="Arial" w:hAnsi="Arial" w:cs="Arial"/>
          <w:sz w:val="28"/>
          <w:szCs w:val="28"/>
          <w:lang w:val="en-US"/>
        </w:rPr>
        <w:t xml:space="preserve"> </w:t>
      </w:r>
      <w:r w:rsidR="00C635DB">
        <w:rPr>
          <w:rFonts w:ascii="Arial" w:hAnsi="Arial" w:cs="Arial"/>
          <w:sz w:val="28"/>
          <w:szCs w:val="28"/>
          <w:lang w:val="en-US"/>
        </w:rPr>
        <w:t xml:space="preserve">the </w:t>
      </w:r>
      <w:r w:rsidR="00DE09DA">
        <w:rPr>
          <w:rFonts w:ascii="Arial" w:hAnsi="Arial" w:cs="Arial"/>
          <w:sz w:val="28"/>
          <w:szCs w:val="28"/>
          <w:lang w:val="en-US"/>
        </w:rPr>
        <w:t>testator’s</w:t>
      </w:r>
      <w:r w:rsidR="00C635DB">
        <w:rPr>
          <w:rFonts w:ascii="Arial" w:hAnsi="Arial" w:cs="Arial"/>
          <w:sz w:val="28"/>
          <w:szCs w:val="28"/>
          <w:lang w:val="en-US"/>
        </w:rPr>
        <w:t xml:space="preserve"> true intention had never been communicated to Tebbs after they had left money to him; </w:t>
      </w:r>
      <w:r w:rsidR="00D03D76">
        <w:rPr>
          <w:rFonts w:ascii="Arial" w:hAnsi="Arial" w:cs="Arial"/>
          <w:sz w:val="28"/>
          <w:szCs w:val="28"/>
          <w:lang w:val="en-US"/>
        </w:rPr>
        <w:t>A</w:t>
      </w:r>
      <w:r w:rsidR="00C635DB">
        <w:rPr>
          <w:rFonts w:ascii="Arial" w:hAnsi="Arial" w:cs="Arial"/>
          <w:sz w:val="28"/>
          <w:szCs w:val="28"/>
          <w:lang w:val="en-US"/>
        </w:rPr>
        <w:t xml:space="preserve">fter seeking the enforcement of the secret trust, the court justified and held that Tebbs could take beneficial ownership of the money as no intention was made by the settlor’s terms to create a trust, the money was considered a gift on the face of the </w:t>
      </w:r>
      <w:r w:rsidR="00405F76">
        <w:rPr>
          <w:rFonts w:ascii="Arial" w:hAnsi="Arial" w:cs="Arial"/>
          <w:sz w:val="28"/>
          <w:szCs w:val="28"/>
          <w:lang w:val="en-US"/>
        </w:rPr>
        <w:t>W</w:t>
      </w:r>
      <w:r w:rsidR="00C635DB">
        <w:rPr>
          <w:rFonts w:ascii="Arial" w:hAnsi="Arial" w:cs="Arial"/>
          <w:sz w:val="28"/>
          <w:szCs w:val="28"/>
          <w:lang w:val="en-US"/>
        </w:rPr>
        <w:t xml:space="preserve">ill in favor of Tebbs. </w:t>
      </w:r>
    </w:p>
    <w:p w14:paraId="120BDBC8" w14:textId="0ED5E239" w:rsidR="00C635DB" w:rsidRDefault="00DE09DA" w:rsidP="00D03919">
      <w:pPr>
        <w:spacing w:line="480" w:lineRule="auto"/>
        <w:ind w:firstLine="720"/>
        <w:rPr>
          <w:rFonts w:ascii="Arial" w:hAnsi="Arial" w:cs="Arial"/>
          <w:sz w:val="28"/>
          <w:szCs w:val="28"/>
          <w:lang w:val="en-US"/>
        </w:rPr>
      </w:pPr>
      <w:r>
        <w:rPr>
          <w:rFonts w:ascii="Arial" w:hAnsi="Arial" w:cs="Arial"/>
          <w:sz w:val="28"/>
          <w:szCs w:val="28"/>
          <w:lang w:val="en-US"/>
        </w:rPr>
        <w:t xml:space="preserve">The case of </w:t>
      </w:r>
      <w:r>
        <w:rPr>
          <w:rFonts w:ascii="Arial" w:hAnsi="Arial" w:cs="Arial"/>
          <w:i/>
          <w:iCs/>
          <w:sz w:val="28"/>
          <w:szCs w:val="28"/>
          <w:lang w:val="en-US"/>
        </w:rPr>
        <w:t xml:space="preserve">‘Wallgrave v Tebbs’ </w:t>
      </w:r>
      <w:r>
        <w:rPr>
          <w:rFonts w:ascii="Arial" w:hAnsi="Arial" w:cs="Arial"/>
          <w:sz w:val="28"/>
          <w:szCs w:val="28"/>
          <w:lang w:val="en-US"/>
        </w:rPr>
        <w:t xml:space="preserve">(1955) illustrates the burden that a secret beneficiary has as opposed to the secret trustee; The secret beneficiary has to provide evidence that the intention of the testator was to leave property for them, and failure to prove that there is a trust leaves the beneficiaries empty handed and the trustees receive a free gift. </w:t>
      </w:r>
      <w:r w:rsidR="008E41E5">
        <w:rPr>
          <w:rFonts w:ascii="Arial" w:hAnsi="Arial" w:cs="Arial"/>
          <w:sz w:val="28"/>
          <w:szCs w:val="28"/>
          <w:lang w:val="en-US"/>
        </w:rPr>
        <w:t xml:space="preserve">In spite of the burden placed on the secret beneficiary, the court is willing to enforce a secret trust where the beneficiary dies before the testator for the reason that </w:t>
      </w:r>
      <w:r w:rsidR="00377497">
        <w:rPr>
          <w:rFonts w:ascii="Arial" w:hAnsi="Arial" w:cs="Arial"/>
          <w:sz w:val="28"/>
          <w:szCs w:val="28"/>
          <w:lang w:val="en-US"/>
        </w:rPr>
        <w:t xml:space="preserve">once the three requirements have been satisfied, a fully secret trust will </w:t>
      </w:r>
      <w:r w:rsidR="00377497">
        <w:rPr>
          <w:rFonts w:ascii="Arial" w:hAnsi="Arial" w:cs="Arial"/>
          <w:sz w:val="28"/>
          <w:szCs w:val="28"/>
          <w:lang w:val="en-US"/>
        </w:rPr>
        <w:lastRenderedPageBreak/>
        <w:t xml:space="preserve">be valid and passed to the beneficiary’s estate as seen in the case of </w:t>
      </w:r>
      <w:r w:rsidR="00377497">
        <w:rPr>
          <w:rFonts w:ascii="Arial" w:hAnsi="Arial" w:cs="Arial"/>
          <w:i/>
          <w:iCs/>
          <w:sz w:val="28"/>
          <w:szCs w:val="28"/>
          <w:lang w:val="en-US"/>
        </w:rPr>
        <w:t xml:space="preserve">‘Re Gardner’ (No.2) </w:t>
      </w:r>
      <w:r w:rsidR="00377497">
        <w:rPr>
          <w:rFonts w:ascii="Arial" w:hAnsi="Arial" w:cs="Arial"/>
          <w:sz w:val="28"/>
          <w:szCs w:val="28"/>
          <w:lang w:val="en-US"/>
        </w:rPr>
        <w:t xml:space="preserve">(1923). </w:t>
      </w:r>
    </w:p>
    <w:p w14:paraId="4D6C3390" w14:textId="19CB269B" w:rsidR="006C1EE5" w:rsidRDefault="00FF30FB" w:rsidP="00D03D76">
      <w:pPr>
        <w:spacing w:line="480" w:lineRule="auto"/>
        <w:ind w:firstLine="720"/>
        <w:rPr>
          <w:rFonts w:ascii="Arial" w:hAnsi="Arial" w:cs="Arial"/>
          <w:sz w:val="28"/>
          <w:szCs w:val="28"/>
          <w:lang w:val="en-US"/>
        </w:rPr>
      </w:pPr>
      <w:r>
        <w:rPr>
          <w:rFonts w:ascii="Arial" w:hAnsi="Arial" w:cs="Arial"/>
          <w:sz w:val="28"/>
          <w:szCs w:val="28"/>
          <w:lang w:val="en-US"/>
        </w:rPr>
        <w:t>Furthermore, i</w:t>
      </w:r>
      <w:r w:rsidR="00634CB6">
        <w:rPr>
          <w:rFonts w:ascii="Arial" w:hAnsi="Arial" w:cs="Arial"/>
          <w:sz w:val="28"/>
          <w:szCs w:val="28"/>
          <w:lang w:val="en-US"/>
        </w:rPr>
        <w:t>t is argued</w:t>
      </w:r>
      <w:r w:rsidR="00583236">
        <w:rPr>
          <w:rFonts w:ascii="Arial" w:hAnsi="Arial" w:cs="Arial"/>
          <w:sz w:val="28"/>
          <w:szCs w:val="28"/>
          <w:lang w:val="en-US"/>
        </w:rPr>
        <w:t xml:space="preserve"> that</w:t>
      </w:r>
      <w:r w:rsidR="00615547">
        <w:rPr>
          <w:rFonts w:ascii="Arial" w:hAnsi="Arial" w:cs="Arial"/>
          <w:sz w:val="28"/>
          <w:szCs w:val="28"/>
          <w:lang w:val="en-US"/>
        </w:rPr>
        <w:t xml:space="preserve"> there </w:t>
      </w:r>
      <w:r w:rsidR="00583236">
        <w:rPr>
          <w:rFonts w:ascii="Arial" w:hAnsi="Arial" w:cs="Arial"/>
          <w:sz w:val="28"/>
          <w:szCs w:val="28"/>
          <w:lang w:val="en-US"/>
        </w:rPr>
        <w:t>is</w:t>
      </w:r>
      <w:r w:rsidR="00615547">
        <w:rPr>
          <w:rFonts w:ascii="Arial" w:hAnsi="Arial" w:cs="Arial"/>
          <w:sz w:val="28"/>
          <w:szCs w:val="28"/>
          <w:lang w:val="en-US"/>
        </w:rPr>
        <w:t xml:space="preserve"> no true difference between </w:t>
      </w:r>
      <w:r w:rsidR="002A63D4">
        <w:rPr>
          <w:rFonts w:ascii="Arial" w:hAnsi="Arial" w:cs="Arial"/>
          <w:sz w:val="28"/>
          <w:szCs w:val="28"/>
          <w:lang w:val="en-US"/>
        </w:rPr>
        <w:t xml:space="preserve">a </w:t>
      </w:r>
      <w:r w:rsidR="00615547">
        <w:rPr>
          <w:rFonts w:ascii="Arial" w:hAnsi="Arial" w:cs="Arial"/>
          <w:sz w:val="28"/>
          <w:szCs w:val="28"/>
          <w:lang w:val="en-US"/>
        </w:rPr>
        <w:t>half secret trust and</w:t>
      </w:r>
      <w:r w:rsidR="002A63D4">
        <w:rPr>
          <w:rFonts w:ascii="Arial" w:hAnsi="Arial" w:cs="Arial"/>
          <w:sz w:val="28"/>
          <w:szCs w:val="28"/>
          <w:lang w:val="en-US"/>
        </w:rPr>
        <w:t xml:space="preserve"> a</w:t>
      </w:r>
      <w:r w:rsidR="00615547">
        <w:rPr>
          <w:rFonts w:ascii="Arial" w:hAnsi="Arial" w:cs="Arial"/>
          <w:sz w:val="28"/>
          <w:szCs w:val="28"/>
          <w:lang w:val="en-US"/>
        </w:rPr>
        <w:t xml:space="preserve"> fully secret trust</w:t>
      </w:r>
      <w:r>
        <w:rPr>
          <w:rFonts w:ascii="Arial" w:hAnsi="Arial" w:cs="Arial"/>
          <w:sz w:val="28"/>
          <w:szCs w:val="28"/>
          <w:lang w:val="en-US"/>
        </w:rPr>
        <w:t xml:space="preserve"> for the reason that the purpose for which the court enforces this trust is to prevent fraud, in addition, an individual can verify that both doctrines prevent the same fraud as stated by the court in </w:t>
      </w:r>
      <w:r>
        <w:rPr>
          <w:rFonts w:ascii="Arial" w:hAnsi="Arial" w:cs="Arial"/>
          <w:i/>
          <w:iCs/>
          <w:sz w:val="28"/>
          <w:szCs w:val="28"/>
          <w:lang w:val="en-US"/>
        </w:rPr>
        <w:t xml:space="preserve">‘Blackwell v Blackwell’ </w:t>
      </w:r>
      <w:r>
        <w:rPr>
          <w:rFonts w:ascii="Arial" w:hAnsi="Arial" w:cs="Arial"/>
          <w:sz w:val="28"/>
          <w:szCs w:val="28"/>
          <w:lang w:val="en-US"/>
        </w:rPr>
        <w:t>(1929).</w:t>
      </w:r>
      <w:r w:rsidR="002A63D4">
        <w:rPr>
          <w:rFonts w:ascii="Arial" w:hAnsi="Arial" w:cs="Arial"/>
          <w:sz w:val="28"/>
          <w:szCs w:val="28"/>
          <w:lang w:val="en-US"/>
        </w:rPr>
        <w:t xml:space="preserve"> Moreover, the case of </w:t>
      </w:r>
      <w:r w:rsidR="002A63D4">
        <w:rPr>
          <w:rFonts w:ascii="Arial" w:hAnsi="Arial" w:cs="Arial"/>
          <w:i/>
          <w:iCs/>
          <w:sz w:val="28"/>
          <w:szCs w:val="28"/>
          <w:lang w:val="en-US"/>
        </w:rPr>
        <w:t xml:space="preserve">‘Blackwell v Blackwell’ </w:t>
      </w:r>
      <w:r w:rsidR="002A63D4">
        <w:rPr>
          <w:rFonts w:ascii="Arial" w:hAnsi="Arial" w:cs="Arial"/>
          <w:sz w:val="28"/>
          <w:szCs w:val="28"/>
          <w:lang w:val="en-US"/>
        </w:rPr>
        <w:t>(1929) is a popular case of a valid half secret</w:t>
      </w:r>
      <w:r w:rsidR="00734B43">
        <w:rPr>
          <w:rFonts w:ascii="Arial" w:hAnsi="Arial" w:cs="Arial"/>
          <w:sz w:val="28"/>
          <w:szCs w:val="28"/>
          <w:lang w:val="en-US"/>
        </w:rPr>
        <w:t xml:space="preserve"> trust</w:t>
      </w:r>
      <w:r w:rsidR="002A63D4">
        <w:rPr>
          <w:rFonts w:ascii="Arial" w:hAnsi="Arial" w:cs="Arial"/>
          <w:sz w:val="28"/>
          <w:szCs w:val="28"/>
          <w:lang w:val="en-US"/>
        </w:rPr>
        <w:t xml:space="preserve"> where it </w:t>
      </w:r>
      <w:r w:rsidR="00734B43">
        <w:rPr>
          <w:rFonts w:ascii="Arial" w:hAnsi="Arial" w:cs="Arial"/>
          <w:sz w:val="28"/>
          <w:szCs w:val="28"/>
          <w:lang w:val="en-US"/>
        </w:rPr>
        <w:t>was</w:t>
      </w:r>
      <w:r w:rsidR="002A63D4">
        <w:rPr>
          <w:rFonts w:ascii="Arial" w:hAnsi="Arial" w:cs="Arial"/>
          <w:sz w:val="28"/>
          <w:szCs w:val="28"/>
          <w:lang w:val="en-US"/>
        </w:rPr>
        <w:t xml:space="preserve"> demonstrated that despite the beneficiary names not being mentioned in the </w:t>
      </w:r>
      <w:r w:rsidR="00405F76">
        <w:rPr>
          <w:rFonts w:ascii="Arial" w:hAnsi="Arial" w:cs="Arial"/>
          <w:sz w:val="28"/>
          <w:szCs w:val="28"/>
          <w:lang w:val="en-US"/>
        </w:rPr>
        <w:t>W</w:t>
      </w:r>
      <w:r w:rsidR="002A63D4">
        <w:rPr>
          <w:rFonts w:ascii="Arial" w:hAnsi="Arial" w:cs="Arial"/>
          <w:sz w:val="28"/>
          <w:szCs w:val="28"/>
          <w:lang w:val="en-US"/>
        </w:rPr>
        <w:t>ill, a half secret trust will nonetheless be enforced by the court as long as there is evidence of an oral arrangement by the settlor and the intended trustee before</w:t>
      </w:r>
      <w:r w:rsidR="00583236">
        <w:rPr>
          <w:rFonts w:ascii="Arial" w:hAnsi="Arial" w:cs="Arial"/>
          <w:sz w:val="28"/>
          <w:szCs w:val="28"/>
          <w:lang w:val="en-US"/>
        </w:rPr>
        <w:t xml:space="preserve"> or during the time</w:t>
      </w:r>
      <w:r w:rsidR="002A63D4">
        <w:rPr>
          <w:rFonts w:ascii="Arial" w:hAnsi="Arial" w:cs="Arial"/>
          <w:sz w:val="28"/>
          <w:szCs w:val="28"/>
          <w:lang w:val="en-US"/>
        </w:rPr>
        <w:t xml:space="preserve"> the </w:t>
      </w:r>
      <w:r w:rsidR="00405F76">
        <w:rPr>
          <w:rFonts w:ascii="Arial" w:hAnsi="Arial" w:cs="Arial"/>
          <w:sz w:val="28"/>
          <w:szCs w:val="28"/>
          <w:lang w:val="en-US"/>
        </w:rPr>
        <w:t>W</w:t>
      </w:r>
      <w:r w:rsidR="002A63D4">
        <w:rPr>
          <w:rFonts w:ascii="Arial" w:hAnsi="Arial" w:cs="Arial"/>
          <w:sz w:val="28"/>
          <w:szCs w:val="28"/>
          <w:lang w:val="en-US"/>
        </w:rPr>
        <w:t xml:space="preserve">ill was executed. </w:t>
      </w:r>
      <w:r w:rsidR="00583236">
        <w:rPr>
          <w:rFonts w:ascii="Arial" w:hAnsi="Arial" w:cs="Arial"/>
          <w:sz w:val="28"/>
          <w:szCs w:val="28"/>
          <w:lang w:val="en-US"/>
        </w:rPr>
        <w:t>However, the tim</w:t>
      </w:r>
      <w:r w:rsidR="007A4624">
        <w:rPr>
          <w:rFonts w:ascii="Arial" w:hAnsi="Arial" w:cs="Arial"/>
          <w:sz w:val="28"/>
          <w:szCs w:val="28"/>
          <w:lang w:val="en-US"/>
        </w:rPr>
        <w:t>e</w:t>
      </w:r>
      <w:r w:rsidR="00583236">
        <w:rPr>
          <w:rFonts w:ascii="Arial" w:hAnsi="Arial" w:cs="Arial"/>
          <w:sz w:val="28"/>
          <w:szCs w:val="28"/>
          <w:lang w:val="en-US"/>
        </w:rPr>
        <w:t xml:space="preserve"> of the arrangement can become problematic because the timing of the oral arrangement is burdensome to prove, </w:t>
      </w:r>
      <w:r w:rsidR="00734B43">
        <w:rPr>
          <w:rFonts w:ascii="Arial" w:hAnsi="Arial" w:cs="Arial"/>
          <w:sz w:val="28"/>
          <w:szCs w:val="28"/>
          <w:lang w:val="en-US"/>
        </w:rPr>
        <w:t>nevertheless,</w:t>
      </w:r>
      <w:r w:rsidR="00583236">
        <w:rPr>
          <w:rFonts w:ascii="Arial" w:hAnsi="Arial" w:cs="Arial"/>
          <w:sz w:val="28"/>
          <w:szCs w:val="28"/>
          <w:lang w:val="en-US"/>
        </w:rPr>
        <w:t xml:space="preserve"> a half secret trust cannot be validated by the court until there’s evidence that the arrangement occurred before the </w:t>
      </w:r>
      <w:r w:rsidR="00405F76">
        <w:rPr>
          <w:rFonts w:ascii="Arial" w:hAnsi="Arial" w:cs="Arial"/>
          <w:sz w:val="28"/>
          <w:szCs w:val="28"/>
          <w:lang w:val="en-US"/>
        </w:rPr>
        <w:t>W</w:t>
      </w:r>
      <w:r w:rsidR="00583236">
        <w:rPr>
          <w:rFonts w:ascii="Arial" w:hAnsi="Arial" w:cs="Arial"/>
          <w:sz w:val="28"/>
          <w:szCs w:val="28"/>
          <w:lang w:val="en-US"/>
        </w:rPr>
        <w:t xml:space="preserve">ill was created </w:t>
      </w:r>
      <w:r w:rsidR="00734B43">
        <w:rPr>
          <w:rFonts w:ascii="Arial" w:hAnsi="Arial" w:cs="Arial"/>
          <w:sz w:val="28"/>
          <w:szCs w:val="28"/>
          <w:lang w:val="en-US"/>
        </w:rPr>
        <w:t xml:space="preserve">according to the courts justification for voiding the trust in </w:t>
      </w:r>
      <w:r w:rsidR="00734B43">
        <w:rPr>
          <w:rFonts w:ascii="Arial" w:hAnsi="Arial" w:cs="Arial"/>
          <w:i/>
          <w:iCs/>
          <w:sz w:val="28"/>
          <w:szCs w:val="28"/>
          <w:lang w:val="en-US"/>
        </w:rPr>
        <w:t xml:space="preserve">‘Re Bateman’s WT’ </w:t>
      </w:r>
      <w:r w:rsidR="00734B43">
        <w:rPr>
          <w:rFonts w:ascii="Arial" w:hAnsi="Arial" w:cs="Arial"/>
          <w:sz w:val="28"/>
          <w:szCs w:val="28"/>
          <w:lang w:val="en-US"/>
        </w:rPr>
        <w:t xml:space="preserve">(1970). </w:t>
      </w:r>
      <w:r w:rsidR="004F30D0">
        <w:rPr>
          <w:rFonts w:ascii="Arial" w:hAnsi="Arial" w:cs="Arial"/>
          <w:sz w:val="28"/>
          <w:szCs w:val="28"/>
          <w:lang w:val="en-US"/>
        </w:rPr>
        <w:t xml:space="preserve">The biggest most crucial difference between half secret trust </w:t>
      </w:r>
      <w:r w:rsidR="006C1EE5">
        <w:rPr>
          <w:rFonts w:ascii="Arial" w:hAnsi="Arial" w:cs="Arial"/>
          <w:sz w:val="28"/>
          <w:szCs w:val="28"/>
          <w:lang w:val="en-US"/>
        </w:rPr>
        <w:t xml:space="preserve">and a fully secret trust is that a half secret trust must come before the execution of the </w:t>
      </w:r>
      <w:r w:rsidR="00405F76">
        <w:rPr>
          <w:rFonts w:ascii="Arial" w:hAnsi="Arial" w:cs="Arial"/>
          <w:sz w:val="28"/>
          <w:szCs w:val="28"/>
          <w:lang w:val="en-US"/>
        </w:rPr>
        <w:t>W</w:t>
      </w:r>
      <w:r w:rsidR="006C1EE5">
        <w:rPr>
          <w:rFonts w:ascii="Arial" w:hAnsi="Arial" w:cs="Arial"/>
          <w:sz w:val="28"/>
          <w:szCs w:val="28"/>
          <w:lang w:val="en-US"/>
        </w:rPr>
        <w:t xml:space="preserve">ill, while on the contrary, a fully secret trust is not required to comply with any </w:t>
      </w:r>
      <w:r w:rsidR="006C1EE5">
        <w:rPr>
          <w:rFonts w:ascii="Arial" w:hAnsi="Arial" w:cs="Arial"/>
          <w:sz w:val="28"/>
          <w:szCs w:val="28"/>
          <w:lang w:val="en-US"/>
        </w:rPr>
        <w:lastRenderedPageBreak/>
        <w:t xml:space="preserve">time limit and they can be created before or after the </w:t>
      </w:r>
      <w:r w:rsidR="00405F76">
        <w:rPr>
          <w:rFonts w:ascii="Arial" w:hAnsi="Arial" w:cs="Arial"/>
          <w:sz w:val="28"/>
          <w:szCs w:val="28"/>
          <w:lang w:val="en-US"/>
        </w:rPr>
        <w:t>W</w:t>
      </w:r>
      <w:r w:rsidR="006C1EE5">
        <w:rPr>
          <w:rFonts w:ascii="Arial" w:hAnsi="Arial" w:cs="Arial"/>
          <w:sz w:val="28"/>
          <w:szCs w:val="28"/>
          <w:lang w:val="en-US"/>
        </w:rPr>
        <w:t>ill (Watt, 2021, p. 63).</w:t>
      </w:r>
    </w:p>
    <w:p w14:paraId="79B4D55D" w14:textId="3A4B05EC" w:rsidR="00D03D76" w:rsidRDefault="00D03D76" w:rsidP="00D03D76">
      <w:pPr>
        <w:spacing w:line="480" w:lineRule="auto"/>
        <w:ind w:firstLine="720"/>
        <w:rPr>
          <w:rFonts w:ascii="Arial" w:hAnsi="Arial" w:cs="Arial"/>
          <w:sz w:val="28"/>
          <w:szCs w:val="28"/>
          <w:lang w:val="en-US"/>
        </w:rPr>
      </w:pPr>
    </w:p>
    <w:p w14:paraId="6B2F092C" w14:textId="734ECCC7" w:rsidR="00D03D76" w:rsidRDefault="00D03D76" w:rsidP="00D03D76">
      <w:pPr>
        <w:spacing w:line="480" w:lineRule="auto"/>
        <w:rPr>
          <w:rFonts w:ascii="Arial" w:hAnsi="Arial" w:cs="Arial"/>
          <w:sz w:val="28"/>
          <w:szCs w:val="28"/>
          <w:lang w:val="en-US"/>
        </w:rPr>
      </w:pPr>
      <w:r>
        <w:rPr>
          <w:rFonts w:ascii="Arial" w:hAnsi="Arial" w:cs="Arial"/>
          <w:sz w:val="28"/>
          <w:szCs w:val="28"/>
          <w:lang w:val="en-US"/>
        </w:rPr>
        <w:t>Question 2:</w:t>
      </w:r>
    </w:p>
    <w:p w14:paraId="3112F444" w14:textId="6EFF70E5" w:rsidR="00D03D76" w:rsidRDefault="008B3367" w:rsidP="008B3367">
      <w:pPr>
        <w:spacing w:line="480" w:lineRule="auto"/>
        <w:rPr>
          <w:rFonts w:ascii="Arial" w:hAnsi="Arial" w:cs="Arial"/>
          <w:sz w:val="28"/>
          <w:szCs w:val="28"/>
          <w:lang w:val="en-US"/>
        </w:rPr>
      </w:pPr>
      <w:r>
        <w:rPr>
          <w:rFonts w:ascii="Arial" w:hAnsi="Arial" w:cs="Arial"/>
          <w:sz w:val="28"/>
          <w:szCs w:val="28"/>
          <w:lang w:val="en-US"/>
        </w:rPr>
        <w:t xml:space="preserve">B) </w:t>
      </w:r>
      <w:r w:rsidR="000D1753">
        <w:rPr>
          <w:rFonts w:ascii="Arial" w:hAnsi="Arial" w:cs="Arial"/>
          <w:sz w:val="28"/>
          <w:szCs w:val="28"/>
          <w:lang w:val="en-US"/>
        </w:rPr>
        <w:t>Before a Will can be valid there are three certainty requirements that must be satisfied and they are: 1) Certainty of Intention, 2) Certainty of Subject Matter (Property in question), and 3) Certainty of Object (Watt, 2021, p. 67). However, in order f</w:t>
      </w:r>
      <w:r>
        <w:rPr>
          <w:rFonts w:ascii="Arial" w:hAnsi="Arial" w:cs="Arial"/>
          <w:sz w:val="28"/>
          <w:szCs w:val="28"/>
          <w:lang w:val="en-US"/>
        </w:rPr>
        <w:t xml:space="preserve">or </w:t>
      </w:r>
      <w:r w:rsidR="000D1753">
        <w:rPr>
          <w:rFonts w:ascii="Arial" w:hAnsi="Arial" w:cs="Arial"/>
          <w:sz w:val="28"/>
          <w:szCs w:val="28"/>
          <w:lang w:val="en-US"/>
        </w:rPr>
        <w:t>the</w:t>
      </w:r>
      <w:r>
        <w:rPr>
          <w:rFonts w:ascii="Arial" w:hAnsi="Arial" w:cs="Arial"/>
          <w:sz w:val="28"/>
          <w:szCs w:val="28"/>
          <w:lang w:val="en-US"/>
        </w:rPr>
        <w:t xml:space="preserve"> court to identify a settlor’s intention, they must first construe the wording of </w:t>
      </w:r>
      <w:r w:rsidR="000D1753">
        <w:rPr>
          <w:rFonts w:ascii="Arial" w:hAnsi="Arial" w:cs="Arial"/>
          <w:sz w:val="28"/>
          <w:szCs w:val="28"/>
          <w:lang w:val="en-US"/>
        </w:rPr>
        <w:t xml:space="preserve">the </w:t>
      </w:r>
      <w:r>
        <w:rPr>
          <w:rFonts w:ascii="Arial" w:hAnsi="Arial" w:cs="Arial"/>
          <w:sz w:val="28"/>
          <w:szCs w:val="28"/>
          <w:lang w:val="en-US"/>
        </w:rPr>
        <w:t>Will to ascertain the satisfaction of the settlor’s wishes according to Lord Goff</w:t>
      </w:r>
      <w:r w:rsidR="000D1753">
        <w:rPr>
          <w:rFonts w:ascii="Arial" w:hAnsi="Arial" w:cs="Arial"/>
          <w:sz w:val="28"/>
          <w:szCs w:val="28"/>
          <w:lang w:val="en-US"/>
        </w:rPr>
        <w:t xml:space="preserve"> </w:t>
      </w:r>
      <w:r>
        <w:rPr>
          <w:rFonts w:ascii="Arial" w:hAnsi="Arial" w:cs="Arial"/>
          <w:sz w:val="28"/>
          <w:szCs w:val="28"/>
          <w:lang w:val="en-US"/>
        </w:rPr>
        <w:t xml:space="preserve">in the case of </w:t>
      </w:r>
      <w:r>
        <w:rPr>
          <w:rFonts w:ascii="Arial" w:hAnsi="Arial" w:cs="Arial"/>
          <w:i/>
          <w:iCs/>
          <w:sz w:val="28"/>
          <w:szCs w:val="28"/>
          <w:lang w:val="en-US"/>
        </w:rPr>
        <w:t xml:space="preserve">‘Re Osoba’ </w:t>
      </w:r>
      <w:r>
        <w:rPr>
          <w:rFonts w:ascii="Arial" w:hAnsi="Arial" w:cs="Arial"/>
          <w:sz w:val="28"/>
          <w:szCs w:val="28"/>
          <w:lang w:val="en-US"/>
        </w:rPr>
        <w:t xml:space="preserve">(1979). </w:t>
      </w:r>
      <w:r w:rsidR="00746643">
        <w:rPr>
          <w:rFonts w:ascii="Arial" w:hAnsi="Arial" w:cs="Arial"/>
          <w:sz w:val="28"/>
          <w:szCs w:val="28"/>
          <w:lang w:val="en-US"/>
        </w:rPr>
        <w:t xml:space="preserve">Trust and power are different concepts with this regard but the distinction is examined through the words of the settlor, in addition, trustees are obligated to execute their duties as a trustee whereas a power given to a person does not require the individual to use it </w:t>
      </w:r>
      <w:r w:rsidR="008C731D">
        <w:rPr>
          <w:rFonts w:ascii="Arial" w:hAnsi="Arial" w:cs="Arial"/>
          <w:sz w:val="28"/>
          <w:szCs w:val="28"/>
          <w:lang w:val="en-US"/>
        </w:rPr>
        <w:t xml:space="preserve">(Bray, 2012, pp. 32-46). </w:t>
      </w:r>
      <w:r w:rsidR="00341AD7">
        <w:rPr>
          <w:rFonts w:ascii="Arial" w:hAnsi="Arial" w:cs="Arial"/>
          <w:sz w:val="28"/>
          <w:szCs w:val="28"/>
          <w:lang w:val="en-US"/>
        </w:rPr>
        <w:t>Simon’s words</w:t>
      </w:r>
      <w:r w:rsidR="008A23C4">
        <w:rPr>
          <w:rFonts w:ascii="Arial" w:hAnsi="Arial" w:cs="Arial"/>
          <w:sz w:val="28"/>
          <w:szCs w:val="28"/>
          <w:lang w:val="en-US"/>
        </w:rPr>
        <w:t xml:space="preserve"> in his disposition</w:t>
      </w:r>
      <w:r w:rsidR="00341AD7">
        <w:rPr>
          <w:rFonts w:ascii="Arial" w:hAnsi="Arial" w:cs="Arial"/>
          <w:sz w:val="28"/>
          <w:szCs w:val="28"/>
          <w:lang w:val="en-US"/>
        </w:rPr>
        <w:t xml:space="preserve"> </w:t>
      </w:r>
      <w:r w:rsidR="00D06412">
        <w:rPr>
          <w:rFonts w:ascii="Arial" w:hAnsi="Arial" w:cs="Arial"/>
          <w:sz w:val="28"/>
          <w:szCs w:val="28"/>
          <w:lang w:val="en-US"/>
        </w:rPr>
        <w:t>are</w:t>
      </w:r>
      <w:r w:rsidR="00341AD7">
        <w:rPr>
          <w:rFonts w:ascii="Arial" w:hAnsi="Arial" w:cs="Arial"/>
          <w:sz w:val="28"/>
          <w:szCs w:val="28"/>
          <w:lang w:val="en-US"/>
        </w:rPr>
        <w:t xml:space="preserve"> illustrating a </w:t>
      </w:r>
      <w:r w:rsidR="00D06412">
        <w:rPr>
          <w:rFonts w:ascii="Arial" w:hAnsi="Arial" w:cs="Arial"/>
          <w:sz w:val="28"/>
          <w:szCs w:val="28"/>
          <w:lang w:val="en-US"/>
        </w:rPr>
        <w:t>mere power</w:t>
      </w:r>
      <w:r w:rsidR="00341AD7">
        <w:rPr>
          <w:rFonts w:ascii="Arial" w:hAnsi="Arial" w:cs="Arial"/>
          <w:sz w:val="28"/>
          <w:szCs w:val="28"/>
          <w:lang w:val="en-US"/>
        </w:rPr>
        <w:t xml:space="preserve"> for the reason that there is an obligation to distribute imposed on the trustees amongst specific class of beneficiaries, </w:t>
      </w:r>
      <w:r w:rsidR="00D06412">
        <w:rPr>
          <w:rFonts w:ascii="Arial" w:hAnsi="Arial" w:cs="Arial"/>
          <w:sz w:val="28"/>
          <w:szCs w:val="28"/>
          <w:lang w:val="en-US"/>
        </w:rPr>
        <w:t>but</w:t>
      </w:r>
      <w:r w:rsidR="00341AD7">
        <w:rPr>
          <w:rFonts w:ascii="Arial" w:hAnsi="Arial" w:cs="Arial"/>
          <w:sz w:val="28"/>
          <w:szCs w:val="28"/>
          <w:lang w:val="en-US"/>
        </w:rPr>
        <w:t xml:space="preserve"> </w:t>
      </w:r>
      <w:r w:rsidR="008A23C4">
        <w:rPr>
          <w:rFonts w:ascii="Arial" w:hAnsi="Arial" w:cs="Arial"/>
          <w:sz w:val="28"/>
          <w:szCs w:val="28"/>
          <w:lang w:val="en-US"/>
        </w:rPr>
        <w:t xml:space="preserve">also </w:t>
      </w:r>
      <w:r w:rsidR="00341AD7">
        <w:rPr>
          <w:rFonts w:ascii="Arial" w:hAnsi="Arial" w:cs="Arial"/>
          <w:sz w:val="28"/>
          <w:szCs w:val="28"/>
          <w:lang w:val="en-US"/>
        </w:rPr>
        <w:t>the</w:t>
      </w:r>
      <w:r w:rsidR="008A23C4">
        <w:rPr>
          <w:rFonts w:ascii="Arial" w:hAnsi="Arial" w:cs="Arial"/>
          <w:sz w:val="28"/>
          <w:szCs w:val="28"/>
          <w:lang w:val="en-US"/>
        </w:rPr>
        <w:t>re is a</w:t>
      </w:r>
      <w:r w:rsidR="00341AD7">
        <w:rPr>
          <w:rFonts w:ascii="Arial" w:hAnsi="Arial" w:cs="Arial"/>
          <w:sz w:val="28"/>
          <w:szCs w:val="28"/>
          <w:lang w:val="en-US"/>
        </w:rPr>
        <w:t xml:space="preserve"> discretion (“</w:t>
      </w:r>
      <w:r w:rsidR="00D06412">
        <w:rPr>
          <w:rFonts w:ascii="Arial" w:hAnsi="Arial" w:cs="Arial"/>
          <w:sz w:val="28"/>
          <w:szCs w:val="28"/>
          <w:lang w:val="en-US"/>
        </w:rPr>
        <w:t>If</w:t>
      </w:r>
      <w:r w:rsidR="004675AD">
        <w:rPr>
          <w:rFonts w:ascii="Arial" w:hAnsi="Arial" w:cs="Arial"/>
          <w:sz w:val="28"/>
          <w:szCs w:val="28"/>
          <w:lang w:val="en-US"/>
        </w:rPr>
        <w:t>”</w:t>
      </w:r>
      <w:r w:rsidR="00341AD7">
        <w:rPr>
          <w:rFonts w:ascii="Arial" w:hAnsi="Arial" w:cs="Arial"/>
          <w:sz w:val="28"/>
          <w:szCs w:val="28"/>
          <w:lang w:val="en-US"/>
        </w:rPr>
        <w:t>) for the manner of distribution</w:t>
      </w:r>
      <w:r w:rsidR="008A23C4">
        <w:rPr>
          <w:rFonts w:ascii="Arial" w:hAnsi="Arial" w:cs="Arial"/>
          <w:sz w:val="28"/>
          <w:szCs w:val="28"/>
          <w:lang w:val="en-US"/>
        </w:rPr>
        <w:t>,</w:t>
      </w:r>
      <w:r w:rsidR="00341AD7">
        <w:rPr>
          <w:rFonts w:ascii="Arial" w:hAnsi="Arial" w:cs="Arial"/>
          <w:sz w:val="28"/>
          <w:szCs w:val="28"/>
          <w:lang w:val="en-US"/>
        </w:rPr>
        <w:t xml:space="preserve"> which makes his disposition a </w:t>
      </w:r>
      <w:r w:rsidR="004675AD">
        <w:rPr>
          <w:rFonts w:ascii="Arial" w:hAnsi="Arial" w:cs="Arial"/>
          <w:sz w:val="28"/>
          <w:szCs w:val="28"/>
          <w:lang w:val="en-US"/>
        </w:rPr>
        <w:t>power</w:t>
      </w:r>
      <w:r w:rsidR="00341AD7">
        <w:rPr>
          <w:rFonts w:ascii="Arial" w:hAnsi="Arial" w:cs="Arial"/>
          <w:sz w:val="28"/>
          <w:szCs w:val="28"/>
          <w:lang w:val="en-US"/>
        </w:rPr>
        <w:t xml:space="preserve"> and </w:t>
      </w:r>
      <w:r w:rsidR="004675AD">
        <w:rPr>
          <w:rFonts w:ascii="Arial" w:hAnsi="Arial" w:cs="Arial"/>
          <w:sz w:val="28"/>
          <w:szCs w:val="28"/>
          <w:lang w:val="en-US"/>
        </w:rPr>
        <w:t xml:space="preserve">this does not make the distribution imperative (Watt, 2021, p. 87). Conversely, if the distribution was deemed as imperative and included the discretion for </w:t>
      </w:r>
      <w:r w:rsidR="004675AD">
        <w:rPr>
          <w:rFonts w:ascii="Arial" w:hAnsi="Arial" w:cs="Arial"/>
          <w:sz w:val="28"/>
          <w:szCs w:val="28"/>
          <w:lang w:val="en-US"/>
        </w:rPr>
        <w:lastRenderedPageBreak/>
        <w:t xml:space="preserve">the manner of distribution, then the disposition would be considered a discretionary trust as demonstrated in </w:t>
      </w:r>
      <w:r w:rsidR="004675AD">
        <w:rPr>
          <w:rFonts w:ascii="Arial" w:hAnsi="Arial" w:cs="Arial"/>
          <w:i/>
          <w:iCs/>
          <w:sz w:val="28"/>
          <w:szCs w:val="28"/>
          <w:lang w:val="en-US"/>
        </w:rPr>
        <w:t>‘</w:t>
      </w:r>
      <w:proofErr w:type="spellStart"/>
      <w:r w:rsidR="004675AD">
        <w:rPr>
          <w:rFonts w:ascii="Arial" w:hAnsi="Arial" w:cs="Arial"/>
          <w:i/>
          <w:iCs/>
          <w:sz w:val="28"/>
          <w:szCs w:val="28"/>
          <w:lang w:val="en-US"/>
        </w:rPr>
        <w:t>Mettoy</w:t>
      </w:r>
      <w:proofErr w:type="spellEnd"/>
      <w:r w:rsidR="004675AD">
        <w:rPr>
          <w:rFonts w:ascii="Arial" w:hAnsi="Arial" w:cs="Arial"/>
          <w:i/>
          <w:iCs/>
          <w:sz w:val="28"/>
          <w:szCs w:val="28"/>
          <w:lang w:val="en-US"/>
        </w:rPr>
        <w:t xml:space="preserve"> v Evans’ </w:t>
      </w:r>
      <w:r w:rsidR="004675AD">
        <w:rPr>
          <w:rFonts w:ascii="Arial" w:hAnsi="Arial" w:cs="Arial"/>
          <w:sz w:val="28"/>
          <w:szCs w:val="28"/>
          <w:lang w:val="en-US"/>
        </w:rPr>
        <w:t>(1990). Furthermore,</w:t>
      </w:r>
      <w:r w:rsidR="00DF5996">
        <w:rPr>
          <w:rFonts w:ascii="Arial" w:hAnsi="Arial" w:cs="Arial"/>
          <w:sz w:val="28"/>
          <w:szCs w:val="28"/>
          <w:lang w:val="en-US"/>
        </w:rPr>
        <w:t xml:space="preserve"> before the case of </w:t>
      </w:r>
      <w:r w:rsidR="00DF5996">
        <w:rPr>
          <w:rFonts w:ascii="Arial" w:hAnsi="Arial" w:cs="Arial"/>
          <w:i/>
          <w:iCs/>
          <w:sz w:val="28"/>
          <w:szCs w:val="28"/>
          <w:lang w:val="en-US"/>
        </w:rPr>
        <w:t xml:space="preserve">‘Re Baden’ (No.2) </w:t>
      </w:r>
      <w:r w:rsidR="00DF5996">
        <w:rPr>
          <w:rFonts w:ascii="Arial" w:hAnsi="Arial" w:cs="Arial"/>
          <w:sz w:val="28"/>
          <w:szCs w:val="28"/>
          <w:lang w:val="en-US"/>
        </w:rPr>
        <w:t>(</w:t>
      </w:r>
      <w:r w:rsidR="0061427E">
        <w:rPr>
          <w:rFonts w:ascii="Arial" w:hAnsi="Arial" w:cs="Arial"/>
          <w:sz w:val="28"/>
          <w:szCs w:val="28"/>
          <w:lang w:val="en-US"/>
        </w:rPr>
        <w:t xml:space="preserve">1973), </w:t>
      </w:r>
      <w:r w:rsidR="004675AD">
        <w:rPr>
          <w:rFonts w:ascii="Arial" w:hAnsi="Arial" w:cs="Arial"/>
          <w:sz w:val="28"/>
          <w:szCs w:val="28"/>
          <w:lang w:val="en-US"/>
        </w:rPr>
        <w:t xml:space="preserve"> </w:t>
      </w:r>
      <w:r w:rsidR="00DF5996">
        <w:rPr>
          <w:rFonts w:ascii="Arial" w:hAnsi="Arial" w:cs="Arial"/>
          <w:sz w:val="28"/>
          <w:szCs w:val="28"/>
          <w:lang w:val="en-US"/>
        </w:rPr>
        <w:t xml:space="preserve">the word ‘Relations’ in Simon’s disposition would </w:t>
      </w:r>
      <w:r w:rsidR="0061427E">
        <w:rPr>
          <w:rFonts w:ascii="Arial" w:hAnsi="Arial" w:cs="Arial"/>
          <w:sz w:val="28"/>
          <w:szCs w:val="28"/>
          <w:lang w:val="en-US"/>
        </w:rPr>
        <w:t xml:space="preserve">have been deemed as conceptually uncertainty, however, the court expressed in this case that the term ‘Relatives’ should not render a disposition void for the reason that the word ‘relatives’ should be assessed as any ‘legal next of kin’ to the settlor; </w:t>
      </w:r>
      <w:r w:rsidR="00703535">
        <w:rPr>
          <w:rFonts w:ascii="Arial" w:hAnsi="Arial" w:cs="Arial"/>
          <w:sz w:val="28"/>
          <w:szCs w:val="28"/>
          <w:lang w:val="en-US"/>
        </w:rPr>
        <w:t>As</w:t>
      </w:r>
      <w:r w:rsidR="00BD6D7A">
        <w:rPr>
          <w:rFonts w:ascii="Arial" w:hAnsi="Arial" w:cs="Arial"/>
          <w:sz w:val="28"/>
          <w:szCs w:val="28"/>
          <w:lang w:val="en-US"/>
        </w:rPr>
        <w:t xml:space="preserve"> a</w:t>
      </w:r>
      <w:r w:rsidR="00703535">
        <w:rPr>
          <w:rFonts w:ascii="Arial" w:hAnsi="Arial" w:cs="Arial"/>
          <w:sz w:val="28"/>
          <w:szCs w:val="28"/>
          <w:lang w:val="en-US"/>
        </w:rPr>
        <w:t xml:space="preserve"> result</w:t>
      </w:r>
      <w:r w:rsidR="0061427E">
        <w:rPr>
          <w:rFonts w:ascii="Arial" w:hAnsi="Arial" w:cs="Arial"/>
          <w:sz w:val="28"/>
          <w:szCs w:val="28"/>
          <w:lang w:val="en-US"/>
        </w:rPr>
        <w:t xml:space="preserve">, </w:t>
      </w:r>
      <w:r w:rsidR="00703535">
        <w:rPr>
          <w:rFonts w:ascii="Arial" w:hAnsi="Arial" w:cs="Arial"/>
          <w:sz w:val="28"/>
          <w:szCs w:val="28"/>
          <w:lang w:val="en-US"/>
        </w:rPr>
        <w:t>the ‘individual ascertainability test’ could be used to properly classify Simon’s beneficiaries, therefore</w:t>
      </w:r>
      <w:r w:rsidR="00421086">
        <w:rPr>
          <w:rFonts w:ascii="Arial" w:hAnsi="Arial" w:cs="Arial"/>
          <w:sz w:val="28"/>
          <w:szCs w:val="28"/>
          <w:lang w:val="en-US"/>
        </w:rPr>
        <w:t xml:space="preserve">, making his disposition valid. Conversely, </w:t>
      </w:r>
      <w:r w:rsidR="00523351">
        <w:rPr>
          <w:rFonts w:ascii="Arial" w:hAnsi="Arial" w:cs="Arial"/>
          <w:sz w:val="28"/>
          <w:szCs w:val="28"/>
          <w:lang w:val="en-US"/>
        </w:rPr>
        <w:t xml:space="preserve">if Simon’s wording was changed to ‘my friends’, it would render the disposition void for the reason that the term itself </w:t>
      </w:r>
      <w:r w:rsidR="00CC3E8E">
        <w:rPr>
          <w:rFonts w:ascii="Arial" w:hAnsi="Arial" w:cs="Arial"/>
          <w:sz w:val="28"/>
          <w:szCs w:val="28"/>
          <w:lang w:val="en-US"/>
        </w:rPr>
        <w:t xml:space="preserve">is </w:t>
      </w:r>
      <w:r w:rsidR="00523351">
        <w:rPr>
          <w:rFonts w:ascii="Arial" w:hAnsi="Arial" w:cs="Arial"/>
          <w:sz w:val="28"/>
          <w:szCs w:val="28"/>
          <w:lang w:val="en-US"/>
        </w:rPr>
        <w:t>conceptually uncertain</w:t>
      </w:r>
      <w:r w:rsidR="00CC3E8E">
        <w:rPr>
          <w:rFonts w:ascii="Arial" w:hAnsi="Arial" w:cs="Arial"/>
          <w:sz w:val="28"/>
          <w:szCs w:val="28"/>
          <w:lang w:val="en-US"/>
        </w:rPr>
        <w:t xml:space="preserve"> and a usable definition would be difficult to agree upon by the court as was the case in </w:t>
      </w:r>
      <w:r w:rsidR="00CC3E8E">
        <w:rPr>
          <w:rFonts w:ascii="Arial" w:hAnsi="Arial" w:cs="Arial"/>
          <w:i/>
          <w:iCs/>
          <w:sz w:val="28"/>
          <w:szCs w:val="28"/>
          <w:lang w:val="en-US"/>
        </w:rPr>
        <w:t xml:space="preserve">‘Re Gulbenkian’s Settlement’ </w:t>
      </w:r>
      <w:r w:rsidR="00CC3E8E">
        <w:rPr>
          <w:rFonts w:ascii="Arial" w:hAnsi="Arial" w:cs="Arial"/>
          <w:sz w:val="28"/>
          <w:szCs w:val="28"/>
          <w:lang w:val="en-US"/>
        </w:rPr>
        <w:t xml:space="preserve">(1970). </w:t>
      </w:r>
    </w:p>
    <w:p w14:paraId="2BB21FD2" w14:textId="77777777" w:rsidR="00CC3E8E" w:rsidRDefault="00CC3E8E" w:rsidP="008B3367">
      <w:pPr>
        <w:spacing w:line="480" w:lineRule="auto"/>
        <w:rPr>
          <w:rFonts w:ascii="Arial" w:hAnsi="Arial" w:cs="Arial"/>
          <w:sz w:val="28"/>
          <w:szCs w:val="28"/>
          <w:lang w:val="en-US"/>
        </w:rPr>
      </w:pPr>
    </w:p>
    <w:p w14:paraId="20109079" w14:textId="36851DCC" w:rsidR="003B34C7" w:rsidRDefault="00CC3E8E" w:rsidP="00EB38F6">
      <w:pPr>
        <w:spacing w:line="480" w:lineRule="auto"/>
        <w:rPr>
          <w:rFonts w:ascii="Arial" w:hAnsi="Arial" w:cs="Arial"/>
          <w:sz w:val="28"/>
          <w:szCs w:val="28"/>
          <w:lang w:val="en-US"/>
        </w:rPr>
      </w:pPr>
      <w:r>
        <w:rPr>
          <w:rFonts w:ascii="Arial" w:hAnsi="Arial" w:cs="Arial"/>
          <w:sz w:val="28"/>
          <w:szCs w:val="28"/>
          <w:lang w:val="en-US"/>
        </w:rPr>
        <w:t xml:space="preserve">D) </w:t>
      </w:r>
      <w:r w:rsidR="00FA262D">
        <w:rPr>
          <w:rFonts w:ascii="Arial" w:hAnsi="Arial" w:cs="Arial"/>
          <w:sz w:val="28"/>
          <w:szCs w:val="28"/>
          <w:lang w:val="en-US"/>
        </w:rPr>
        <w:t xml:space="preserve">During circumstances where </w:t>
      </w:r>
      <w:r w:rsidR="002235ED">
        <w:rPr>
          <w:rFonts w:ascii="Arial" w:hAnsi="Arial" w:cs="Arial"/>
          <w:sz w:val="28"/>
          <w:szCs w:val="28"/>
          <w:lang w:val="en-US"/>
        </w:rPr>
        <w:t xml:space="preserve">a </w:t>
      </w:r>
      <w:r w:rsidR="00FA262D">
        <w:rPr>
          <w:rFonts w:ascii="Arial" w:hAnsi="Arial" w:cs="Arial"/>
          <w:sz w:val="28"/>
          <w:szCs w:val="28"/>
          <w:lang w:val="en-US"/>
        </w:rPr>
        <w:t xml:space="preserve">settlor </w:t>
      </w:r>
      <w:r w:rsidR="002235ED">
        <w:rPr>
          <w:rFonts w:ascii="Arial" w:hAnsi="Arial" w:cs="Arial"/>
          <w:sz w:val="28"/>
          <w:szCs w:val="28"/>
          <w:lang w:val="en-US"/>
        </w:rPr>
        <w:t xml:space="preserve">claims to declare </w:t>
      </w:r>
      <w:r w:rsidR="00B351AD">
        <w:rPr>
          <w:rFonts w:ascii="Arial" w:hAnsi="Arial" w:cs="Arial"/>
          <w:sz w:val="28"/>
          <w:szCs w:val="28"/>
          <w:lang w:val="en-US"/>
        </w:rPr>
        <w:t xml:space="preserve">a trust that involves the division of a property between beneficiaries, the court would need sufficient certainty about who are the possible beneficiaries (objects) and what are their shares (Wilde, 2020, p. 349). </w:t>
      </w:r>
      <w:r w:rsidR="00990AB0">
        <w:rPr>
          <w:rFonts w:ascii="Arial" w:hAnsi="Arial" w:cs="Arial"/>
          <w:sz w:val="28"/>
          <w:szCs w:val="28"/>
          <w:lang w:val="en-US"/>
        </w:rPr>
        <w:t xml:space="preserve">Moreover, the wording in Simon’s disposition illustrates that his creating a discretionary trust for the reason that there is an obligation for the trustees to distribute </w:t>
      </w:r>
      <w:r w:rsidR="00095F49">
        <w:rPr>
          <w:rFonts w:ascii="Arial" w:hAnsi="Arial" w:cs="Arial"/>
          <w:sz w:val="28"/>
          <w:szCs w:val="28"/>
          <w:lang w:val="en-US"/>
        </w:rPr>
        <w:t xml:space="preserve">a </w:t>
      </w:r>
      <w:r w:rsidR="00990AB0">
        <w:rPr>
          <w:rFonts w:ascii="Arial" w:hAnsi="Arial" w:cs="Arial"/>
          <w:sz w:val="28"/>
          <w:szCs w:val="28"/>
          <w:lang w:val="en-US"/>
        </w:rPr>
        <w:t xml:space="preserve">property </w:t>
      </w:r>
      <w:r w:rsidR="00990AB0">
        <w:rPr>
          <w:rFonts w:ascii="Arial" w:hAnsi="Arial" w:cs="Arial"/>
          <w:sz w:val="28"/>
          <w:szCs w:val="28"/>
          <w:lang w:val="en-US"/>
        </w:rPr>
        <w:lastRenderedPageBreak/>
        <w:t xml:space="preserve">(trust) together with a discretion as to the manner which it should be distributed </w:t>
      </w:r>
      <w:r w:rsidR="00067E59">
        <w:rPr>
          <w:rFonts w:ascii="Arial" w:hAnsi="Arial" w:cs="Arial"/>
          <w:sz w:val="28"/>
          <w:szCs w:val="28"/>
          <w:lang w:val="en-US"/>
        </w:rPr>
        <w:t>(discretionary) (Harvard Law Review, 1894, p. 490).</w:t>
      </w:r>
      <w:r w:rsidR="002563D9">
        <w:rPr>
          <w:rFonts w:ascii="Arial" w:hAnsi="Arial" w:cs="Arial"/>
          <w:sz w:val="28"/>
          <w:szCs w:val="28"/>
          <w:lang w:val="en-US"/>
        </w:rPr>
        <w:t xml:space="preserve"> </w:t>
      </w:r>
      <w:r w:rsidR="0053753F">
        <w:rPr>
          <w:rFonts w:ascii="Arial" w:hAnsi="Arial" w:cs="Arial"/>
          <w:sz w:val="28"/>
          <w:szCs w:val="28"/>
          <w:lang w:val="en-US"/>
        </w:rPr>
        <w:t xml:space="preserve">It should be noted that </w:t>
      </w:r>
      <w:r w:rsidR="00A60399">
        <w:rPr>
          <w:rFonts w:ascii="Arial" w:hAnsi="Arial" w:cs="Arial"/>
          <w:sz w:val="28"/>
          <w:szCs w:val="28"/>
          <w:lang w:val="en-US"/>
        </w:rPr>
        <w:t xml:space="preserve">Discretionary trusts </w:t>
      </w:r>
      <w:r w:rsidR="0053753F">
        <w:rPr>
          <w:rFonts w:ascii="Arial" w:hAnsi="Arial" w:cs="Arial"/>
          <w:sz w:val="28"/>
          <w:szCs w:val="28"/>
          <w:lang w:val="en-US"/>
        </w:rPr>
        <w:t xml:space="preserve">are forms of dispositions that would </w:t>
      </w:r>
      <w:r w:rsidR="00A60399">
        <w:rPr>
          <w:rFonts w:ascii="Arial" w:hAnsi="Arial" w:cs="Arial"/>
          <w:sz w:val="28"/>
          <w:szCs w:val="28"/>
          <w:lang w:val="en-US"/>
        </w:rPr>
        <w:t>r</w:t>
      </w:r>
      <w:r w:rsidR="0053753F">
        <w:rPr>
          <w:rFonts w:ascii="Arial" w:hAnsi="Arial" w:cs="Arial"/>
          <w:sz w:val="28"/>
          <w:szCs w:val="28"/>
          <w:lang w:val="en-US"/>
        </w:rPr>
        <w:t>equire a settlor to use words that are sufficiently clear</w:t>
      </w:r>
      <w:r w:rsidR="00E75922">
        <w:rPr>
          <w:rFonts w:ascii="Arial" w:hAnsi="Arial" w:cs="Arial"/>
          <w:sz w:val="28"/>
          <w:szCs w:val="28"/>
          <w:lang w:val="en-US"/>
        </w:rPr>
        <w:t xml:space="preserve"> (conceptually certain)</w:t>
      </w:r>
      <w:r w:rsidR="0053753F">
        <w:rPr>
          <w:rFonts w:ascii="Arial" w:hAnsi="Arial" w:cs="Arial"/>
          <w:sz w:val="28"/>
          <w:szCs w:val="28"/>
          <w:lang w:val="en-US"/>
        </w:rPr>
        <w:t xml:space="preserve"> and definite</w:t>
      </w:r>
      <w:r w:rsidR="001B53AE">
        <w:rPr>
          <w:rFonts w:ascii="Arial" w:hAnsi="Arial" w:cs="Arial"/>
          <w:sz w:val="28"/>
          <w:szCs w:val="28"/>
          <w:lang w:val="en-US"/>
        </w:rPr>
        <w:t xml:space="preserve"> </w:t>
      </w:r>
      <w:r w:rsidR="00095F49">
        <w:rPr>
          <w:rFonts w:ascii="Arial" w:hAnsi="Arial" w:cs="Arial"/>
          <w:sz w:val="28"/>
          <w:szCs w:val="28"/>
          <w:lang w:val="en-US"/>
        </w:rPr>
        <w:t>as</w:t>
      </w:r>
      <w:r w:rsidR="0053753F">
        <w:rPr>
          <w:rFonts w:ascii="Arial" w:hAnsi="Arial" w:cs="Arial"/>
          <w:sz w:val="28"/>
          <w:szCs w:val="28"/>
          <w:lang w:val="en-US"/>
        </w:rPr>
        <w:t xml:space="preserve"> that</w:t>
      </w:r>
      <w:r w:rsidR="00095F49">
        <w:rPr>
          <w:rFonts w:ascii="Arial" w:hAnsi="Arial" w:cs="Arial"/>
          <w:sz w:val="28"/>
          <w:szCs w:val="28"/>
          <w:lang w:val="en-US"/>
        </w:rPr>
        <w:t xml:space="preserve"> </w:t>
      </w:r>
      <w:r w:rsidR="0053753F">
        <w:rPr>
          <w:rFonts w:ascii="Arial" w:hAnsi="Arial" w:cs="Arial"/>
          <w:sz w:val="28"/>
          <w:szCs w:val="28"/>
          <w:lang w:val="en-US"/>
        </w:rPr>
        <w:t>would enable the trustee</w:t>
      </w:r>
      <w:r w:rsidR="00D72135">
        <w:rPr>
          <w:rFonts w:ascii="Arial" w:hAnsi="Arial" w:cs="Arial"/>
          <w:sz w:val="28"/>
          <w:szCs w:val="28"/>
          <w:lang w:val="en-US"/>
        </w:rPr>
        <w:t xml:space="preserve">s of the Will to make decisions regarding whether an individual is or is not a member of the class of potential beneficiaries </w:t>
      </w:r>
      <w:r w:rsidR="00D617BF">
        <w:rPr>
          <w:rFonts w:ascii="Arial" w:hAnsi="Arial" w:cs="Arial"/>
          <w:sz w:val="28"/>
          <w:szCs w:val="28"/>
          <w:lang w:val="en-US"/>
        </w:rPr>
        <w:t>of</w:t>
      </w:r>
      <w:r w:rsidR="00D72135">
        <w:rPr>
          <w:rFonts w:ascii="Arial" w:hAnsi="Arial" w:cs="Arial"/>
          <w:sz w:val="28"/>
          <w:szCs w:val="28"/>
          <w:lang w:val="en-US"/>
        </w:rPr>
        <w:t xml:space="preserve"> the </w:t>
      </w:r>
      <w:r w:rsidR="00D617BF">
        <w:rPr>
          <w:rFonts w:ascii="Arial" w:hAnsi="Arial" w:cs="Arial"/>
          <w:sz w:val="28"/>
          <w:szCs w:val="28"/>
          <w:lang w:val="en-US"/>
        </w:rPr>
        <w:t>W</w:t>
      </w:r>
      <w:r w:rsidR="00D72135">
        <w:rPr>
          <w:rFonts w:ascii="Arial" w:hAnsi="Arial" w:cs="Arial"/>
          <w:sz w:val="28"/>
          <w:szCs w:val="28"/>
          <w:lang w:val="en-US"/>
        </w:rPr>
        <w:t xml:space="preserve">ill </w:t>
      </w:r>
      <w:r w:rsidR="00663518">
        <w:rPr>
          <w:rFonts w:ascii="Arial" w:hAnsi="Arial" w:cs="Arial"/>
          <w:sz w:val="28"/>
          <w:szCs w:val="28"/>
          <w:lang w:val="en-US"/>
        </w:rPr>
        <w:t xml:space="preserve">(Hopkins, 1970, p. 206). Consequently, </w:t>
      </w:r>
      <w:r w:rsidR="001B53AE">
        <w:rPr>
          <w:rFonts w:ascii="Arial" w:hAnsi="Arial" w:cs="Arial"/>
          <w:sz w:val="28"/>
          <w:szCs w:val="28"/>
          <w:lang w:val="en-US"/>
        </w:rPr>
        <w:t xml:space="preserve">the class of beneficiaries that Simon listed in </w:t>
      </w:r>
      <w:r w:rsidR="00D617BF">
        <w:rPr>
          <w:rFonts w:ascii="Arial" w:hAnsi="Arial" w:cs="Arial"/>
          <w:sz w:val="28"/>
          <w:szCs w:val="28"/>
          <w:lang w:val="en-US"/>
        </w:rPr>
        <w:t>his</w:t>
      </w:r>
      <w:r w:rsidR="001B53AE">
        <w:rPr>
          <w:rFonts w:ascii="Arial" w:hAnsi="Arial" w:cs="Arial"/>
          <w:sz w:val="28"/>
          <w:szCs w:val="28"/>
          <w:lang w:val="en-US"/>
        </w:rPr>
        <w:t xml:space="preserve"> Will</w:t>
      </w:r>
      <w:r w:rsidR="00D617BF">
        <w:rPr>
          <w:rFonts w:ascii="Arial" w:hAnsi="Arial" w:cs="Arial"/>
          <w:sz w:val="28"/>
          <w:szCs w:val="28"/>
          <w:lang w:val="en-US"/>
        </w:rPr>
        <w:t>,</w:t>
      </w:r>
      <w:r w:rsidR="001B53AE">
        <w:rPr>
          <w:rFonts w:ascii="Arial" w:hAnsi="Arial" w:cs="Arial"/>
          <w:sz w:val="28"/>
          <w:szCs w:val="28"/>
          <w:lang w:val="en-US"/>
        </w:rPr>
        <w:t xml:space="preserve"> (inhabitants of Swansea) </w:t>
      </w:r>
      <w:r w:rsidR="00C03B5E">
        <w:rPr>
          <w:rFonts w:ascii="Arial" w:hAnsi="Arial" w:cs="Arial"/>
          <w:sz w:val="28"/>
          <w:szCs w:val="28"/>
          <w:lang w:val="en-US"/>
        </w:rPr>
        <w:t xml:space="preserve">causes an issue because it cannot be said with certainty who falls under this list or whether a given individual is or is not a member of the class </w:t>
      </w:r>
      <w:r w:rsidR="005F76BB">
        <w:rPr>
          <w:rFonts w:ascii="Arial" w:hAnsi="Arial" w:cs="Arial"/>
          <w:sz w:val="28"/>
          <w:szCs w:val="28"/>
          <w:lang w:val="en-US"/>
        </w:rPr>
        <w:t>(Watt, 2021, p. 88).</w:t>
      </w:r>
      <w:r w:rsidR="006B4AA4">
        <w:rPr>
          <w:rFonts w:ascii="Arial" w:hAnsi="Arial" w:cs="Arial"/>
          <w:sz w:val="28"/>
          <w:szCs w:val="28"/>
          <w:lang w:val="en-US"/>
        </w:rPr>
        <w:t xml:space="preserve"> </w:t>
      </w:r>
      <w:r w:rsidR="00143888">
        <w:rPr>
          <w:rFonts w:ascii="Arial" w:hAnsi="Arial" w:cs="Arial"/>
          <w:sz w:val="28"/>
          <w:szCs w:val="28"/>
          <w:lang w:val="en-US"/>
        </w:rPr>
        <w:t>To clarify, the court expresses that the class of beneficiaries for</w:t>
      </w:r>
      <w:r w:rsidR="00CD082C">
        <w:rPr>
          <w:rFonts w:ascii="Arial" w:hAnsi="Arial" w:cs="Arial"/>
          <w:sz w:val="28"/>
          <w:szCs w:val="28"/>
          <w:lang w:val="en-US"/>
        </w:rPr>
        <w:t xml:space="preserve"> a</w:t>
      </w:r>
      <w:r w:rsidR="00143888">
        <w:rPr>
          <w:rFonts w:ascii="Arial" w:hAnsi="Arial" w:cs="Arial"/>
          <w:sz w:val="28"/>
          <w:szCs w:val="28"/>
          <w:lang w:val="en-US"/>
        </w:rPr>
        <w:t xml:space="preserve"> property must </w:t>
      </w:r>
      <w:r w:rsidR="00CD082C">
        <w:rPr>
          <w:rFonts w:ascii="Arial" w:hAnsi="Arial" w:cs="Arial"/>
          <w:sz w:val="28"/>
          <w:szCs w:val="28"/>
          <w:lang w:val="en-US"/>
        </w:rPr>
        <w:t xml:space="preserve">have a precise meaning as viewed in the case of </w:t>
      </w:r>
      <w:r w:rsidR="00CD082C">
        <w:rPr>
          <w:rFonts w:ascii="Arial" w:hAnsi="Arial" w:cs="Arial"/>
          <w:i/>
          <w:iCs/>
          <w:sz w:val="28"/>
          <w:szCs w:val="28"/>
          <w:lang w:val="en-US"/>
        </w:rPr>
        <w:t>‘</w:t>
      </w:r>
      <w:r w:rsidR="006B4AA4">
        <w:rPr>
          <w:rFonts w:ascii="Arial" w:hAnsi="Arial" w:cs="Arial"/>
          <w:i/>
          <w:iCs/>
          <w:sz w:val="28"/>
          <w:szCs w:val="28"/>
          <w:lang w:val="en-US"/>
        </w:rPr>
        <w:t xml:space="preserve">Re Tuck’s Settlement Trust’ </w:t>
      </w:r>
      <w:r w:rsidR="006B4AA4">
        <w:rPr>
          <w:rFonts w:ascii="Arial" w:hAnsi="Arial" w:cs="Arial"/>
          <w:sz w:val="28"/>
          <w:szCs w:val="28"/>
          <w:lang w:val="en-US"/>
        </w:rPr>
        <w:t>(1978)</w:t>
      </w:r>
      <w:r w:rsidR="00CD082C">
        <w:rPr>
          <w:rFonts w:ascii="Arial" w:hAnsi="Arial" w:cs="Arial"/>
          <w:sz w:val="28"/>
          <w:szCs w:val="28"/>
          <w:lang w:val="en-US"/>
        </w:rPr>
        <w:t xml:space="preserve">, where it was held that the term ‘Jewish’ is more precise than simply listing ‘friends’, since a trustee </w:t>
      </w:r>
      <w:r w:rsidR="006B4AA4">
        <w:rPr>
          <w:rFonts w:ascii="Arial" w:hAnsi="Arial" w:cs="Arial"/>
          <w:sz w:val="28"/>
          <w:szCs w:val="28"/>
          <w:lang w:val="en-US"/>
        </w:rPr>
        <w:t>will be</w:t>
      </w:r>
      <w:r w:rsidR="00CD082C">
        <w:rPr>
          <w:rFonts w:ascii="Arial" w:hAnsi="Arial" w:cs="Arial"/>
          <w:sz w:val="28"/>
          <w:szCs w:val="28"/>
          <w:lang w:val="en-US"/>
        </w:rPr>
        <w:t xml:space="preserve"> more adept to define the former better than the latter. </w:t>
      </w:r>
      <w:r w:rsidR="00095F49">
        <w:rPr>
          <w:rFonts w:ascii="Arial" w:hAnsi="Arial" w:cs="Arial"/>
          <w:sz w:val="28"/>
          <w:szCs w:val="28"/>
          <w:lang w:val="en-US"/>
        </w:rPr>
        <w:t xml:space="preserve">However, </w:t>
      </w:r>
      <w:r w:rsidR="005F0CA3">
        <w:rPr>
          <w:rFonts w:ascii="Arial" w:hAnsi="Arial" w:cs="Arial"/>
          <w:sz w:val="28"/>
          <w:szCs w:val="28"/>
          <w:lang w:val="en-US"/>
        </w:rPr>
        <w:t xml:space="preserve">the decision made by the court </w:t>
      </w:r>
      <w:r w:rsidR="00095F49">
        <w:rPr>
          <w:rFonts w:ascii="Arial" w:hAnsi="Arial" w:cs="Arial"/>
          <w:sz w:val="28"/>
          <w:szCs w:val="28"/>
          <w:lang w:val="en-US"/>
        </w:rPr>
        <w:t xml:space="preserve">in </w:t>
      </w:r>
      <w:r w:rsidR="00986EEF">
        <w:rPr>
          <w:rFonts w:ascii="Arial" w:hAnsi="Arial" w:cs="Arial"/>
          <w:sz w:val="28"/>
          <w:szCs w:val="28"/>
          <w:lang w:val="en-US"/>
        </w:rPr>
        <w:t xml:space="preserve">the case of </w:t>
      </w:r>
      <w:r w:rsidR="00986EEF">
        <w:rPr>
          <w:rFonts w:ascii="Arial" w:hAnsi="Arial" w:cs="Arial"/>
          <w:i/>
          <w:iCs/>
          <w:sz w:val="28"/>
          <w:szCs w:val="28"/>
          <w:lang w:val="en-US"/>
        </w:rPr>
        <w:t xml:space="preserve">‘McPhail v Doulton’ </w:t>
      </w:r>
      <w:r w:rsidR="00986EEF">
        <w:rPr>
          <w:rFonts w:ascii="Arial" w:hAnsi="Arial" w:cs="Arial"/>
          <w:sz w:val="28"/>
          <w:szCs w:val="28"/>
          <w:lang w:val="en-US"/>
        </w:rPr>
        <w:t xml:space="preserve">(1971) </w:t>
      </w:r>
      <w:r w:rsidR="005F0CA3">
        <w:rPr>
          <w:rFonts w:ascii="Arial" w:hAnsi="Arial" w:cs="Arial"/>
          <w:sz w:val="28"/>
          <w:szCs w:val="28"/>
          <w:lang w:val="en-US"/>
        </w:rPr>
        <w:t xml:space="preserve">changed this requirement for discretionary trust by demonstrating that such </w:t>
      </w:r>
      <w:r w:rsidR="00F76BFF">
        <w:rPr>
          <w:rFonts w:ascii="Arial" w:hAnsi="Arial" w:cs="Arial"/>
          <w:sz w:val="28"/>
          <w:szCs w:val="28"/>
          <w:lang w:val="en-US"/>
        </w:rPr>
        <w:t xml:space="preserve">a </w:t>
      </w:r>
      <w:r w:rsidR="005F0CA3">
        <w:rPr>
          <w:rFonts w:ascii="Arial" w:hAnsi="Arial" w:cs="Arial"/>
          <w:sz w:val="28"/>
          <w:szCs w:val="28"/>
          <w:lang w:val="en-US"/>
        </w:rPr>
        <w:t>trust would not become void for uncertainty of object</w:t>
      </w:r>
      <w:r w:rsidR="00F76BFF">
        <w:rPr>
          <w:rFonts w:ascii="Arial" w:hAnsi="Arial" w:cs="Arial"/>
          <w:sz w:val="28"/>
          <w:szCs w:val="28"/>
          <w:lang w:val="en-US"/>
        </w:rPr>
        <w:t>,</w:t>
      </w:r>
      <w:r w:rsidR="005F0CA3">
        <w:rPr>
          <w:rFonts w:ascii="Arial" w:hAnsi="Arial" w:cs="Arial"/>
          <w:sz w:val="28"/>
          <w:szCs w:val="28"/>
          <w:lang w:val="en-US"/>
        </w:rPr>
        <w:t xml:space="preserve"> </w:t>
      </w:r>
      <w:r w:rsidR="00CA0787">
        <w:rPr>
          <w:rFonts w:ascii="Arial" w:hAnsi="Arial" w:cs="Arial"/>
          <w:sz w:val="28"/>
          <w:szCs w:val="28"/>
          <w:lang w:val="en-US"/>
        </w:rPr>
        <w:t xml:space="preserve">even if it is impractical to </w:t>
      </w:r>
      <w:r w:rsidR="00F76BFF">
        <w:rPr>
          <w:rFonts w:ascii="Arial" w:hAnsi="Arial" w:cs="Arial"/>
          <w:sz w:val="28"/>
          <w:szCs w:val="28"/>
          <w:lang w:val="en-US"/>
        </w:rPr>
        <w:t xml:space="preserve">frame a complete fixed list of all the potential beneficiaries inside the class as it is the case with Simon’s beneficiaries (inhabitants of </w:t>
      </w:r>
      <w:r w:rsidR="00F76BFF">
        <w:rPr>
          <w:rFonts w:ascii="Arial" w:hAnsi="Arial" w:cs="Arial"/>
          <w:sz w:val="28"/>
          <w:szCs w:val="28"/>
          <w:lang w:val="en-US"/>
        </w:rPr>
        <w:lastRenderedPageBreak/>
        <w:t xml:space="preserve">Swansea). </w:t>
      </w:r>
      <w:r w:rsidR="00E75922">
        <w:rPr>
          <w:rFonts w:ascii="Arial" w:hAnsi="Arial" w:cs="Arial"/>
          <w:sz w:val="28"/>
          <w:szCs w:val="28"/>
          <w:lang w:val="en-US"/>
        </w:rPr>
        <w:t>Moreover, Simon’s trust could possibly fail in view of the fact that</w:t>
      </w:r>
      <w:r w:rsidR="00BD6D7A">
        <w:rPr>
          <w:rFonts w:ascii="Arial" w:hAnsi="Arial" w:cs="Arial"/>
          <w:sz w:val="28"/>
          <w:szCs w:val="28"/>
          <w:lang w:val="en-US"/>
        </w:rPr>
        <w:t xml:space="preserve"> there</w:t>
      </w:r>
      <w:r w:rsidR="00E75922">
        <w:rPr>
          <w:rFonts w:ascii="Arial" w:hAnsi="Arial" w:cs="Arial"/>
          <w:sz w:val="28"/>
          <w:szCs w:val="28"/>
          <w:lang w:val="en-US"/>
        </w:rPr>
        <w:t xml:space="preserve"> are no clear criteria for </w:t>
      </w:r>
      <w:r w:rsidR="001D3CC2">
        <w:rPr>
          <w:rFonts w:ascii="Arial" w:hAnsi="Arial" w:cs="Arial"/>
          <w:sz w:val="28"/>
          <w:szCs w:val="28"/>
          <w:lang w:val="en-US"/>
        </w:rPr>
        <w:t>selecting from a vast and administratively unworkable diverse mass of potential beneficiaries like ‘Inhabitants of Swansea’ (Wilde, 2020, p. 354).</w:t>
      </w:r>
      <w:r w:rsidR="006A085E">
        <w:rPr>
          <w:rFonts w:ascii="Arial" w:hAnsi="Arial" w:cs="Arial"/>
          <w:sz w:val="28"/>
          <w:szCs w:val="28"/>
          <w:lang w:val="en-US"/>
        </w:rPr>
        <w:t xml:space="preserve"> Comparable </w:t>
      </w:r>
      <w:r w:rsidR="00E94CED">
        <w:rPr>
          <w:rFonts w:ascii="Arial" w:hAnsi="Arial" w:cs="Arial"/>
          <w:sz w:val="28"/>
          <w:szCs w:val="28"/>
          <w:lang w:val="en-US"/>
        </w:rPr>
        <w:t>to Simon’s trust</w:t>
      </w:r>
      <w:r w:rsidR="002E22FB">
        <w:rPr>
          <w:rFonts w:ascii="Arial" w:hAnsi="Arial" w:cs="Arial"/>
          <w:sz w:val="28"/>
          <w:szCs w:val="28"/>
          <w:lang w:val="en-US"/>
        </w:rPr>
        <w:t xml:space="preserve">, the case of </w:t>
      </w:r>
      <w:r w:rsidR="002E22FB">
        <w:rPr>
          <w:rFonts w:ascii="Arial" w:hAnsi="Arial" w:cs="Arial"/>
          <w:i/>
          <w:iCs/>
          <w:sz w:val="28"/>
          <w:szCs w:val="28"/>
          <w:lang w:val="en-US"/>
        </w:rPr>
        <w:t xml:space="preserve">‘R v District Auditor of West Yorkshire MCC </w:t>
      </w:r>
      <w:r w:rsidR="002E22FB">
        <w:rPr>
          <w:rFonts w:ascii="Arial" w:hAnsi="Arial" w:cs="Arial"/>
          <w:sz w:val="28"/>
          <w:szCs w:val="28"/>
          <w:lang w:val="en-US"/>
        </w:rPr>
        <w:t xml:space="preserve">(1986) </w:t>
      </w:r>
      <w:r w:rsidR="00E94CED">
        <w:rPr>
          <w:rFonts w:ascii="Arial" w:hAnsi="Arial" w:cs="Arial"/>
          <w:sz w:val="28"/>
          <w:szCs w:val="28"/>
          <w:lang w:val="en-US"/>
        </w:rPr>
        <w:t>illustrates an example of an administratively unworkable, where the settlor provided a trust for the benefit of ‘inhabitants of the county of West Yorkshire’ and the court held that this trust must be invali</w:t>
      </w:r>
      <w:r w:rsidR="00975A00">
        <w:rPr>
          <w:rFonts w:ascii="Arial" w:hAnsi="Arial" w:cs="Arial"/>
          <w:sz w:val="28"/>
          <w:szCs w:val="28"/>
          <w:lang w:val="en-US"/>
        </w:rPr>
        <w:t xml:space="preserve">d. </w:t>
      </w:r>
      <w:r w:rsidR="006A085E">
        <w:rPr>
          <w:rFonts w:ascii="Arial" w:hAnsi="Arial" w:cs="Arial"/>
          <w:sz w:val="28"/>
          <w:szCs w:val="28"/>
          <w:lang w:val="en-US"/>
        </w:rPr>
        <w:t>Therefore,</w:t>
      </w:r>
      <w:r w:rsidR="002F6725">
        <w:rPr>
          <w:rFonts w:ascii="Arial" w:hAnsi="Arial" w:cs="Arial"/>
          <w:sz w:val="28"/>
          <w:szCs w:val="28"/>
          <w:lang w:val="en-US"/>
        </w:rPr>
        <w:t xml:space="preserve"> </w:t>
      </w:r>
      <w:r w:rsidR="002F6725">
        <w:rPr>
          <w:rFonts w:ascii="Arial" w:hAnsi="Arial" w:cs="Arial"/>
          <w:sz w:val="28"/>
          <w:szCs w:val="28"/>
          <w:lang w:val="en-US"/>
        </w:rPr>
        <w:t>since Simon provided an administratively unworkable class of beneficiaries</w:t>
      </w:r>
      <w:r w:rsidR="002F6725">
        <w:rPr>
          <w:rFonts w:ascii="Arial" w:hAnsi="Arial" w:cs="Arial"/>
          <w:sz w:val="28"/>
          <w:szCs w:val="28"/>
          <w:lang w:val="en-US"/>
        </w:rPr>
        <w:t xml:space="preserve">, his </w:t>
      </w:r>
      <w:r w:rsidR="002F6725">
        <w:rPr>
          <w:rFonts w:ascii="Arial" w:hAnsi="Arial" w:cs="Arial"/>
          <w:sz w:val="28"/>
          <w:szCs w:val="28"/>
          <w:lang w:val="en-US"/>
        </w:rPr>
        <w:t>disposition will most likely be void</w:t>
      </w:r>
      <w:r w:rsidR="00975A00">
        <w:rPr>
          <w:rFonts w:ascii="Arial" w:hAnsi="Arial" w:cs="Arial"/>
          <w:sz w:val="28"/>
          <w:szCs w:val="28"/>
          <w:lang w:val="en-US"/>
        </w:rPr>
        <w:t>, however,</w:t>
      </w:r>
      <w:r w:rsidR="002F6725">
        <w:rPr>
          <w:rFonts w:ascii="Arial" w:hAnsi="Arial" w:cs="Arial"/>
          <w:sz w:val="28"/>
          <w:szCs w:val="28"/>
          <w:lang w:val="en-US"/>
        </w:rPr>
        <w:t xml:space="preserve"> the court will take </w:t>
      </w:r>
      <w:r w:rsidR="002F6725">
        <w:rPr>
          <w:rFonts w:ascii="Arial" w:hAnsi="Arial" w:cs="Arial"/>
          <w:sz w:val="28"/>
          <w:szCs w:val="28"/>
          <w:lang w:val="en-US"/>
        </w:rPr>
        <w:t>action</w:t>
      </w:r>
      <w:r w:rsidR="002F6725">
        <w:rPr>
          <w:rFonts w:ascii="Arial" w:hAnsi="Arial" w:cs="Arial"/>
          <w:sz w:val="28"/>
          <w:szCs w:val="28"/>
          <w:lang w:val="en-US"/>
        </w:rPr>
        <w:t xml:space="preserve"> so that the trust is exercised in a manner intended to give effect to the settlor’s wishes</w:t>
      </w:r>
      <w:r w:rsidR="00975A00">
        <w:rPr>
          <w:rFonts w:ascii="Arial" w:hAnsi="Arial" w:cs="Arial"/>
          <w:sz w:val="28"/>
          <w:szCs w:val="28"/>
          <w:lang w:val="en-US"/>
        </w:rPr>
        <w:t xml:space="preserve"> (Hopkins, 1970, p. 206). </w:t>
      </w:r>
    </w:p>
    <w:p w14:paraId="4F4F1CAB" w14:textId="77777777" w:rsidR="003B34C7" w:rsidRDefault="003B34C7" w:rsidP="003B34C7">
      <w:pPr>
        <w:spacing w:line="480" w:lineRule="auto"/>
        <w:rPr>
          <w:rFonts w:ascii="Arial" w:hAnsi="Arial" w:cs="Arial"/>
          <w:sz w:val="28"/>
          <w:szCs w:val="28"/>
          <w:lang w:val="en-US"/>
        </w:rPr>
      </w:pPr>
    </w:p>
    <w:p w14:paraId="21DC588B" w14:textId="418AFDD2" w:rsidR="00E61B62" w:rsidRDefault="00E613DB" w:rsidP="00EB38F6">
      <w:pPr>
        <w:pStyle w:val="ListParagraph"/>
        <w:numPr>
          <w:ilvl w:val="0"/>
          <w:numId w:val="3"/>
        </w:numPr>
        <w:spacing w:line="480" w:lineRule="auto"/>
        <w:rPr>
          <w:rFonts w:ascii="Arial" w:hAnsi="Arial" w:cs="Arial"/>
          <w:sz w:val="28"/>
          <w:szCs w:val="28"/>
          <w:lang w:val="en-US"/>
        </w:rPr>
      </w:pPr>
      <w:r w:rsidRPr="00695E49">
        <w:rPr>
          <w:rFonts w:ascii="Arial" w:hAnsi="Arial" w:cs="Arial"/>
          <w:sz w:val="28"/>
          <w:szCs w:val="28"/>
          <w:lang w:val="en-US"/>
        </w:rPr>
        <w:t>In o</w:t>
      </w:r>
      <w:r w:rsidR="00B9373B" w:rsidRPr="00695E49">
        <w:rPr>
          <w:rFonts w:ascii="Arial" w:hAnsi="Arial" w:cs="Arial"/>
          <w:sz w:val="28"/>
          <w:szCs w:val="28"/>
          <w:lang w:val="en-US"/>
        </w:rPr>
        <w:t>rder for a settlor</w:t>
      </w:r>
      <w:r w:rsidR="003E5019" w:rsidRPr="00695E49">
        <w:rPr>
          <w:rFonts w:ascii="Arial" w:hAnsi="Arial" w:cs="Arial"/>
          <w:sz w:val="28"/>
          <w:szCs w:val="28"/>
          <w:lang w:val="en-US"/>
        </w:rPr>
        <w:t>’s</w:t>
      </w:r>
      <w:r w:rsidR="00B9373B" w:rsidRPr="00695E49">
        <w:rPr>
          <w:rFonts w:ascii="Arial" w:hAnsi="Arial" w:cs="Arial"/>
          <w:sz w:val="28"/>
          <w:szCs w:val="28"/>
          <w:lang w:val="en-US"/>
        </w:rPr>
        <w:t xml:space="preserve"> t</w:t>
      </w:r>
      <w:r w:rsidR="003E5019" w:rsidRPr="00695E49">
        <w:rPr>
          <w:rFonts w:ascii="Arial" w:hAnsi="Arial" w:cs="Arial"/>
          <w:sz w:val="28"/>
          <w:szCs w:val="28"/>
          <w:lang w:val="en-US"/>
        </w:rPr>
        <w:t>rust to be held as a</w:t>
      </w:r>
      <w:r w:rsidR="00B9373B" w:rsidRPr="00695E49">
        <w:rPr>
          <w:rFonts w:ascii="Arial" w:hAnsi="Arial" w:cs="Arial"/>
          <w:sz w:val="28"/>
          <w:szCs w:val="28"/>
          <w:lang w:val="en-US"/>
        </w:rPr>
        <w:t xml:space="preserve"> charitable </w:t>
      </w:r>
      <w:r w:rsidR="0069178A" w:rsidRPr="00695E49">
        <w:rPr>
          <w:rFonts w:ascii="Arial" w:hAnsi="Arial" w:cs="Arial"/>
          <w:sz w:val="28"/>
          <w:szCs w:val="28"/>
          <w:lang w:val="en-US"/>
        </w:rPr>
        <w:t>trust,</w:t>
      </w:r>
      <w:r w:rsidR="00625E5A" w:rsidRPr="00695E49">
        <w:rPr>
          <w:rFonts w:ascii="Arial" w:hAnsi="Arial" w:cs="Arial"/>
          <w:sz w:val="28"/>
          <w:szCs w:val="28"/>
          <w:lang w:val="en-US"/>
        </w:rPr>
        <w:t xml:space="preserve"> the advantages </w:t>
      </w:r>
      <w:r w:rsidR="00AA733D" w:rsidRPr="00695E49">
        <w:rPr>
          <w:rFonts w:ascii="Arial" w:hAnsi="Arial" w:cs="Arial"/>
          <w:sz w:val="28"/>
          <w:szCs w:val="28"/>
          <w:lang w:val="en-US"/>
        </w:rPr>
        <w:t>for</w:t>
      </w:r>
      <w:r w:rsidR="00625E5A" w:rsidRPr="00695E49">
        <w:rPr>
          <w:rFonts w:ascii="Arial" w:hAnsi="Arial" w:cs="Arial"/>
          <w:sz w:val="28"/>
          <w:szCs w:val="28"/>
          <w:lang w:val="en-US"/>
        </w:rPr>
        <w:t xml:space="preserve"> the charities</w:t>
      </w:r>
      <w:r w:rsidR="00B9373B" w:rsidRPr="00695E49">
        <w:rPr>
          <w:rFonts w:ascii="Arial" w:hAnsi="Arial" w:cs="Arial"/>
          <w:sz w:val="28"/>
          <w:szCs w:val="28"/>
          <w:lang w:val="en-US"/>
        </w:rPr>
        <w:t xml:space="preserve"> must be certain</w:t>
      </w:r>
      <w:r w:rsidRPr="00695E49">
        <w:rPr>
          <w:rFonts w:ascii="Arial" w:hAnsi="Arial" w:cs="Arial"/>
          <w:sz w:val="28"/>
          <w:szCs w:val="28"/>
          <w:lang w:val="en-US"/>
        </w:rPr>
        <w:t>,</w:t>
      </w:r>
      <w:r w:rsidR="00625E5A" w:rsidRPr="00695E49">
        <w:rPr>
          <w:rFonts w:ascii="Arial" w:hAnsi="Arial" w:cs="Arial"/>
          <w:sz w:val="28"/>
          <w:szCs w:val="28"/>
          <w:lang w:val="en-US"/>
        </w:rPr>
        <w:t xml:space="preserve"> meaning that a trust will only be charitable if it is created for the public</w:t>
      </w:r>
      <w:r w:rsidR="00071EB7" w:rsidRPr="00695E49">
        <w:rPr>
          <w:rFonts w:ascii="Arial" w:hAnsi="Arial" w:cs="Arial"/>
          <w:sz w:val="28"/>
          <w:szCs w:val="28"/>
          <w:lang w:val="en-US"/>
        </w:rPr>
        <w:t>’s</w:t>
      </w:r>
      <w:r w:rsidR="00625E5A" w:rsidRPr="00695E49">
        <w:rPr>
          <w:rFonts w:ascii="Arial" w:hAnsi="Arial" w:cs="Arial"/>
          <w:sz w:val="28"/>
          <w:szCs w:val="28"/>
          <w:lang w:val="en-US"/>
        </w:rPr>
        <w:t xml:space="preserve"> benefit (</w:t>
      </w:r>
      <w:r w:rsidR="0069178A" w:rsidRPr="00695E49">
        <w:rPr>
          <w:rFonts w:ascii="Arial" w:hAnsi="Arial" w:cs="Arial"/>
          <w:sz w:val="28"/>
          <w:szCs w:val="28"/>
          <w:lang w:val="en-US"/>
        </w:rPr>
        <w:t>Gray, 1953, p. 96).</w:t>
      </w:r>
      <w:r w:rsidR="00AA733D" w:rsidRPr="00695E49">
        <w:rPr>
          <w:rFonts w:ascii="Arial" w:hAnsi="Arial" w:cs="Arial"/>
          <w:sz w:val="28"/>
          <w:szCs w:val="28"/>
          <w:lang w:val="en-US"/>
        </w:rPr>
        <w:t xml:space="preserve"> In the case of </w:t>
      </w:r>
      <w:r w:rsidR="00AA733D" w:rsidRPr="00695E49">
        <w:rPr>
          <w:rFonts w:ascii="Arial" w:hAnsi="Arial" w:cs="Arial"/>
          <w:i/>
          <w:iCs/>
          <w:sz w:val="28"/>
          <w:szCs w:val="28"/>
          <w:lang w:val="en-US"/>
        </w:rPr>
        <w:t xml:space="preserve">‘Re Flinn’ </w:t>
      </w:r>
      <w:r w:rsidR="00AA733D" w:rsidRPr="00695E49">
        <w:rPr>
          <w:rFonts w:ascii="Arial" w:hAnsi="Arial" w:cs="Arial"/>
          <w:sz w:val="28"/>
          <w:szCs w:val="28"/>
          <w:lang w:val="en-US"/>
        </w:rPr>
        <w:t xml:space="preserve">(1948), the court stated that with regards to charitable trusts, the most important question that should be asked is ‘who is the beneficiary?’. </w:t>
      </w:r>
      <w:r w:rsidR="00C64DAB" w:rsidRPr="00695E49">
        <w:rPr>
          <w:rFonts w:ascii="Arial" w:hAnsi="Arial" w:cs="Arial"/>
          <w:sz w:val="28"/>
          <w:szCs w:val="28"/>
          <w:lang w:val="en-US"/>
        </w:rPr>
        <w:t>Moreover,</w:t>
      </w:r>
      <w:r w:rsidR="00AA733D" w:rsidRPr="00695E49">
        <w:rPr>
          <w:rFonts w:ascii="Arial" w:hAnsi="Arial" w:cs="Arial"/>
          <w:sz w:val="28"/>
          <w:szCs w:val="28"/>
          <w:lang w:val="en-US"/>
        </w:rPr>
        <w:t xml:space="preserve"> this principle is recognized as</w:t>
      </w:r>
      <w:r w:rsidR="0069178A" w:rsidRPr="00695E49">
        <w:rPr>
          <w:rFonts w:ascii="Arial" w:hAnsi="Arial" w:cs="Arial"/>
          <w:sz w:val="28"/>
          <w:szCs w:val="28"/>
          <w:lang w:val="en-US"/>
        </w:rPr>
        <w:t xml:space="preserve"> </w:t>
      </w:r>
      <w:r w:rsidR="008E45F4" w:rsidRPr="00695E49">
        <w:rPr>
          <w:rFonts w:ascii="Arial" w:hAnsi="Arial" w:cs="Arial"/>
          <w:sz w:val="28"/>
          <w:szCs w:val="28"/>
          <w:lang w:val="en-US"/>
        </w:rPr>
        <w:t>‘</w:t>
      </w:r>
      <w:r w:rsidR="00F35A96" w:rsidRPr="00695E49">
        <w:rPr>
          <w:rFonts w:ascii="Arial" w:hAnsi="Arial" w:cs="Arial"/>
          <w:sz w:val="28"/>
          <w:szCs w:val="28"/>
          <w:lang w:val="en-US"/>
        </w:rPr>
        <w:t>T</w:t>
      </w:r>
      <w:r w:rsidR="00C64DAB" w:rsidRPr="00695E49">
        <w:rPr>
          <w:rFonts w:ascii="Arial" w:hAnsi="Arial" w:cs="Arial"/>
          <w:sz w:val="28"/>
          <w:szCs w:val="28"/>
          <w:lang w:val="en-US"/>
        </w:rPr>
        <w:t>he</w:t>
      </w:r>
      <w:r w:rsidR="00683083" w:rsidRPr="00695E49">
        <w:rPr>
          <w:rFonts w:ascii="Arial" w:hAnsi="Arial" w:cs="Arial"/>
          <w:sz w:val="28"/>
          <w:szCs w:val="28"/>
          <w:lang w:val="en-US"/>
        </w:rPr>
        <w:t xml:space="preserve"> </w:t>
      </w:r>
      <w:r w:rsidR="00F35A96" w:rsidRPr="00695E49">
        <w:rPr>
          <w:rFonts w:ascii="Arial" w:hAnsi="Arial" w:cs="Arial"/>
          <w:sz w:val="28"/>
          <w:szCs w:val="28"/>
          <w:lang w:val="en-US"/>
        </w:rPr>
        <w:t>B</w:t>
      </w:r>
      <w:r w:rsidR="00683083" w:rsidRPr="00695E49">
        <w:rPr>
          <w:rFonts w:ascii="Arial" w:hAnsi="Arial" w:cs="Arial"/>
          <w:sz w:val="28"/>
          <w:szCs w:val="28"/>
          <w:lang w:val="en-US"/>
        </w:rPr>
        <w:t xml:space="preserve">eneficiary </w:t>
      </w:r>
      <w:r w:rsidR="00F35A96" w:rsidRPr="00695E49">
        <w:rPr>
          <w:rFonts w:ascii="Arial" w:hAnsi="Arial" w:cs="Arial"/>
          <w:sz w:val="28"/>
          <w:szCs w:val="28"/>
          <w:lang w:val="en-US"/>
        </w:rPr>
        <w:t>P</w:t>
      </w:r>
      <w:r w:rsidR="005878FD" w:rsidRPr="00695E49">
        <w:rPr>
          <w:rFonts w:ascii="Arial" w:hAnsi="Arial" w:cs="Arial"/>
          <w:sz w:val="28"/>
          <w:szCs w:val="28"/>
          <w:lang w:val="en-US"/>
        </w:rPr>
        <w:t>rinciple</w:t>
      </w:r>
      <w:r w:rsidR="008E45F4" w:rsidRPr="00695E49">
        <w:rPr>
          <w:rFonts w:ascii="Arial" w:hAnsi="Arial" w:cs="Arial"/>
          <w:sz w:val="28"/>
          <w:szCs w:val="28"/>
          <w:lang w:val="en-US"/>
        </w:rPr>
        <w:t>’</w:t>
      </w:r>
      <w:r w:rsidR="00AA733D" w:rsidRPr="00695E49">
        <w:rPr>
          <w:rFonts w:ascii="Arial" w:hAnsi="Arial" w:cs="Arial"/>
          <w:sz w:val="28"/>
          <w:szCs w:val="28"/>
          <w:lang w:val="en-US"/>
        </w:rPr>
        <w:t>, which</w:t>
      </w:r>
      <w:r w:rsidR="005878FD" w:rsidRPr="00695E49">
        <w:rPr>
          <w:rFonts w:ascii="Arial" w:hAnsi="Arial" w:cs="Arial"/>
          <w:sz w:val="28"/>
          <w:szCs w:val="28"/>
          <w:lang w:val="en-US"/>
        </w:rPr>
        <w:t xml:space="preserve"> signifies that a</w:t>
      </w:r>
      <w:r w:rsidR="00F35A96" w:rsidRPr="00695E49">
        <w:rPr>
          <w:rFonts w:ascii="Arial" w:hAnsi="Arial" w:cs="Arial"/>
          <w:sz w:val="28"/>
          <w:szCs w:val="28"/>
          <w:lang w:val="en-US"/>
        </w:rPr>
        <w:t xml:space="preserve"> </w:t>
      </w:r>
      <w:r w:rsidR="00F35A96" w:rsidRPr="00695E49">
        <w:rPr>
          <w:rFonts w:ascii="Arial" w:hAnsi="Arial" w:cs="Arial"/>
          <w:sz w:val="28"/>
          <w:szCs w:val="28"/>
          <w:lang w:val="en-US"/>
        </w:rPr>
        <w:lastRenderedPageBreak/>
        <w:t>private</w:t>
      </w:r>
      <w:r w:rsidR="005878FD" w:rsidRPr="00695E49">
        <w:rPr>
          <w:rFonts w:ascii="Arial" w:hAnsi="Arial" w:cs="Arial"/>
          <w:sz w:val="28"/>
          <w:szCs w:val="28"/>
          <w:lang w:val="en-US"/>
        </w:rPr>
        <w:t xml:space="preserve"> trust</w:t>
      </w:r>
      <w:r w:rsidR="00F35A96" w:rsidRPr="00695E49">
        <w:rPr>
          <w:rFonts w:ascii="Arial" w:hAnsi="Arial" w:cs="Arial"/>
          <w:sz w:val="28"/>
          <w:szCs w:val="28"/>
          <w:lang w:val="en-US"/>
        </w:rPr>
        <w:t>, express trust</w:t>
      </w:r>
      <w:r w:rsidR="005878FD" w:rsidRPr="00695E49">
        <w:rPr>
          <w:rFonts w:ascii="Arial" w:hAnsi="Arial" w:cs="Arial"/>
          <w:sz w:val="28"/>
          <w:szCs w:val="28"/>
          <w:lang w:val="en-US"/>
        </w:rPr>
        <w:t xml:space="preserve"> property must be held on trust for </w:t>
      </w:r>
      <w:r w:rsidR="00EA5D72" w:rsidRPr="00695E49">
        <w:rPr>
          <w:rFonts w:ascii="Arial" w:hAnsi="Arial" w:cs="Arial"/>
          <w:sz w:val="28"/>
          <w:szCs w:val="28"/>
          <w:lang w:val="en-US"/>
        </w:rPr>
        <w:t xml:space="preserve">identified </w:t>
      </w:r>
      <w:r w:rsidR="005878FD" w:rsidRPr="00695E49">
        <w:rPr>
          <w:rFonts w:ascii="Arial" w:hAnsi="Arial" w:cs="Arial"/>
          <w:sz w:val="28"/>
          <w:szCs w:val="28"/>
          <w:lang w:val="en-US"/>
        </w:rPr>
        <w:t>objects (beneficiaries</w:t>
      </w:r>
      <w:r w:rsidR="00F35A96" w:rsidRPr="00695E49">
        <w:rPr>
          <w:rFonts w:ascii="Arial" w:hAnsi="Arial" w:cs="Arial"/>
          <w:sz w:val="28"/>
          <w:szCs w:val="28"/>
          <w:lang w:val="en-US"/>
        </w:rPr>
        <w:t>) in order</w:t>
      </w:r>
      <w:r w:rsidR="008E45F4" w:rsidRPr="00695E49">
        <w:rPr>
          <w:rFonts w:ascii="Arial" w:hAnsi="Arial" w:cs="Arial"/>
          <w:sz w:val="28"/>
          <w:szCs w:val="28"/>
          <w:lang w:val="en-US"/>
        </w:rPr>
        <w:t xml:space="preserve"> to become valid, as this enables </w:t>
      </w:r>
      <w:r w:rsidR="00F35A96" w:rsidRPr="00695E49">
        <w:rPr>
          <w:rFonts w:ascii="Arial" w:hAnsi="Arial" w:cs="Arial"/>
          <w:sz w:val="28"/>
          <w:szCs w:val="28"/>
          <w:lang w:val="en-US"/>
        </w:rPr>
        <w:t>the trustees to understand the identity of the sufficiently well define individual or individuals</w:t>
      </w:r>
      <w:r w:rsidR="008E45F4" w:rsidRPr="00695E49">
        <w:rPr>
          <w:rFonts w:ascii="Arial" w:hAnsi="Arial" w:cs="Arial"/>
          <w:sz w:val="28"/>
          <w:szCs w:val="28"/>
          <w:lang w:val="en-US"/>
        </w:rPr>
        <w:t xml:space="preserve"> to</w:t>
      </w:r>
      <w:r w:rsidR="00F35A96" w:rsidRPr="00695E49">
        <w:rPr>
          <w:rFonts w:ascii="Arial" w:hAnsi="Arial" w:cs="Arial"/>
          <w:sz w:val="28"/>
          <w:szCs w:val="28"/>
          <w:lang w:val="en-US"/>
        </w:rPr>
        <w:t xml:space="preserve"> who</w:t>
      </w:r>
      <w:r w:rsidR="008E45F4" w:rsidRPr="00695E49">
        <w:rPr>
          <w:rFonts w:ascii="Arial" w:hAnsi="Arial" w:cs="Arial"/>
          <w:sz w:val="28"/>
          <w:szCs w:val="28"/>
          <w:lang w:val="en-US"/>
        </w:rPr>
        <w:t xml:space="preserve">m </w:t>
      </w:r>
      <w:r w:rsidR="00F35A96" w:rsidRPr="00695E49">
        <w:rPr>
          <w:rFonts w:ascii="Arial" w:hAnsi="Arial" w:cs="Arial"/>
          <w:sz w:val="28"/>
          <w:szCs w:val="28"/>
          <w:lang w:val="en-US"/>
        </w:rPr>
        <w:t xml:space="preserve">they will be </w:t>
      </w:r>
      <w:r w:rsidR="00F32DCE" w:rsidRPr="00695E49">
        <w:rPr>
          <w:rFonts w:ascii="Arial" w:hAnsi="Arial" w:cs="Arial"/>
          <w:sz w:val="28"/>
          <w:szCs w:val="28"/>
          <w:lang w:val="en-US"/>
        </w:rPr>
        <w:t>delivering</w:t>
      </w:r>
      <w:r w:rsidR="00F35A96" w:rsidRPr="00695E49">
        <w:rPr>
          <w:rFonts w:ascii="Arial" w:hAnsi="Arial" w:cs="Arial"/>
          <w:sz w:val="28"/>
          <w:szCs w:val="28"/>
          <w:lang w:val="en-US"/>
        </w:rPr>
        <w:t xml:space="preserve"> the trust to (Business, 2015)</w:t>
      </w:r>
      <w:r w:rsidR="008E45F4" w:rsidRPr="00695E49">
        <w:rPr>
          <w:rFonts w:ascii="Arial" w:hAnsi="Arial" w:cs="Arial"/>
          <w:sz w:val="28"/>
          <w:szCs w:val="28"/>
          <w:lang w:val="en-US"/>
        </w:rPr>
        <w:t>. S</w:t>
      </w:r>
      <w:r w:rsidR="001D3FB7" w:rsidRPr="00695E49">
        <w:rPr>
          <w:rFonts w:ascii="Arial" w:hAnsi="Arial" w:cs="Arial"/>
          <w:sz w:val="28"/>
          <w:szCs w:val="28"/>
          <w:lang w:val="en-US"/>
        </w:rPr>
        <w:t xml:space="preserve">ince, </w:t>
      </w:r>
      <w:r w:rsidR="0085157F" w:rsidRPr="00695E49">
        <w:rPr>
          <w:rFonts w:ascii="Arial" w:hAnsi="Arial" w:cs="Arial"/>
          <w:sz w:val="28"/>
          <w:szCs w:val="28"/>
          <w:lang w:val="en-US"/>
        </w:rPr>
        <w:t>as far as trust is concerned, a Settlor must present</w:t>
      </w:r>
      <w:r w:rsidR="0085157F" w:rsidRPr="00695E49">
        <w:rPr>
          <w:rFonts w:ascii="Arial" w:hAnsi="Arial" w:cs="Arial"/>
          <w:sz w:val="28"/>
          <w:szCs w:val="28"/>
          <w:lang w:val="en-US"/>
        </w:rPr>
        <w:t xml:space="preserve"> somebody in whose favor the court can direct performance</w:t>
      </w:r>
      <w:r w:rsidR="00005894" w:rsidRPr="00695E49">
        <w:rPr>
          <w:rFonts w:ascii="Arial" w:hAnsi="Arial" w:cs="Arial"/>
          <w:sz w:val="28"/>
          <w:szCs w:val="28"/>
          <w:lang w:val="en-US"/>
        </w:rPr>
        <w:t xml:space="preserve"> to, </w:t>
      </w:r>
      <w:r w:rsidR="0037664E" w:rsidRPr="00695E49">
        <w:rPr>
          <w:rFonts w:ascii="Arial" w:hAnsi="Arial" w:cs="Arial"/>
          <w:sz w:val="28"/>
          <w:szCs w:val="28"/>
          <w:lang w:val="en-US"/>
        </w:rPr>
        <w:t>Simon’s</w:t>
      </w:r>
      <w:r w:rsidR="0085157F" w:rsidRPr="00695E49">
        <w:rPr>
          <w:rFonts w:ascii="Arial" w:hAnsi="Arial" w:cs="Arial"/>
          <w:sz w:val="28"/>
          <w:szCs w:val="28"/>
          <w:lang w:val="en-US"/>
        </w:rPr>
        <w:t xml:space="preserve"> trust violates this principle</w:t>
      </w:r>
      <w:r w:rsidR="00005894" w:rsidRPr="00695E49">
        <w:rPr>
          <w:rFonts w:ascii="Arial" w:hAnsi="Arial" w:cs="Arial"/>
          <w:sz w:val="28"/>
          <w:szCs w:val="28"/>
          <w:lang w:val="en-US"/>
        </w:rPr>
        <w:t xml:space="preserve"> established in the case of </w:t>
      </w:r>
      <w:r w:rsidR="00005894" w:rsidRPr="00695E49">
        <w:rPr>
          <w:rFonts w:ascii="Arial" w:hAnsi="Arial" w:cs="Arial"/>
          <w:i/>
          <w:iCs/>
          <w:sz w:val="28"/>
          <w:szCs w:val="28"/>
          <w:lang w:val="en-US"/>
        </w:rPr>
        <w:t xml:space="preserve">‘Morice v Bishop of Durham’ </w:t>
      </w:r>
      <w:r w:rsidR="00005894" w:rsidRPr="00695E49">
        <w:rPr>
          <w:rFonts w:ascii="Arial" w:hAnsi="Arial" w:cs="Arial"/>
          <w:sz w:val="28"/>
          <w:szCs w:val="28"/>
          <w:lang w:val="en-US"/>
        </w:rPr>
        <w:t>(1804)</w:t>
      </w:r>
      <w:r w:rsidR="00005894" w:rsidRPr="00695E49">
        <w:rPr>
          <w:rFonts w:ascii="Arial" w:hAnsi="Arial" w:cs="Arial"/>
          <w:sz w:val="28"/>
          <w:szCs w:val="28"/>
          <w:lang w:val="en-US"/>
        </w:rPr>
        <w:t xml:space="preserve"> </w:t>
      </w:r>
      <w:r w:rsidR="0085157F" w:rsidRPr="00695E49">
        <w:rPr>
          <w:rFonts w:ascii="Arial" w:hAnsi="Arial" w:cs="Arial"/>
          <w:sz w:val="28"/>
          <w:szCs w:val="28"/>
          <w:lang w:val="en-US"/>
        </w:rPr>
        <w:t xml:space="preserve">for the reason that </w:t>
      </w:r>
      <w:r w:rsidR="001D3FB7" w:rsidRPr="00695E49">
        <w:rPr>
          <w:rFonts w:ascii="Arial" w:hAnsi="Arial" w:cs="Arial"/>
          <w:sz w:val="28"/>
          <w:szCs w:val="28"/>
          <w:lang w:val="en-US"/>
        </w:rPr>
        <w:t>the</w:t>
      </w:r>
      <w:r w:rsidR="0085157F" w:rsidRPr="00695E49">
        <w:rPr>
          <w:rFonts w:ascii="Arial" w:hAnsi="Arial" w:cs="Arial"/>
          <w:sz w:val="28"/>
          <w:szCs w:val="28"/>
          <w:lang w:val="en-US"/>
        </w:rPr>
        <w:t>re is no clear mention of beneficiaries who his monument would benefit</w:t>
      </w:r>
      <w:r w:rsidR="00005894" w:rsidRPr="00695E49">
        <w:rPr>
          <w:rFonts w:ascii="Arial" w:hAnsi="Arial" w:cs="Arial"/>
          <w:sz w:val="28"/>
          <w:szCs w:val="28"/>
          <w:lang w:val="en-US"/>
        </w:rPr>
        <w:t>, there</w:t>
      </w:r>
      <w:r w:rsidR="00352C28" w:rsidRPr="00695E49">
        <w:rPr>
          <w:rFonts w:ascii="Arial" w:hAnsi="Arial" w:cs="Arial"/>
          <w:sz w:val="28"/>
          <w:szCs w:val="28"/>
          <w:lang w:val="en-US"/>
        </w:rPr>
        <w:t>fore</w:t>
      </w:r>
      <w:r w:rsidR="00005894" w:rsidRPr="00695E49">
        <w:rPr>
          <w:rFonts w:ascii="Arial" w:hAnsi="Arial" w:cs="Arial"/>
          <w:sz w:val="28"/>
          <w:szCs w:val="28"/>
          <w:lang w:val="en-US"/>
        </w:rPr>
        <w:t xml:space="preserve"> making the purpose of his disposition a non- charitable one. </w:t>
      </w:r>
      <w:r w:rsidR="0037664E" w:rsidRPr="00695E49">
        <w:rPr>
          <w:rFonts w:ascii="Arial" w:hAnsi="Arial" w:cs="Arial"/>
          <w:sz w:val="28"/>
          <w:szCs w:val="28"/>
          <w:lang w:val="en-US"/>
        </w:rPr>
        <w:t xml:space="preserve">However, </w:t>
      </w:r>
      <w:r w:rsidR="00352C28" w:rsidRPr="00695E49">
        <w:rPr>
          <w:rFonts w:ascii="Arial" w:hAnsi="Arial" w:cs="Arial"/>
          <w:sz w:val="28"/>
          <w:szCs w:val="28"/>
          <w:lang w:val="en-US"/>
        </w:rPr>
        <w:t>Simon’s trust satisfies one of the exceptions available for this principle which is described as an ‘imperfect obligation’</w:t>
      </w:r>
      <w:r w:rsidR="007C1234" w:rsidRPr="00695E49">
        <w:rPr>
          <w:rFonts w:ascii="Arial" w:hAnsi="Arial" w:cs="Arial"/>
          <w:sz w:val="28"/>
          <w:szCs w:val="28"/>
          <w:lang w:val="en-US"/>
        </w:rPr>
        <w:t xml:space="preserve"> trust</w:t>
      </w:r>
      <w:r w:rsidR="00352C28" w:rsidRPr="00695E49">
        <w:rPr>
          <w:rFonts w:ascii="Arial" w:hAnsi="Arial" w:cs="Arial"/>
          <w:sz w:val="28"/>
          <w:szCs w:val="28"/>
          <w:lang w:val="en-US"/>
        </w:rPr>
        <w:t xml:space="preserve">; </w:t>
      </w:r>
      <w:r w:rsidR="00367E83" w:rsidRPr="00695E49">
        <w:rPr>
          <w:rFonts w:ascii="Arial" w:hAnsi="Arial" w:cs="Arial"/>
          <w:sz w:val="28"/>
          <w:szCs w:val="28"/>
          <w:lang w:val="en-US"/>
        </w:rPr>
        <w:t>these trusts</w:t>
      </w:r>
      <w:r w:rsidR="007C1234" w:rsidRPr="00695E49">
        <w:rPr>
          <w:rFonts w:ascii="Arial" w:hAnsi="Arial" w:cs="Arial"/>
          <w:sz w:val="28"/>
          <w:szCs w:val="28"/>
          <w:lang w:val="en-US"/>
        </w:rPr>
        <w:t xml:space="preserve"> are relevant to this Will because the monument falls under the three categories which are defined as having no real human beneficiaries but are regarded as benefitting the public in some way (Leigh,1955, p.122).</w:t>
      </w:r>
      <w:r w:rsidR="00367E83" w:rsidRPr="00695E49">
        <w:rPr>
          <w:rFonts w:ascii="Arial" w:hAnsi="Arial" w:cs="Arial"/>
          <w:sz w:val="28"/>
          <w:szCs w:val="28"/>
          <w:lang w:val="en-US"/>
        </w:rPr>
        <w:t xml:space="preserve"> Furthermore, the court expressed in </w:t>
      </w:r>
      <w:r w:rsidR="00367E83" w:rsidRPr="00695E49">
        <w:rPr>
          <w:rFonts w:ascii="Arial" w:hAnsi="Arial" w:cs="Arial"/>
          <w:i/>
          <w:iCs/>
          <w:sz w:val="28"/>
          <w:szCs w:val="28"/>
          <w:lang w:val="en-US"/>
        </w:rPr>
        <w:t xml:space="preserve">‘Re Astors Settlement Trusts’ </w:t>
      </w:r>
      <w:r w:rsidR="00367E83" w:rsidRPr="00695E49">
        <w:rPr>
          <w:rFonts w:ascii="Arial" w:hAnsi="Arial" w:cs="Arial"/>
          <w:sz w:val="28"/>
          <w:szCs w:val="28"/>
          <w:lang w:val="en-US"/>
        </w:rPr>
        <w:t>(1952) that the three categories set out under the ‘imperfect obligation’ trusts</w:t>
      </w:r>
      <w:r w:rsidR="00A454E6" w:rsidRPr="00695E49">
        <w:rPr>
          <w:rFonts w:ascii="Arial" w:hAnsi="Arial" w:cs="Arial"/>
          <w:sz w:val="28"/>
          <w:szCs w:val="28"/>
          <w:lang w:val="en-US"/>
        </w:rPr>
        <w:t xml:space="preserve">: 1) Tombs and monuments, 2) </w:t>
      </w:r>
      <w:r w:rsidR="00C019F3" w:rsidRPr="00695E49">
        <w:rPr>
          <w:rFonts w:ascii="Arial" w:hAnsi="Arial" w:cs="Arial"/>
          <w:sz w:val="28"/>
          <w:szCs w:val="28"/>
          <w:lang w:val="en-US"/>
        </w:rPr>
        <w:t xml:space="preserve">provisions of masses in private, and 3) trusts benefiting a particular animal, </w:t>
      </w:r>
      <w:r w:rsidR="00367E83" w:rsidRPr="00695E49">
        <w:rPr>
          <w:rFonts w:ascii="Arial" w:hAnsi="Arial" w:cs="Arial"/>
          <w:sz w:val="28"/>
          <w:szCs w:val="28"/>
          <w:lang w:val="en-US"/>
        </w:rPr>
        <w:t>are purpose trust which</w:t>
      </w:r>
      <w:r w:rsidR="00C019F3" w:rsidRPr="00695E49">
        <w:rPr>
          <w:rFonts w:ascii="Arial" w:hAnsi="Arial" w:cs="Arial"/>
          <w:sz w:val="28"/>
          <w:szCs w:val="28"/>
          <w:lang w:val="en-US"/>
        </w:rPr>
        <w:t xml:space="preserve"> are</w:t>
      </w:r>
      <w:r w:rsidR="00367E83" w:rsidRPr="00695E49">
        <w:rPr>
          <w:rFonts w:ascii="Arial" w:hAnsi="Arial" w:cs="Arial"/>
          <w:sz w:val="28"/>
          <w:szCs w:val="28"/>
          <w:lang w:val="en-US"/>
        </w:rPr>
        <w:t xml:space="preserve"> nevertheless required to meet </w:t>
      </w:r>
      <w:r w:rsidR="00367E83" w:rsidRPr="00695E49">
        <w:rPr>
          <w:rFonts w:ascii="Arial" w:hAnsi="Arial" w:cs="Arial"/>
          <w:sz w:val="28"/>
          <w:szCs w:val="28"/>
          <w:lang w:val="en-US"/>
        </w:rPr>
        <w:lastRenderedPageBreak/>
        <w:t>further conditions</w:t>
      </w:r>
      <w:r w:rsidR="00C019F3" w:rsidRPr="00695E49">
        <w:rPr>
          <w:rFonts w:ascii="Arial" w:hAnsi="Arial" w:cs="Arial"/>
          <w:sz w:val="28"/>
          <w:szCs w:val="28"/>
          <w:lang w:val="en-US"/>
        </w:rPr>
        <w:t xml:space="preserve">, in order </w:t>
      </w:r>
      <w:r w:rsidR="00367E83" w:rsidRPr="00695E49">
        <w:rPr>
          <w:rFonts w:ascii="Arial" w:hAnsi="Arial" w:cs="Arial"/>
          <w:sz w:val="28"/>
          <w:szCs w:val="28"/>
          <w:lang w:val="en-US"/>
        </w:rPr>
        <w:t>to form a successful express trust</w:t>
      </w:r>
      <w:r w:rsidR="00A454E6" w:rsidRPr="00695E49">
        <w:rPr>
          <w:rFonts w:ascii="Arial" w:hAnsi="Arial" w:cs="Arial"/>
          <w:sz w:val="28"/>
          <w:szCs w:val="28"/>
          <w:lang w:val="en-US"/>
        </w:rPr>
        <w:t xml:space="preserve"> such as formality requirements and hold fast to the principles of certainty and satisfy the rules against perpetuity. </w:t>
      </w:r>
      <w:r w:rsidR="00C019F3" w:rsidRPr="00695E49">
        <w:rPr>
          <w:rFonts w:ascii="Arial" w:hAnsi="Arial" w:cs="Arial"/>
          <w:sz w:val="28"/>
          <w:szCs w:val="28"/>
          <w:lang w:val="en-US"/>
        </w:rPr>
        <w:t xml:space="preserve">As a result, </w:t>
      </w:r>
      <w:r w:rsidR="002A40AE" w:rsidRPr="00695E49">
        <w:rPr>
          <w:rFonts w:ascii="Arial" w:hAnsi="Arial" w:cs="Arial"/>
          <w:sz w:val="28"/>
          <w:szCs w:val="28"/>
          <w:lang w:val="en-US"/>
        </w:rPr>
        <w:t xml:space="preserve">Simon’s trust will be void for absent of </w:t>
      </w:r>
      <w:r w:rsidR="00695E49" w:rsidRPr="00695E49">
        <w:rPr>
          <w:rFonts w:ascii="Arial" w:hAnsi="Arial" w:cs="Arial"/>
          <w:sz w:val="28"/>
          <w:szCs w:val="28"/>
          <w:lang w:val="en-US"/>
        </w:rPr>
        <w:t xml:space="preserve">listed </w:t>
      </w:r>
      <w:r w:rsidR="002A40AE" w:rsidRPr="00695E49">
        <w:rPr>
          <w:rFonts w:ascii="Arial" w:hAnsi="Arial" w:cs="Arial"/>
          <w:sz w:val="28"/>
          <w:szCs w:val="28"/>
          <w:lang w:val="en-US"/>
        </w:rPr>
        <w:t>beneficiaries</w:t>
      </w:r>
      <w:r w:rsidR="00695E49" w:rsidRPr="00695E49">
        <w:rPr>
          <w:rFonts w:ascii="Arial" w:hAnsi="Arial" w:cs="Arial"/>
          <w:sz w:val="28"/>
          <w:szCs w:val="28"/>
          <w:lang w:val="en-US"/>
        </w:rPr>
        <w:t xml:space="preserve"> </w:t>
      </w:r>
      <w:r w:rsidR="00184BD5" w:rsidRPr="00695E49">
        <w:rPr>
          <w:rFonts w:ascii="Arial" w:hAnsi="Arial" w:cs="Arial"/>
          <w:sz w:val="28"/>
          <w:szCs w:val="28"/>
          <w:lang w:val="en-US"/>
        </w:rPr>
        <w:t>in the Will</w:t>
      </w:r>
      <w:r w:rsidR="00695E49" w:rsidRPr="00695E49">
        <w:rPr>
          <w:rFonts w:ascii="Arial" w:hAnsi="Arial" w:cs="Arial"/>
          <w:sz w:val="28"/>
          <w:szCs w:val="28"/>
          <w:lang w:val="en-US"/>
        </w:rPr>
        <w:t xml:space="preserve"> which</w:t>
      </w:r>
      <w:r w:rsidR="0009322B">
        <w:rPr>
          <w:rFonts w:ascii="Arial" w:hAnsi="Arial" w:cs="Arial"/>
          <w:sz w:val="28"/>
          <w:szCs w:val="28"/>
          <w:lang w:val="en-US"/>
        </w:rPr>
        <w:t xml:space="preserve"> could have supported the</w:t>
      </w:r>
      <w:r w:rsidR="00695E49" w:rsidRPr="00695E49">
        <w:rPr>
          <w:rFonts w:ascii="Arial" w:hAnsi="Arial" w:cs="Arial"/>
          <w:sz w:val="28"/>
          <w:szCs w:val="28"/>
          <w:lang w:val="en-US"/>
        </w:rPr>
        <w:t xml:space="preserve"> court </w:t>
      </w:r>
      <w:r w:rsidR="0009322B">
        <w:rPr>
          <w:rFonts w:ascii="Arial" w:hAnsi="Arial" w:cs="Arial"/>
          <w:sz w:val="28"/>
          <w:szCs w:val="28"/>
          <w:lang w:val="en-US"/>
        </w:rPr>
        <w:t>when</w:t>
      </w:r>
      <w:r w:rsidR="00695E49" w:rsidRPr="00695E49">
        <w:rPr>
          <w:rFonts w:ascii="Arial" w:hAnsi="Arial" w:cs="Arial"/>
          <w:sz w:val="28"/>
          <w:szCs w:val="28"/>
          <w:lang w:val="en-US"/>
        </w:rPr>
        <w:t xml:space="preserve"> decid</w:t>
      </w:r>
      <w:r w:rsidR="0009322B">
        <w:rPr>
          <w:rFonts w:ascii="Arial" w:hAnsi="Arial" w:cs="Arial"/>
          <w:sz w:val="28"/>
          <w:szCs w:val="28"/>
          <w:lang w:val="en-US"/>
        </w:rPr>
        <w:t>ing</w:t>
      </w:r>
      <w:r w:rsidR="00695E49" w:rsidRPr="00695E49">
        <w:rPr>
          <w:rFonts w:ascii="Arial" w:hAnsi="Arial" w:cs="Arial"/>
          <w:sz w:val="28"/>
          <w:szCs w:val="28"/>
          <w:lang w:val="en-US"/>
        </w:rPr>
        <w:t xml:space="preserve"> who the settlor’s trust may benefit; Moreover, </w:t>
      </w:r>
      <w:r w:rsidR="00D03584">
        <w:rPr>
          <w:rFonts w:ascii="Arial" w:hAnsi="Arial" w:cs="Arial"/>
          <w:sz w:val="28"/>
          <w:szCs w:val="28"/>
          <w:lang w:val="en-US"/>
        </w:rPr>
        <w:t>failure of a</w:t>
      </w:r>
      <w:r w:rsidR="00695E49" w:rsidRPr="00695E49">
        <w:rPr>
          <w:rFonts w:ascii="Arial" w:hAnsi="Arial" w:cs="Arial"/>
          <w:sz w:val="28"/>
          <w:szCs w:val="28"/>
          <w:lang w:val="en-US"/>
        </w:rPr>
        <w:t xml:space="preserve"> private trust will generally </w:t>
      </w:r>
      <w:r w:rsidR="00D03584">
        <w:rPr>
          <w:rFonts w:ascii="Arial" w:hAnsi="Arial" w:cs="Arial"/>
          <w:sz w:val="28"/>
          <w:szCs w:val="28"/>
          <w:lang w:val="en-US"/>
        </w:rPr>
        <w:t>mean that the property will be</w:t>
      </w:r>
      <w:r w:rsidR="00695E49" w:rsidRPr="00695E49">
        <w:rPr>
          <w:rFonts w:ascii="Arial" w:hAnsi="Arial" w:cs="Arial"/>
          <w:sz w:val="28"/>
          <w:szCs w:val="28"/>
          <w:lang w:val="en-US"/>
        </w:rPr>
        <w:t xml:space="preserve"> returned back </w:t>
      </w:r>
      <w:r w:rsidR="0009322B">
        <w:rPr>
          <w:rFonts w:ascii="Arial" w:hAnsi="Arial" w:cs="Arial"/>
          <w:sz w:val="28"/>
          <w:szCs w:val="28"/>
          <w:lang w:val="en-US"/>
        </w:rPr>
        <w:t xml:space="preserve">to </w:t>
      </w:r>
      <w:r w:rsidR="00695E49" w:rsidRPr="00695E49">
        <w:rPr>
          <w:rFonts w:ascii="Arial" w:hAnsi="Arial" w:cs="Arial"/>
          <w:sz w:val="28"/>
          <w:szCs w:val="28"/>
          <w:lang w:val="en-US"/>
        </w:rPr>
        <w:t>the settlor’s estate as a result of a resulting trust</w:t>
      </w:r>
      <w:r w:rsidR="00D03584">
        <w:rPr>
          <w:rFonts w:ascii="Arial" w:hAnsi="Arial" w:cs="Arial"/>
          <w:sz w:val="28"/>
          <w:szCs w:val="28"/>
          <w:lang w:val="en-US"/>
        </w:rPr>
        <w:t xml:space="preserve"> as is the case </w:t>
      </w:r>
      <w:r w:rsidR="0009322B">
        <w:rPr>
          <w:rFonts w:ascii="Arial" w:hAnsi="Arial" w:cs="Arial"/>
          <w:sz w:val="28"/>
          <w:szCs w:val="28"/>
          <w:lang w:val="en-US"/>
        </w:rPr>
        <w:t>with Simon’s Will</w:t>
      </w:r>
      <w:r w:rsidR="00695E49" w:rsidRPr="00695E49">
        <w:rPr>
          <w:rFonts w:ascii="Arial" w:hAnsi="Arial" w:cs="Arial"/>
          <w:sz w:val="28"/>
          <w:szCs w:val="28"/>
          <w:lang w:val="en-US"/>
        </w:rPr>
        <w:t xml:space="preserve"> (Watt, 2021, p. 203</w:t>
      </w:r>
      <w:r w:rsidR="00695E49">
        <w:rPr>
          <w:rFonts w:ascii="Arial" w:hAnsi="Arial" w:cs="Arial"/>
          <w:sz w:val="28"/>
          <w:szCs w:val="28"/>
          <w:lang w:val="en-US"/>
        </w:rPr>
        <w:t xml:space="preserve">). </w:t>
      </w:r>
    </w:p>
    <w:p w14:paraId="2ABEE277" w14:textId="7802C6BE" w:rsidR="00D03584" w:rsidRDefault="00D03584" w:rsidP="00D03584">
      <w:pPr>
        <w:pStyle w:val="ListParagraph"/>
        <w:spacing w:line="480" w:lineRule="auto"/>
        <w:rPr>
          <w:rFonts w:ascii="Arial" w:hAnsi="Arial" w:cs="Arial"/>
          <w:sz w:val="28"/>
          <w:szCs w:val="28"/>
          <w:lang w:val="en-US"/>
        </w:rPr>
      </w:pPr>
    </w:p>
    <w:p w14:paraId="1D8F6D39" w14:textId="4EE7A431" w:rsidR="00D03584" w:rsidRDefault="00D03584" w:rsidP="00D03584">
      <w:pPr>
        <w:pStyle w:val="ListParagraph"/>
        <w:spacing w:line="480" w:lineRule="auto"/>
        <w:rPr>
          <w:rFonts w:ascii="Arial" w:hAnsi="Arial" w:cs="Arial"/>
          <w:sz w:val="28"/>
          <w:szCs w:val="28"/>
          <w:lang w:val="en-US"/>
        </w:rPr>
      </w:pPr>
      <w:r>
        <w:rPr>
          <w:rFonts w:ascii="Arial" w:hAnsi="Arial" w:cs="Arial"/>
          <w:sz w:val="28"/>
          <w:szCs w:val="28"/>
          <w:lang w:val="en-US"/>
        </w:rPr>
        <w:t>C)</w:t>
      </w:r>
    </w:p>
    <w:p w14:paraId="2792CE55" w14:textId="31329D71" w:rsidR="00D03584" w:rsidRDefault="00ED3829" w:rsidP="00D03584">
      <w:pPr>
        <w:pStyle w:val="ListParagraph"/>
        <w:spacing w:line="480" w:lineRule="auto"/>
        <w:rPr>
          <w:rFonts w:ascii="Arial" w:hAnsi="Arial" w:cs="Arial"/>
          <w:sz w:val="28"/>
          <w:szCs w:val="28"/>
          <w:lang w:val="en-US"/>
        </w:rPr>
      </w:pPr>
      <w:r>
        <w:rPr>
          <w:rFonts w:ascii="Arial" w:hAnsi="Arial" w:cs="Arial"/>
          <w:sz w:val="28"/>
          <w:szCs w:val="28"/>
          <w:lang w:val="en-US"/>
        </w:rPr>
        <w:t xml:space="preserve"> </w:t>
      </w:r>
      <w:r w:rsidR="007439BD">
        <w:rPr>
          <w:rFonts w:ascii="Arial" w:hAnsi="Arial" w:cs="Arial"/>
          <w:sz w:val="28"/>
          <w:szCs w:val="28"/>
          <w:lang w:val="en-US"/>
        </w:rPr>
        <w:t>O</w:t>
      </w:r>
      <w:r>
        <w:rPr>
          <w:rFonts w:ascii="Arial" w:hAnsi="Arial" w:cs="Arial"/>
          <w:sz w:val="28"/>
          <w:szCs w:val="28"/>
          <w:lang w:val="en-US"/>
        </w:rPr>
        <w:t>verall</w:t>
      </w:r>
      <w:r w:rsidR="007439BD">
        <w:rPr>
          <w:rFonts w:ascii="Arial" w:hAnsi="Arial" w:cs="Arial"/>
          <w:sz w:val="28"/>
          <w:szCs w:val="28"/>
          <w:lang w:val="en-US"/>
        </w:rPr>
        <w:t>, the paintings from Simon’s Will showcases a piece of property that does not</w:t>
      </w:r>
      <w:r>
        <w:rPr>
          <w:rFonts w:ascii="Arial" w:hAnsi="Arial" w:cs="Arial"/>
          <w:sz w:val="28"/>
          <w:szCs w:val="28"/>
          <w:lang w:val="en-US"/>
        </w:rPr>
        <w:t xml:space="preserve"> benefit the public</w:t>
      </w:r>
      <w:r w:rsidR="007439BD">
        <w:rPr>
          <w:rFonts w:ascii="Arial" w:hAnsi="Arial" w:cs="Arial"/>
          <w:sz w:val="28"/>
          <w:szCs w:val="28"/>
          <w:lang w:val="en-US"/>
        </w:rPr>
        <w:t xml:space="preserve">, moreover, the Turner paintings </w:t>
      </w:r>
      <w:r w:rsidR="00926C41">
        <w:rPr>
          <w:rFonts w:ascii="Arial" w:hAnsi="Arial" w:cs="Arial"/>
          <w:sz w:val="28"/>
          <w:szCs w:val="28"/>
          <w:lang w:val="en-US"/>
        </w:rPr>
        <w:t>would be</w:t>
      </w:r>
      <w:r>
        <w:rPr>
          <w:rFonts w:ascii="Arial" w:hAnsi="Arial" w:cs="Arial"/>
          <w:sz w:val="28"/>
          <w:szCs w:val="28"/>
          <w:lang w:val="en-US"/>
        </w:rPr>
        <w:t xml:space="preserve"> deemed </w:t>
      </w:r>
      <w:r w:rsidR="007439BD">
        <w:rPr>
          <w:rFonts w:ascii="Arial" w:hAnsi="Arial" w:cs="Arial"/>
          <w:sz w:val="28"/>
          <w:szCs w:val="28"/>
          <w:lang w:val="en-US"/>
        </w:rPr>
        <w:t>as be</w:t>
      </w:r>
      <w:r w:rsidR="00926C41">
        <w:rPr>
          <w:rFonts w:ascii="Arial" w:hAnsi="Arial" w:cs="Arial"/>
          <w:sz w:val="28"/>
          <w:szCs w:val="28"/>
          <w:lang w:val="en-US"/>
        </w:rPr>
        <w:t xml:space="preserve">ing worthless therefore making the trust invalid for the reason that it contains no value to a group of people except those whose taste of painting are satisfied by the object as illustrated in </w:t>
      </w:r>
      <w:r w:rsidR="00926C41">
        <w:rPr>
          <w:rFonts w:ascii="Arial" w:hAnsi="Arial" w:cs="Arial"/>
          <w:i/>
          <w:iCs/>
          <w:sz w:val="28"/>
          <w:szCs w:val="28"/>
          <w:lang w:val="en-US"/>
        </w:rPr>
        <w:t xml:space="preserve">‘Re Pinion’ </w:t>
      </w:r>
      <w:r w:rsidR="00926C41">
        <w:rPr>
          <w:rFonts w:ascii="Arial" w:hAnsi="Arial" w:cs="Arial"/>
          <w:sz w:val="28"/>
          <w:szCs w:val="28"/>
          <w:lang w:val="en-US"/>
        </w:rPr>
        <w:t xml:space="preserve">(1965). </w:t>
      </w:r>
      <w:r w:rsidR="0098629A">
        <w:rPr>
          <w:rFonts w:ascii="Arial" w:hAnsi="Arial" w:cs="Arial"/>
          <w:sz w:val="28"/>
          <w:szCs w:val="28"/>
          <w:lang w:val="en-US"/>
        </w:rPr>
        <w:t xml:space="preserve">Additionally, </w:t>
      </w:r>
      <w:r w:rsidR="0053734F">
        <w:rPr>
          <w:rFonts w:ascii="Arial" w:hAnsi="Arial" w:cs="Arial"/>
          <w:sz w:val="28"/>
          <w:szCs w:val="28"/>
          <w:lang w:val="en-US"/>
        </w:rPr>
        <w:t xml:space="preserve">the three certainties for creating a trust are present but the objects listed is problematic; Simon states on the disposition that he wants the painting to be held on trust for ‘my friends’, this wording renders the class of beneficiaries conceptually uncertain due to the fact that there </w:t>
      </w:r>
      <w:r w:rsidR="0053734F">
        <w:rPr>
          <w:rFonts w:ascii="Arial" w:hAnsi="Arial" w:cs="Arial"/>
          <w:sz w:val="28"/>
          <w:szCs w:val="28"/>
          <w:lang w:val="en-US"/>
        </w:rPr>
        <w:lastRenderedPageBreak/>
        <w:t>is no usable definition which can be agreed upon in order for Vinnie to select potential individuals</w:t>
      </w:r>
      <w:r w:rsidR="003023D2">
        <w:rPr>
          <w:rFonts w:ascii="Arial" w:hAnsi="Arial" w:cs="Arial"/>
          <w:sz w:val="28"/>
          <w:szCs w:val="28"/>
          <w:lang w:val="en-US"/>
        </w:rPr>
        <w:t xml:space="preserve"> according to the view in the case of </w:t>
      </w:r>
      <w:r w:rsidR="003023D2">
        <w:rPr>
          <w:rFonts w:ascii="Arial" w:hAnsi="Arial" w:cs="Arial"/>
          <w:i/>
          <w:iCs/>
          <w:sz w:val="28"/>
          <w:szCs w:val="28"/>
          <w:lang w:val="en-US"/>
        </w:rPr>
        <w:t xml:space="preserve">‘Re Gulbenkian’s Settlement Trusts’ </w:t>
      </w:r>
      <w:r w:rsidR="003023D2">
        <w:rPr>
          <w:rFonts w:ascii="Arial" w:hAnsi="Arial" w:cs="Arial"/>
          <w:sz w:val="28"/>
          <w:szCs w:val="28"/>
          <w:lang w:val="en-US"/>
        </w:rPr>
        <w:t>(1970).</w:t>
      </w:r>
    </w:p>
    <w:p w14:paraId="151D0319" w14:textId="25AB8EE2" w:rsidR="00A017F8" w:rsidRDefault="00A017F8" w:rsidP="00A017F8">
      <w:pPr>
        <w:spacing w:line="480" w:lineRule="auto"/>
        <w:rPr>
          <w:rFonts w:ascii="Arial" w:hAnsi="Arial" w:cs="Arial"/>
          <w:sz w:val="28"/>
          <w:szCs w:val="28"/>
          <w:lang w:val="en-US"/>
        </w:rPr>
      </w:pPr>
      <w:r>
        <w:rPr>
          <w:rFonts w:ascii="Arial" w:hAnsi="Arial" w:cs="Arial"/>
          <w:sz w:val="28"/>
          <w:szCs w:val="28"/>
          <w:lang w:val="en-US"/>
        </w:rPr>
        <w:t xml:space="preserve">E) </w:t>
      </w:r>
    </w:p>
    <w:p w14:paraId="41952987" w14:textId="2C5D7B01" w:rsidR="00676FEA" w:rsidRDefault="009C1C48" w:rsidP="00A017F8">
      <w:pPr>
        <w:spacing w:line="480" w:lineRule="auto"/>
        <w:rPr>
          <w:rFonts w:ascii="Arial" w:hAnsi="Arial" w:cs="Arial"/>
          <w:sz w:val="28"/>
          <w:szCs w:val="28"/>
          <w:lang w:val="en-US"/>
        </w:rPr>
      </w:pPr>
      <w:r>
        <w:rPr>
          <w:rFonts w:ascii="Arial" w:hAnsi="Arial" w:cs="Arial"/>
          <w:sz w:val="28"/>
          <w:szCs w:val="28"/>
          <w:lang w:val="en-US"/>
        </w:rPr>
        <w:t>The object in Simon’s trust is not conceptually certain, therefore the trust cannot be valid.</w:t>
      </w:r>
    </w:p>
    <w:p w14:paraId="10BBA53D" w14:textId="024C5DBB" w:rsidR="00676FEA" w:rsidRDefault="00676FEA" w:rsidP="00A017F8">
      <w:pPr>
        <w:spacing w:line="480" w:lineRule="auto"/>
        <w:rPr>
          <w:rFonts w:ascii="Arial" w:hAnsi="Arial" w:cs="Arial"/>
          <w:sz w:val="28"/>
          <w:szCs w:val="28"/>
          <w:lang w:val="en-US"/>
        </w:rPr>
      </w:pPr>
    </w:p>
    <w:p w14:paraId="46B48AF3" w14:textId="17437914" w:rsidR="0033631C" w:rsidRDefault="0033631C" w:rsidP="00A017F8">
      <w:pPr>
        <w:spacing w:line="480" w:lineRule="auto"/>
        <w:rPr>
          <w:rFonts w:ascii="Arial" w:hAnsi="Arial" w:cs="Arial"/>
          <w:sz w:val="28"/>
          <w:szCs w:val="28"/>
          <w:lang w:val="en-US"/>
        </w:rPr>
      </w:pPr>
    </w:p>
    <w:p w14:paraId="1288B4DB" w14:textId="218EFF11" w:rsidR="0033631C" w:rsidRDefault="0033631C" w:rsidP="00A017F8">
      <w:pPr>
        <w:spacing w:line="480" w:lineRule="auto"/>
        <w:rPr>
          <w:rFonts w:ascii="Arial" w:hAnsi="Arial" w:cs="Arial"/>
          <w:sz w:val="28"/>
          <w:szCs w:val="28"/>
          <w:lang w:val="en-US"/>
        </w:rPr>
      </w:pPr>
    </w:p>
    <w:p w14:paraId="05DBE9EC" w14:textId="60A9C5CB" w:rsidR="0033631C" w:rsidRDefault="0033631C" w:rsidP="00A017F8">
      <w:pPr>
        <w:spacing w:line="480" w:lineRule="auto"/>
        <w:rPr>
          <w:rFonts w:ascii="Arial" w:hAnsi="Arial" w:cs="Arial"/>
          <w:sz w:val="28"/>
          <w:szCs w:val="28"/>
          <w:lang w:val="en-US"/>
        </w:rPr>
      </w:pPr>
    </w:p>
    <w:p w14:paraId="6C15EC63" w14:textId="201A8488" w:rsidR="0033631C" w:rsidRDefault="0033631C" w:rsidP="00A017F8">
      <w:pPr>
        <w:spacing w:line="480" w:lineRule="auto"/>
        <w:rPr>
          <w:rFonts w:ascii="Arial" w:hAnsi="Arial" w:cs="Arial"/>
          <w:sz w:val="28"/>
          <w:szCs w:val="28"/>
          <w:lang w:val="en-US"/>
        </w:rPr>
      </w:pPr>
    </w:p>
    <w:p w14:paraId="345B24E8" w14:textId="27A3A768" w:rsidR="0033631C" w:rsidRDefault="0033631C" w:rsidP="00A017F8">
      <w:pPr>
        <w:spacing w:line="480" w:lineRule="auto"/>
        <w:rPr>
          <w:rFonts w:ascii="Arial" w:hAnsi="Arial" w:cs="Arial"/>
          <w:sz w:val="28"/>
          <w:szCs w:val="28"/>
          <w:lang w:val="en-US"/>
        </w:rPr>
      </w:pPr>
    </w:p>
    <w:p w14:paraId="47F3F797" w14:textId="77777777" w:rsidR="00371CEC" w:rsidRDefault="0033631C" w:rsidP="00A017F8">
      <w:pPr>
        <w:spacing w:line="480" w:lineRule="auto"/>
        <w:rPr>
          <w:rFonts w:ascii="Arial" w:hAnsi="Arial" w:cs="Arial"/>
          <w:sz w:val="28"/>
          <w:szCs w:val="28"/>
          <w:lang w:val="en-US"/>
        </w:rPr>
      </w:pPr>
      <w:r>
        <w:rPr>
          <w:rFonts w:ascii="Arial" w:hAnsi="Arial" w:cs="Arial"/>
          <w:sz w:val="28"/>
          <w:szCs w:val="28"/>
          <w:lang w:val="en-US"/>
        </w:rPr>
        <w:t xml:space="preserve">                                           </w:t>
      </w:r>
    </w:p>
    <w:p w14:paraId="1DCCF955" w14:textId="77777777" w:rsidR="00371CEC" w:rsidRDefault="00371CEC" w:rsidP="00A017F8">
      <w:pPr>
        <w:spacing w:line="480" w:lineRule="auto"/>
        <w:rPr>
          <w:rFonts w:ascii="Arial" w:hAnsi="Arial" w:cs="Arial"/>
          <w:sz w:val="28"/>
          <w:szCs w:val="28"/>
          <w:lang w:val="en-US"/>
        </w:rPr>
      </w:pPr>
    </w:p>
    <w:p w14:paraId="3E153F31" w14:textId="77777777" w:rsidR="00371CEC" w:rsidRDefault="00371CEC" w:rsidP="00A017F8">
      <w:pPr>
        <w:spacing w:line="480" w:lineRule="auto"/>
        <w:rPr>
          <w:rFonts w:ascii="Arial" w:hAnsi="Arial" w:cs="Arial"/>
          <w:sz w:val="28"/>
          <w:szCs w:val="28"/>
          <w:lang w:val="en-US"/>
        </w:rPr>
      </w:pPr>
    </w:p>
    <w:p w14:paraId="5FD02ACD" w14:textId="77777777" w:rsidR="00371CEC" w:rsidRDefault="00371CEC" w:rsidP="00A017F8">
      <w:pPr>
        <w:spacing w:line="480" w:lineRule="auto"/>
        <w:rPr>
          <w:rFonts w:ascii="Arial" w:hAnsi="Arial" w:cs="Arial"/>
          <w:sz w:val="28"/>
          <w:szCs w:val="28"/>
          <w:lang w:val="en-US"/>
        </w:rPr>
      </w:pPr>
    </w:p>
    <w:p w14:paraId="32A4005F" w14:textId="77777777" w:rsidR="00371CEC" w:rsidRDefault="00371CEC" w:rsidP="00A017F8">
      <w:pPr>
        <w:spacing w:line="480" w:lineRule="auto"/>
        <w:rPr>
          <w:rFonts w:ascii="Arial" w:hAnsi="Arial" w:cs="Arial"/>
          <w:sz w:val="28"/>
          <w:szCs w:val="28"/>
          <w:lang w:val="en-US"/>
        </w:rPr>
      </w:pPr>
    </w:p>
    <w:p w14:paraId="4E725DF4" w14:textId="77777777" w:rsidR="00371CEC" w:rsidRDefault="00371CEC" w:rsidP="00A017F8">
      <w:pPr>
        <w:spacing w:line="480" w:lineRule="auto"/>
        <w:rPr>
          <w:rFonts w:ascii="Arial" w:hAnsi="Arial" w:cs="Arial"/>
          <w:sz w:val="28"/>
          <w:szCs w:val="28"/>
          <w:lang w:val="en-US"/>
        </w:rPr>
      </w:pPr>
    </w:p>
    <w:p w14:paraId="3EB25FC8" w14:textId="77777777" w:rsidR="00371CEC" w:rsidRDefault="00371CEC" w:rsidP="00A017F8">
      <w:pPr>
        <w:spacing w:line="480" w:lineRule="auto"/>
        <w:rPr>
          <w:rFonts w:ascii="Arial" w:hAnsi="Arial" w:cs="Arial"/>
          <w:sz w:val="28"/>
          <w:szCs w:val="28"/>
          <w:lang w:val="en-US"/>
        </w:rPr>
      </w:pPr>
    </w:p>
    <w:p w14:paraId="20B6330D" w14:textId="77777777" w:rsidR="00371CEC" w:rsidRDefault="00371CEC" w:rsidP="00A017F8">
      <w:pPr>
        <w:spacing w:line="480" w:lineRule="auto"/>
        <w:rPr>
          <w:rFonts w:ascii="Arial" w:hAnsi="Arial" w:cs="Arial"/>
          <w:sz w:val="28"/>
          <w:szCs w:val="28"/>
          <w:lang w:val="en-US"/>
        </w:rPr>
      </w:pPr>
    </w:p>
    <w:p w14:paraId="5EDEEB3F" w14:textId="77777777" w:rsidR="00371CEC" w:rsidRDefault="00371CEC" w:rsidP="00A017F8">
      <w:pPr>
        <w:spacing w:line="480" w:lineRule="auto"/>
        <w:rPr>
          <w:rFonts w:ascii="Arial" w:hAnsi="Arial" w:cs="Arial"/>
          <w:sz w:val="28"/>
          <w:szCs w:val="28"/>
          <w:lang w:val="en-US"/>
        </w:rPr>
      </w:pPr>
    </w:p>
    <w:p w14:paraId="51E7B881" w14:textId="7089C78F" w:rsidR="0033631C" w:rsidRDefault="00371CEC" w:rsidP="00A017F8">
      <w:pPr>
        <w:spacing w:line="480" w:lineRule="auto"/>
        <w:rPr>
          <w:rFonts w:ascii="Arial" w:hAnsi="Arial" w:cs="Arial"/>
          <w:sz w:val="28"/>
          <w:szCs w:val="28"/>
          <w:lang w:val="en-US"/>
        </w:rPr>
      </w:pPr>
      <w:r>
        <w:rPr>
          <w:rFonts w:ascii="Arial" w:hAnsi="Arial" w:cs="Arial"/>
          <w:sz w:val="28"/>
          <w:szCs w:val="28"/>
          <w:lang w:val="en-US"/>
        </w:rPr>
        <w:t xml:space="preserve">                                           </w:t>
      </w:r>
      <w:r w:rsidR="0033631C">
        <w:rPr>
          <w:rFonts w:ascii="Arial" w:hAnsi="Arial" w:cs="Arial"/>
          <w:sz w:val="28"/>
          <w:szCs w:val="28"/>
          <w:lang w:val="en-US"/>
        </w:rPr>
        <w:t xml:space="preserve">     Bibliography: </w:t>
      </w:r>
    </w:p>
    <w:p w14:paraId="50EF9E13" w14:textId="0BD93D8E" w:rsidR="00D21876" w:rsidRPr="00D21876" w:rsidRDefault="00D21876" w:rsidP="00A017F8">
      <w:pPr>
        <w:spacing w:line="480" w:lineRule="auto"/>
        <w:rPr>
          <w:rFonts w:ascii="Arial" w:hAnsi="Arial" w:cs="Arial"/>
          <w:sz w:val="28"/>
          <w:szCs w:val="28"/>
          <w:lang w:val="en-US"/>
        </w:rPr>
      </w:pPr>
      <w:proofErr w:type="spellStart"/>
      <w:r w:rsidRPr="00D21876">
        <w:rPr>
          <w:rFonts w:ascii="Arial" w:hAnsi="Arial" w:cs="Arial"/>
          <w:sz w:val="28"/>
          <w:szCs w:val="28"/>
          <w:lang w:val="en-US"/>
        </w:rPr>
        <w:t>Bandali</w:t>
      </w:r>
      <w:proofErr w:type="spellEnd"/>
      <w:r w:rsidRPr="00D21876">
        <w:rPr>
          <w:rFonts w:ascii="Arial" w:hAnsi="Arial" w:cs="Arial"/>
          <w:sz w:val="28"/>
          <w:szCs w:val="28"/>
          <w:lang w:val="en-US"/>
        </w:rPr>
        <w:t>, S.M. (1973) ‘Secret Trusts.</w:t>
      </w:r>
      <w:r>
        <w:rPr>
          <w:rFonts w:ascii="Arial" w:hAnsi="Arial" w:cs="Arial"/>
          <w:sz w:val="28"/>
          <w:szCs w:val="28"/>
          <w:lang w:val="en-US"/>
        </w:rPr>
        <w:t xml:space="preserve"> A Development.’, </w:t>
      </w:r>
      <w:r>
        <w:rPr>
          <w:rFonts w:ascii="Arial" w:hAnsi="Arial" w:cs="Arial"/>
          <w:i/>
          <w:iCs/>
          <w:sz w:val="28"/>
          <w:szCs w:val="28"/>
          <w:lang w:val="en-US"/>
        </w:rPr>
        <w:t xml:space="preserve">The Modern Law Review, </w:t>
      </w:r>
      <w:r>
        <w:rPr>
          <w:rFonts w:ascii="Arial" w:hAnsi="Arial" w:cs="Arial"/>
          <w:sz w:val="28"/>
          <w:szCs w:val="28"/>
          <w:lang w:val="en-US"/>
        </w:rPr>
        <w:t xml:space="preserve">36(2), pp. 210-214. Available at: </w:t>
      </w:r>
      <w:hyperlink r:id="rId7" w:history="1">
        <w:r w:rsidRPr="00D47072">
          <w:rPr>
            <w:rStyle w:val="Hyperlink"/>
            <w:rFonts w:ascii="Arial" w:hAnsi="Arial" w:cs="Arial"/>
            <w:sz w:val="28"/>
            <w:szCs w:val="28"/>
            <w:lang w:val="en-US"/>
          </w:rPr>
          <w:t>https://www-jstor-org.ezproxy.uwtsd.ac.uk/stable/1094465?seq=1#metadata_info_tab_contents</w:t>
        </w:r>
      </w:hyperlink>
      <w:r>
        <w:rPr>
          <w:rFonts w:ascii="Arial" w:hAnsi="Arial" w:cs="Arial"/>
          <w:sz w:val="28"/>
          <w:szCs w:val="28"/>
          <w:lang w:val="en-US"/>
        </w:rPr>
        <w:t xml:space="preserve"> (Accessed: </w:t>
      </w:r>
      <w:r w:rsidR="00CD4925">
        <w:rPr>
          <w:rFonts w:ascii="Arial" w:hAnsi="Arial" w:cs="Arial"/>
          <w:sz w:val="28"/>
          <w:szCs w:val="28"/>
          <w:lang w:val="en-US"/>
        </w:rPr>
        <w:t>7 December 2021).</w:t>
      </w:r>
    </w:p>
    <w:p w14:paraId="1D67BC4A" w14:textId="6A81D50D" w:rsidR="00D21876" w:rsidRDefault="00D21876" w:rsidP="00A017F8">
      <w:pPr>
        <w:spacing w:line="480" w:lineRule="auto"/>
        <w:rPr>
          <w:rFonts w:ascii="Arial" w:hAnsi="Arial" w:cs="Arial"/>
          <w:sz w:val="28"/>
          <w:szCs w:val="28"/>
          <w:lang w:val="en-US"/>
        </w:rPr>
      </w:pPr>
    </w:p>
    <w:p w14:paraId="069720DC" w14:textId="6ED44C85" w:rsidR="00B13793" w:rsidRPr="00B13793" w:rsidRDefault="00D931EE" w:rsidP="00A017F8">
      <w:pPr>
        <w:spacing w:line="480" w:lineRule="auto"/>
        <w:rPr>
          <w:rFonts w:ascii="Arial" w:hAnsi="Arial" w:cs="Arial"/>
          <w:sz w:val="28"/>
          <w:szCs w:val="28"/>
          <w:lang w:val="en-US"/>
        </w:rPr>
      </w:pPr>
      <w:r>
        <w:rPr>
          <w:rFonts w:ascii="Arial" w:hAnsi="Arial" w:cs="Arial"/>
          <w:sz w:val="28"/>
          <w:szCs w:val="28"/>
          <w:lang w:val="en-US"/>
        </w:rPr>
        <w:t>Bray, J. (</w:t>
      </w:r>
      <w:r w:rsidR="00B13793">
        <w:rPr>
          <w:rFonts w:ascii="Arial" w:hAnsi="Arial" w:cs="Arial"/>
          <w:sz w:val="28"/>
          <w:szCs w:val="28"/>
          <w:lang w:val="en-US"/>
        </w:rPr>
        <w:t xml:space="preserve">2012) ‘The classification of trusts and powers’, </w:t>
      </w:r>
      <w:r w:rsidR="00B13793">
        <w:rPr>
          <w:rFonts w:ascii="Arial" w:hAnsi="Arial" w:cs="Arial"/>
          <w:i/>
          <w:iCs/>
          <w:sz w:val="28"/>
          <w:szCs w:val="28"/>
          <w:lang w:val="en-US"/>
        </w:rPr>
        <w:t xml:space="preserve">Cambridge University Press, </w:t>
      </w:r>
      <w:r w:rsidR="00B13793">
        <w:rPr>
          <w:rFonts w:ascii="Arial" w:hAnsi="Arial" w:cs="Arial"/>
          <w:sz w:val="28"/>
          <w:szCs w:val="28"/>
          <w:lang w:val="en-US"/>
        </w:rPr>
        <w:t xml:space="preserve">1 (1), pp. 32-46. Available at: </w:t>
      </w:r>
      <w:hyperlink r:id="rId8" w:history="1">
        <w:r w:rsidR="00B13793" w:rsidRPr="00D47072">
          <w:rPr>
            <w:rStyle w:val="Hyperlink"/>
            <w:rFonts w:ascii="Arial" w:hAnsi="Arial" w:cs="Arial"/>
            <w:sz w:val="28"/>
            <w:szCs w:val="28"/>
            <w:lang w:val="en-US"/>
          </w:rPr>
          <w:t>https://www.cambridge.org/core/books/abs/students-guide-to-equity-and-trusts/classification-of-trusts-and-powers/358B26E34C0475CC852B6EE479ADF3E0#</w:t>
        </w:r>
      </w:hyperlink>
      <w:r w:rsidR="00B13793">
        <w:rPr>
          <w:rFonts w:ascii="Arial" w:hAnsi="Arial" w:cs="Arial"/>
          <w:sz w:val="28"/>
          <w:szCs w:val="28"/>
          <w:lang w:val="en-US"/>
        </w:rPr>
        <w:t xml:space="preserve"> (Accessed: 14 December 2021). </w:t>
      </w:r>
    </w:p>
    <w:p w14:paraId="71627DD2" w14:textId="77777777" w:rsidR="00D931EE" w:rsidRPr="00D21876" w:rsidRDefault="00D931EE" w:rsidP="00A017F8">
      <w:pPr>
        <w:spacing w:line="480" w:lineRule="auto"/>
        <w:rPr>
          <w:rFonts w:ascii="Arial" w:hAnsi="Arial" w:cs="Arial"/>
          <w:sz w:val="28"/>
          <w:szCs w:val="28"/>
          <w:lang w:val="en-US"/>
        </w:rPr>
      </w:pPr>
    </w:p>
    <w:p w14:paraId="1799E9DE" w14:textId="338718AD" w:rsidR="00D21876" w:rsidRDefault="00D50F31" w:rsidP="00A017F8">
      <w:pPr>
        <w:spacing w:line="480" w:lineRule="auto"/>
        <w:rPr>
          <w:rFonts w:ascii="Arial" w:hAnsi="Arial" w:cs="Arial"/>
          <w:sz w:val="28"/>
          <w:szCs w:val="28"/>
          <w:lang w:val="en-US"/>
        </w:rPr>
      </w:pPr>
      <w:r>
        <w:rPr>
          <w:rFonts w:ascii="Arial" w:hAnsi="Arial" w:cs="Arial"/>
          <w:sz w:val="28"/>
          <w:szCs w:val="28"/>
          <w:lang w:val="en-US"/>
        </w:rPr>
        <w:t xml:space="preserve">Chung, B. (2018) ‘Fraud Prevention? Dehors? Or What? why secret trusts are enforced?’, </w:t>
      </w:r>
      <w:r>
        <w:rPr>
          <w:rFonts w:ascii="Arial" w:hAnsi="Arial" w:cs="Arial"/>
          <w:i/>
          <w:iCs/>
          <w:sz w:val="28"/>
          <w:szCs w:val="28"/>
          <w:lang w:val="en-US"/>
        </w:rPr>
        <w:t xml:space="preserve">Trust and Trustees, </w:t>
      </w:r>
      <w:r>
        <w:rPr>
          <w:rFonts w:ascii="Arial" w:hAnsi="Arial" w:cs="Arial"/>
          <w:sz w:val="28"/>
          <w:szCs w:val="28"/>
          <w:lang w:val="en-US"/>
        </w:rPr>
        <w:t xml:space="preserve">24(2), pp. 162-167. Available at: </w:t>
      </w:r>
      <w:hyperlink r:id="rId9" w:history="1">
        <w:r w:rsidRPr="00D47072">
          <w:rPr>
            <w:rStyle w:val="Hyperlink"/>
            <w:rFonts w:ascii="Arial" w:hAnsi="Arial" w:cs="Arial"/>
            <w:sz w:val="28"/>
            <w:szCs w:val="28"/>
            <w:lang w:val="en-US"/>
          </w:rPr>
          <w:t>https://academic.oup.com/tandt/article-abstract/24/2/162/4780265?redirectedFrom=PDF</w:t>
        </w:r>
      </w:hyperlink>
      <w:r>
        <w:rPr>
          <w:rFonts w:ascii="Arial" w:hAnsi="Arial" w:cs="Arial"/>
          <w:sz w:val="28"/>
          <w:szCs w:val="28"/>
          <w:lang w:val="en-US"/>
        </w:rPr>
        <w:t xml:space="preserve"> (Accessed: 6 December 2021). </w:t>
      </w:r>
    </w:p>
    <w:p w14:paraId="60CA85CE" w14:textId="547C0B53" w:rsidR="00275BC2" w:rsidRDefault="00275BC2" w:rsidP="00A017F8">
      <w:pPr>
        <w:spacing w:line="480" w:lineRule="auto"/>
        <w:rPr>
          <w:rFonts w:ascii="Arial" w:hAnsi="Arial" w:cs="Arial"/>
          <w:sz w:val="28"/>
          <w:szCs w:val="28"/>
          <w:lang w:val="en-US"/>
        </w:rPr>
      </w:pPr>
    </w:p>
    <w:p w14:paraId="35CB40AD" w14:textId="670F711A" w:rsidR="00275BC2" w:rsidRPr="00275BC2" w:rsidRDefault="00275BC2" w:rsidP="00A017F8">
      <w:pPr>
        <w:spacing w:line="480" w:lineRule="auto"/>
        <w:rPr>
          <w:rFonts w:ascii="Arial" w:hAnsi="Arial" w:cs="Arial"/>
          <w:sz w:val="28"/>
          <w:szCs w:val="28"/>
          <w:lang w:val="en-US"/>
        </w:rPr>
      </w:pPr>
      <w:r>
        <w:rPr>
          <w:rFonts w:ascii="Arial" w:hAnsi="Arial" w:cs="Arial"/>
          <w:sz w:val="28"/>
          <w:szCs w:val="28"/>
          <w:lang w:val="en-US"/>
        </w:rPr>
        <w:lastRenderedPageBreak/>
        <w:t xml:space="preserve">Gray, H. (1953) ‘Charitable Trusts’, </w:t>
      </w:r>
      <w:r>
        <w:rPr>
          <w:rFonts w:ascii="Arial" w:hAnsi="Arial" w:cs="Arial"/>
          <w:i/>
          <w:iCs/>
          <w:sz w:val="28"/>
          <w:szCs w:val="28"/>
          <w:lang w:val="en-US"/>
        </w:rPr>
        <w:t xml:space="preserve">The Modern Law Review, </w:t>
      </w:r>
      <w:r>
        <w:rPr>
          <w:rFonts w:ascii="Arial" w:hAnsi="Arial" w:cs="Arial"/>
          <w:sz w:val="28"/>
          <w:szCs w:val="28"/>
          <w:lang w:val="en-US"/>
        </w:rPr>
        <w:t xml:space="preserve">16(1), pp. 95-97. Available at: </w:t>
      </w:r>
      <w:hyperlink r:id="rId10" w:history="1">
        <w:r w:rsidRPr="00D47072">
          <w:rPr>
            <w:rStyle w:val="Hyperlink"/>
            <w:rFonts w:ascii="Arial" w:hAnsi="Arial" w:cs="Arial"/>
            <w:sz w:val="28"/>
            <w:szCs w:val="28"/>
            <w:lang w:val="en-US"/>
          </w:rPr>
          <w:t>https://www-jstor-org.ezproxy.uwtsd.ac.uk/stable/1092007?seq=1#metadata_info_tab_contents</w:t>
        </w:r>
      </w:hyperlink>
      <w:r>
        <w:rPr>
          <w:rFonts w:ascii="Arial" w:hAnsi="Arial" w:cs="Arial"/>
          <w:sz w:val="28"/>
          <w:szCs w:val="28"/>
          <w:lang w:val="en-US"/>
        </w:rPr>
        <w:t xml:space="preserve"> (Accessed: 19 December 2021).</w:t>
      </w:r>
    </w:p>
    <w:p w14:paraId="5883B7C0" w14:textId="43C4242D" w:rsidR="00471EB9" w:rsidRDefault="00471EB9" w:rsidP="00A017F8">
      <w:pPr>
        <w:spacing w:line="480" w:lineRule="auto"/>
        <w:rPr>
          <w:rFonts w:ascii="Arial" w:hAnsi="Arial" w:cs="Arial"/>
          <w:sz w:val="28"/>
          <w:szCs w:val="28"/>
          <w:lang w:val="en-US"/>
        </w:rPr>
      </w:pPr>
    </w:p>
    <w:p w14:paraId="56ACAE49" w14:textId="366DA9DE" w:rsidR="00CF7797" w:rsidRDefault="00CF7797" w:rsidP="00A017F8">
      <w:pPr>
        <w:spacing w:line="480" w:lineRule="auto"/>
        <w:rPr>
          <w:rFonts w:ascii="Arial" w:hAnsi="Arial" w:cs="Arial"/>
          <w:sz w:val="28"/>
          <w:szCs w:val="28"/>
          <w:lang w:val="en-US"/>
        </w:rPr>
      </w:pPr>
      <w:r>
        <w:rPr>
          <w:rFonts w:ascii="Arial" w:hAnsi="Arial" w:cs="Arial"/>
          <w:sz w:val="28"/>
          <w:szCs w:val="28"/>
          <w:lang w:val="en-US"/>
        </w:rPr>
        <w:t xml:space="preserve">Harvard Law Review (1894) ‘Discretionary Trust. Execution by Court’, </w:t>
      </w:r>
      <w:r>
        <w:rPr>
          <w:rFonts w:ascii="Arial" w:hAnsi="Arial" w:cs="Arial"/>
          <w:i/>
          <w:iCs/>
          <w:sz w:val="28"/>
          <w:szCs w:val="28"/>
          <w:lang w:val="en-US"/>
        </w:rPr>
        <w:t xml:space="preserve">Harvard Law Review, </w:t>
      </w:r>
      <w:r>
        <w:rPr>
          <w:rFonts w:ascii="Arial" w:hAnsi="Arial" w:cs="Arial"/>
          <w:sz w:val="28"/>
          <w:szCs w:val="28"/>
          <w:lang w:val="en-US"/>
        </w:rPr>
        <w:t xml:space="preserve">7(8), pp. 490-491. Available at: </w:t>
      </w:r>
      <w:hyperlink r:id="rId11" w:history="1">
        <w:r w:rsidRPr="00D47072">
          <w:rPr>
            <w:rStyle w:val="Hyperlink"/>
            <w:rFonts w:ascii="Arial" w:hAnsi="Arial" w:cs="Arial"/>
            <w:sz w:val="28"/>
            <w:szCs w:val="28"/>
            <w:lang w:val="en-US"/>
          </w:rPr>
          <w:t>https://www-jstor-org.ezproxy.uwtsd.ac.uk/stable/1322347?Search=yes&amp;resultItemClick=true&amp;searchText=discretionary+trust&amp;searchUri=%2Faction%2FdoBasicSearch%3FQuery%3Ddiscretionary%2Btrust%2B%26so%3Drel&amp;ab_segm=&amp;seq=1#metadata_info_tab_contents</w:t>
        </w:r>
      </w:hyperlink>
      <w:r>
        <w:rPr>
          <w:rFonts w:ascii="Arial" w:hAnsi="Arial" w:cs="Arial"/>
          <w:sz w:val="28"/>
          <w:szCs w:val="28"/>
          <w:lang w:val="en-US"/>
        </w:rPr>
        <w:t xml:space="preserve"> (Accessed: 16 December 2021).</w:t>
      </w:r>
    </w:p>
    <w:p w14:paraId="281A8031" w14:textId="70B9BDDF" w:rsidR="00611390" w:rsidRDefault="00611390" w:rsidP="00A017F8">
      <w:pPr>
        <w:spacing w:line="480" w:lineRule="auto"/>
        <w:rPr>
          <w:rFonts w:ascii="Arial" w:hAnsi="Arial" w:cs="Arial"/>
          <w:sz w:val="28"/>
          <w:szCs w:val="28"/>
          <w:lang w:val="en-US"/>
        </w:rPr>
      </w:pPr>
    </w:p>
    <w:p w14:paraId="20B5F6D8" w14:textId="77777777" w:rsidR="00371CEC" w:rsidRDefault="00371CEC" w:rsidP="00A017F8">
      <w:pPr>
        <w:spacing w:line="480" w:lineRule="auto"/>
        <w:rPr>
          <w:rFonts w:ascii="Arial" w:hAnsi="Arial" w:cs="Arial"/>
          <w:sz w:val="28"/>
          <w:szCs w:val="28"/>
          <w:lang w:val="en-US"/>
        </w:rPr>
      </w:pPr>
    </w:p>
    <w:p w14:paraId="7CE1DFD3" w14:textId="267FC189" w:rsidR="00611390" w:rsidRPr="00611390" w:rsidRDefault="00611390" w:rsidP="00A017F8">
      <w:pPr>
        <w:spacing w:line="480" w:lineRule="auto"/>
        <w:rPr>
          <w:rFonts w:ascii="Arial" w:hAnsi="Arial" w:cs="Arial"/>
          <w:sz w:val="28"/>
          <w:szCs w:val="28"/>
          <w:lang w:val="en-US"/>
        </w:rPr>
      </w:pPr>
      <w:r>
        <w:rPr>
          <w:rFonts w:ascii="Arial" w:hAnsi="Arial" w:cs="Arial"/>
          <w:sz w:val="28"/>
          <w:szCs w:val="28"/>
          <w:lang w:val="en-US"/>
        </w:rPr>
        <w:t xml:space="preserve">Hopkins, J. (1970) ‘Trusts. Discretionary Trusts. Certainty of Objects’, </w:t>
      </w:r>
      <w:r>
        <w:rPr>
          <w:rFonts w:ascii="Arial" w:hAnsi="Arial" w:cs="Arial"/>
          <w:i/>
          <w:iCs/>
          <w:sz w:val="28"/>
          <w:szCs w:val="28"/>
          <w:lang w:val="en-US"/>
        </w:rPr>
        <w:t xml:space="preserve">The Cambridge Law Journal, </w:t>
      </w:r>
      <w:r>
        <w:rPr>
          <w:rFonts w:ascii="Arial" w:hAnsi="Arial" w:cs="Arial"/>
          <w:sz w:val="28"/>
          <w:szCs w:val="28"/>
          <w:lang w:val="en-US"/>
        </w:rPr>
        <w:t xml:space="preserve">28(2), pp. 206-210. Available at: </w:t>
      </w:r>
      <w:hyperlink r:id="rId12" w:history="1">
        <w:r w:rsidRPr="00D47072">
          <w:rPr>
            <w:rStyle w:val="Hyperlink"/>
            <w:rFonts w:ascii="Arial" w:hAnsi="Arial" w:cs="Arial"/>
            <w:sz w:val="28"/>
            <w:szCs w:val="28"/>
            <w:lang w:val="en-US"/>
          </w:rPr>
          <w:t>https://www-jstor-org.ezproxy.uwtsd.ac.uk/stable/4505390?Search=yes&amp;resultItemClick=true&amp;searchText=discretionary+trusts+requirements&amp;sear=&amp;seq=1#metadata_info_tab_contents</w:t>
        </w:r>
      </w:hyperlink>
      <w:r>
        <w:rPr>
          <w:rFonts w:ascii="Arial" w:hAnsi="Arial" w:cs="Arial"/>
          <w:sz w:val="28"/>
          <w:szCs w:val="28"/>
          <w:lang w:val="en-US"/>
        </w:rPr>
        <w:t xml:space="preserve"> (Accessed: 18 December 2021).</w:t>
      </w:r>
    </w:p>
    <w:p w14:paraId="6223F4CE" w14:textId="575DA0C0" w:rsidR="00471EB9" w:rsidRDefault="00471EB9" w:rsidP="00A017F8">
      <w:pPr>
        <w:spacing w:line="480" w:lineRule="auto"/>
        <w:rPr>
          <w:rFonts w:ascii="Arial" w:hAnsi="Arial" w:cs="Arial"/>
          <w:sz w:val="28"/>
          <w:szCs w:val="28"/>
          <w:lang w:val="en-US"/>
        </w:rPr>
      </w:pPr>
    </w:p>
    <w:p w14:paraId="3DECBDA4" w14:textId="03BF1E27" w:rsidR="00275BC2" w:rsidRPr="005F05F0" w:rsidRDefault="00275BC2" w:rsidP="00A017F8">
      <w:pPr>
        <w:spacing w:line="480" w:lineRule="auto"/>
        <w:rPr>
          <w:rFonts w:ascii="Arial" w:hAnsi="Arial" w:cs="Arial"/>
          <w:sz w:val="28"/>
          <w:szCs w:val="28"/>
          <w:lang w:val="en-US"/>
        </w:rPr>
      </w:pPr>
      <w:proofErr w:type="spellStart"/>
      <w:r>
        <w:rPr>
          <w:rFonts w:ascii="Arial" w:hAnsi="Arial" w:cs="Arial"/>
          <w:sz w:val="28"/>
          <w:szCs w:val="28"/>
          <w:lang w:val="en-US"/>
        </w:rPr>
        <w:lastRenderedPageBreak/>
        <w:t>Lawexplores</w:t>
      </w:r>
      <w:proofErr w:type="spellEnd"/>
      <w:r>
        <w:rPr>
          <w:rFonts w:ascii="Arial" w:hAnsi="Arial" w:cs="Arial"/>
          <w:sz w:val="28"/>
          <w:szCs w:val="28"/>
          <w:lang w:val="en-US"/>
        </w:rPr>
        <w:t xml:space="preserve"> (2015) </w:t>
      </w:r>
      <w:r>
        <w:rPr>
          <w:rFonts w:ascii="Arial" w:hAnsi="Arial" w:cs="Arial"/>
          <w:i/>
          <w:iCs/>
          <w:sz w:val="28"/>
          <w:szCs w:val="28"/>
          <w:lang w:val="en-US"/>
        </w:rPr>
        <w:t>Trust Formation: The Beneficiary Principle</w:t>
      </w:r>
      <w:r w:rsidR="005F05F0">
        <w:rPr>
          <w:rFonts w:ascii="Arial" w:hAnsi="Arial" w:cs="Arial"/>
          <w:i/>
          <w:iCs/>
          <w:sz w:val="28"/>
          <w:szCs w:val="28"/>
          <w:lang w:val="en-US"/>
        </w:rPr>
        <w:t xml:space="preserve">. </w:t>
      </w:r>
      <w:r w:rsidR="005F05F0">
        <w:rPr>
          <w:rFonts w:ascii="Arial" w:hAnsi="Arial" w:cs="Arial"/>
          <w:sz w:val="28"/>
          <w:szCs w:val="28"/>
          <w:lang w:val="en-US"/>
        </w:rPr>
        <w:t xml:space="preserve">Available at: </w:t>
      </w:r>
      <w:hyperlink r:id="rId13" w:history="1">
        <w:r w:rsidR="005F05F0" w:rsidRPr="00D47072">
          <w:rPr>
            <w:rStyle w:val="Hyperlink"/>
            <w:rFonts w:ascii="Arial" w:hAnsi="Arial" w:cs="Arial"/>
            <w:sz w:val="28"/>
            <w:szCs w:val="28"/>
            <w:lang w:val="en-US"/>
          </w:rPr>
          <w:t>https://lawexplores.com/trust-formation-the-beneficiary-principle/</w:t>
        </w:r>
      </w:hyperlink>
      <w:r w:rsidR="005F05F0">
        <w:rPr>
          <w:rFonts w:ascii="Arial" w:hAnsi="Arial" w:cs="Arial"/>
          <w:sz w:val="28"/>
          <w:szCs w:val="28"/>
          <w:lang w:val="en-US"/>
        </w:rPr>
        <w:t xml:space="preserve"> (Accessed: 21 December 2021).</w:t>
      </w:r>
    </w:p>
    <w:p w14:paraId="6FABB446" w14:textId="77777777" w:rsidR="00275BC2" w:rsidRDefault="00275BC2" w:rsidP="00A017F8">
      <w:pPr>
        <w:spacing w:line="480" w:lineRule="auto"/>
        <w:rPr>
          <w:rFonts w:ascii="Arial" w:hAnsi="Arial" w:cs="Arial"/>
          <w:sz w:val="28"/>
          <w:szCs w:val="28"/>
          <w:lang w:val="en-US"/>
        </w:rPr>
      </w:pPr>
    </w:p>
    <w:p w14:paraId="6DB540C6" w14:textId="71495CA1" w:rsidR="00471EB9" w:rsidRDefault="00471EB9" w:rsidP="00A017F8">
      <w:pPr>
        <w:spacing w:line="480" w:lineRule="auto"/>
        <w:rPr>
          <w:rFonts w:ascii="Arial" w:hAnsi="Arial" w:cs="Arial"/>
          <w:sz w:val="28"/>
          <w:szCs w:val="28"/>
          <w:lang w:val="en-US"/>
        </w:rPr>
      </w:pPr>
      <w:proofErr w:type="spellStart"/>
      <w:r>
        <w:rPr>
          <w:rFonts w:ascii="Arial" w:hAnsi="Arial" w:cs="Arial"/>
          <w:sz w:val="28"/>
          <w:szCs w:val="28"/>
          <w:lang w:val="en-US"/>
        </w:rPr>
        <w:t>Lehavi</w:t>
      </w:r>
      <w:proofErr w:type="spellEnd"/>
      <w:r>
        <w:rPr>
          <w:rFonts w:ascii="Arial" w:hAnsi="Arial" w:cs="Arial"/>
          <w:sz w:val="28"/>
          <w:szCs w:val="28"/>
          <w:lang w:val="en-US"/>
        </w:rPr>
        <w:t xml:space="preserve">, A. (2016) ‘Property and Secrecy’, </w:t>
      </w:r>
      <w:r>
        <w:rPr>
          <w:rFonts w:ascii="Arial" w:hAnsi="Arial" w:cs="Arial"/>
          <w:i/>
          <w:iCs/>
          <w:sz w:val="28"/>
          <w:szCs w:val="28"/>
          <w:lang w:val="en-US"/>
        </w:rPr>
        <w:t xml:space="preserve">Real Property, Trust and Estate Law Journal, </w:t>
      </w:r>
      <w:r>
        <w:rPr>
          <w:rFonts w:ascii="Arial" w:hAnsi="Arial" w:cs="Arial"/>
          <w:sz w:val="28"/>
          <w:szCs w:val="28"/>
          <w:lang w:val="en-US"/>
        </w:rPr>
        <w:t xml:space="preserve">50(3), pp. 381-437. Available at: </w:t>
      </w:r>
      <w:hyperlink r:id="rId14" w:history="1">
        <w:r w:rsidRPr="00D47072">
          <w:rPr>
            <w:rStyle w:val="Hyperlink"/>
            <w:rFonts w:ascii="Arial" w:hAnsi="Arial" w:cs="Arial"/>
            <w:sz w:val="28"/>
            <w:szCs w:val="28"/>
            <w:lang w:val="en-US"/>
          </w:rPr>
          <w:t>https://www-jstor-org.ezproxy.uwtsd.ac.uk/stable/44649768?Search=yes&amp;resultItemClick=true&amp;searchText=difference+between+fully+secret+trust&amp;seq=1#metadata_info_tab_contents</w:t>
        </w:r>
      </w:hyperlink>
      <w:r>
        <w:rPr>
          <w:rFonts w:ascii="Arial" w:hAnsi="Arial" w:cs="Arial"/>
          <w:sz w:val="28"/>
          <w:szCs w:val="28"/>
          <w:lang w:val="en-US"/>
        </w:rPr>
        <w:t xml:space="preserve"> (Accessed: 8 December 2021).</w:t>
      </w:r>
    </w:p>
    <w:p w14:paraId="26738726" w14:textId="7FCB866B" w:rsidR="00471EB9" w:rsidRDefault="00471EB9" w:rsidP="00A017F8">
      <w:pPr>
        <w:spacing w:line="480" w:lineRule="auto"/>
        <w:rPr>
          <w:rFonts w:ascii="Arial" w:hAnsi="Arial" w:cs="Arial"/>
          <w:sz w:val="28"/>
          <w:szCs w:val="28"/>
          <w:lang w:val="en-US"/>
        </w:rPr>
      </w:pPr>
    </w:p>
    <w:p w14:paraId="3DF0C1CA" w14:textId="77777777" w:rsidR="00371CEC" w:rsidRDefault="00371CEC" w:rsidP="00A017F8">
      <w:pPr>
        <w:spacing w:line="480" w:lineRule="auto"/>
        <w:rPr>
          <w:rFonts w:ascii="Arial" w:hAnsi="Arial" w:cs="Arial"/>
          <w:sz w:val="28"/>
          <w:szCs w:val="28"/>
          <w:lang w:val="en-US"/>
        </w:rPr>
      </w:pPr>
    </w:p>
    <w:p w14:paraId="20171D54" w14:textId="30E1C353" w:rsidR="005F05F0" w:rsidRPr="005F05F0" w:rsidRDefault="005F05F0" w:rsidP="00A017F8">
      <w:pPr>
        <w:spacing w:line="480" w:lineRule="auto"/>
        <w:rPr>
          <w:rFonts w:ascii="Arial" w:hAnsi="Arial" w:cs="Arial"/>
          <w:sz w:val="28"/>
          <w:szCs w:val="28"/>
          <w:lang w:val="en-US"/>
        </w:rPr>
      </w:pPr>
      <w:r>
        <w:rPr>
          <w:rFonts w:ascii="Arial" w:hAnsi="Arial" w:cs="Arial"/>
          <w:sz w:val="28"/>
          <w:szCs w:val="28"/>
          <w:lang w:val="en-US"/>
        </w:rPr>
        <w:t xml:space="preserve">Leigh, L.H. (1955) ‘Trusts of imperfect obligation’, </w:t>
      </w:r>
      <w:r>
        <w:rPr>
          <w:rFonts w:ascii="Arial" w:hAnsi="Arial" w:cs="Arial"/>
          <w:i/>
          <w:iCs/>
          <w:sz w:val="28"/>
          <w:szCs w:val="28"/>
          <w:lang w:val="en-US"/>
        </w:rPr>
        <w:t xml:space="preserve">The Modern law Review, </w:t>
      </w:r>
      <w:r>
        <w:rPr>
          <w:rFonts w:ascii="Arial" w:hAnsi="Arial" w:cs="Arial"/>
          <w:sz w:val="28"/>
          <w:szCs w:val="28"/>
          <w:lang w:val="en-US"/>
        </w:rPr>
        <w:t xml:space="preserve">18(1), pp. 121-137. Available at: </w:t>
      </w:r>
      <w:hyperlink r:id="rId15" w:history="1">
        <w:r w:rsidRPr="00D47072">
          <w:rPr>
            <w:rStyle w:val="Hyperlink"/>
            <w:rFonts w:ascii="Arial" w:hAnsi="Arial" w:cs="Arial"/>
            <w:sz w:val="28"/>
            <w:szCs w:val="28"/>
            <w:lang w:val="en-US"/>
          </w:rPr>
          <w:t>https://onlinelibrary.wiley.com/doi/pdf/10.1111/j.1468-2230.1955.tb00287.x</w:t>
        </w:r>
      </w:hyperlink>
      <w:r>
        <w:rPr>
          <w:rFonts w:ascii="Arial" w:hAnsi="Arial" w:cs="Arial"/>
          <w:sz w:val="28"/>
          <w:szCs w:val="28"/>
          <w:lang w:val="en-US"/>
        </w:rPr>
        <w:t xml:space="preserve"> (Accessed: 21 December 2021).</w:t>
      </w:r>
    </w:p>
    <w:p w14:paraId="332C7808" w14:textId="510D94F8" w:rsidR="00CD4925" w:rsidRDefault="00CD4925" w:rsidP="00A017F8">
      <w:pPr>
        <w:spacing w:line="480" w:lineRule="auto"/>
        <w:rPr>
          <w:rFonts w:ascii="Arial" w:hAnsi="Arial" w:cs="Arial"/>
          <w:sz w:val="28"/>
          <w:szCs w:val="28"/>
          <w:lang w:val="en-US"/>
        </w:rPr>
      </w:pPr>
    </w:p>
    <w:p w14:paraId="1118BDE5" w14:textId="29FDFACE" w:rsidR="00CD4925" w:rsidRPr="00CD4925" w:rsidRDefault="00CD4925" w:rsidP="00A017F8">
      <w:pPr>
        <w:spacing w:line="480" w:lineRule="auto"/>
        <w:rPr>
          <w:rFonts w:ascii="Arial" w:hAnsi="Arial" w:cs="Arial"/>
          <w:sz w:val="28"/>
          <w:szCs w:val="28"/>
          <w:lang w:val="en-US"/>
        </w:rPr>
      </w:pPr>
      <w:r>
        <w:rPr>
          <w:rFonts w:ascii="Arial" w:hAnsi="Arial" w:cs="Arial"/>
          <w:sz w:val="28"/>
          <w:szCs w:val="28"/>
          <w:lang w:val="en-US"/>
        </w:rPr>
        <w:t xml:space="preserve">Millett, L.P. (2012) ‘Bribes and Secret Commissions Again’, </w:t>
      </w:r>
      <w:r>
        <w:rPr>
          <w:rFonts w:ascii="Arial" w:hAnsi="Arial" w:cs="Arial"/>
          <w:i/>
          <w:iCs/>
          <w:sz w:val="28"/>
          <w:szCs w:val="28"/>
          <w:lang w:val="en-US"/>
        </w:rPr>
        <w:t xml:space="preserve">The Cambridge Law Journal, </w:t>
      </w:r>
      <w:r>
        <w:rPr>
          <w:rFonts w:ascii="Arial" w:hAnsi="Arial" w:cs="Arial"/>
          <w:sz w:val="28"/>
          <w:szCs w:val="28"/>
          <w:lang w:val="en-US"/>
        </w:rPr>
        <w:t xml:space="preserve">71(3), pp. 583-614. Available at: </w:t>
      </w:r>
      <w:hyperlink r:id="rId16" w:history="1">
        <w:r w:rsidRPr="00D47072">
          <w:rPr>
            <w:rStyle w:val="Hyperlink"/>
            <w:rFonts w:ascii="Arial" w:hAnsi="Arial" w:cs="Arial"/>
            <w:sz w:val="28"/>
            <w:szCs w:val="28"/>
            <w:lang w:val="en-US"/>
          </w:rPr>
          <w:t>https://www-jstor-org.ezproxy.uwtsd.ac.uk/stable/41819931?Search=yes&amp;resultItemClick=tru</w:t>
        </w:r>
        <w:r w:rsidRPr="00D47072">
          <w:rPr>
            <w:rStyle w:val="Hyperlink"/>
            <w:rFonts w:ascii="Arial" w:hAnsi="Arial" w:cs="Arial"/>
            <w:sz w:val="28"/>
            <w:szCs w:val="28"/>
            <w:lang w:val="en-US"/>
          </w:rPr>
          <w:lastRenderedPageBreak/>
          <w:t>e&amp;searchText=secret+trust+and+the+wills+act&amp;search=&amp;seq=1#metadata_info_tab_contents</w:t>
        </w:r>
      </w:hyperlink>
      <w:r>
        <w:rPr>
          <w:rFonts w:ascii="Arial" w:hAnsi="Arial" w:cs="Arial"/>
          <w:sz w:val="28"/>
          <w:szCs w:val="28"/>
          <w:lang w:val="en-US"/>
        </w:rPr>
        <w:t xml:space="preserve"> (Accessed: 7 December 2021).</w:t>
      </w:r>
    </w:p>
    <w:p w14:paraId="0C270C3F" w14:textId="494EE059" w:rsidR="00CD4925" w:rsidRDefault="00CD4925" w:rsidP="00A017F8">
      <w:pPr>
        <w:spacing w:line="480" w:lineRule="auto"/>
        <w:rPr>
          <w:rFonts w:ascii="Arial" w:hAnsi="Arial" w:cs="Arial"/>
          <w:sz w:val="28"/>
          <w:szCs w:val="28"/>
          <w:lang w:val="en-US"/>
        </w:rPr>
      </w:pPr>
    </w:p>
    <w:p w14:paraId="720190FE" w14:textId="033CCC12" w:rsidR="00471EB9" w:rsidRPr="00471EB9" w:rsidRDefault="00471EB9" w:rsidP="00A017F8">
      <w:pPr>
        <w:spacing w:line="480" w:lineRule="auto"/>
        <w:rPr>
          <w:rFonts w:ascii="Arial" w:hAnsi="Arial" w:cs="Arial"/>
          <w:sz w:val="28"/>
          <w:szCs w:val="28"/>
          <w:lang w:val="en-US"/>
        </w:rPr>
      </w:pPr>
      <w:r>
        <w:rPr>
          <w:rFonts w:ascii="Arial" w:hAnsi="Arial" w:cs="Arial"/>
          <w:sz w:val="28"/>
          <w:szCs w:val="28"/>
          <w:lang w:val="en-US"/>
        </w:rPr>
        <w:t xml:space="preserve">Myerson (2019) </w:t>
      </w:r>
      <w:r>
        <w:rPr>
          <w:rFonts w:ascii="Arial" w:hAnsi="Arial" w:cs="Arial"/>
          <w:i/>
          <w:iCs/>
          <w:sz w:val="28"/>
          <w:szCs w:val="28"/>
          <w:lang w:val="en-US"/>
        </w:rPr>
        <w:t xml:space="preserve">Secret Trusts. </w:t>
      </w:r>
      <w:r>
        <w:rPr>
          <w:rFonts w:ascii="Arial" w:hAnsi="Arial" w:cs="Arial"/>
          <w:sz w:val="28"/>
          <w:szCs w:val="28"/>
          <w:lang w:val="en-US"/>
        </w:rPr>
        <w:t xml:space="preserve">Available at: </w:t>
      </w:r>
      <w:hyperlink r:id="rId17" w:history="1">
        <w:r w:rsidRPr="00D47072">
          <w:rPr>
            <w:rStyle w:val="Hyperlink"/>
            <w:rFonts w:ascii="Arial" w:hAnsi="Arial" w:cs="Arial"/>
            <w:sz w:val="28"/>
            <w:szCs w:val="28"/>
            <w:lang w:val="en-US"/>
          </w:rPr>
          <w:t>https://www.myerson.co.uk/news-insights-and-events/secret-trusts</w:t>
        </w:r>
      </w:hyperlink>
      <w:r>
        <w:rPr>
          <w:rFonts w:ascii="Arial" w:hAnsi="Arial" w:cs="Arial"/>
          <w:sz w:val="28"/>
          <w:szCs w:val="28"/>
          <w:lang w:val="en-US"/>
        </w:rPr>
        <w:t xml:space="preserve"> (Accessed: 8 December 2021). </w:t>
      </w:r>
    </w:p>
    <w:p w14:paraId="36F93F68" w14:textId="77777777" w:rsidR="00471EB9" w:rsidRDefault="00471EB9" w:rsidP="00D50F31">
      <w:pPr>
        <w:spacing w:line="480" w:lineRule="auto"/>
        <w:rPr>
          <w:rFonts w:ascii="Arial" w:hAnsi="Arial" w:cs="Arial"/>
          <w:sz w:val="28"/>
          <w:szCs w:val="28"/>
          <w:lang w:val="en-US"/>
        </w:rPr>
      </w:pPr>
    </w:p>
    <w:p w14:paraId="21B3711A" w14:textId="38C9F643" w:rsidR="00471EB9" w:rsidRPr="00471EB9" w:rsidRDefault="00471EB9" w:rsidP="00D50F31">
      <w:pPr>
        <w:spacing w:line="480" w:lineRule="auto"/>
        <w:rPr>
          <w:rFonts w:ascii="Arial" w:hAnsi="Arial" w:cs="Arial"/>
          <w:sz w:val="28"/>
          <w:szCs w:val="28"/>
          <w:lang w:val="en-US"/>
        </w:rPr>
      </w:pPr>
      <w:r>
        <w:rPr>
          <w:rFonts w:ascii="Arial" w:hAnsi="Arial" w:cs="Arial"/>
          <w:sz w:val="28"/>
          <w:szCs w:val="28"/>
          <w:lang w:val="en-US"/>
        </w:rPr>
        <w:t xml:space="preserve">Rickett, C.E.F. (1979) ‘Secret Trust or Moral Obligation? A question of evidence’, </w:t>
      </w:r>
      <w:r>
        <w:rPr>
          <w:rFonts w:ascii="Arial" w:hAnsi="Arial" w:cs="Arial"/>
          <w:i/>
          <w:iCs/>
          <w:sz w:val="28"/>
          <w:szCs w:val="28"/>
          <w:lang w:val="en-US"/>
        </w:rPr>
        <w:t xml:space="preserve">The Cambridge Law Journal, </w:t>
      </w:r>
      <w:r>
        <w:rPr>
          <w:rFonts w:ascii="Arial" w:hAnsi="Arial" w:cs="Arial"/>
          <w:sz w:val="28"/>
          <w:szCs w:val="28"/>
          <w:lang w:val="en-US"/>
        </w:rPr>
        <w:t xml:space="preserve">38(2), pp. 260-264. Available at: </w:t>
      </w:r>
      <w:hyperlink r:id="rId18" w:history="1">
        <w:r w:rsidRPr="00D47072">
          <w:rPr>
            <w:rStyle w:val="Hyperlink"/>
            <w:rFonts w:ascii="Arial" w:hAnsi="Arial" w:cs="Arial"/>
            <w:sz w:val="28"/>
            <w:szCs w:val="28"/>
            <w:lang w:val="en-US"/>
          </w:rPr>
          <w:t>https://www-jstor-org.ezproxy.uwtsd.ac.uk/stable/4506177?Search=yes&amp;resultItemClick=true&amp;searchText=secret+trust+equity&amp;searchUri=%2Facti&amp;seq=1#metadata_info_tab_contents</w:t>
        </w:r>
      </w:hyperlink>
      <w:r>
        <w:rPr>
          <w:rFonts w:ascii="Arial" w:hAnsi="Arial" w:cs="Arial"/>
          <w:sz w:val="28"/>
          <w:szCs w:val="28"/>
          <w:lang w:val="en-US"/>
        </w:rPr>
        <w:t xml:space="preserve"> (Accessed: 8 December 2021).</w:t>
      </w:r>
    </w:p>
    <w:p w14:paraId="27C74D02" w14:textId="77777777" w:rsidR="00471EB9" w:rsidRDefault="00471EB9" w:rsidP="00D50F31">
      <w:pPr>
        <w:spacing w:line="480" w:lineRule="auto"/>
        <w:rPr>
          <w:rFonts w:ascii="Arial" w:hAnsi="Arial" w:cs="Arial"/>
          <w:sz w:val="28"/>
          <w:szCs w:val="28"/>
          <w:lang w:val="en-US"/>
        </w:rPr>
      </w:pPr>
    </w:p>
    <w:p w14:paraId="7528FF84" w14:textId="6B240255" w:rsidR="00D50F31" w:rsidRDefault="00D50F31" w:rsidP="00A017F8">
      <w:pPr>
        <w:spacing w:line="480" w:lineRule="auto"/>
        <w:rPr>
          <w:rFonts w:ascii="Arial" w:hAnsi="Arial" w:cs="Arial"/>
          <w:sz w:val="28"/>
          <w:szCs w:val="28"/>
          <w:lang w:val="en-US"/>
        </w:rPr>
      </w:pPr>
      <w:r>
        <w:rPr>
          <w:rFonts w:ascii="Arial" w:hAnsi="Arial" w:cs="Arial"/>
          <w:sz w:val="28"/>
          <w:szCs w:val="28"/>
          <w:lang w:val="en-US"/>
        </w:rPr>
        <w:t xml:space="preserve">Watt, G. (2021) </w:t>
      </w:r>
      <w:r>
        <w:rPr>
          <w:rFonts w:ascii="Arial" w:hAnsi="Arial" w:cs="Arial"/>
          <w:i/>
          <w:iCs/>
          <w:sz w:val="28"/>
          <w:szCs w:val="28"/>
          <w:lang w:val="en-US"/>
        </w:rPr>
        <w:t xml:space="preserve">Equity and Trusts Law. </w:t>
      </w:r>
      <w:r>
        <w:rPr>
          <w:rFonts w:ascii="Arial" w:hAnsi="Arial" w:cs="Arial"/>
          <w:sz w:val="28"/>
          <w:szCs w:val="28"/>
          <w:lang w:val="en-US"/>
        </w:rPr>
        <w:t xml:space="preserve">7th edition. Oxford: Oxford University Press. </w:t>
      </w:r>
    </w:p>
    <w:p w14:paraId="5F7A5D61" w14:textId="745D3EA8" w:rsidR="009376FC" w:rsidRDefault="009376FC" w:rsidP="00A017F8">
      <w:pPr>
        <w:spacing w:line="480" w:lineRule="auto"/>
        <w:rPr>
          <w:rFonts w:ascii="Arial" w:hAnsi="Arial" w:cs="Arial"/>
          <w:sz w:val="28"/>
          <w:szCs w:val="28"/>
          <w:lang w:val="en-US"/>
        </w:rPr>
      </w:pPr>
    </w:p>
    <w:p w14:paraId="48EF0687" w14:textId="5847333B" w:rsidR="00B47543" w:rsidRDefault="009376FC" w:rsidP="00A017F8">
      <w:pPr>
        <w:spacing w:line="480" w:lineRule="auto"/>
        <w:rPr>
          <w:rFonts w:ascii="Arial" w:hAnsi="Arial" w:cs="Arial"/>
          <w:sz w:val="28"/>
          <w:szCs w:val="28"/>
          <w:lang w:val="en-US"/>
        </w:rPr>
      </w:pPr>
      <w:r>
        <w:rPr>
          <w:rFonts w:ascii="Arial" w:hAnsi="Arial" w:cs="Arial"/>
          <w:sz w:val="28"/>
          <w:szCs w:val="28"/>
          <w:lang w:val="en-US"/>
        </w:rPr>
        <w:t xml:space="preserve">White, E. (1939) ‘Secret Trusts: Admissibility of Evidence’, </w:t>
      </w:r>
      <w:r>
        <w:rPr>
          <w:rFonts w:ascii="Arial" w:hAnsi="Arial" w:cs="Arial"/>
          <w:i/>
          <w:iCs/>
          <w:sz w:val="28"/>
          <w:szCs w:val="28"/>
          <w:lang w:val="en-US"/>
        </w:rPr>
        <w:t xml:space="preserve">The Modern Law Review, </w:t>
      </w:r>
      <w:r>
        <w:rPr>
          <w:rFonts w:ascii="Arial" w:hAnsi="Arial" w:cs="Arial"/>
          <w:sz w:val="28"/>
          <w:szCs w:val="28"/>
          <w:lang w:val="en-US"/>
        </w:rPr>
        <w:t xml:space="preserve">2(4), pp. </w:t>
      </w:r>
      <w:r w:rsidR="006B68B9">
        <w:rPr>
          <w:rFonts w:ascii="Arial" w:hAnsi="Arial" w:cs="Arial"/>
          <w:sz w:val="28"/>
          <w:szCs w:val="28"/>
          <w:lang w:val="en-US"/>
        </w:rPr>
        <w:t xml:space="preserve">319-321. Available at: </w:t>
      </w:r>
      <w:hyperlink r:id="rId19" w:history="1">
        <w:r w:rsidR="006B68B9" w:rsidRPr="00D47072">
          <w:rPr>
            <w:rStyle w:val="Hyperlink"/>
            <w:rFonts w:ascii="Arial" w:hAnsi="Arial" w:cs="Arial"/>
            <w:sz w:val="28"/>
            <w:szCs w:val="28"/>
            <w:lang w:val="en-US"/>
          </w:rPr>
          <w:t>https://www-jstor-org.ezproxy.uwtsd.ac.uk/stable/1090129?Search=yes&amp;resultItemClick=true</w:t>
        </w:r>
        <w:r w:rsidR="006B68B9" w:rsidRPr="00D47072">
          <w:rPr>
            <w:rStyle w:val="Hyperlink"/>
            <w:rFonts w:ascii="Arial" w:hAnsi="Arial" w:cs="Arial"/>
            <w:sz w:val="28"/>
            <w:szCs w:val="28"/>
            <w:lang w:val="en-US"/>
          </w:rPr>
          <w:lastRenderedPageBreak/>
          <w:t>&amp;searchText=secret+trusts&amp;searchUri=%2Faction%2F&amp;seq=1#metadata_info_tab_contents</w:t>
        </w:r>
      </w:hyperlink>
      <w:r w:rsidR="006B68B9">
        <w:rPr>
          <w:rFonts w:ascii="Arial" w:hAnsi="Arial" w:cs="Arial"/>
          <w:sz w:val="28"/>
          <w:szCs w:val="28"/>
          <w:lang w:val="en-US"/>
        </w:rPr>
        <w:t xml:space="preserve"> (Accessed: 9 December 2021). </w:t>
      </w:r>
    </w:p>
    <w:p w14:paraId="107A1CC3" w14:textId="77777777" w:rsidR="00CF7797" w:rsidRDefault="00CF7797" w:rsidP="00A017F8">
      <w:pPr>
        <w:spacing w:line="480" w:lineRule="auto"/>
        <w:rPr>
          <w:rFonts w:ascii="Arial" w:hAnsi="Arial" w:cs="Arial"/>
          <w:sz w:val="28"/>
          <w:szCs w:val="28"/>
          <w:lang w:val="en-US"/>
        </w:rPr>
      </w:pPr>
    </w:p>
    <w:p w14:paraId="57818D81" w14:textId="0EF47D0B" w:rsidR="003061BB" w:rsidRDefault="003061BB" w:rsidP="00A017F8">
      <w:pPr>
        <w:spacing w:line="480" w:lineRule="auto"/>
        <w:rPr>
          <w:rFonts w:ascii="Arial" w:hAnsi="Arial" w:cs="Arial"/>
          <w:sz w:val="28"/>
          <w:szCs w:val="28"/>
          <w:lang w:val="en-US"/>
        </w:rPr>
      </w:pPr>
      <w:r>
        <w:rPr>
          <w:rFonts w:ascii="Arial" w:hAnsi="Arial" w:cs="Arial"/>
          <w:sz w:val="28"/>
          <w:szCs w:val="28"/>
          <w:lang w:val="en-US"/>
        </w:rPr>
        <w:t>Wilde, D. (2020) ‘The three certainties required to declare a trust – or is it four? “Distributional</w:t>
      </w:r>
      <w:r w:rsidR="005F41B7">
        <w:rPr>
          <w:rFonts w:ascii="Arial" w:hAnsi="Arial" w:cs="Arial"/>
          <w:sz w:val="28"/>
          <w:szCs w:val="28"/>
          <w:lang w:val="en-US"/>
        </w:rPr>
        <w:t xml:space="preserve"> Certainty”</w:t>
      </w:r>
      <w:r w:rsidR="00CF7797">
        <w:rPr>
          <w:rFonts w:ascii="Arial" w:hAnsi="Arial" w:cs="Arial"/>
          <w:sz w:val="28"/>
          <w:szCs w:val="28"/>
          <w:lang w:val="en-US"/>
        </w:rPr>
        <w:t xml:space="preserve">, </w:t>
      </w:r>
      <w:r w:rsidR="00CF7797">
        <w:rPr>
          <w:rFonts w:ascii="Arial" w:hAnsi="Arial" w:cs="Arial"/>
          <w:i/>
          <w:iCs/>
          <w:sz w:val="28"/>
          <w:szCs w:val="28"/>
          <w:lang w:val="en-US"/>
        </w:rPr>
        <w:t xml:space="preserve">Cambridge University Press, </w:t>
      </w:r>
      <w:r w:rsidR="00CF7797">
        <w:rPr>
          <w:rFonts w:ascii="Arial" w:hAnsi="Arial" w:cs="Arial"/>
          <w:sz w:val="28"/>
          <w:szCs w:val="28"/>
          <w:lang w:val="en-US"/>
        </w:rPr>
        <w:t>79(2), pp. 349-359. Available at:</w:t>
      </w:r>
      <w:r>
        <w:rPr>
          <w:rFonts w:ascii="Arial" w:hAnsi="Arial" w:cs="Arial"/>
          <w:sz w:val="28"/>
          <w:szCs w:val="28"/>
          <w:lang w:val="en-US"/>
        </w:rPr>
        <w:t xml:space="preserve"> </w:t>
      </w:r>
      <w:hyperlink r:id="rId20" w:history="1">
        <w:r w:rsidR="00CF7797" w:rsidRPr="00D47072">
          <w:rPr>
            <w:rStyle w:val="Hyperlink"/>
            <w:rFonts w:ascii="Arial" w:hAnsi="Arial" w:cs="Arial"/>
            <w:sz w:val="28"/>
            <w:szCs w:val="28"/>
            <w:lang w:val="en-US"/>
          </w:rPr>
          <w:t>https://www.cambridge.org/core/journals/cambridge-law-journal/article/three-certainties-required-to-declare-a-trust-or-is-it-four-distributional-certainty/9018A16615B25DA48B5186A1B21C65C9</w:t>
        </w:r>
      </w:hyperlink>
      <w:r w:rsidR="00CF7797">
        <w:rPr>
          <w:rFonts w:ascii="Arial" w:hAnsi="Arial" w:cs="Arial"/>
          <w:sz w:val="28"/>
          <w:szCs w:val="28"/>
          <w:lang w:val="en-US"/>
        </w:rPr>
        <w:t xml:space="preserve"> (Accessed: 15 December 2021).</w:t>
      </w:r>
    </w:p>
    <w:p w14:paraId="301AE83E" w14:textId="77777777" w:rsidR="00CF7797" w:rsidRDefault="00CF7797" w:rsidP="00A017F8">
      <w:pPr>
        <w:spacing w:line="480" w:lineRule="auto"/>
        <w:rPr>
          <w:rFonts w:ascii="Arial" w:hAnsi="Arial" w:cs="Arial"/>
          <w:sz w:val="28"/>
          <w:szCs w:val="28"/>
          <w:lang w:val="en-US"/>
        </w:rPr>
      </w:pPr>
    </w:p>
    <w:p w14:paraId="577D8482" w14:textId="0F0916CC" w:rsidR="00E106D1" w:rsidRPr="00E106D1" w:rsidRDefault="00E106D1" w:rsidP="00A017F8">
      <w:pPr>
        <w:spacing w:line="480" w:lineRule="auto"/>
        <w:rPr>
          <w:rFonts w:ascii="Arial" w:hAnsi="Arial" w:cs="Arial"/>
          <w:sz w:val="28"/>
          <w:szCs w:val="28"/>
          <w:lang w:val="en-US"/>
        </w:rPr>
      </w:pPr>
      <w:r>
        <w:rPr>
          <w:rFonts w:ascii="Arial" w:hAnsi="Arial" w:cs="Arial"/>
          <w:i/>
          <w:iCs/>
          <w:sz w:val="28"/>
          <w:szCs w:val="28"/>
          <w:lang w:val="en-US"/>
        </w:rPr>
        <w:t xml:space="preserve">‘Baden’s Deed Trusts (No.2), Re’ </w:t>
      </w:r>
      <w:r>
        <w:rPr>
          <w:rFonts w:ascii="Arial" w:hAnsi="Arial" w:cs="Arial"/>
          <w:sz w:val="28"/>
          <w:szCs w:val="28"/>
          <w:lang w:val="en-US"/>
        </w:rPr>
        <w:t xml:space="preserve">(1972) Court of Appeal, case 9.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21" w:history="1">
        <w:r w:rsidRPr="00D47072">
          <w:rPr>
            <w:rStyle w:val="Hyperlink"/>
            <w:rFonts w:ascii="Arial" w:hAnsi="Arial" w:cs="Arial"/>
            <w:sz w:val="28"/>
            <w:szCs w:val="28"/>
            <w:lang w:val="en-US"/>
          </w:rPr>
          <w:t>https://uk.westlaw.com/Document/I6D7B8540E42711DA8FC2A0F0355337E9/View/FullText.html</w:t>
        </w:r>
      </w:hyperlink>
      <w:r>
        <w:rPr>
          <w:rFonts w:ascii="Arial" w:hAnsi="Arial" w:cs="Arial"/>
          <w:sz w:val="28"/>
          <w:szCs w:val="28"/>
          <w:lang w:val="en-US"/>
        </w:rPr>
        <w:t xml:space="preserve"> (Accessed: 14 December 2021).</w:t>
      </w:r>
    </w:p>
    <w:p w14:paraId="1DEADAA1" w14:textId="77777777" w:rsidR="00E106D1" w:rsidRDefault="00E106D1" w:rsidP="00A017F8">
      <w:pPr>
        <w:spacing w:line="480" w:lineRule="auto"/>
        <w:rPr>
          <w:rFonts w:ascii="Arial" w:hAnsi="Arial" w:cs="Arial"/>
          <w:sz w:val="28"/>
          <w:szCs w:val="28"/>
          <w:lang w:val="en-US"/>
        </w:rPr>
      </w:pPr>
    </w:p>
    <w:p w14:paraId="15D437CD" w14:textId="5A9E3FB1" w:rsidR="00B47543" w:rsidRPr="00D931EE" w:rsidRDefault="00B47543" w:rsidP="00A017F8">
      <w:pPr>
        <w:spacing w:line="480" w:lineRule="auto"/>
        <w:rPr>
          <w:rFonts w:ascii="Arial" w:hAnsi="Arial" w:cs="Arial"/>
          <w:sz w:val="28"/>
          <w:szCs w:val="28"/>
          <w:lang w:val="en-US"/>
        </w:rPr>
      </w:pPr>
      <w:r>
        <w:rPr>
          <w:rFonts w:ascii="Arial" w:hAnsi="Arial" w:cs="Arial"/>
          <w:i/>
          <w:iCs/>
          <w:sz w:val="28"/>
          <w:szCs w:val="28"/>
          <w:lang w:val="en-US"/>
        </w:rPr>
        <w:t xml:space="preserve">‘Bateman’s Will Trust, Re’ </w:t>
      </w:r>
      <w:r>
        <w:rPr>
          <w:rFonts w:ascii="Arial" w:hAnsi="Arial" w:cs="Arial"/>
          <w:sz w:val="28"/>
          <w:szCs w:val="28"/>
          <w:lang w:val="en-US"/>
        </w:rPr>
        <w:t>(1970) Chancery Division</w:t>
      </w:r>
      <w:r w:rsidR="00D931EE">
        <w:rPr>
          <w:rFonts w:ascii="Arial" w:hAnsi="Arial" w:cs="Arial"/>
          <w:sz w:val="28"/>
          <w:szCs w:val="28"/>
          <w:lang w:val="en-US"/>
        </w:rPr>
        <w:t xml:space="preserve">, case 1463. </w:t>
      </w:r>
      <w:r w:rsidR="00D931EE">
        <w:rPr>
          <w:rFonts w:ascii="Arial" w:hAnsi="Arial" w:cs="Arial"/>
          <w:i/>
          <w:iCs/>
          <w:sz w:val="28"/>
          <w:szCs w:val="28"/>
          <w:lang w:val="en-US"/>
        </w:rPr>
        <w:t xml:space="preserve">Westlaw Edge UK </w:t>
      </w:r>
      <w:r w:rsidR="00D931EE">
        <w:rPr>
          <w:rFonts w:ascii="Arial" w:hAnsi="Arial" w:cs="Arial"/>
          <w:sz w:val="28"/>
          <w:szCs w:val="28"/>
          <w:lang w:val="en-US"/>
        </w:rPr>
        <w:t xml:space="preserve">[Online] Available at: </w:t>
      </w:r>
      <w:hyperlink r:id="rId22" w:history="1">
        <w:r w:rsidR="00D931EE" w:rsidRPr="00D47072">
          <w:rPr>
            <w:rStyle w:val="Hyperlink"/>
            <w:rFonts w:ascii="Arial" w:hAnsi="Arial" w:cs="Arial"/>
            <w:sz w:val="28"/>
            <w:szCs w:val="28"/>
            <w:lang w:val="en-US"/>
          </w:rPr>
          <w:t>https://uk.westlaw.com/Document/I7040E6D0E42711DA8FC2A0F0355337E9/View/FullText.html</w:t>
        </w:r>
      </w:hyperlink>
      <w:r w:rsidR="00D931EE">
        <w:rPr>
          <w:rFonts w:ascii="Arial" w:hAnsi="Arial" w:cs="Arial"/>
          <w:sz w:val="28"/>
          <w:szCs w:val="28"/>
          <w:lang w:val="en-US"/>
        </w:rPr>
        <w:t xml:space="preserve"> (Accessed: 12 December 2021).</w:t>
      </w:r>
    </w:p>
    <w:p w14:paraId="7DF3E9B7" w14:textId="03FE5B45" w:rsidR="00B47543" w:rsidRDefault="00B47543" w:rsidP="00A017F8">
      <w:pPr>
        <w:spacing w:line="480" w:lineRule="auto"/>
        <w:rPr>
          <w:rFonts w:ascii="Arial" w:hAnsi="Arial" w:cs="Arial"/>
          <w:sz w:val="28"/>
          <w:szCs w:val="28"/>
          <w:lang w:val="en-US"/>
        </w:rPr>
      </w:pPr>
    </w:p>
    <w:p w14:paraId="5000241B" w14:textId="77777777" w:rsidR="00D931EE" w:rsidRDefault="00D931EE" w:rsidP="00A017F8">
      <w:pPr>
        <w:spacing w:line="480" w:lineRule="auto"/>
        <w:rPr>
          <w:rFonts w:ascii="Arial" w:hAnsi="Arial" w:cs="Arial"/>
          <w:sz w:val="28"/>
          <w:szCs w:val="28"/>
          <w:lang w:val="en-US"/>
        </w:rPr>
      </w:pPr>
    </w:p>
    <w:p w14:paraId="7DF76C1A" w14:textId="3B4B5705" w:rsidR="00B47543" w:rsidRPr="00B47543" w:rsidRDefault="00B47543" w:rsidP="00A017F8">
      <w:pPr>
        <w:spacing w:line="480" w:lineRule="auto"/>
        <w:rPr>
          <w:rFonts w:ascii="Arial" w:hAnsi="Arial" w:cs="Arial"/>
          <w:sz w:val="28"/>
          <w:szCs w:val="28"/>
          <w:lang w:val="en-US"/>
        </w:rPr>
      </w:pPr>
      <w:r>
        <w:rPr>
          <w:rFonts w:ascii="Arial" w:hAnsi="Arial" w:cs="Arial"/>
          <w:i/>
          <w:iCs/>
          <w:sz w:val="28"/>
          <w:szCs w:val="28"/>
          <w:lang w:val="en-US"/>
        </w:rPr>
        <w:t xml:space="preserve">‘Blackwell v Blackwell’ </w:t>
      </w:r>
      <w:r>
        <w:rPr>
          <w:rFonts w:ascii="Arial" w:hAnsi="Arial" w:cs="Arial"/>
          <w:sz w:val="28"/>
          <w:szCs w:val="28"/>
          <w:lang w:val="en-US"/>
        </w:rPr>
        <w:t xml:space="preserve">(1929) House of Lords, case 318.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23" w:history="1">
        <w:r w:rsidRPr="00D47072">
          <w:rPr>
            <w:rStyle w:val="Hyperlink"/>
            <w:rFonts w:ascii="Arial" w:hAnsi="Arial" w:cs="Arial"/>
            <w:sz w:val="28"/>
            <w:szCs w:val="28"/>
            <w:lang w:val="en-US"/>
          </w:rPr>
          <w:t>https://uk.westlaw.com/Document/I7591D540E42711DA8FC2A0F0355337E9/View/FullText.html</w:t>
        </w:r>
      </w:hyperlink>
      <w:r>
        <w:rPr>
          <w:rFonts w:ascii="Arial" w:hAnsi="Arial" w:cs="Arial"/>
          <w:sz w:val="28"/>
          <w:szCs w:val="28"/>
          <w:lang w:val="en-US"/>
        </w:rPr>
        <w:t xml:space="preserve"> (Accessed: 12 December 2021).</w:t>
      </w:r>
    </w:p>
    <w:p w14:paraId="3B418C98" w14:textId="77777777" w:rsidR="00D931EE" w:rsidRDefault="00D931EE" w:rsidP="00A017F8">
      <w:pPr>
        <w:spacing w:line="480" w:lineRule="auto"/>
        <w:rPr>
          <w:rFonts w:ascii="Arial" w:hAnsi="Arial" w:cs="Arial"/>
          <w:sz w:val="28"/>
          <w:szCs w:val="28"/>
          <w:lang w:val="en-US"/>
        </w:rPr>
      </w:pPr>
    </w:p>
    <w:p w14:paraId="5B8A2B09" w14:textId="4E31CF6E" w:rsidR="00471EB9" w:rsidRPr="009376FC" w:rsidRDefault="00471EB9" w:rsidP="00A017F8">
      <w:pPr>
        <w:spacing w:line="480" w:lineRule="auto"/>
        <w:rPr>
          <w:rFonts w:ascii="Arial" w:hAnsi="Arial" w:cs="Arial"/>
          <w:sz w:val="28"/>
          <w:szCs w:val="28"/>
          <w:lang w:val="en-US"/>
        </w:rPr>
      </w:pPr>
      <w:r>
        <w:rPr>
          <w:rFonts w:ascii="Arial" w:hAnsi="Arial" w:cs="Arial"/>
          <w:i/>
          <w:iCs/>
          <w:sz w:val="28"/>
          <w:szCs w:val="28"/>
          <w:lang w:val="en-US"/>
        </w:rPr>
        <w:t xml:space="preserve">‘Boyes, Re’ </w:t>
      </w:r>
      <w:r>
        <w:rPr>
          <w:rFonts w:ascii="Arial" w:hAnsi="Arial" w:cs="Arial"/>
          <w:sz w:val="28"/>
          <w:szCs w:val="28"/>
          <w:lang w:val="en-US"/>
        </w:rPr>
        <w:t>(1884) Chancery Division, case 531</w:t>
      </w:r>
      <w:r w:rsidR="009376FC">
        <w:rPr>
          <w:rFonts w:ascii="Arial" w:hAnsi="Arial" w:cs="Arial"/>
          <w:sz w:val="28"/>
          <w:szCs w:val="28"/>
          <w:lang w:val="en-US"/>
        </w:rPr>
        <w:t xml:space="preserve">. </w:t>
      </w:r>
      <w:r w:rsidR="009376FC">
        <w:rPr>
          <w:rFonts w:ascii="Arial" w:hAnsi="Arial" w:cs="Arial"/>
          <w:i/>
          <w:iCs/>
          <w:sz w:val="28"/>
          <w:szCs w:val="28"/>
          <w:lang w:val="en-US"/>
        </w:rPr>
        <w:t xml:space="preserve">Westlaw Edge UK </w:t>
      </w:r>
      <w:r w:rsidR="009376FC">
        <w:rPr>
          <w:rFonts w:ascii="Arial" w:hAnsi="Arial" w:cs="Arial"/>
          <w:sz w:val="28"/>
          <w:szCs w:val="28"/>
          <w:lang w:val="en-US"/>
        </w:rPr>
        <w:t xml:space="preserve">[Online] Available at: </w:t>
      </w:r>
      <w:hyperlink r:id="rId24" w:history="1">
        <w:r w:rsidR="009376FC" w:rsidRPr="00D47072">
          <w:rPr>
            <w:rStyle w:val="Hyperlink"/>
            <w:rFonts w:ascii="Arial" w:hAnsi="Arial" w:cs="Arial"/>
            <w:sz w:val="28"/>
            <w:szCs w:val="28"/>
            <w:lang w:val="en-US"/>
          </w:rPr>
          <w:t>https://uk.westlaw.com/Document/I796153D0E42711DA8FC2A0F0355337E9/View/FullText.html</w:t>
        </w:r>
      </w:hyperlink>
      <w:r w:rsidR="009376FC">
        <w:rPr>
          <w:rFonts w:ascii="Arial" w:hAnsi="Arial" w:cs="Arial"/>
          <w:sz w:val="28"/>
          <w:szCs w:val="28"/>
          <w:lang w:val="en-US"/>
        </w:rPr>
        <w:t xml:space="preserve"> (Accessed: 8 December 2021).</w:t>
      </w:r>
    </w:p>
    <w:p w14:paraId="09C7D3F6" w14:textId="521B31FF" w:rsidR="00275BC2" w:rsidRDefault="00275BC2" w:rsidP="00A017F8">
      <w:pPr>
        <w:spacing w:line="480" w:lineRule="auto"/>
        <w:rPr>
          <w:rFonts w:ascii="Arial" w:hAnsi="Arial" w:cs="Arial"/>
          <w:sz w:val="28"/>
          <w:szCs w:val="28"/>
          <w:lang w:val="en-US"/>
        </w:rPr>
      </w:pPr>
    </w:p>
    <w:p w14:paraId="7859F53A" w14:textId="39679F78" w:rsidR="00275BC2" w:rsidRPr="00275BC2" w:rsidRDefault="00275BC2" w:rsidP="00A017F8">
      <w:pPr>
        <w:spacing w:line="480" w:lineRule="auto"/>
        <w:rPr>
          <w:rFonts w:ascii="Arial" w:hAnsi="Arial" w:cs="Arial"/>
          <w:sz w:val="28"/>
          <w:szCs w:val="28"/>
          <w:lang w:val="en-US"/>
        </w:rPr>
      </w:pPr>
      <w:r>
        <w:rPr>
          <w:rFonts w:ascii="Arial" w:hAnsi="Arial" w:cs="Arial"/>
          <w:i/>
          <w:iCs/>
          <w:sz w:val="28"/>
          <w:szCs w:val="28"/>
          <w:lang w:val="en-US"/>
        </w:rPr>
        <w:t xml:space="preserve">‘Flinn, Re’ </w:t>
      </w:r>
      <w:r>
        <w:rPr>
          <w:rFonts w:ascii="Arial" w:hAnsi="Arial" w:cs="Arial"/>
          <w:sz w:val="28"/>
          <w:szCs w:val="28"/>
          <w:lang w:val="en-US"/>
        </w:rPr>
        <w:t xml:space="preserve">(1948) Chancery Division, case 241.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25" w:history="1">
        <w:r w:rsidRPr="00D47072">
          <w:rPr>
            <w:rStyle w:val="Hyperlink"/>
            <w:rFonts w:ascii="Arial" w:hAnsi="Arial" w:cs="Arial"/>
            <w:sz w:val="28"/>
            <w:szCs w:val="28"/>
            <w:lang w:val="en-US"/>
          </w:rPr>
          <w:t>https://uk.westlaw.com/Document/IA7D591E1E42711DA8FC2A0F0355337E9/View/FullText.html</w:t>
        </w:r>
      </w:hyperlink>
      <w:r>
        <w:rPr>
          <w:rFonts w:ascii="Arial" w:hAnsi="Arial" w:cs="Arial"/>
          <w:sz w:val="28"/>
          <w:szCs w:val="28"/>
          <w:lang w:val="en-US"/>
        </w:rPr>
        <w:t xml:space="preserve"> (Accessed: 19 December 2021).</w:t>
      </w:r>
    </w:p>
    <w:p w14:paraId="5A1DA314" w14:textId="77777777" w:rsidR="00275BC2" w:rsidRDefault="00275BC2" w:rsidP="00A017F8">
      <w:pPr>
        <w:spacing w:line="480" w:lineRule="auto"/>
        <w:rPr>
          <w:rFonts w:ascii="Arial" w:hAnsi="Arial" w:cs="Arial"/>
          <w:sz w:val="28"/>
          <w:szCs w:val="28"/>
          <w:lang w:val="en-US"/>
        </w:rPr>
      </w:pPr>
    </w:p>
    <w:p w14:paraId="219E0DCB" w14:textId="6ABC40BC" w:rsidR="004E4500" w:rsidRDefault="004E4500" w:rsidP="00A017F8">
      <w:pPr>
        <w:spacing w:line="480" w:lineRule="auto"/>
        <w:rPr>
          <w:rFonts w:ascii="Arial" w:hAnsi="Arial" w:cs="Arial"/>
          <w:sz w:val="28"/>
          <w:szCs w:val="28"/>
          <w:lang w:val="en-US"/>
        </w:rPr>
      </w:pPr>
      <w:r>
        <w:rPr>
          <w:rFonts w:ascii="Arial" w:hAnsi="Arial" w:cs="Arial"/>
          <w:i/>
          <w:iCs/>
          <w:sz w:val="28"/>
          <w:szCs w:val="28"/>
          <w:lang w:val="en-US"/>
        </w:rPr>
        <w:t xml:space="preserve">‘Gardner, Re’ </w:t>
      </w:r>
      <w:r>
        <w:rPr>
          <w:rFonts w:ascii="Arial" w:hAnsi="Arial" w:cs="Arial"/>
          <w:sz w:val="28"/>
          <w:szCs w:val="28"/>
          <w:lang w:val="en-US"/>
        </w:rPr>
        <w:t xml:space="preserve">(1923) Chancery Division, case 230.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26" w:history="1">
        <w:r w:rsidRPr="00D47072">
          <w:rPr>
            <w:rStyle w:val="Hyperlink"/>
            <w:rFonts w:ascii="Arial" w:hAnsi="Arial" w:cs="Arial"/>
            <w:sz w:val="28"/>
            <w:szCs w:val="28"/>
            <w:lang w:val="en-US"/>
          </w:rPr>
          <w:t>https://uk.westlaw.com/Document/IACECF9C1E42711DA8FC2A0F0355337E9/View/FullText.html</w:t>
        </w:r>
      </w:hyperlink>
      <w:r>
        <w:rPr>
          <w:rFonts w:ascii="Arial" w:hAnsi="Arial" w:cs="Arial"/>
          <w:sz w:val="28"/>
          <w:szCs w:val="28"/>
          <w:lang w:val="en-US"/>
        </w:rPr>
        <w:t xml:space="preserve"> (Accessed: 10 December 2021).</w:t>
      </w:r>
    </w:p>
    <w:p w14:paraId="530C6814" w14:textId="1E01A3CE" w:rsidR="00E106D1" w:rsidRDefault="00E106D1" w:rsidP="00A017F8">
      <w:pPr>
        <w:spacing w:line="480" w:lineRule="auto"/>
        <w:rPr>
          <w:rFonts w:ascii="Arial" w:hAnsi="Arial" w:cs="Arial"/>
          <w:sz w:val="28"/>
          <w:szCs w:val="28"/>
          <w:lang w:val="en-US"/>
        </w:rPr>
      </w:pPr>
    </w:p>
    <w:p w14:paraId="3FF5D5D3" w14:textId="7B5E8D7E" w:rsidR="00E106D1" w:rsidRPr="003061BB" w:rsidRDefault="00E106D1" w:rsidP="00A017F8">
      <w:pPr>
        <w:spacing w:line="480" w:lineRule="auto"/>
        <w:rPr>
          <w:rFonts w:ascii="Arial" w:hAnsi="Arial" w:cs="Arial"/>
          <w:sz w:val="28"/>
          <w:szCs w:val="28"/>
          <w:lang w:val="en-US"/>
        </w:rPr>
      </w:pPr>
      <w:r>
        <w:rPr>
          <w:rFonts w:ascii="Arial" w:hAnsi="Arial" w:cs="Arial"/>
          <w:i/>
          <w:iCs/>
          <w:sz w:val="28"/>
          <w:szCs w:val="28"/>
          <w:lang w:val="en-US"/>
        </w:rPr>
        <w:t xml:space="preserve">‘Gulbenkian’s Settlement Trusts (No.2), Re’ </w:t>
      </w:r>
      <w:r>
        <w:rPr>
          <w:rFonts w:ascii="Arial" w:hAnsi="Arial" w:cs="Arial"/>
          <w:sz w:val="28"/>
          <w:szCs w:val="28"/>
          <w:lang w:val="en-US"/>
        </w:rPr>
        <w:t>(1970) Chancery Court</w:t>
      </w:r>
      <w:r w:rsidR="003061BB">
        <w:rPr>
          <w:rFonts w:ascii="Arial" w:hAnsi="Arial" w:cs="Arial"/>
          <w:sz w:val="28"/>
          <w:szCs w:val="28"/>
          <w:lang w:val="en-US"/>
        </w:rPr>
        <w:t xml:space="preserve">, case 408. </w:t>
      </w:r>
      <w:r w:rsidR="003061BB">
        <w:rPr>
          <w:rFonts w:ascii="Arial" w:hAnsi="Arial" w:cs="Arial"/>
          <w:i/>
          <w:iCs/>
          <w:sz w:val="28"/>
          <w:szCs w:val="28"/>
          <w:lang w:val="en-US"/>
        </w:rPr>
        <w:t xml:space="preserve">Westlaw Edge UK </w:t>
      </w:r>
      <w:r w:rsidR="003061BB">
        <w:rPr>
          <w:rFonts w:ascii="Arial" w:hAnsi="Arial" w:cs="Arial"/>
          <w:sz w:val="28"/>
          <w:szCs w:val="28"/>
          <w:lang w:val="en-US"/>
        </w:rPr>
        <w:t xml:space="preserve">[Online] Available at: </w:t>
      </w:r>
      <w:hyperlink r:id="rId27" w:history="1">
        <w:r w:rsidR="003061BB" w:rsidRPr="00D47072">
          <w:rPr>
            <w:rStyle w:val="Hyperlink"/>
            <w:rFonts w:ascii="Arial" w:hAnsi="Arial" w:cs="Arial"/>
            <w:sz w:val="28"/>
            <w:szCs w:val="28"/>
            <w:lang w:val="en-US"/>
          </w:rPr>
          <w:t>https://uk.westlaw.com/Document/IB5AC8210E42711DA8FC2A0F0355337E9/View/FullText.html</w:t>
        </w:r>
      </w:hyperlink>
      <w:r w:rsidR="003061BB">
        <w:rPr>
          <w:rFonts w:ascii="Arial" w:hAnsi="Arial" w:cs="Arial"/>
          <w:sz w:val="28"/>
          <w:szCs w:val="28"/>
          <w:lang w:val="en-US"/>
        </w:rPr>
        <w:t xml:space="preserve"> (Accessed: 14 December 2021). </w:t>
      </w:r>
    </w:p>
    <w:p w14:paraId="1149BACA" w14:textId="77777777" w:rsidR="004E4500" w:rsidRDefault="004E4500" w:rsidP="00A017F8">
      <w:pPr>
        <w:spacing w:line="480" w:lineRule="auto"/>
        <w:rPr>
          <w:rFonts w:ascii="Arial" w:hAnsi="Arial" w:cs="Arial"/>
          <w:sz w:val="28"/>
          <w:szCs w:val="28"/>
          <w:lang w:val="en-US"/>
        </w:rPr>
      </w:pPr>
    </w:p>
    <w:p w14:paraId="75069B07" w14:textId="58DEB9FC" w:rsidR="00CD4925" w:rsidRDefault="00CD4925" w:rsidP="00A017F8">
      <w:pPr>
        <w:spacing w:line="480" w:lineRule="auto"/>
        <w:rPr>
          <w:rFonts w:ascii="Arial" w:hAnsi="Arial" w:cs="Arial"/>
          <w:sz w:val="28"/>
          <w:szCs w:val="28"/>
          <w:lang w:val="en-US"/>
        </w:rPr>
      </w:pPr>
      <w:r>
        <w:rPr>
          <w:rFonts w:ascii="Arial" w:hAnsi="Arial" w:cs="Arial"/>
          <w:i/>
          <w:iCs/>
          <w:sz w:val="28"/>
          <w:szCs w:val="28"/>
          <w:lang w:val="en-US"/>
        </w:rPr>
        <w:t xml:space="preserve">‘McCormick v Grogan’ </w:t>
      </w:r>
      <w:r>
        <w:rPr>
          <w:rFonts w:ascii="Arial" w:hAnsi="Arial" w:cs="Arial"/>
          <w:sz w:val="28"/>
          <w:szCs w:val="28"/>
          <w:lang w:val="en-US"/>
        </w:rPr>
        <w:t xml:space="preserve">(1869) House of Lords, case 82.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28" w:history="1">
        <w:r w:rsidRPr="00D47072">
          <w:rPr>
            <w:rStyle w:val="Hyperlink"/>
            <w:rFonts w:ascii="Arial" w:hAnsi="Arial" w:cs="Arial"/>
            <w:sz w:val="28"/>
            <w:szCs w:val="28"/>
            <w:lang w:val="en-US"/>
          </w:rPr>
          <w:t>https://uk.westlaw.com/Document/IF4FBC890E42711DA8FC2A0F0355337E9/View/FullText.html</w:t>
        </w:r>
      </w:hyperlink>
      <w:r>
        <w:rPr>
          <w:rFonts w:ascii="Arial" w:hAnsi="Arial" w:cs="Arial"/>
          <w:sz w:val="28"/>
          <w:szCs w:val="28"/>
          <w:lang w:val="en-US"/>
        </w:rPr>
        <w:t xml:space="preserve"> (Accessed: 7 December 2021). </w:t>
      </w:r>
    </w:p>
    <w:p w14:paraId="076EEF67" w14:textId="77777777" w:rsidR="00B13793" w:rsidRDefault="00B13793" w:rsidP="00D931EE">
      <w:pPr>
        <w:tabs>
          <w:tab w:val="left" w:pos="1256"/>
        </w:tabs>
        <w:spacing w:line="480" w:lineRule="auto"/>
        <w:rPr>
          <w:rFonts w:ascii="Arial" w:hAnsi="Arial" w:cs="Arial"/>
          <w:sz w:val="28"/>
          <w:szCs w:val="28"/>
          <w:lang w:val="en-US"/>
        </w:rPr>
      </w:pPr>
    </w:p>
    <w:p w14:paraId="71CBDD4C" w14:textId="77777777" w:rsidR="00B13793" w:rsidRDefault="00B13793" w:rsidP="00D931EE">
      <w:pPr>
        <w:tabs>
          <w:tab w:val="left" w:pos="1256"/>
        </w:tabs>
        <w:spacing w:line="480" w:lineRule="auto"/>
        <w:rPr>
          <w:rFonts w:ascii="Arial" w:hAnsi="Arial" w:cs="Arial"/>
          <w:sz w:val="28"/>
          <w:szCs w:val="28"/>
          <w:lang w:val="en-US"/>
        </w:rPr>
      </w:pPr>
      <w:r>
        <w:rPr>
          <w:rFonts w:ascii="Arial" w:hAnsi="Arial" w:cs="Arial"/>
          <w:i/>
          <w:iCs/>
          <w:sz w:val="28"/>
          <w:szCs w:val="28"/>
          <w:lang w:val="en-US"/>
        </w:rPr>
        <w:t>‘</w:t>
      </w:r>
      <w:proofErr w:type="spellStart"/>
      <w:r>
        <w:rPr>
          <w:rFonts w:ascii="Arial" w:hAnsi="Arial" w:cs="Arial"/>
          <w:i/>
          <w:iCs/>
          <w:sz w:val="28"/>
          <w:szCs w:val="28"/>
          <w:lang w:val="en-US"/>
        </w:rPr>
        <w:t>Mettoy</w:t>
      </w:r>
      <w:proofErr w:type="spellEnd"/>
      <w:r>
        <w:rPr>
          <w:rFonts w:ascii="Arial" w:hAnsi="Arial" w:cs="Arial"/>
          <w:i/>
          <w:iCs/>
          <w:sz w:val="28"/>
          <w:szCs w:val="28"/>
          <w:lang w:val="en-US"/>
        </w:rPr>
        <w:t xml:space="preserve"> Pension Trustees Ltd v Evans’ </w:t>
      </w:r>
      <w:r>
        <w:rPr>
          <w:rFonts w:ascii="Arial" w:hAnsi="Arial" w:cs="Arial"/>
          <w:sz w:val="28"/>
          <w:szCs w:val="28"/>
          <w:lang w:val="en-US"/>
        </w:rPr>
        <w:t xml:space="preserve">(1990) Chancery Division, case 1587. </w:t>
      </w:r>
      <w:r>
        <w:rPr>
          <w:rFonts w:ascii="Arial" w:hAnsi="Arial" w:cs="Arial"/>
          <w:i/>
          <w:iCs/>
          <w:sz w:val="28"/>
          <w:szCs w:val="28"/>
          <w:lang w:val="en-US"/>
        </w:rPr>
        <w:t xml:space="preserve">Westlaw Edge UK </w:t>
      </w:r>
      <w:r>
        <w:rPr>
          <w:rFonts w:ascii="Arial" w:hAnsi="Arial" w:cs="Arial"/>
          <w:sz w:val="28"/>
          <w:szCs w:val="28"/>
          <w:lang w:val="en-US"/>
        </w:rPr>
        <w:t>[Online] Available at:</w:t>
      </w:r>
    </w:p>
    <w:p w14:paraId="7391E796" w14:textId="23DA4998" w:rsidR="006B68B9" w:rsidRPr="00B13793" w:rsidRDefault="00B13793" w:rsidP="00D931EE">
      <w:pPr>
        <w:tabs>
          <w:tab w:val="left" w:pos="1256"/>
        </w:tabs>
        <w:spacing w:line="480" w:lineRule="auto"/>
        <w:rPr>
          <w:rFonts w:ascii="Arial" w:hAnsi="Arial" w:cs="Arial"/>
          <w:sz w:val="28"/>
          <w:szCs w:val="28"/>
          <w:lang w:val="en-US"/>
        </w:rPr>
      </w:pPr>
      <w:hyperlink r:id="rId29" w:history="1">
        <w:r w:rsidRPr="00B13793">
          <w:rPr>
            <w:rStyle w:val="Hyperlink"/>
            <w:rFonts w:ascii="Arial" w:hAnsi="Arial" w:cs="Arial"/>
            <w:sz w:val="28"/>
            <w:szCs w:val="28"/>
            <w:lang w:val="en-US"/>
          </w:rPr>
          <w:t>https://uk.westlaw.com/Document/IF9A3F3E0E42711DA8FC2A0F0355337E9/View/FullText.html</w:t>
        </w:r>
      </w:hyperlink>
      <w:r w:rsidRPr="00B13793">
        <w:rPr>
          <w:rFonts w:ascii="Arial" w:hAnsi="Arial" w:cs="Arial"/>
          <w:sz w:val="28"/>
          <w:szCs w:val="28"/>
          <w:lang w:val="en-US"/>
        </w:rPr>
        <w:t xml:space="preserve"> (Accessed: 14 Dece</w:t>
      </w:r>
      <w:r>
        <w:rPr>
          <w:rFonts w:ascii="Arial" w:hAnsi="Arial" w:cs="Arial"/>
          <w:sz w:val="28"/>
          <w:szCs w:val="28"/>
          <w:lang w:val="en-US"/>
        </w:rPr>
        <w:t>mber 2021).</w:t>
      </w:r>
    </w:p>
    <w:p w14:paraId="4B684265" w14:textId="0E306FC7" w:rsidR="00B13793" w:rsidRDefault="00B13793" w:rsidP="00D931EE">
      <w:pPr>
        <w:tabs>
          <w:tab w:val="left" w:pos="1256"/>
        </w:tabs>
        <w:spacing w:line="480" w:lineRule="auto"/>
        <w:rPr>
          <w:rFonts w:ascii="Arial" w:hAnsi="Arial" w:cs="Arial"/>
          <w:sz w:val="28"/>
          <w:szCs w:val="28"/>
          <w:lang w:val="en-US"/>
        </w:rPr>
      </w:pPr>
    </w:p>
    <w:p w14:paraId="733CD1F3" w14:textId="16BEDF3E" w:rsidR="00611390" w:rsidRPr="00275BC2" w:rsidRDefault="00275BC2" w:rsidP="00D931EE">
      <w:pPr>
        <w:tabs>
          <w:tab w:val="left" w:pos="1256"/>
        </w:tabs>
        <w:spacing w:line="480" w:lineRule="auto"/>
        <w:rPr>
          <w:rFonts w:ascii="Arial" w:hAnsi="Arial" w:cs="Arial"/>
          <w:sz w:val="28"/>
          <w:szCs w:val="28"/>
          <w:lang w:val="en-US"/>
        </w:rPr>
      </w:pPr>
      <w:r>
        <w:rPr>
          <w:rFonts w:ascii="Arial" w:hAnsi="Arial" w:cs="Arial"/>
          <w:i/>
          <w:iCs/>
          <w:sz w:val="28"/>
          <w:szCs w:val="28"/>
          <w:lang w:val="en-US"/>
        </w:rPr>
        <w:t xml:space="preserve">‘Morice v Bishop of Durham’ </w:t>
      </w:r>
      <w:r>
        <w:rPr>
          <w:rFonts w:ascii="Arial" w:hAnsi="Arial" w:cs="Arial"/>
          <w:sz w:val="28"/>
          <w:szCs w:val="28"/>
          <w:lang w:val="en-US"/>
        </w:rPr>
        <w:t xml:space="preserve">(1804) Court of Chancery, case 656.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30" w:history="1">
        <w:r w:rsidRPr="00D47072">
          <w:rPr>
            <w:rStyle w:val="Hyperlink"/>
            <w:rFonts w:ascii="Arial" w:hAnsi="Arial" w:cs="Arial"/>
            <w:sz w:val="28"/>
            <w:szCs w:val="28"/>
            <w:lang w:val="en-US"/>
          </w:rPr>
          <w:t>https://uk.westlaw.com/Document/I9BC90D10BA8A11DC8D6887EE04E6D194/View/FullText.html</w:t>
        </w:r>
      </w:hyperlink>
      <w:r>
        <w:rPr>
          <w:rFonts w:ascii="Arial" w:hAnsi="Arial" w:cs="Arial"/>
          <w:sz w:val="28"/>
          <w:szCs w:val="28"/>
          <w:lang w:val="en-US"/>
        </w:rPr>
        <w:t xml:space="preserve"> (Accessed: 18 December 2021).</w:t>
      </w:r>
    </w:p>
    <w:p w14:paraId="1D978C94" w14:textId="77777777" w:rsidR="00611390" w:rsidRPr="00B13793" w:rsidRDefault="00611390" w:rsidP="00D931EE">
      <w:pPr>
        <w:tabs>
          <w:tab w:val="left" w:pos="1256"/>
        </w:tabs>
        <w:spacing w:line="480" w:lineRule="auto"/>
        <w:rPr>
          <w:rFonts w:ascii="Arial" w:hAnsi="Arial" w:cs="Arial"/>
          <w:sz w:val="28"/>
          <w:szCs w:val="28"/>
          <w:lang w:val="en-US"/>
        </w:rPr>
      </w:pPr>
    </w:p>
    <w:p w14:paraId="08028880" w14:textId="0DF366D6" w:rsidR="00D931EE" w:rsidRPr="00D931EE" w:rsidRDefault="00D931EE" w:rsidP="00D931EE">
      <w:pPr>
        <w:tabs>
          <w:tab w:val="left" w:pos="1256"/>
        </w:tabs>
        <w:spacing w:line="480" w:lineRule="auto"/>
        <w:rPr>
          <w:rFonts w:ascii="Arial" w:hAnsi="Arial" w:cs="Arial"/>
          <w:sz w:val="28"/>
          <w:szCs w:val="28"/>
          <w:lang w:val="en-US"/>
        </w:rPr>
      </w:pPr>
      <w:r>
        <w:rPr>
          <w:rFonts w:ascii="Arial" w:hAnsi="Arial" w:cs="Arial"/>
          <w:i/>
          <w:iCs/>
          <w:sz w:val="28"/>
          <w:szCs w:val="28"/>
          <w:lang w:val="en-US"/>
        </w:rPr>
        <w:t>‘</w:t>
      </w:r>
      <w:proofErr w:type="spellStart"/>
      <w:r>
        <w:rPr>
          <w:rFonts w:ascii="Arial" w:hAnsi="Arial" w:cs="Arial"/>
          <w:i/>
          <w:iCs/>
          <w:sz w:val="28"/>
          <w:szCs w:val="28"/>
          <w:lang w:val="en-US"/>
        </w:rPr>
        <w:t>Osoba</w:t>
      </w:r>
      <w:proofErr w:type="spellEnd"/>
      <w:r>
        <w:rPr>
          <w:rFonts w:ascii="Arial" w:hAnsi="Arial" w:cs="Arial"/>
          <w:i/>
          <w:iCs/>
          <w:sz w:val="28"/>
          <w:szCs w:val="28"/>
          <w:lang w:val="en-US"/>
        </w:rPr>
        <w:t xml:space="preserve"> (Deceased), Re’ </w:t>
      </w:r>
      <w:r>
        <w:rPr>
          <w:rFonts w:ascii="Arial" w:hAnsi="Arial" w:cs="Arial"/>
          <w:sz w:val="28"/>
          <w:szCs w:val="28"/>
          <w:lang w:val="en-US"/>
        </w:rPr>
        <w:t xml:space="preserve">(1978) Court of Appeal, case 247. </w:t>
      </w:r>
      <w:r>
        <w:rPr>
          <w:rFonts w:ascii="Arial" w:hAnsi="Arial" w:cs="Arial"/>
          <w:i/>
          <w:iCs/>
          <w:sz w:val="28"/>
          <w:szCs w:val="28"/>
          <w:lang w:val="en-US"/>
        </w:rPr>
        <w:t xml:space="preserve">Westlaw </w:t>
      </w:r>
      <w:r w:rsidR="00275BC2">
        <w:rPr>
          <w:rFonts w:ascii="Arial" w:hAnsi="Arial" w:cs="Arial"/>
          <w:i/>
          <w:iCs/>
          <w:sz w:val="28"/>
          <w:szCs w:val="28"/>
          <w:lang w:val="en-US"/>
        </w:rPr>
        <w:t>E</w:t>
      </w:r>
      <w:r>
        <w:rPr>
          <w:rFonts w:ascii="Arial" w:hAnsi="Arial" w:cs="Arial"/>
          <w:i/>
          <w:iCs/>
          <w:sz w:val="28"/>
          <w:szCs w:val="28"/>
          <w:lang w:val="en-US"/>
        </w:rPr>
        <w:t xml:space="preserve">dge UK </w:t>
      </w:r>
      <w:r>
        <w:rPr>
          <w:rFonts w:ascii="Arial" w:hAnsi="Arial" w:cs="Arial"/>
          <w:sz w:val="28"/>
          <w:szCs w:val="28"/>
          <w:lang w:val="en-US"/>
        </w:rPr>
        <w:t xml:space="preserve">[Online] Available at: </w:t>
      </w:r>
      <w:hyperlink r:id="rId31" w:history="1">
        <w:r w:rsidRPr="00D47072">
          <w:rPr>
            <w:rStyle w:val="Hyperlink"/>
            <w:rFonts w:ascii="Arial" w:hAnsi="Arial" w:cs="Arial"/>
            <w:sz w:val="28"/>
            <w:szCs w:val="28"/>
            <w:lang w:val="en-US"/>
          </w:rPr>
          <w:t>https://uk.westlaw.com/Document/I14B1EAC0E42811DA8FC2A0F0355337E9/View/FullText.html</w:t>
        </w:r>
      </w:hyperlink>
      <w:r>
        <w:rPr>
          <w:rFonts w:ascii="Arial" w:hAnsi="Arial" w:cs="Arial"/>
          <w:sz w:val="28"/>
          <w:szCs w:val="28"/>
          <w:lang w:val="en-US"/>
        </w:rPr>
        <w:t xml:space="preserve"> (Accessed: 14 December 2021).</w:t>
      </w:r>
    </w:p>
    <w:p w14:paraId="51F668F7" w14:textId="77777777" w:rsidR="00D931EE" w:rsidRDefault="00D931EE" w:rsidP="00D931EE">
      <w:pPr>
        <w:tabs>
          <w:tab w:val="left" w:pos="1256"/>
        </w:tabs>
        <w:spacing w:line="480" w:lineRule="auto"/>
        <w:rPr>
          <w:rFonts w:ascii="Arial" w:hAnsi="Arial" w:cs="Arial"/>
          <w:sz w:val="28"/>
          <w:szCs w:val="28"/>
          <w:lang w:val="en-US"/>
        </w:rPr>
      </w:pPr>
    </w:p>
    <w:p w14:paraId="0A59E2BE" w14:textId="40A28C87" w:rsidR="006B68B9" w:rsidRDefault="006B68B9" w:rsidP="00A017F8">
      <w:pPr>
        <w:spacing w:line="480" w:lineRule="auto"/>
        <w:rPr>
          <w:rFonts w:ascii="Arial" w:hAnsi="Arial" w:cs="Arial"/>
          <w:sz w:val="28"/>
          <w:szCs w:val="28"/>
          <w:lang w:val="en-US"/>
        </w:rPr>
      </w:pPr>
      <w:r>
        <w:rPr>
          <w:rFonts w:ascii="Arial" w:hAnsi="Arial" w:cs="Arial"/>
          <w:i/>
          <w:iCs/>
          <w:sz w:val="28"/>
          <w:szCs w:val="28"/>
          <w:lang w:val="en-US"/>
        </w:rPr>
        <w:t xml:space="preserve">‘Ottaway v Norman’ </w:t>
      </w:r>
      <w:r>
        <w:rPr>
          <w:rFonts w:ascii="Arial" w:hAnsi="Arial" w:cs="Arial"/>
          <w:sz w:val="28"/>
          <w:szCs w:val="28"/>
          <w:lang w:val="en-US"/>
        </w:rPr>
        <w:t xml:space="preserve">(1971) Chancery Division, case 698.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32" w:history="1">
        <w:r w:rsidRPr="00D47072">
          <w:rPr>
            <w:rStyle w:val="Hyperlink"/>
            <w:rFonts w:ascii="Arial" w:hAnsi="Arial" w:cs="Arial"/>
            <w:sz w:val="28"/>
            <w:szCs w:val="28"/>
            <w:lang w:val="en-US"/>
          </w:rPr>
          <w:t>https://uk.westlaw.com/Document/I14C6D250E42811DA8FC2A0F0355337E9/View/Full</w:t>
        </w:r>
        <w:r w:rsidRPr="00D47072">
          <w:rPr>
            <w:rStyle w:val="Hyperlink"/>
            <w:rFonts w:ascii="Arial" w:hAnsi="Arial" w:cs="Arial"/>
            <w:sz w:val="28"/>
            <w:szCs w:val="28"/>
            <w:lang w:val="en-US"/>
          </w:rPr>
          <w:t>T</w:t>
        </w:r>
        <w:r w:rsidRPr="00D47072">
          <w:rPr>
            <w:rStyle w:val="Hyperlink"/>
            <w:rFonts w:ascii="Arial" w:hAnsi="Arial" w:cs="Arial"/>
            <w:sz w:val="28"/>
            <w:szCs w:val="28"/>
            <w:lang w:val="en-US"/>
          </w:rPr>
          <w:t>ext.html</w:t>
        </w:r>
      </w:hyperlink>
      <w:r>
        <w:rPr>
          <w:rFonts w:ascii="Arial" w:hAnsi="Arial" w:cs="Arial"/>
          <w:sz w:val="28"/>
          <w:szCs w:val="28"/>
          <w:lang w:val="en-US"/>
        </w:rPr>
        <w:t xml:space="preserve"> (Accessed: 9 December 2021).</w:t>
      </w:r>
    </w:p>
    <w:p w14:paraId="36F5E2A6" w14:textId="1204B859" w:rsidR="005E76CA" w:rsidRDefault="005E76CA" w:rsidP="00A017F8">
      <w:pPr>
        <w:spacing w:line="480" w:lineRule="auto"/>
        <w:rPr>
          <w:rFonts w:ascii="Arial" w:hAnsi="Arial" w:cs="Arial"/>
          <w:sz w:val="28"/>
          <w:szCs w:val="28"/>
          <w:lang w:val="en-US"/>
        </w:rPr>
      </w:pPr>
    </w:p>
    <w:p w14:paraId="5A20F118" w14:textId="500A4E60" w:rsidR="005E76CA" w:rsidRPr="00611390" w:rsidRDefault="00611390" w:rsidP="00A017F8">
      <w:pPr>
        <w:spacing w:line="480" w:lineRule="auto"/>
        <w:rPr>
          <w:rFonts w:ascii="Arial" w:hAnsi="Arial" w:cs="Arial"/>
          <w:sz w:val="28"/>
          <w:szCs w:val="28"/>
          <w:lang w:val="en-US"/>
        </w:rPr>
      </w:pPr>
      <w:r>
        <w:rPr>
          <w:rFonts w:ascii="Arial" w:hAnsi="Arial" w:cs="Arial"/>
          <w:i/>
          <w:iCs/>
          <w:sz w:val="28"/>
          <w:szCs w:val="28"/>
          <w:lang w:val="en-US"/>
        </w:rPr>
        <w:t>‘</w:t>
      </w:r>
      <w:r w:rsidR="005E76CA">
        <w:rPr>
          <w:rFonts w:ascii="Arial" w:hAnsi="Arial" w:cs="Arial"/>
          <w:i/>
          <w:iCs/>
          <w:sz w:val="28"/>
          <w:szCs w:val="28"/>
          <w:lang w:val="en-US"/>
        </w:rPr>
        <w:t>R v District Auditor</w:t>
      </w:r>
      <w:r>
        <w:rPr>
          <w:rFonts w:ascii="Arial" w:hAnsi="Arial" w:cs="Arial"/>
          <w:i/>
          <w:iCs/>
          <w:sz w:val="28"/>
          <w:szCs w:val="28"/>
          <w:lang w:val="en-US"/>
        </w:rPr>
        <w:t xml:space="preserve"> of West Yorkshire Metropolitan CC’ </w:t>
      </w:r>
      <w:r>
        <w:rPr>
          <w:rFonts w:ascii="Arial" w:hAnsi="Arial" w:cs="Arial"/>
          <w:sz w:val="28"/>
          <w:szCs w:val="28"/>
          <w:lang w:val="en-US"/>
        </w:rPr>
        <w:t xml:space="preserve">(1985) Queen’s Bench Division, case 106.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33" w:history="1">
        <w:r w:rsidRPr="00D47072">
          <w:rPr>
            <w:rStyle w:val="Hyperlink"/>
            <w:rFonts w:ascii="Arial" w:hAnsi="Arial" w:cs="Arial"/>
            <w:sz w:val="28"/>
            <w:szCs w:val="28"/>
            <w:lang w:val="en-US"/>
          </w:rPr>
          <w:t>https://uk.westlaw.com/Document/I861040F0E43611DA8FC2A0F0355337E9/View/FullText.html</w:t>
        </w:r>
      </w:hyperlink>
      <w:r>
        <w:rPr>
          <w:rFonts w:ascii="Arial" w:hAnsi="Arial" w:cs="Arial"/>
          <w:sz w:val="28"/>
          <w:szCs w:val="28"/>
          <w:lang w:val="en-US"/>
        </w:rPr>
        <w:t xml:space="preserve"> (Accessed: 18 December 2021).</w:t>
      </w:r>
    </w:p>
    <w:p w14:paraId="708CA57B" w14:textId="5EB54C8E" w:rsidR="006B68B9" w:rsidRDefault="006B68B9" w:rsidP="00A017F8">
      <w:pPr>
        <w:spacing w:line="480" w:lineRule="auto"/>
        <w:rPr>
          <w:rFonts w:ascii="Arial" w:hAnsi="Arial" w:cs="Arial"/>
          <w:sz w:val="28"/>
          <w:szCs w:val="28"/>
          <w:lang w:val="en-US"/>
        </w:rPr>
      </w:pPr>
    </w:p>
    <w:p w14:paraId="6C46BA93" w14:textId="71324924" w:rsidR="006B68B9" w:rsidRDefault="006B68B9" w:rsidP="00A017F8">
      <w:pPr>
        <w:spacing w:line="480" w:lineRule="auto"/>
        <w:rPr>
          <w:rFonts w:ascii="Arial" w:hAnsi="Arial" w:cs="Arial"/>
          <w:sz w:val="28"/>
          <w:szCs w:val="28"/>
          <w:lang w:val="en-US"/>
        </w:rPr>
      </w:pPr>
      <w:r>
        <w:rPr>
          <w:rFonts w:ascii="Arial" w:hAnsi="Arial" w:cs="Arial"/>
          <w:i/>
          <w:iCs/>
          <w:sz w:val="28"/>
          <w:szCs w:val="28"/>
          <w:lang w:val="en-US"/>
        </w:rPr>
        <w:t xml:space="preserve">‘Snowden (Deceased), Re’ </w:t>
      </w:r>
      <w:r>
        <w:rPr>
          <w:rFonts w:ascii="Arial" w:hAnsi="Arial" w:cs="Arial"/>
          <w:sz w:val="28"/>
          <w:szCs w:val="28"/>
          <w:lang w:val="en-US"/>
        </w:rPr>
        <w:t xml:space="preserve">(1978) Chancery Division, case 528.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34" w:history="1">
        <w:r w:rsidRPr="00D47072">
          <w:rPr>
            <w:rStyle w:val="Hyperlink"/>
            <w:rFonts w:ascii="Arial" w:hAnsi="Arial" w:cs="Arial"/>
            <w:sz w:val="28"/>
            <w:szCs w:val="28"/>
            <w:lang w:val="en-US"/>
          </w:rPr>
          <w:t>https://uk.westlaw.com/Document/IB015BB90E42811DA8FC2A0F0355337E9/View/FullText.html</w:t>
        </w:r>
      </w:hyperlink>
      <w:r>
        <w:rPr>
          <w:rFonts w:ascii="Arial" w:hAnsi="Arial" w:cs="Arial"/>
          <w:sz w:val="28"/>
          <w:szCs w:val="28"/>
          <w:lang w:val="en-US"/>
        </w:rPr>
        <w:t xml:space="preserve"> (Accessed: </w:t>
      </w:r>
      <w:r w:rsidR="004E4500">
        <w:rPr>
          <w:rFonts w:ascii="Arial" w:hAnsi="Arial" w:cs="Arial"/>
          <w:sz w:val="28"/>
          <w:szCs w:val="28"/>
          <w:lang w:val="en-US"/>
        </w:rPr>
        <w:t>10 December 2021).</w:t>
      </w:r>
    </w:p>
    <w:p w14:paraId="312CEFAD" w14:textId="23F39498" w:rsidR="005E76CA" w:rsidRDefault="005E76CA" w:rsidP="00A017F8">
      <w:pPr>
        <w:spacing w:line="480" w:lineRule="auto"/>
        <w:rPr>
          <w:rFonts w:ascii="Arial" w:hAnsi="Arial" w:cs="Arial"/>
          <w:sz w:val="28"/>
          <w:szCs w:val="28"/>
          <w:lang w:val="en-US"/>
        </w:rPr>
      </w:pPr>
    </w:p>
    <w:p w14:paraId="52984F67" w14:textId="2FF0B6D3" w:rsidR="005E76CA" w:rsidRPr="005E76CA" w:rsidRDefault="005E76CA" w:rsidP="00A017F8">
      <w:pPr>
        <w:spacing w:line="480" w:lineRule="auto"/>
        <w:rPr>
          <w:rFonts w:ascii="Arial" w:hAnsi="Arial" w:cs="Arial"/>
          <w:sz w:val="28"/>
          <w:szCs w:val="28"/>
          <w:lang w:val="en-US"/>
        </w:rPr>
      </w:pPr>
      <w:r>
        <w:rPr>
          <w:rFonts w:ascii="Arial" w:hAnsi="Arial" w:cs="Arial"/>
          <w:i/>
          <w:iCs/>
          <w:sz w:val="28"/>
          <w:szCs w:val="28"/>
          <w:lang w:val="en-US"/>
        </w:rPr>
        <w:t xml:space="preserve">‘Tuck’s Settlement Trusts, Re’ </w:t>
      </w:r>
      <w:r>
        <w:rPr>
          <w:rFonts w:ascii="Arial" w:hAnsi="Arial" w:cs="Arial"/>
          <w:sz w:val="28"/>
          <w:szCs w:val="28"/>
          <w:lang w:val="en-US"/>
        </w:rPr>
        <w:t xml:space="preserve">(1978) Court of Appeal, case 49.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35" w:history="1">
        <w:r w:rsidRPr="00D47072">
          <w:rPr>
            <w:rStyle w:val="Hyperlink"/>
            <w:rFonts w:ascii="Arial" w:hAnsi="Arial" w:cs="Arial"/>
            <w:sz w:val="28"/>
            <w:szCs w:val="28"/>
            <w:lang w:val="en-US"/>
          </w:rPr>
          <w:t>https://uk.westlaw.com/Document/IDEB416E0E42811DA8FC2A0F0355337E9/View/FullText.html</w:t>
        </w:r>
      </w:hyperlink>
      <w:r>
        <w:rPr>
          <w:rFonts w:ascii="Arial" w:hAnsi="Arial" w:cs="Arial"/>
          <w:sz w:val="28"/>
          <w:szCs w:val="28"/>
          <w:lang w:val="en-US"/>
        </w:rPr>
        <w:t xml:space="preserve"> (Accessed: 18 December 2021).</w:t>
      </w:r>
    </w:p>
    <w:p w14:paraId="2B9F50AA" w14:textId="19E64C39" w:rsidR="004E4500" w:rsidRDefault="004E4500" w:rsidP="00A017F8">
      <w:pPr>
        <w:spacing w:line="480" w:lineRule="auto"/>
        <w:rPr>
          <w:rFonts w:ascii="Arial" w:hAnsi="Arial" w:cs="Arial"/>
          <w:sz w:val="28"/>
          <w:szCs w:val="28"/>
          <w:lang w:val="en-US"/>
        </w:rPr>
      </w:pPr>
    </w:p>
    <w:p w14:paraId="3306DE9B" w14:textId="6BDFCFEE" w:rsidR="004E4500" w:rsidRPr="004E4500" w:rsidRDefault="004E4500" w:rsidP="00A017F8">
      <w:pPr>
        <w:spacing w:line="480" w:lineRule="auto"/>
        <w:rPr>
          <w:rFonts w:ascii="Arial" w:hAnsi="Arial" w:cs="Arial"/>
          <w:sz w:val="28"/>
          <w:szCs w:val="28"/>
          <w:lang w:val="en-US"/>
        </w:rPr>
      </w:pPr>
      <w:r>
        <w:rPr>
          <w:rFonts w:ascii="Arial" w:hAnsi="Arial" w:cs="Arial"/>
          <w:i/>
          <w:iCs/>
          <w:sz w:val="28"/>
          <w:szCs w:val="28"/>
          <w:lang w:val="en-US"/>
        </w:rPr>
        <w:t>‘</w:t>
      </w:r>
      <w:proofErr w:type="spellStart"/>
      <w:r>
        <w:rPr>
          <w:rFonts w:ascii="Arial" w:hAnsi="Arial" w:cs="Arial"/>
          <w:i/>
          <w:iCs/>
          <w:sz w:val="28"/>
          <w:szCs w:val="28"/>
          <w:lang w:val="en-US"/>
        </w:rPr>
        <w:t>Wallgrave</w:t>
      </w:r>
      <w:proofErr w:type="spellEnd"/>
      <w:r>
        <w:rPr>
          <w:rFonts w:ascii="Arial" w:hAnsi="Arial" w:cs="Arial"/>
          <w:i/>
          <w:iCs/>
          <w:sz w:val="28"/>
          <w:szCs w:val="28"/>
          <w:lang w:val="en-US"/>
        </w:rPr>
        <w:t xml:space="preserve"> v </w:t>
      </w:r>
      <w:proofErr w:type="spellStart"/>
      <w:r>
        <w:rPr>
          <w:rFonts w:ascii="Arial" w:hAnsi="Arial" w:cs="Arial"/>
          <w:i/>
          <w:iCs/>
          <w:sz w:val="28"/>
          <w:szCs w:val="28"/>
          <w:lang w:val="en-US"/>
        </w:rPr>
        <w:t>Tebbs</w:t>
      </w:r>
      <w:proofErr w:type="spellEnd"/>
      <w:r>
        <w:rPr>
          <w:rFonts w:ascii="Arial" w:hAnsi="Arial" w:cs="Arial"/>
          <w:i/>
          <w:iCs/>
          <w:sz w:val="28"/>
          <w:szCs w:val="28"/>
          <w:lang w:val="en-US"/>
        </w:rPr>
        <w:t xml:space="preserve">’ </w:t>
      </w:r>
      <w:r>
        <w:rPr>
          <w:rFonts w:ascii="Arial" w:hAnsi="Arial" w:cs="Arial"/>
          <w:sz w:val="28"/>
          <w:szCs w:val="28"/>
          <w:lang w:val="en-US"/>
        </w:rPr>
        <w:t xml:space="preserve">(1855) Court of Chancery, case 800. </w:t>
      </w:r>
      <w:r>
        <w:rPr>
          <w:rFonts w:ascii="Arial" w:hAnsi="Arial" w:cs="Arial"/>
          <w:i/>
          <w:iCs/>
          <w:sz w:val="28"/>
          <w:szCs w:val="28"/>
          <w:lang w:val="en-US"/>
        </w:rPr>
        <w:t xml:space="preserve">Westlaw Edge UK </w:t>
      </w:r>
      <w:r>
        <w:rPr>
          <w:rFonts w:ascii="Arial" w:hAnsi="Arial" w:cs="Arial"/>
          <w:sz w:val="28"/>
          <w:szCs w:val="28"/>
          <w:lang w:val="en-US"/>
        </w:rPr>
        <w:t xml:space="preserve">[Online] Available at: </w:t>
      </w:r>
      <w:hyperlink r:id="rId36" w:history="1">
        <w:r w:rsidRPr="00D47072">
          <w:rPr>
            <w:rStyle w:val="Hyperlink"/>
            <w:rFonts w:ascii="Arial" w:hAnsi="Arial" w:cs="Arial"/>
            <w:sz w:val="28"/>
            <w:szCs w:val="28"/>
            <w:lang w:val="en-US"/>
          </w:rPr>
          <w:t>https://uk.westlaw.com/Document/IED9A3F60F27411DDBCE9D0473E22BD7E/View/FullText.html</w:t>
        </w:r>
      </w:hyperlink>
      <w:r>
        <w:rPr>
          <w:rFonts w:ascii="Arial" w:hAnsi="Arial" w:cs="Arial"/>
          <w:sz w:val="28"/>
          <w:szCs w:val="28"/>
          <w:lang w:val="en-US"/>
        </w:rPr>
        <w:t xml:space="preserve"> (Accessed: 10 December 2021). </w:t>
      </w:r>
    </w:p>
    <w:p w14:paraId="6CB8DF69" w14:textId="77777777" w:rsidR="00CD4925" w:rsidRDefault="00CD4925" w:rsidP="00A017F8">
      <w:pPr>
        <w:spacing w:line="480" w:lineRule="auto"/>
        <w:rPr>
          <w:rFonts w:ascii="Arial" w:hAnsi="Arial" w:cs="Arial"/>
          <w:sz w:val="28"/>
          <w:szCs w:val="28"/>
          <w:lang w:val="en-US"/>
        </w:rPr>
      </w:pPr>
    </w:p>
    <w:p w14:paraId="782C3F1B" w14:textId="0FB26DFF" w:rsidR="00D50F31" w:rsidRDefault="00D50F31" w:rsidP="00A017F8">
      <w:pPr>
        <w:spacing w:line="480" w:lineRule="auto"/>
        <w:rPr>
          <w:rFonts w:ascii="Arial" w:hAnsi="Arial" w:cs="Arial"/>
          <w:sz w:val="28"/>
          <w:szCs w:val="28"/>
          <w:lang w:val="en-US"/>
        </w:rPr>
      </w:pPr>
      <w:r>
        <w:rPr>
          <w:rFonts w:ascii="Arial" w:hAnsi="Arial" w:cs="Arial"/>
          <w:i/>
          <w:iCs/>
          <w:sz w:val="28"/>
          <w:szCs w:val="28"/>
          <w:lang w:val="en-US"/>
        </w:rPr>
        <w:t>‘</w:t>
      </w:r>
      <w:r w:rsidR="00D21876">
        <w:rPr>
          <w:rFonts w:ascii="Arial" w:hAnsi="Arial" w:cs="Arial"/>
          <w:i/>
          <w:iCs/>
          <w:sz w:val="28"/>
          <w:szCs w:val="28"/>
          <w:lang w:val="en-US"/>
        </w:rPr>
        <w:t xml:space="preserve">Young (Deceased), Re’ </w:t>
      </w:r>
      <w:r w:rsidR="00D21876">
        <w:rPr>
          <w:rFonts w:ascii="Arial" w:hAnsi="Arial" w:cs="Arial"/>
          <w:sz w:val="28"/>
          <w:szCs w:val="28"/>
          <w:lang w:val="en-US"/>
        </w:rPr>
        <w:t xml:space="preserve">(1951) Chancery Division, case 344. </w:t>
      </w:r>
      <w:r w:rsidR="00D21876">
        <w:rPr>
          <w:rFonts w:ascii="Arial" w:hAnsi="Arial" w:cs="Arial"/>
          <w:i/>
          <w:iCs/>
          <w:sz w:val="28"/>
          <w:szCs w:val="28"/>
          <w:lang w:val="en-US"/>
        </w:rPr>
        <w:t xml:space="preserve">Westlaw Edge UK </w:t>
      </w:r>
      <w:r w:rsidR="00D21876">
        <w:rPr>
          <w:rFonts w:ascii="Arial" w:hAnsi="Arial" w:cs="Arial"/>
          <w:sz w:val="28"/>
          <w:szCs w:val="28"/>
          <w:lang w:val="en-US"/>
        </w:rPr>
        <w:t xml:space="preserve">[Online] Available at: </w:t>
      </w:r>
      <w:hyperlink r:id="rId37" w:history="1">
        <w:r w:rsidR="00D21876" w:rsidRPr="00D47072">
          <w:rPr>
            <w:rStyle w:val="Hyperlink"/>
            <w:rFonts w:ascii="Arial" w:hAnsi="Arial" w:cs="Arial"/>
            <w:sz w:val="28"/>
            <w:szCs w:val="28"/>
            <w:lang w:val="en-US"/>
          </w:rPr>
          <w:t>https://uk.westlaw.com/Document/I11CDC120E42911DA8FC2A0F0355337E9/View/FullText.html</w:t>
        </w:r>
      </w:hyperlink>
      <w:r w:rsidR="00D21876">
        <w:rPr>
          <w:rFonts w:ascii="Arial" w:hAnsi="Arial" w:cs="Arial"/>
          <w:sz w:val="28"/>
          <w:szCs w:val="28"/>
          <w:lang w:val="en-US"/>
        </w:rPr>
        <w:t xml:space="preserve"> . (Accessed: 6 December 2021).</w:t>
      </w:r>
    </w:p>
    <w:p w14:paraId="4B328237" w14:textId="6BBA42C2" w:rsidR="00D21876" w:rsidRDefault="00D21876" w:rsidP="00A017F8">
      <w:pPr>
        <w:spacing w:line="480" w:lineRule="auto"/>
        <w:rPr>
          <w:rFonts w:ascii="Arial" w:hAnsi="Arial" w:cs="Arial"/>
          <w:sz w:val="28"/>
          <w:szCs w:val="28"/>
          <w:lang w:val="en-US"/>
        </w:rPr>
      </w:pPr>
    </w:p>
    <w:p w14:paraId="639FF0F4" w14:textId="77777777" w:rsidR="00D21876" w:rsidRPr="00D21876" w:rsidRDefault="00D21876" w:rsidP="00A017F8">
      <w:pPr>
        <w:spacing w:line="480" w:lineRule="auto"/>
        <w:rPr>
          <w:rFonts w:ascii="Arial" w:hAnsi="Arial" w:cs="Arial"/>
          <w:sz w:val="28"/>
          <w:szCs w:val="28"/>
          <w:lang w:val="en-US"/>
        </w:rPr>
      </w:pPr>
    </w:p>
    <w:p w14:paraId="55ABB473" w14:textId="77777777" w:rsidR="00D50F31" w:rsidRPr="00D50F31" w:rsidRDefault="00D50F31" w:rsidP="00A017F8">
      <w:pPr>
        <w:spacing w:line="480" w:lineRule="auto"/>
        <w:rPr>
          <w:rFonts w:ascii="Arial" w:hAnsi="Arial" w:cs="Arial"/>
          <w:sz w:val="28"/>
          <w:szCs w:val="28"/>
          <w:lang w:val="en-US"/>
        </w:rPr>
      </w:pPr>
    </w:p>
    <w:p w14:paraId="218FCBD5" w14:textId="77777777" w:rsidR="0033631C" w:rsidRPr="0033631C" w:rsidRDefault="0033631C" w:rsidP="00A017F8">
      <w:pPr>
        <w:spacing w:line="480" w:lineRule="auto"/>
        <w:rPr>
          <w:rFonts w:ascii="Arial" w:hAnsi="Arial" w:cs="Arial"/>
          <w:sz w:val="28"/>
          <w:szCs w:val="28"/>
          <w:lang w:val="en-US"/>
        </w:rPr>
      </w:pPr>
    </w:p>
    <w:sectPr w:rsidR="0033631C" w:rsidRPr="0033631C">
      <w:headerReference w:type="default" r:id="rId3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70E46" w14:textId="77777777" w:rsidR="00D8787E" w:rsidRDefault="00D8787E" w:rsidP="00EB38F6">
      <w:r>
        <w:separator/>
      </w:r>
    </w:p>
  </w:endnote>
  <w:endnote w:type="continuationSeparator" w:id="0">
    <w:p w14:paraId="3C31F375" w14:textId="77777777" w:rsidR="00D8787E" w:rsidRDefault="00D8787E" w:rsidP="00EB3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75CDD" w14:textId="77777777" w:rsidR="00D8787E" w:rsidRDefault="00D8787E" w:rsidP="00EB38F6">
      <w:r>
        <w:separator/>
      </w:r>
    </w:p>
  </w:footnote>
  <w:footnote w:type="continuationSeparator" w:id="0">
    <w:p w14:paraId="6CBB3296" w14:textId="77777777" w:rsidR="00D8787E" w:rsidRDefault="00D8787E" w:rsidP="00EB3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B6E1B" w14:textId="22D44C4D" w:rsidR="00EB38F6" w:rsidRPr="00EB38F6" w:rsidRDefault="00EB38F6">
    <w:pPr>
      <w:pStyle w:val="Header"/>
      <w:rPr>
        <w:lang w:val="en-US"/>
      </w:rPr>
    </w:pPr>
    <w:r>
      <w:rPr>
        <w:lang w:val="en-US"/>
      </w:rPr>
      <w:t xml:space="preserve">Sekou </w:t>
    </w:r>
    <w:proofErr w:type="spellStart"/>
    <w:r>
      <w:rPr>
        <w:lang w:val="en-US"/>
      </w:rPr>
      <w:t>Guilavogui</w:t>
    </w:r>
    <w:proofErr w:type="spellEnd"/>
    <w:r>
      <w:rPr>
        <w:lang w:val="en-US"/>
      </w:rPr>
      <w:t xml:space="preserve">                                                                                                      Assignment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10EF6"/>
    <w:multiLevelType w:val="hybridMultilevel"/>
    <w:tmpl w:val="7D081B46"/>
    <w:lvl w:ilvl="0" w:tplc="055C0AE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A1291A"/>
    <w:multiLevelType w:val="hybridMultilevel"/>
    <w:tmpl w:val="F37439FC"/>
    <w:lvl w:ilvl="0" w:tplc="1BD4F9A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63489D"/>
    <w:multiLevelType w:val="hybridMultilevel"/>
    <w:tmpl w:val="D936959C"/>
    <w:lvl w:ilvl="0" w:tplc="0C9E8C5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8F6"/>
    <w:rsid w:val="00005894"/>
    <w:rsid w:val="00067E59"/>
    <w:rsid w:val="00071EB7"/>
    <w:rsid w:val="0009322B"/>
    <w:rsid w:val="00095F49"/>
    <w:rsid w:val="000A62D3"/>
    <w:rsid w:val="000D1753"/>
    <w:rsid w:val="000D7538"/>
    <w:rsid w:val="000E61DF"/>
    <w:rsid w:val="00113DCB"/>
    <w:rsid w:val="00143888"/>
    <w:rsid w:val="0016428C"/>
    <w:rsid w:val="00184BD5"/>
    <w:rsid w:val="00196CDF"/>
    <w:rsid w:val="001B4CCB"/>
    <w:rsid w:val="001B53AE"/>
    <w:rsid w:val="001D3CC2"/>
    <w:rsid w:val="001D3FB7"/>
    <w:rsid w:val="001F19D9"/>
    <w:rsid w:val="002065D9"/>
    <w:rsid w:val="002204AB"/>
    <w:rsid w:val="002235ED"/>
    <w:rsid w:val="002563D9"/>
    <w:rsid w:val="00275BC2"/>
    <w:rsid w:val="002A40AE"/>
    <w:rsid w:val="002A63D4"/>
    <w:rsid w:val="002B6B22"/>
    <w:rsid w:val="002E22FB"/>
    <w:rsid w:val="002E7271"/>
    <w:rsid w:val="002F6725"/>
    <w:rsid w:val="00302022"/>
    <w:rsid w:val="003023D2"/>
    <w:rsid w:val="003061BB"/>
    <w:rsid w:val="00317259"/>
    <w:rsid w:val="0033631C"/>
    <w:rsid w:val="00341AD7"/>
    <w:rsid w:val="00352C28"/>
    <w:rsid w:val="00367E83"/>
    <w:rsid w:val="00371CEC"/>
    <w:rsid w:val="00376483"/>
    <w:rsid w:val="0037664E"/>
    <w:rsid w:val="00377497"/>
    <w:rsid w:val="003B34C7"/>
    <w:rsid w:val="003E5019"/>
    <w:rsid w:val="00405F76"/>
    <w:rsid w:val="0041672C"/>
    <w:rsid w:val="00421086"/>
    <w:rsid w:val="00433138"/>
    <w:rsid w:val="004675AD"/>
    <w:rsid w:val="00471EB9"/>
    <w:rsid w:val="004A29F3"/>
    <w:rsid w:val="004C3307"/>
    <w:rsid w:val="004E4500"/>
    <w:rsid w:val="004F30D0"/>
    <w:rsid w:val="00500A77"/>
    <w:rsid w:val="00523351"/>
    <w:rsid w:val="005330CE"/>
    <w:rsid w:val="0053734F"/>
    <w:rsid w:val="0053753F"/>
    <w:rsid w:val="0054621B"/>
    <w:rsid w:val="0054790C"/>
    <w:rsid w:val="00550440"/>
    <w:rsid w:val="00583236"/>
    <w:rsid w:val="005878FD"/>
    <w:rsid w:val="00597E88"/>
    <w:rsid w:val="005E76CA"/>
    <w:rsid w:val="005F05F0"/>
    <w:rsid w:val="005F0CA3"/>
    <w:rsid w:val="005F41B7"/>
    <w:rsid w:val="005F76BB"/>
    <w:rsid w:val="00611390"/>
    <w:rsid w:val="00612D58"/>
    <w:rsid w:val="0061427E"/>
    <w:rsid w:val="00615547"/>
    <w:rsid w:val="00625E5A"/>
    <w:rsid w:val="00634CB6"/>
    <w:rsid w:val="00652B2B"/>
    <w:rsid w:val="00663518"/>
    <w:rsid w:val="00676FEA"/>
    <w:rsid w:val="00683083"/>
    <w:rsid w:val="00686C72"/>
    <w:rsid w:val="0069178A"/>
    <w:rsid w:val="00695E49"/>
    <w:rsid w:val="006A085E"/>
    <w:rsid w:val="006B4AA4"/>
    <w:rsid w:val="006B68B9"/>
    <w:rsid w:val="006C1EE5"/>
    <w:rsid w:val="006F29DF"/>
    <w:rsid w:val="006F5333"/>
    <w:rsid w:val="00703535"/>
    <w:rsid w:val="00712B6C"/>
    <w:rsid w:val="00734B43"/>
    <w:rsid w:val="007439BD"/>
    <w:rsid w:val="00746643"/>
    <w:rsid w:val="00795390"/>
    <w:rsid w:val="007A238B"/>
    <w:rsid w:val="007A4624"/>
    <w:rsid w:val="007A658A"/>
    <w:rsid w:val="007C1234"/>
    <w:rsid w:val="008040D1"/>
    <w:rsid w:val="00827F56"/>
    <w:rsid w:val="00836B85"/>
    <w:rsid w:val="0084667C"/>
    <w:rsid w:val="0085157F"/>
    <w:rsid w:val="0085690B"/>
    <w:rsid w:val="00866F96"/>
    <w:rsid w:val="008806E7"/>
    <w:rsid w:val="008A23C4"/>
    <w:rsid w:val="008B3367"/>
    <w:rsid w:val="008C0552"/>
    <w:rsid w:val="008C1A38"/>
    <w:rsid w:val="008C731D"/>
    <w:rsid w:val="008D3C6B"/>
    <w:rsid w:val="008E0DA9"/>
    <w:rsid w:val="008E41E5"/>
    <w:rsid w:val="008E45F4"/>
    <w:rsid w:val="008F3263"/>
    <w:rsid w:val="008F74EE"/>
    <w:rsid w:val="00902BDE"/>
    <w:rsid w:val="00926C41"/>
    <w:rsid w:val="009348C6"/>
    <w:rsid w:val="009376FC"/>
    <w:rsid w:val="00975A00"/>
    <w:rsid w:val="0098629A"/>
    <w:rsid w:val="00986EEF"/>
    <w:rsid w:val="00990AB0"/>
    <w:rsid w:val="00992ED4"/>
    <w:rsid w:val="009C1C48"/>
    <w:rsid w:val="009F0454"/>
    <w:rsid w:val="00A017F8"/>
    <w:rsid w:val="00A366D9"/>
    <w:rsid w:val="00A454E6"/>
    <w:rsid w:val="00A60399"/>
    <w:rsid w:val="00A6178A"/>
    <w:rsid w:val="00A61947"/>
    <w:rsid w:val="00A65375"/>
    <w:rsid w:val="00A868F6"/>
    <w:rsid w:val="00AA733D"/>
    <w:rsid w:val="00AD3231"/>
    <w:rsid w:val="00B13793"/>
    <w:rsid w:val="00B143D7"/>
    <w:rsid w:val="00B351AD"/>
    <w:rsid w:val="00B47543"/>
    <w:rsid w:val="00B9373B"/>
    <w:rsid w:val="00B949E4"/>
    <w:rsid w:val="00BA6868"/>
    <w:rsid w:val="00BC0C7D"/>
    <w:rsid w:val="00BD1DA4"/>
    <w:rsid w:val="00BD6D7A"/>
    <w:rsid w:val="00BE05E9"/>
    <w:rsid w:val="00BE62DC"/>
    <w:rsid w:val="00C019F3"/>
    <w:rsid w:val="00C03B5E"/>
    <w:rsid w:val="00C0648B"/>
    <w:rsid w:val="00C24774"/>
    <w:rsid w:val="00C27AB9"/>
    <w:rsid w:val="00C51DA8"/>
    <w:rsid w:val="00C52477"/>
    <w:rsid w:val="00C6038B"/>
    <w:rsid w:val="00C635DB"/>
    <w:rsid w:val="00C64DAB"/>
    <w:rsid w:val="00CA0787"/>
    <w:rsid w:val="00CC3E8E"/>
    <w:rsid w:val="00CD082C"/>
    <w:rsid w:val="00CD4925"/>
    <w:rsid w:val="00CF2235"/>
    <w:rsid w:val="00CF5712"/>
    <w:rsid w:val="00CF7797"/>
    <w:rsid w:val="00D03584"/>
    <w:rsid w:val="00D03919"/>
    <w:rsid w:val="00D03D76"/>
    <w:rsid w:val="00D06412"/>
    <w:rsid w:val="00D21876"/>
    <w:rsid w:val="00D50F31"/>
    <w:rsid w:val="00D617BF"/>
    <w:rsid w:val="00D72135"/>
    <w:rsid w:val="00D8787E"/>
    <w:rsid w:val="00D931EE"/>
    <w:rsid w:val="00DE09DA"/>
    <w:rsid w:val="00DF5996"/>
    <w:rsid w:val="00E106D1"/>
    <w:rsid w:val="00E21019"/>
    <w:rsid w:val="00E613DB"/>
    <w:rsid w:val="00E61B62"/>
    <w:rsid w:val="00E64EE6"/>
    <w:rsid w:val="00E75922"/>
    <w:rsid w:val="00E80FD8"/>
    <w:rsid w:val="00E879B5"/>
    <w:rsid w:val="00E94CED"/>
    <w:rsid w:val="00EA5D72"/>
    <w:rsid w:val="00EB38F6"/>
    <w:rsid w:val="00EC6BCC"/>
    <w:rsid w:val="00ED3829"/>
    <w:rsid w:val="00F048B6"/>
    <w:rsid w:val="00F32DCE"/>
    <w:rsid w:val="00F35A96"/>
    <w:rsid w:val="00F368CB"/>
    <w:rsid w:val="00F370E5"/>
    <w:rsid w:val="00F76BFF"/>
    <w:rsid w:val="00F90543"/>
    <w:rsid w:val="00F92FAB"/>
    <w:rsid w:val="00FA262D"/>
    <w:rsid w:val="00FD6F29"/>
    <w:rsid w:val="00FE10CA"/>
    <w:rsid w:val="00FF30FB"/>
  </w:rsids>
  <m:mathPr>
    <m:mathFont m:val="Cambria Math"/>
    <m:brkBin m:val="before"/>
    <m:brkBinSub m:val="--"/>
    <m:smallFrac m:val="0"/>
    <m:dispDef/>
    <m:lMargin m:val="0"/>
    <m:rMargin m:val="0"/>
    <m:defJc m:val="centerGroup"/>
    <m:wrapIndent m:val="1440"/>
    <m:intLim m:val="subSup"/>
    <m:naryLim m:val="undOvr"/>
  </m:mathPr>
  <w:themeFontLang w:val="en-GN"/>
  <w:clrSchemeMapping w:bg1="light1" w:t1="dark1" w:bg2="light2" w:t2="dark2" w:accent1="accent1" w:accent2="accent2" w:accent3="accent3" w:accent4="accent4" w:accent5="accent5" w:accent6="accent6" w:hyperlink="hyperlink" w:followedHyperlink="followedHyperlink"/>
  <w:decimalSymbol w:val=","/>
  <w:listSeparator w:val=","/>
  <w14:docId w14:val="50EE8B63"/>
  <w15:docId w15:val="{E59E1855-3DFF-8C45-A3D9-E1AC1BD7B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38F6"/>
    <w:pPr>
      <w:tabs>
        <w:tab w:val="center" w:pos="4680"/>
        <w:tab w:val="right" w:pos="9360"/>
      </w:tabs>
    </w:pPr>
  </w:style>
  <w:style w:type="character" w:customStyle="1" w:styleId="HeaderChar">
    <w:name w:val="Header Char"/>
    <w:basedOn w:val="DefaultParagraphFont"/>
    <w:link w:val="Header"/>
    <w:uiPriority w:val="99"/>
    <w:rsid w:val="00EB38F6"/>
  </w:style>
  <w:style w:type="paragraph" w:styleId="Footer">
    <w:name w:val="footer"/>
    <w:basedOn w:val="Normal"/>
    <w:link w:val="FooterChar"/>
    <w:uiPriority w:val="99"/>
    <w:unhideWhenUsed/>
    <w:rsid w:val="00EB38F6"/>
    <w:pPr>
      <w:tabs>
        <w:tab w:val="center" w:pos="4680"/>
        <w:tab w:val="right" w:pos="9360"/>
      </w:tabs>
    </w:pPr>
  </w:style>
  <w:style w:type="character" w:customStyle="1" w:styleId="FooterChar">
    <w:name w:val="Footer Char"/>
    <w:basedOn w:val="DefaultParagraphFont"/>
    <w:link w:val="Footer"/>
    <w:uiPriority w:val="99"/>
    <w:rsid w:val="00EB38F6"/>
  </w:style>
  <w:style w:type="paragraph" w:styleId="ListParagraph">
    <w:name w:val="List Paragraph"/>
    <w:basedOn w:val="Normal"/>
    <w:uiPriority w:val="34"/>
    <w:qFormat/>
    <w:rsid w:val="003B34C7"/>
    <w:pPr>
      <w:ind w:left="720"/>
      <w:contextualSpacing/>
    </w:pPr>
  </w:style>
  <w:style w:type="character" w:styleId="Hyperlink">
    <w:name w:val="Hyperlink"/>
    <w:basedOn w:val="DefaultParagraphFont"/>
    <w:uiPriority w:val="99"/>
    <w:unhideWhenUsed/>
    <w:rsid w:val="00D50F31"/>
    <w:rPr>
      <w:color w:val="0563C1" w:themeColor="hyperlink"/>
      <w:u w:val="single"/>
    </w:rPr>
  </w:style>
  <w:style w:type="character" w:styleId="UnresolvedMention">
    <w:name w:val="Unresolved Mention"/>
    <w:basedOn w:val="DefaultParagraphFont"/>
    <w:uiPriority w:val="99"/>
    <w:semiHidden/>
    <w:unhideWhenUsed/>
    <w:rsid w:val="00D50F31"/>
    <w:rPr>
      <w:color w:val="605E5C"/>
      <w:shd w:val="clear" w:color="auto" w:fill="E1DFDD"/>
    </w:rPr>
  </w:style>
  <w:style w:type="character" w:styleId="FollowedHyperlink">
    <w:name w:val="FollowedHyperlink"/>
    <w:basedOn w:val="DefaultParagraphFont"/>
    <w:uiPriority w:val="99"/>
    <w:semiHidden/>
    <w:unhideWhenUsed/>
    <w:rsid w:val="005E76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lawexplores.com/trust-formation-the-beneficiary-principle/" TargetMode="External"/><Relationship Id="rId18" Type="http://schemas.openxmlformats.org/officeDocument/2006/relationships/hyperlink" Target="https://www-jstor-org.ezproxy.uwtsd.ac.uk/stable/4506177?Search=yes&amp;resultItemClick=true&amp;searchText=secret+trust+equity&amp;searchUri=%2Facti&amp;seq=1#metadata_info_tab_contents" TargetMode="External"/><Relationship Id="rId26" Type="http://schemas.openxmlformats.org/officeDocument/2006/relationships/hyperlink" Target="https://uk.westlaw.com/Document/IACECF9C1E42711DA8FC2A0F0355337E9/View/FullText.html" TargetMode="External"/><Relationship Id="rId39" Type="http://schemas.openxmlformats.org/officeDocument/2006/relationships/fontTable" Target="fontTable.xml"/><Relationship Id="rId21" Type="http://schemas.openxmlformats.org/officeDocument/2006/relationships/hyperlink" Target="https://uk.westlaw.com/Document/I6D7B8540E42711DA8FC2A0F0355337E9/View/FullText.html" TargetMode="External"/><Relationship Id="rId34" Type="http://schemas.openxmlformats.org/officeDocument/2006/relationships/hyperlink" Target="https://uk.westlaw.com/Document/IB015BB90E42811DA8FC2A0F0355337E9/View/FullText.html" TargetMode="External"/><Relationship Id="rId7" Type="http://schemas.openxmlformats.org/officeDocument/2006/relationships/hyperlink" Target="https://www-jstor-org.ezproxy.uwtsd.ac.uk/stable/1094465?seq=1#metadata_info_tab_contents" TargetMode="External"/><Relationship Id="rId12" Type="http://schemas.openxmlformats.org/officeDocument/2006/relationships/hyperlink" Target="https://www-jstor-org.ezproxy.uwtsd.ac.uk/stable/4505390?Search=yes&amp;resultItemClick=true&amp;searchText=discretionary+trusts+requirements&amp;sear=&amp;seq=1#metadata_info_tab_contents" TargetMode="External"/><Relationship Id="rId17" Type="http://schemas.openxmlformats.org/officeDocument/2006/relationships/hyperlink" Target="https://www.myerson.co.uk/news-insights-and-events/secret-trusts" TargetMode="External"/><Relationship Id="rId25" Type="http://schemas.openxmlformats.org/officeDocument/2006/relationships/hyperlink" Target="https://uk.westlaw.com/Document/IA7D591E1E42711DA8FC2A0F0355337E9/View/FullText.html" TargetMode="External"/><Relationship Id="rId33" Type="http://schemas.openxmlformats.org/officeDocument/2006/relationships/hyperlink" Target="https://uk.westlaw.com/Document/I861040F0E43611DA8FC2A0F0355337E9/View/FullText.html"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jstor-org.ezproxy.uwtsd.ac.uk/stable/41819931?Search=yes&amp;resultItemClick=true&amp;searchText=secret+trust+and+the+wills+act&amp;search=&amp;seq=1#metadata_info_tab_contents" TargetMode="External"/><Relationship Id="rId20" Type="http://schemas.openxmlformats.org/officeDocument/2006/relationships/hyperlink" Target="https://www.cambridge.org/core/journals/cambridge-law-journal/article/three-certainties-required-to-declare-a-trust-or-is-it-four-distributional-certainty/9018A16615B25DA48B5186A1B21C65C9" TargetMode="External"/><Relationship Id="rId29" Type="http://schemas.openxmlformats.org/officeDocument/2006/relationships/hyperlink" Target="https://uk.westlaw.com/Document/IF9A3F3E0E42711DA8FC2A0F0355337E9/View/FullText.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stor-org.ezproxy.uwtsd.ac.uk/stable/1322347?Search=yes&amp;resultItemClick=true&amp;searchText=discretionary+trust&amp;searchUri=%2Faction%2FdoBasicSearch%3FQuery%3Ddiscretionary%2Btrust%2B%26so%3Drel&amp;ab_segm=&amp;seq=1#metadata_info_tab_contents" TargetMode="External"/><Relationship Id="rId24" Type="http://schemas.openxmlformats.org/officeDocument/2006/relationships/hyperlink" Target="https://uk.westlaw.com/Document/I796153D0E42711DA8FC2A0F0355337E9/View/FullText.html" TargetMode="External"/><Relationship Id="rId32" Type="http://schemas.openxmlformats.org/officeDocument/2006/relationships/hyperlink" Target="https://uk.westlaw.com/Document/I14C6D250E42811DA8FC2A0F0355337E9/View/FullText.html" TargetMode="External"/><Relationship Id="rId37" Type="http://schemas.openxmlformats.org/officeDocument/2006/relationships/hyperlink" Target="https://uk.westlaw.com/Document/I11CDC120E42911DA8FC2A0F0355337E9/View/FullText.html"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nlinelibrary.wiley.com/doi/pdf/10.1111/j.1468-2230.1955.tb00287.x" TargetMode="External"/><Relationship Id="rId23" Type="http://schemas.openxmlformats.org/officeDocument/2006/relationships/hyperlink" Target="https://uk.westlaw.com/Document/I7591D540E42711DA8FC2A0F0355337E9/View/FullText.html" TargetMode="External"/><Relationship Id="rId28" Type="http://schemas.openxmlformats.org/officeDocument/2006/relationships/hyperlink" Target="https://uk.westlaw.com/Document/IF4FBC890E42711DA8FC2A0F0355337E9/View/FullText.html" TargetMode="External"/><Relationship Id="rId36" Type="http://schemas.openxmlformats.org/officeDocument/2006/relationships/hyperlink" Target="https://uk.westlaw.com/Document/IED9A3F60F27411DDBCE9D0473E22BD7E/View/FullText.html" TargetMode="External"/><Relationship Id="rId10" Type="http://schemas.openxmlformats.org/officeDocument/2006/relationships/hyperlink" Target="https://www-jstor-org.ezproxy.uwtsd.ac.uk/stable/1092007?seq=1#metadata_info_tab_contents" TargetMode="External"/><Relationship Id="rId19" Type="http://schemas.openxmlformats.org/officeDocument/2006/relationships/hyperlink" Target="https://www-jstor-org.ezproxy.uwtsd.ac.uk/stable/1090129?Search=yes&amp;resultItemClick=true&amp;searchText=secret+trusts&amp;searchUri=%2Faction%2F&amp;seq=1#metadata_info_tab_contents" TargetMode="External"/><Relationship Id="rId31" Type="http://schemas.openxmlformats.org/officeDocument/2006/relationships/hyperlink" Target="https://uk.westlaw.com/Document/I14B1EAC0E42811DA8FC2A0F0355337E9/View/FullText.html" TargetMode="External"/><Relationship Id="rId4" Type="http://schemas.openxmlformats.org/officeDocument/2006/relationships/webSettings" Target="webSettings.xml"/><Relationship Id="rId9" Type="http://schemas.openxmlformats.org/officeDocument/2006/relationships/hyperlink" Target="https://academic.oup.com/tandt/article-abstract/24/2/162/4780265?redirectedFrom=PDF" TargetMode="External"/><Relationship Id="rId14" Type="http://schemas.openxmlformats.org/officeDocument/2006/relationships/hyperlink" Target="https://www-jstor-org.ezproxy.uwtsd.ac.uk/stable/44649768?Search=yes&amp;resultItemClick=true&amp;searchText=difference+between+fully+secret+trust&amp;seq=1#metadata_info_tab_contents" TargetMode="External"/><Relationship Id="rId22" Type="http://schemas.openxmlformats.org/officeDocument/2006/relationships/hyperlink" Target="https://uk.westlaw.com/Document/I7040E6D0E42711DA8FC2A0F0355337E9/View/FullText.html" TargetMode="External"/><Relationship Id="rId27" Type="http://schemas.openxmlformats.org/officeDocument/2006/relationships/hyperlink" Target="https://uk.westlaw.com/Document/IB5AC8210E42711DA8FC2A0F0355337E9/View/FullText.html" TargetMode="External"/><Relationship Id="rId30" Type="http://schemas.openxmlformats.org/officeDocument/2006/relationships/hyperlink" Target="https://uk.westlaw.com/Document/I9BC90D10BA8A11DC8D6887EE04E6D194/View/FullText.html" TargetMode="External"/><Relationship Id="rId35" Type="http://schemas.openxmlformats.org/officeDocument/2006/relationships/hyperlink" Target="https://uk.westlaw.com/Document/IDEB416E0E42811DA8FC2A0F0355337E9/View/FullText.html" TargetMode="External"/><Relationship Id="rId8" Type="http://schemas.openxmlformats.org/officeDocument/2006/relationships/hyperlink" Target="https://www.cambridge.org/core/books/abs/students-guide-to-equity-and-trusts/classification-of-trusts-and-powers/358B26E34C0475CC852B6EE479ADF3E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2209</TotalTime>
  <Pages>22</Pages>
  <Words>4328</Words>
  <Characters>24674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sekou guilavogui</dc:creator>
  <cp:keywords/>
  <dc:description/>
  <cp:lastModifiedBy>sekou guilavogui</cp:lastModifiedBy>
  <cp:revision>174</cp:revision>
  <dcterms:created xsi:type="dcterms:W3CDTF">2021-11-21T13:00:00Z</dcterms:created>
  <dcterms:modified xsi:type="dcterms:W3CDTF">2022-01-07T10:56:00Z</dcterms:modified>
</cp:coreProperties>
</file>