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D405FA" w14:textId="77777777" w:rsidR="004C384D" w:rsidRPr="003F0347" w:rsidRDefault="004C384D" w:rsidP="00DC3F30">
      <w:pPr>
        <w:spacing w:line="480" w:lineRule="auto"/>
        <w:contextualSpacing/>
        <w:jc w:val="center"/>
        <w:rPr>
          <w:rFonts w:ascii="Arial" w:hAnsi="Arial" w:cs="Arial"/>
          <w:bCs/>
          <w:sz w:val="24"/>
          <w:szCs w:val="24"/>
          <w:shd w:val="clear" w:color="auto" w:fill="FFFFFF"/>
        </w:rPr>
      </w:pPr>
      <w:r w:rsidRPr="003F0347">
        <w:rPr>
          <w:rFonts w:ascii="Arial" w:hAnsi="Arial" w:cs="Arial"/>
          <w:bCs/>
          <w:sz w:val="24"/>
          <w:szCs w:val="24"/>
          <w:shd w:val="clear" w:color="auto" w:fill="FFFFFF"/>
        </w:rPr>
        <w:t>Reform of Homicide</w:t>
      </w:r>
    </w:p>
    <w:p w14:paraId="23F608EF" w14:textId="77777777" w:rsidR="004C384D" w:rsidRPr="003F0347" w:rsidRDefault="004C384D" w:rsidP="00DC3F30">
      <w:pPr>
        <w:spacing w:line="480" w:lineRule="auto"/>
        <w:contextualSpacing/>
        <w:jc w:val="center"/>
        <w:rPr>
          <w:rFonts w:ascii="Arial" w:hAnsi="Arial" w:cs="Arial"/>
          <w:b/>
          <w:sz w:val="24"/>
          <w:szCs w:val="24"/>
          <w:shd w:val="clear" w:color="auto" w:fill="FFFFFF"/>
        </w:rPr>
      </w:pPr>
    </w:p>
    <w:p w14:paraId="30C18CBF" w14:textId="77777777" w:rsidR="004C384D" w:rsidRPr="003F0347" w:rsidRDefault="004C384D" w:rsidP="00DC3F30">
      <w:pPr>
        <w:spacing w:line="480" w:lineRule="auto"/>
        <w:contextualSpacing/>
        <w:jc w:val="center"/>
        <w:rPr>
          <w:rFonts w:ascii="Arial" w:hAnsi="Arial" w:cs="Arial"/>
          <w:b/>
          <w:sz w:val="24"/>
          <w:szCs w:val="24"/>
          <w:shd w:val="clear" w:color="auto" w:fill="FFFFFF"/>
        </w:rPr>
      </w:pPr>
    </w:p>
    <w:p w14:paraId="0C413FA6" w14:textId="4A8C54EE" w:rsidR="004C384D" w:rsidRPr="003F0347" w:rsidRDefault="003F0347" w:rsidP="00DC3F30">
      <w:pPr>
        <w:spacing w:line="480" w:lineRule="auto"/>
        <w:contextualSpacing/>
        <w:jc w:val="center"/>
        <w:rPr>
          <w:rFonts w:ascii="Arial" w:hAnsi="Arial" w:cs="Arial"/>
          <w:b/>
          <w:sz w:val="24"/>
          <w:szCs w:val="24"/>
          <w:shd w:val="clear" w:color="auto" w:fill="FFFFFF"/>
        </w:rPr>
      </w:pPr>
      <w:r w:rsidRPr="003F0347">
        <w:rPr>
          <w:rFonts w:ascii="Arial" w:hAnsi="Arial" w:cs="Arial"/>
          <w:b/>
          <w:sz w:val="24"/>
          <w:szCs w:val="24"/>
          <w:shd w:val="clear" w:color="auto" w:fill="FFFFFF"/>
        </w:rPr>
        <w:t>Tasleem Kara</w:t>
      </w:r>
    </w:p>
    <w:p w14:paraId="5EFCFB56" w14:textId="7F6E0CCB" w:rsidR="004C384D" w:rsidRPr="003F0347" w:rsidRDefault="003F0347" w:rsidP="003F0347">
      <w:pPr>
        <w:spacing w:line="480" w:lineRule="auto"/>
        <w:contextualSpacing/>
        <w:rPr>
          <w:rFonts w:ascii="Arial" w:hAnsi="Arial" w:cs="Arial"/>
          <w:sz w:val="24"/>
          <w:szCs w:val="24"/>
          <w:shd w:val="clear" w:color="auto" w:fill="FFFFFF"/>
        </w:rPr>
      </w:pPr>
      <w:r w:rsidRPr="003F0347">
        <w:rPr>
          <w:rFonts w:ascii="Arial" w:hAnsi="Arial" w:cs="Arial"/>
          <w:sz w:val="24"/>
          <w:szCs w:val="24"/>
          <w:shd w:val="clear" w:color="auto" w:fill="FFFFFF"/>
        </w:rPr>
        <w:tab/>
      </w:r>
      <w:r w:rsidRPr="003F0347">
        <w:rPr>
          <w:rFonts w:ascii="Arial" w:hAnsi="Arial" w:cs="Arial"/>
          <w:sz w:val="24"/>
          <w:szCs w:val="24"/>
          <w:shd w:val="clear" w:color="auto" w:fill="FFFFFF"/>
        </w:rPr>
        <w:tab/>
      </w:r>
      <w:r w:rsidRPr="003F0347">
        <w:rPr>
          <w:rFonts w:ascii="Arial" w:hAnsi="Arial" w:cs="Arial"/>
          <w:sz w:val="24"/>
          <w:szCs w:val="24"/>
          <w:shd w:val="clear" w:color="auto" w:fill="FFFFFF"/>
        </w:rPr>
        <w:tab/>
      </w:r>
      <w:r w:rsidRPr="003F0347">
        <w:rPr>
          <w:rFonts w:ascii="Arial" w:hAnsi="Arial" w:cs="Arial"/>
          <w:sz w:val="24"/>
          <w:szCs w:val="24"/>
          <w:shd w:val="clear" w:color="auto" w:fill="FFFFFF"/>
        </w:rPr>
        <w:tab/>
      </w:r>
      <w:r w:rsidRPr="003F0347">
        <w:rPr>
          <w:rFonts w:ascii="Arial" w:hAnsi="Arial" w:cs="Arial"/>
          <w:sz w:val="24"/>
          <w:szCs w:val="24"/>
          <w:shd w:val="clear" w:color="auto" w:fill="FFFFFF"/>
        </w:rPr>
        <w:tab/>
        <w:t>Law and Legal Practice</w:t>
      </w:r>
    </w:p>
    <w:p w14:paraId="52C70A5F" w14:textId="584AE848" w:rsidR="003F0347" w:rsidRPr="003F0347" w:rsidRDefault="003F0347" w:rsidP="003F0347">
      <w:pPr>
        <w:spacing w:line="480" w:lineRule="auto"/>
        <w:contextualSpacing/>
        <w:jc w:val="center"/>
        <w:rPr>
          <w:rFonts w:ascii="Arial" w:hAnsi="Arial" w:cs="Arial"/>
          <w:sz w:val="24"/>
          <w:szCs w:val="24"/>
          <w:shd w:val="clear" w:color="auto" w:fill="FFFFFF"/>
        </w:rPr>
      </w:pPr>
      <w:r w:rsidRPr="003F0347">
        <w:rPr>
          <w:rFonts w:ascii="Arial" w:hAnsi="Arial" w:cs="Arial"/>
          <w:sz w:val="24"/>
          <w:szCs w:val="24"/>
          <w:shd w:val="clear" w:color="auto" w:fill="FFFFFF"/>
        </w:rPr>
        <w:t>Zita Draper</w:t>
      </w:r>
    </w:p>
    <w:p w14:paraId="64CF2EA5" w14:textId="77777777" w:rsidR="004C384D" w:rsidRPr="003F0347" w:rsidRDefault="004C384D" w:rsidP="00DC3F30">
      <w:pPr>
        <w:spacing w:line="480" w:lineRule="auto"/>
        <w:contextualSpacing/>
        <w:jc w:val="center"/>
        <w:rPr>
          <w:rFonts w:ascii="Arial" w:hAnsi="Arial" w:cs="Arial"/>
          <w:b/>
          <w:sz w:val="24"/>
          <w:szCs w:val="24"/>
          <w:shd w:val="clear" w:color="auto" w:fill="FFFFFF"/>
        </w:rPr>
      </w:pPr>
    </w:p>
    <w:p w14:paraId="7B3D4E6C" w14:textId="77777777" w:rsidR="004C384D" w:rsidRPr="003F0347" w:rsidRDefault="004C384D" w:rsidP="00DC3F30">
      <w:pPr>
        <w:spacing w:line="480" w:lineRule="auto"/>
        <w:contextualSpacing/>
        <w:rPr>
          <w:rFonts w:ascii="Arial" w:hAnsi="Arial" w:cs="Arial"/>
          <w:b/>
          <w:sz w:val="24"/>
          <w:szCs w:val="24"/>
          <w:shd w:val="clear" w:color="auto" w:fill="FFFFFF"/>
        </w:rPr>
      </w:pPr>
      <w:r w:rsidRPr="003F0347">
        <w:rPr>
          <w:rFonts w:ascii="Arial" w:hAnsi="Arial" w:cs="Arial"/>
          <w:b/>
          <w:sz w:val="24"/>
          <w:szCs w:val="24"/>
          <w:shd w:val="clear" w:color="auto" w:fill="FFFFFF"/>
        </w:rPr>
        <w:t xml:space="preserve">  </w:t>
      </w:r>
    </w:p>
    <w:p w14:paraId="79F6874F" w14:textId="77777777" w:rsidR="004C384D" w:rsidRPr="003F0347" w:rsidRDefault="004C384D" w:rsidP="00DC3F30">
      <w:pPr>
        <w:spacing w:line="480" w:lineRule="auto"/>
        <w:contextualSpacing/>
        <w:rPr>
          <w:rFonts w:ascii="Arial" w:hAnsi="Arial" w:cs="Arial"/>
          <w:b/>
          <w:sz w:val="24"/>
          <w:szCs w:val="24"/>
          <w:shd w:val="clear" w:color="auto" w:fill="FFFFFF"/>
        </w:rPr>
      </w:pPr>
      <w:r w:rsidRPr="003F0347">
        <w:rPr>
          <w:rFonts w:ascii="Arial" w:hAnsi="Arial" w:cs="Arial"/>
          <w:b/>
          <w:sz w:val="24"/>
          <w:szCs w:val="24"/>
          <w:shd w:val="clear" w:color="auto" w:fill="FFFFFF"/>
        </w:rPr>
        <w:br w:type="page"/>
      </w:r>
    </w:p>
    <w:p w14:paraId="01B1C821" w14:textId="77777777" w:rsidR="00C06300" w:rsidRPr="003F0347" w:rsidRDefault="004C384D" w:rsidP="003F0347">
      <w:pPr>
        <w:spacing w:line="480" w:lineRule="auto"/>
        <w:ind w:left="2880" w:firstLine="720"/>
        <w:contextualSpacing/>
        <w:rPr>
          <w:rFonts w:ascii="Arial" w:hAnsi="Arial" w:cs="Arial"/>
          <w:b/>
          <w:sz w:val="24"/>
          <w:szCs w:val="24"/>
          <w:shd w:val="clear" w:color="auto" w:fill="FFFFFF"/>
        </w:rPr>
      </w:pPr>
      <w:r w:rsidRPr="003F0347">
        <w:rPr>
          <w:rFonts w:ascii="Arial" w:hAnsi="Arial" w:cs="Arial"/>
          <w:b/>
          <w:sz w:val="24"/>
          <w:szCs w:val="24"/>
          <w:shd w:val="clear" w:color="auto" w:fill="FFFFFF"/>
        </w:rPr>
        <w:lastRenderedPageBreak/>
        <w:t>Reform of Homicide</w:t>
      </w:r>
    </w:p>
    <w:p w14:paraId="1C575928" w14:textId="5369B6F7" w:rsidR="00EB558D" w:rsidRDefault="00EB558D" w:rsidP="00DC3F30">
      <w:pPr>
        <w:spacing w:line="480" w:lineRule="auto"/>
        <w:contextualSpacing/>
        <w:rPr>
          <w:rFonts w:ascii="Arial" w:hAnsi="Arial" w:cs="Arial"/>
          <w:sz w:val="24"/>
          <w:szCs w:val="24"/>
          <w:shd w:val="clear" w:color="auto" w:fill="FFFFFF"/>
        </w:rPr>
      </w:pPr>
      <w:r w:rsidRPr="003F0347">
        <w:rPr>
          <w:rFonts w:ascii="Arial" w:hAnsi="Arial" w:cs="Arial"/>
          <w:sz w:val="24"/>
          <w:szCs w:val="24"/>
          <w:shd w:val="clear" w:color="auto" w:fill="FFFFFF"/>
        </w:rPr>
        <w:t>The England and Wales homicide law has long been scrutinized and debated, with critics arguing that it stands upon a rickety structure set upon shaky foundations. The current legal framework, rooted in laws unaltered since the seventeenth century, has been deemed in dire need of reform to address evolving societal expectations and advancements in legal principles and ensure a fair and just application of justice (Pike, 2018, p.27). Hence, this paper explores England and Wales's current homicide law and highlights key issues such as partial defences to murder, the intent requirement controversy, and the breadth of manslaughter. It also examines proposals to reform the law, exploring the government's acceptance or rejection of these proposals and assessing the justification behind such decisions. Lastly, it addresses the arguments against reform to present a balanced perspective.</w:t>
      </w:r>
    </w:p>
    <w:p w14:paraId="379C9401" w14:textId="77777777" w:rsidR="003F0347" w:rsidRPr="003F0347" w:rsidRDefault="003F0347" w:rsidP="00DC3F30">
      <w:pPr>
        <w:spacing w:line="480" w:lineRule="auto"/>
        <w:contextualSpacing/>
        <w:rPr>
          <w:rFonts w:ascii="Arial" w:hAnsi="Arial" w:cs="Arial"/>
          <w:sz w:val="24"/>
          <w:szCs w:val="24"/>
          <w:shd w:val="clear" w:color="auto" w:fill="FFFFFF"/>
        </w:rPr>
      </w:pPr>
    </w:p>
    <w:p w14:paraId="5E040BBA" w14:textId="77777777" w:rsidR="00BD2E92" w:rsidRPr="003F0347" w:rsidRDefault="00273650" w:rsidP="00DC3F30">
      <w:pPr>
        <w:spacing w:line="480" w:lineRule="auto"/>
        <w:contextualSpacing/>
        <w:rPr>
          <w:rFonts w:ascii="Arial" w:hAnsi="Arial" w:cs="Arial"/>
          <w:b/>
          <w:sz w:val="24"/>
          <w:szCs w:val="24"/>
          <w:shd w:val="clear" w:color="auto" w:fill="FFFFFF"/>
        </w:rPr>
      </w:pPr>
      <w:r w:rsidRPr="003F0347">
        <w:rPr>
          <w:rFonts w:ascii="Arial" w:hAnsi="Arial" w:cs="Arial"/>
          <w:b/>
          <w:sz w:val="24"/>
          <w:szCs w:val="24"/>
          <w:shd w:val="clear" w:color="auto" w:fill="FFFFFF"/>
        </w:rPr>
        <w:t>Current Law Governin</w:t>
      </w:r>
      <w:r w:rsidR="00BD2E92" w:rsidRPr="003F0347">
        <w:rPr>
          <w:rFonts w:ascii="Arial" w:hAnsi="Arial" w:cs="Arial"/>
          <w:b/>
          <w:sz w:val="24"/>
          <w:szCs w:val="24"/>
          <w:shd w:val="clear" w:color="auto" w:fill="FFFFFF"/>
        </w:rPr>
        <w:t>g Homicide in England and Wales</w:t>
      </w:r>
    </w:p>
    <w:p w14:paraId="5C42D841" w14:textId="0CE6B4EC" w:rsidR="009752A9" w:rsidRPr="003F0347" w:rsidRDefault="009752A9" w:rsidP="00DC3F30">
      <w:pPr>
        <w:spacing w:line="480" w:lineRule="auto"/>
        <w:contextualSpacing/>
        <w:rPr>
          <w:rFonts w:ascii="Arial" w:hAnsi="Arial" w:cs="Arial"/>
          <w:sz w:val="24"/>
          <w:szCs w:val="24"/>
          <w:shd w:val="clear" w:color="auto" w:fill="FFFFFF"/>
        </w:rPr>
      </w:pPr>
      <w:r w:rsidRPr="003F0347">
        <w:rPr>
          <w:rFonts w:ascii="Arial" w:hAnsi="Arial" w:cs="Arial"/>
          <w:sz w:val="24"/>
          <w:szCs w:val="24"/>
          <w:shd w:val="clear" w:color="auto" w:fill="FFFFFF"/>
        </w:rPr>
        <w:t xml:space="preserve">The England and Wales current homicide law defines and distinguishes two main offences: murder and manslaughter. Murder entails the unlawful killing of an individual with the intention to kill or cause grievous bodily harm (GBH). This murder offence leads to a mandatory life sentence. However, the court has the discretion to set a minimum term based on the case's specific circumstances (Soothill and Francis, 2011, p. 287). Manslaughter, on the other hand, entails unlawful killing that does not meet murder criteria. It is categorised into two: voluntary manslaughter and involuntary manslaughter. Voluntary manslaughter arises when an individual commits an act of murder but presents mitigating factors that lessen the severity of the charge from murder to </w:t>
      </w:r>
      <w:r w:rsidRPr="003F0347">
        <w:rPr>
          <w:rFonts w:ascii="Arial" w:hAnsi="Arial" w:cs="Arial"/>
          <w:sz w:val="24"/>
          <w:szCs w:val="24"/>
          <w:shd w:val="clear" w:color="auto" w:fill="FFFFFF"/>
        </w:rPr>
        <w:lastRenderedPageBreak/>
        <w:t xml:space="preserve">manslaughter. The three recognised partial defences for voluntary manslaughter are provocation, diminished responsibility, and killing after </w:t>
      </w:r>
      <w:proofErr w:type="gramStart"/>
      <w:r w:rsidRPr="003F0347">
        <w:rPr>
          <w:rFonts w:ascii="Arial" w:hAnsi="Arial" w:cs="Arial"/>
          <w:sz w:val="24"/>
          <w:szCs w:val="24"/>
          <w:shd w:val="clear" w:color="auto" w:fill="FFFFFF"/>
        </w:rPr>
        <w:t>entering into</w:t>
      </w:r>
      <w:proofErr w:type="gramEnd"/>
      <w:r w:rsidRPr="003F0347">
        <w:rPr>
          <w:rFonts w:ascii="Arial" w:hAnsi="Arial" w:cs="Arial"/>
          <w:sz w:val="24"/>
          <w:szCs w:val="24"/>
          <w:shd w:val="clear" w:color="auto" w:fill="FFFFFF"/>
        </w:rPr>
        <w:t xml:space="preserve"> a suicide pact (Soothill and Francis, 2011, pp. 287-300). Provocation involves the accused being provoked to suddenly and temporarily lose self-control, with the provocation being such that a reasonable person might have acted similarly. Diminished responsibility applies in situations where the accused person experienced a mental abnormality that significantly impaired their cognitive responsibility for the killing. Killing after </w:t>
      </w:r>
      <w:proofErr w:type="gramStart"/>
      <w:r w:rsidRPr="003F0347">
        <w:rPr>
          <w:rFonts w:ascii="Arial" w:hAnsi="Arial" w:cs="Arial"/>
          <w:sz w:val="24"/>
          <w:szCs w:val="24"/>
          <w:shd w:val="clear" w:color="auto" w:fill="FFFFFF"/>
        </w:rPr>
        <w:t>entering into</w:t>
      </w:r>
      <w:proofErr w:type="gramEnd"/>
      <w:r w:rsidRPr="003F0347">
        <w:rPr>
          <w:rFonts w:ascii="Arial" w:hAnsi="Arial" w:cs="Arial"/>
          <w:sz w:val="24"/>
          <w:szCs w:val="24"/>
          <w:shd w:val="clear" w:color="auto" w:fill="FFFFFF"/>
        </w:rPr>
        <w:t xml:space="preserve"> a suicide pact is a unique defence that reduces a murder charge to manslaughter. That happens if the defendant can prove their genuine intention to commit suicide at the time of entering the pact. Moreover, involuntary manslaughter arises when there is no intention to cause serious harm or kill. However, the defendant's unlawful act or gross negligence leads to someone's death in such cases.</w:t>
      </w:r>
    </w:p>
    <w:p w14:paraId="0B6F0EDB" w14:textId="24F0783C" w:rsidR="0072070E" w:rsidRDefault="0072070E" w:rsidP="00DC3F30">
      <w:pPr>
        <w:spacing w:line="480" w:lineRule="auto"/>
        <w:contextualSpacing/>
        <w:rPr>
          <w:rFonts w:ascii="Arial" w:hAnsi="Arial" w:cs="Arial"/>
          <w:sz w:val="24"/>
          <w:szCs w:val="24"/>
          <w:shd w:val="clear" w:color="auto" w:fill="FFFFFF"/>
        </w:rPr>
      </w:pPr>
      <w:r w:rsidRPr="003F0347">
        <w:rPr>
          <w:rFonts w:ascii="Arial" w:hAnsi="Arial" w:cs="Arial"/>
          <w:sz w:val="24"/>
          <w:szCs w:val="24"/>
          <w:shd w:val="clear" w:color="auto" w:fill="FFFFFF"/>
        </w:rPr>
        <w:t>Nonetheless, the current legal framework has flaws. Some rules have remained unchanged since the seventeenth century. Thus, they have failed to adapt to societal and technological developments. Walklate et al. (2018, p.119) say that the law lacks clarity in crucial areas, resulting in inconsistent application and potential injustices. These shortcomings have prompted calls for reform to ensure that the law governing homicide is fair, proportionate, and fit for purpose in the modern era.</w:t>
      </w:r>
    </w:p>
    <w:p w14:paraId="62E2CB61" w14:textId="77777777" w:rsidR="003F0347" w:rsidRPr="003F0347" w:rsidRDefault="003F0347" w:rsidP="00DC3F30">
      <w:pPr>
        <w:spacing w:line="480" w:lineRule="auto"/>
        <w:contextualSpacing/>
        <w:rPr>
          <w:rFonts w:ascii="Arial" w:hAnsi="Arial" w:cs="Arial"/>
          <w:sz w:val="24"/>
          <w:szCs w:val="24"/>
          <w:shd w:val="clear" w:color="auto" w:fill="FFFFFF"/>
        </w:rPr>
      </w:pPr>
    </w:p>
    <w:p w14:paraId="3E99A7D9" w14:textId="77777777" w:rsidR="00273650" w:rsidRPr="003F0347" w:rsidRDefault="00273650" w:rsidP="00DC3F30">
      <w:pPr>
        <w:spacing w:line="480" w:lineRule="auto"/>
        <w:contextualSpacing/>
        <w:rPr>
          <w:rFonts w:ascii="Arial" w:hAnsi="Arial" w:cs="Arial"/>
          <w:b/>
          <w:sz w:val="24"/>
          <w:szCs w:val="24"/>
          <w:shd w:val="clear" w:color="auto" w:fill="FFFFFF"/>
        </w:rPr>
      </w:pPr>
      <w:r w:rsidRPr="003F0347">
        <w:rPr>
          <w:rFonts w:ascii="Arial" w:hAnsi="Arial" w:cs="Arial"/>
          <w:b/>
          <w:sz w:val="24"/>
          <w:szCs w:val="24"/>
          <w:shd w:val="clear" w:color="auto" w:fill="FFFFFF"/>
        </w:rPr>
        <w:t>Key Issues: Partial Defences, Intent, and Manslaughter</w:t>
      </w:r>
    </w:p>
    <w:p w14:paraId="27C903D4" w14:textId="77777777" w:rsidR="00273650" w:rsidRPr="003F0347" w:rsidRDefault="00273650" w:rsidP="00DC3F30">
      <w:pPr>
        <w:spacing w:line="480" w:lineRule="auto"/>
        <w:contextualSpacing/>
        <w:rPr>
          <w:rFonts w:ascii="Arial" w:hAnsi="Arial" w:cs="Arial"/>
          <w:b/>
          <w:i/>
          <w:sz w:val="24"/>
          <w:szCs w:val="24"/>
          <w:shd w:val="clear" w:color="auto" w:fill="FFFFFF"/>
        </w:rPr>
      </w:pPr>
      <w:r w:rsidRPr="003F0347">
        <w:rPr>
          <w:rFonts w:ascii="Arial" w:hAnsi="Arial" w:cs="Arial"/>
          <w:b/>
          <w:i/>
          <w:sz w:val="24"/>
          <w:szCs w:val="24"/>
          <w:shd w:val="clear" w:color="auto" w:fill="FFFFFF"/>
        </w:rPr>
        <w:t>Partial Defences to Murder</w:t>
      </w:r>
    </w:p>
    <w:p w14:paraId="65A4A73E" w14:textId="6F952E81" w:rsidR="00E70293" w:rsidRDefault="00E70293" w:rsidP="00DC3F30">
      <w:pPr>
        <w:spacing w:line="480" w:lineRule="auto"/>
        <w:contextualSpacing/>
        <w:rPr>
          <w:rFonts w:ascii="Arial" w:hAnsi="Arial" w:cs="Arial"/>
          <w:sz w:val="24"/>
          <w:szCs w:val="24"/>
          <w:shd w:val="clear" w:color="auto" w:fill="FFFFFF"/>
        </w:rPr>
      </w:pPr>
      <w:r w:rsidRPr="003F0347">
        <w:rPr>
          <w:rFonts w:ascii="Arial" w:hAnsi="Arial" w:cs="Arial"/>
          <w:sz w:val="24"/>
          <w:szCs w:val="24"/>
          <w:shd w:val="clear" w:color="auto" w:fill="FFFFFF"/>
        </w:rPr>
        <w:t xml:space="preserve">One of England and Wales's current homicide law key issues is the complex and inconsistent application of partial defences to murder. These defences (provocation, </w:t>
      </w:r>
      <w:r w:rsidRPr="003F0347">
        <w:rPr>
          <w:rFonts w:ascii="Arial" w:hAnsi="Arial" w:cs="Arial"/>
          <w:sz w:val="24"/>
          <w:szCs w:val="24"/>
          <w:shd w:val="clear" w:color="auto" w:fill="FFFFFF"/>
        </w:rPr>
        <w:lastRenderedPageBreak/>
        <w:t xml:space="preserve">diminished responsibility, and </w:t>
      </w:r>
      <w:r w:rsidR="003F0347">
        <w:rPr>
          <w:rFonts w:ascii="Arial" w:hAnsi="Arial" w:cs="Arial"/>
          <w:sz w:val="24"/>
          <w:szCs w:val="24"/>
          <w:shd w:val="clear" w:color="auto" w:fill="FFFFFF"/>
        </w:rPr>
        <w:t>killed</w:t>
      </w:r>
      <w:r w:rsidRPr="003F0347">
        <w:rPr>
          <w:rFonts w:ascii="Arial" w:hAnsi="Arial" w:cs="Arial"/>
          <w:sz w:val="24"/>
          <w:szCs w:val="24"/>
          <w:shd w:val="clear" w:color="auto" w:fill="FFFFFF"/>
        </w:rPr>
        <w:t xml:space="preserve"> after </w:t>
      </w:r>
      <w:proofErr w:type="gramStart"/>
      <w:r w:rsidRPr="003F0347">
        <w:rPr>
          <w:rFonts w:ascii="Arial" w:hAnsi="Arial" w:cs="Arial"/>
          <w:sz w:val="24"/>
          <w:szCs w:val="24"/>
          <w:shd w:val="clear" w:color="auto" w:fill="FFFFFF"/>
        </w:rPr>
        <w:t>entering into</w:t>
      </w:r>
      <w:proofErr w:type="gramEnd"/>
      <w:r w:rsidRPr="003F0347">
        <w:rPr>
          <w:rFonts w:ascii="Arial" w:hAnsi="Arial" w:cs="Arial"/>
          <w:sz w:val="24"/>
          <w:szCs w:val="24"/>
          <w:shd w:val="clear" w:color="auto" w:fill="FFFFFF"/>
        </w:rPr>
        <w:t xml:space="preserve"> a suicide pact) aim to mitigate murder charges by recognizing specific circumstances that may have influenced the accused's actions (Quick and Wells, 2012, p.338). However, critics argue that the current framework lacks clarity in determining the threshold </w:t>
      </w:r>
      <w:r w:rsidR="00510A4A" w:rsidRPr="003F0347">
        <w:rPr>
          <w:rFonts w:ascii="Arial" w:hAnsi="Arial" w:cs="Arial"/>
          <w:sz w:val="24"/>
          <w:szCs w:val="24"/>
          <w:shd w:val="clear" w:color="auto" w:fill="FFFFFF"/>
        </w:rPr>
        <w:t>for these defences. Hence</w:t>
      </w:r>
      <w:r w:rsidRPr="003F0347">
        <w:rPr>
          <w:rFonts w:ascii="Arial" w:hAnsi="Arial" w:cs="Arial"/>
          <w:sz w:val="24"/>
          <w:szCs w:val="24"/>
          <w:shd w:val="clear" w:color="auto" w:fill="FFFFFF"/>
        </w:rPr>
        <w:t>, this leads to unpredictable outcomes and potential injustices. Provocation</w:t>
      </w:r>
      <w:r w:rsidR="00AD6B44" w:rsidRPr="003F0347">
        <w:rPr>
          <w:rFonts w:ascii="Arial" w:hAnsi="Arial" w:cs="Arial"/>
          <w:sz w:val="24"/>
          <w:szCs w:val="24"/>
          <w:shd w:val="clear" w:color="auto" w:fill="FFFFFF"/>
        </w:rPr>
        <w:t xml:space="preserve"> relies on the idea of</w:t>
      </w:r>
      <w:r w:rsidRPr="003F0347">
        <w:rPr>
          <w:rFonts w:ascii="Arial" w:hAnsi="Arial" w:cs="Arial"/>
          <w:sz w:val="24"/>
          <w:szCs w:val="24"/>
          <w:shd w:val="clear" w:color="auto" w:fill="FFFFFF"/>
        </w:rPr>
        <w:t xml:space="preserve"> the accused </w:t>
      </w:r>
      <w:r w:rsidR="00B310DC" w:rsidRPr="003F0347">
        <w:rPr>
          <w:rFonts w:ascii="Arial" w:hAnsi="Arial" w:cs="Arial"/>
          <w:sz w:val="24"/>
          <w:szCs w:val="24"/>
          <w:shd w:val="clear" w:color="auto" w:fill="FFFFFF"/>
        </w:rPr>
        <w:t xml:space="preserve">person </w:t>
      </w:r>
      <w:r w:rsidRPr="003F0347">
        <w:rPr>
          <w:rFonts w:ascii="Arial" w:hAnsi="Arial" w:cs="Arial"/>
          <w:sz w:val="24"/>
          <w:szCs w:val="24"/>
          <w:shd w:val="clear" w:color="auto" w:fill="FFFFFF"/>
        </w:rPr>
        <w:t xml:space="preserve">being provoked to suddenly and temporarily lose self-control. The current law requires the provocation to be such that a reasonable person might have acted similarly. However, determining what constitutes sufficient provocation and the reasonableness of the accused individual's response can be subjective and depend on individual circumstances. The current approach has resulted in inconsistent outcomes and raised questions about the system's fairness. Similarly, the application of the partial defence of diminished responsibility raises concerns. This defence applies when the defendant can provide evidence of a mental abnormality that greatly impaired their mental capacity and responsibility for the killing (Jones, 2013, p.2). However, interpreting and assessing what qualifies as an abnormality of mind can be complex and subject to differing opinions. Critics argue that the lack of clarity in defining and assessing this defence can lead to inconsistent outcomes and undermine the principle of justice. Besides, the partial defence of killing after </w:t>
      </w:r>
      <w:r w:rsidR="003F0347" w:rsidRPr="003F0347">
        <w:rPr>
          <w:rFonts w:ascii="Arial" w:hAnsi="Arial" w:cs="Arial"/>
          <w:sz w:val="24"/>
          <w:szCs w:val="24"/>
          <w:shd w:val="clear" w:color="auto" w:fill="FFFFFF"/>
        </w:rPr>
        <w:t>entering</w:t>
      </w:r>
      <w:r w:rsidRPr="003F0347">
        <w:rPr>
          <w:rFonts w:ascii="Arial" w:hAnsi="Arial" w:cs="Arial"/>
          <w:sz w:val="24"/>
          <w:szCs w:val="24"/>
          <w:shd w:val="clear" w:color="auto" w:fill="FFFFFF"/>
        </w:rPr>
        <w:t xml:space="preserve"> a suicide pact is unique and raises challenges. This defence applies when the defendant can prove their genuine intention to commit suicide at the time of entering the pact. However, establishing the genuineness of the intention can be difficult, and the legal criteria for assessing such cases remain under scrutiny (</w:t>
      </w:r>
      <w:proofErr w:type="gramStart"/>
      <w:r w:rsidRPr="003F0347">
        <w:rPr>
          <w:rFonts w:ascii="Arial" w:hAnsi="Arial" w:cs="Arial"/>
          <w:sz w:val="24"/>
          <w:szCs w:val="24"/>
          <w:shd w:val="clear" w:color="auto" w:fill="FFFFFF"/>
        </w:rPr>
        <w:t>Fitz-Gibbon</w:t>
      </w:r>
      <w:proofErr w:type="gramEnd"/>
      <w:r w:rsidRPr="003F0347">
        <w:rPr>
          <w:rFonts w:ascii="Arial" w:hAnsi="Arial" w:cs="Arial"/>
          <w:sz w:val="24"/>
          <w:szCs w:val="24"/>
          <w:shd w:val="clear" w:color="auto" w:fill="FFFFFF"/>
        </w:rPr>
        <w:t xml:space="preserve">, 2017, pp.769-815). The </w:t>
      </w:r>
      <w:r w:rsidRPr="003F0347">
        <w:rPr>
          <w:rFonts w:ascii="Arial" w:hAnsi="Arial" w:cs="Arial"/>
          <w:sz w:val="24"/>
          <w:szCs w:val="24"/>
          <w:shd w:val="clear" w:color="auto" w:fill="FFFFFF"/>
        </w:rPr>
        <w:lastRenderedPageBreak/>
        <w:t>subjective nature of this defence can lead to inconsistencies and potential injustices in its application.</w:t>
      </w:r>
    </w:p>
    <w:p w14:paraId="51475695" w14:textId="77777777" w:rsidR="003F0347" w:rsidRPr="003F0347" w:rsidRDefault="003F0347" w:rsidP="00DC3F30">
      <w:pPr>
        <w:spacing w:line="480" w:lineRule="auto"/>
        <w:contextualSpacing/>
        <w:rPr>
          <w:rFonts w:ascii="Arial" w:hAnsi="Arial" w:cs="Arial"/>
          <w:iCs/>
          <w:sz w:val="24"/>
          <w:szCs w:val="24"/>
          <w:shd w:val="clear" w:color="auto" w:fill="FFFFFF"/>
        </w:rPr>
      </w:pPr>
    </w:p>
    <w:p w14:paraId="78B0DD72" w14:textId="77777777" w:rsidR="00FF090D" w:rsidRPr="003F0347" w:rsidRDefault="00E74213" w:rsidP="00DC3F30">
      <w:pPr>
        <w:spacing w:line="480" w:lineRule="auto"/>
        <w:contextualSpacing/>
        <w:rPr>
          <w:rFonts w:ascii="Arial" w:hAnsi="Arial" w:cs="Arial"/>
          <w:b/>
          <w:iCs/>
          <w:sz w:val="24"/>
          <w:szCs w:val="24"/>
        </w:rPr>
      </w:pPr>
      <w:r w:rsidRPr="003F0347">
        <w:rPr>
          <w:rFonts w:ascii="Arial" w:hAnsi="Arial" w:cs="Arial"/>
          <w:b/>
          <w:iCs/>
          <w:sz w:val="24"/>
          <w:szCs w:val="24"/>
        </w:rPr>
        <w:t>Controversy Surrounding Intent</w:t>
      </w:r>
    </w:p>
    <w:p w14:paraId="342C5C25" w14:textId="38D179FB" w:rsidR="005A669A" w:rsidRDefault="005A669A" w:rsidP="00DC3F30">
      <w:pPr>
        <w:spacing w:line="480" w:lineRule="auto"/>
        <w:contextualSpacing/>
        <w:rPr>
          <w:rFonts w:ascii="Arial" w:hAnsi="Arial" w:cs="Arial"/>
          <w:sz w:val="24"/>
          <w:szCs w:val="24"/>
        </w:rPr>
      </w:pPr>
      <w:r w:rsidRPr="003F0347">
        <w:rPr>
          <w:rFonts w:ascii="Arial" w:hAnsi="Arial" w:cs="Arial"/>
          <w:sz w:val="24"/>
          <w:szCs w:val="24"/>
        </w:rPr>
        <w:t xml:space="preserve">Murder involves the unlawful killing of an individual with the intention to kill or cause GBH based on the current legal framework. However, critics argue that this limited interpretation of intent does not encompass certain scenarios in which the accused's actions, although lacking the specific intentions to cause harm, still lead to the loss of life. According to Gibson and Reed (2018, (p.46), one of the main concerns is that the current intent requirement may lead to unjust outcomes in cases where an individual did not have the explicit intent to cause serious harm or kill but engaged in actions that foreseeably resulted in someone's death. These situations may involve cases of extreme recklessness or indifference to human life, where the accused person's conduct falls short of intentional killing but is considered morally and socially reprehensible. </w:t>
      </w:r>
    </w:p>
    <w:p w14:paraId="026FC427" w14:textId="77777777" w:rsidR="003F0347" w:rsidRPr="003F0347" w:rsidRDefault="003F0347" w:rsidP="00DC3F30">
      <w:pPr>
        <w:spacing w:line="480" w:lineRule="auto"/>
        <w:contextualSpacing/>
        <w:rPr>
          <w:rFonts w:ascii="Arial" w:hAnsi="Arial" w:cs="Arial"/>
          <w:sz w:val="24"/>
          <w:szCs w:val="24"/>
        </w:rPr>
      </w:pPr>
    </w:p>
    <w:p w14:paraId="24D7C97D" w14:textId="77777777" w:rsidR="000B7607" w:rsidRPr="003F0347" w:rsidRDefault="00B337F7" w:rsidP="00DC3F30">
      <w:pPr>
        <w:spacing w:line="480" w:lineRule="auto"/>
        <w:contextualSpacing/>
        <w:rPr>
          <w:rFonts w:ascii="Arial" w:hAnsi="Arial" w:cs="Arial"/>
          <w:b/>
          <w:iCs/>
          <w:sz w:val="24"/>
          <w:szCs w:val="24"/>
        </w:rPr>
      </w:pPr>
      <w:r w:rsidRPr="003F0347">
        <w:rPr>
          <w:rFonts w:ascii="Arial" w:hAnsi="Arial" w:cs="Arial"/>
          <w:b/>
          <w:iCs/>
          <w:sz w:val="24"/>
          <w:szCs w:val="24"/>
        </w:rPr>
        <w:t>Breadth of Manslaughter</w:t>
      </w:r>
    </w:p>
    <w:p w14:paraId="05599648" w14:textId="14C4AD5D" w:rsidR="00F21057" w:rsidRDefault="00F21057" w:rsidP="00DC3F30">
      <w:pPr>
        <w:spacing w:line="480" w:lineRule="auto"/>
        <w:contextualSpacing/>
        <w:rPr>
          <w:rFonts w:ascii="Arial" w:hAnsi="Arial" w:cs="Arial"/>
          <w:sz w:val="24"/>
          <w:szCs w:val="24"/>
        </w:rPr>
      </w:pPr>
      <w:r w:rsidRPr="003F0347">
        <w:rPr>
          <w:rFonts w:ascii="Arial" w:hAnsi="Arial" w:cs="Arial"/>
          <w:sz w:val="24"/>
          <w:szCs w:val="24"/>
        </w:rPr>
        <w:t xml:space="preserve">The manslaughter offence encompasses many scenarios that may result in inconsistent and disproportionate sentencing. The lack of clarity and guidance surrounding the distinction between voluntary and involuntary manslaughter has contributed to this issue. The current law's breadth often leads to situations where offenders are charged with manslaughter rather than murder. Hence, this results in perceived leniency in sentencing. According to Todd et al. (2019, p.69), critics say that manslaughter law </w:t>
      </w:r>
      <w:r w:rsidRPr="003F0347">
        <w:rPr>
          <w:rFonts w:ascii="Arial" w:hAnsi="Arial" w:cs="Arial"/>
          <w:sz w:val="24"/>
          <w:szCs w:val="24"/>
        </w:rPr>
        <w:lastRenderedPageBreak/>
        <w:t xml:space="preserve">broadness creates challenges in providing clear and consistent guidelines for judges and juries to determine the appropriate level of criminal liability. The offence's broad scope and lack of specificity can result in varied interpretations and outcomes. Consequently, this may lead to injustices and perceived inconsistencies in sentencing. Reviewing the law's breadth helps establish clearer guidelines and more proportionate sentencing frameworks. </w:t>
      </w:r>
      <w:r w:rsidR="00C64C3C" w:rsidRPr="003F0347">
        <w:rPr>
          <w:rFonts w:ascii="Arial" w:hAnsi="Arial" w:cs="Arial"/>
          <w:sz w:val="24"/>
          <w:szCs w:val="24"/>
        </w:rPr>
        <w:t>That</w:t>
      </w:r>
      <w:r w:rsidRPr="003F0347">
        <w:rPr>
          <w:rFonts w:ascii="Arial" w:hAnsi="Arial" w:cs="Arial"/>
          <w:sz w:val="24"/>
          <w:szCs w:val="24"/>
        </w:rPr>
        <w:t xml:space="preserve"> ensures the gravity of the offence is reflected in the outcomes.</w:t>
      </w:r>
    </w:p>
    <w:p w14:paraId="731F0866" w14:textId="77777777" w:rsidR="003F0347" w:rsidRPr="003F0347" w:rsidRDefault="003F0347" w:rsidP="00DC3F30">
      <w:pPr>
        <w:spacing w:line="480" w:lineRule="auto"/>
        <w:contextualSpacing/>
        <w:rPr>
          <w:rFonts w:ascii="Arial" w:hAnsi="Arial" w:cs="Arial"/>
          <w:sz w:val="24"/>
          <w:szCs w:val="24"/>
        </w:rPr>
      </w:pPr>
    </w:p>
    <w:p w14:paraId="58E701C6" w14:textId="77777777" w:rsidR="00273F37" w:rsidRPr="003F0347" w:rsidRDefault="00273F37" w:rsidP="00DC3F30">
      <w:pPr>
        <w:spacing w:line="480" w:lineRule="auto"/>
        <w:contextualSpacing/>
        <w:rPr>
          <w:rFonts w:ascii="Arial" w:hAnsi="Arial" w:cs="Arial"/>
          <w:b/>
          <w:sz w:val="24"/>
          <w:szCs w:val="24"/>
        </w:rPr>
      </w:pPr>
      <w:r w:rsidRPr="003F0347">
        <w:rPr>
          <w:rFonts w:ascii="Arial" w:hAnsi="Arial" w:cs="Arial"/>
          <w:b/>
          <w:sz w:val="24"/>
          <w:szCs w:val="24"/>
        </w:rPr>
        <w:t>Proposals for Reform</w:t>
      </w:r>
    </w:p>
    <w:p w14:paraId="313BFCEB" w14:textId="08923143" w:rsidR="00EC5371" w:rsidRPr="003F0347" w:rsidRDefault="00EC5371" w:rsidP="00DC3F30">
      <w:pPr>
        <w:spacing w:line="480" w:lineRule="auto"/>
        <w:contextualSpacing/>
        <w:rPr>
          <w:rFonts w:ascii="Arial" w:hAnsi="Arial" w:cs="Arial"/>
          <w:sz w:val="24"/>
          <w:szCs w:val="24"/>
        </w:rPr>
      </w:pPr>
      <w:r w:rsidRPr="003F0347">
        <w:rPr>
          <w:rFonts w:ascii="Arial" w:hAnsi="Arial" w:cs="Arial"/>
          <w:sz w:val="24"/>
          <w:szCs w:val="24"/>
        </w:rPr>
        <w:t>The Law Commis</w:t>
      </w:r>
      <w:r w:rsidR="00FF1043" w:rsidRPr="003F0347">
        <w:rPr>
          <w:rFonts w:ascii="Arial" w:hAnsi="Arial" w:cs="Arial"/>
          <w:sz w:val="24"/>
          <w:szCs w:val="24"/>
        </w:rPr>
        <w:t xml:space="preserve">sion's 2006 report made several </w:t>
      </w:r>
      <w:r w:rsidRPr="003F0347">
        <w:rPr>
          <w:rFonts w:ascii="Arial" w:hAnsi="Arial" w:cs="Arial"/>
          <w:sz w:val="24"/>
          <w:szCs w:val="24"/>
        </w:rPr>
        <w:t>homicide</w:t>
      </w:r>
      <w:r w:rsidR="00AA4246" w:rsidRPr="003F0347">
        <w:rPr>
          <w:rFonts w:ascii="Arial" w:hAnsi="Arial" w:cs="Arial"/>
          <w:sz w:val="24"/>
          <w:szCs w:val="24"/>
        </w:rPr>
        <w:t xml:space="preserve"> law</w:t>
      </w:r>
      <w:r w:rsidR="00FF1043" w:rsidRPr="003F0347">
        <w:rPr>
          <w:rFonts w:ascii="Arial" w:hAnsi="Arial" w:cs="Arial"/>
          <w:sz w:val="24"/>
          <w:szCs w:val="24"/>
        </w:rPr>
        <w:t xml:space="preserve"> reform recommendations</w:t>
      </w:r>
      <w:r w:rsidRPr="003F0347">
        <w:rPr>
          <w:rFonts w:ascii="Arial" w:hAnsi="Arial" w:cs="Arial"/>
          <w:sz w:val="24"/>
          <w:szCs w:val="24"/>
        </w:rPr>
        <w:t>.</w:t>
      </w:r>
      <w:r w:rsidR="006E7AA3" w:rsidRPr="003F0347">
        <w:rPr>
          <w:rFonts w:ascii="Arial" w:hAnsi="Arial" w:cs="Arial"/>
          <w:sz w:val="24"/>
          <w:szCs w:val="24"/>
        </w:rPr>
        <w:t xml:space="preserve"> One of the key proposals includes introducing</w:t>
      </w:r>
      <w:r w:rsidRPr="003F0347">
        <w:rPr>
          <w:rFonts w:ascii="Arial" w:hAnsi="Arial" w:cs="Arial"/>
          <w:sz w:val="24"/>
          <w:szCs w:val="24"/>
        </w:rPr>
        <w:t xml:space="preserve"> a three-tier system for general homicide offences.</w:t>
      </w:r>
      <w:r w:rsidR="005C1960" w:rsidRPr="003F0347">
        <w:rPr>
          <w:rFonts w:ascii="Arial" w:hAnsi="Arial" w:cs="Arial"/>
          <w:sz w:val="24"/>
          <w:szCs w:val="24"/>
        </w:rPr>
        <w:t xml:space="preserve"> </w:t>
      </w:r>
      <w:r w:rsidR="00E62965" w:rsidRPr="003F0347">
        <w:rPr>
          <w:rFonts w:ascii="Arial" w:hAnsi="Arial" w:cs="Arial"/>
          <w:sz w:val="24"/>
          <w:szCs w:val="24"/>
        </w:rPr>
        <w:t>Under this system, f</w:t>
      </w:r>
      <w:r w:rsidR="00FF2B34" w:rsidRPr="003F0347">
        <w:rPr>
          <w:rFonts w:ascii="Arial" w:hAnsi="Arial" w:cs="Arial"/>
          <w:sz w:val="24"/>
          <w:szCs w:val="24"/>
        </w:rPr>
        <w:t>irst-degree</w:t>
      </w:r>
      <w:r w:rsidRPr="003F0347">
        <w:rPr>
          <w:rFonts w:ascii="Arial" w:hAnsi="Arial" w:cs="Arial"/>
          <w:sz w:val="24"/>
          <w:szCs w:val="24"/>
        </w:rPr>
        <w:t xml:space="preserve"> murder would encompass intentional killings and killings with the intent to cause serious injury, coupled with an awareness of a serious risk of causing death. These offenders would face a mandatory life sentence. Besides, second-degree murder would comprise murder cases that do not meet the first-degree murder criteria. The sentencing for such murde</w:t>
      </w:r>
      <w:r w:rsidR="00E97F98" w:rsidRPr="003F0347">
        <w:rPr>
          <w:rFonts w:ascii="Arial" w:hAnsi="Arial" w:cs="Arial"/>
          <w:sz w:val="24"/>
          <w:szCs w:val="24"/>
        </w:rPr>
        <w:t xml:space="preserve">r cases would be discretionary. It will allow </w:t>
      </w:r>
      <w:r w:rsidRPr="003F0347">
        <w:rPr>
          <w:rFonts w:ascii="Arial" w:hAnsi="Arial" w:cs="Arial"/>
          <w:sz w:val="24"/>
          <w:szCs w:val="24"/>
        </w:rPr>
        <w:t xml:space="preserve">more flexibility in determining the appropriate punishment. The third tier, manslaughter, would continue to exist as a separate category. The sentencing for manslaughter would be discretionary and could result in a life sentence </w:t>
      </w:r>
      <w:proofErr w:type="gramStart"/>
      <w:r w:rsidRPr="003F0347">
        <w:rPr>
          <w:rFonts w:ascii="Arial" w:hAnsi="Arial" w:cs="Arial"/>
          <w:sz w:val="24"/>
          <w:szCs w:val="24"/>
        </w:rPr>
        <w:t>similar to</w:t>
      </w:r>
      <w:proofErr w:type="gramEnd"/>
      <w:r w:rsidRPr="003F0347">
        <w:rPr>
          <w:rFonts w:ascii="Arial" w:hAnsi="Arial" w:cs="Arial"/>
          <w:sz w:val="24"/>
          <w:szCs w:val="24"/>
        </w:rPr>
        <w:t xml:space="preserve"> second-degree murder (Rogers, 2006, pp.223-245). This three-tier system aimed to provide a clearer framework for distinguishing between different degrees of culpability in homicide cases.</w:t>
      </w:r>
    </w:p>
    <w:p w14:paraId="6562A41A" w14:textId="6B7882B9" w:rsidR="00E22175" w:rsidRDefault="00E22175" w:rsidP="00DC3F30">
      <w:pPr>
        <w:spacing w:line="480" w:lineRule="auto"/>
        <w:contextualSpacing/>
        <w:rPr>
          <w:rFonts w:ascii="Arial" w:hAnsi="Arial" w:cs="Arial"/>
          <w:sz w:val="24"/>
          <w:szCs w:val="24"/>
        </w:rPr>
      </w:pPr>
      <w:r w:rsidRPr="003F0347">
        <w:rPr>
          <w:rFonts w:ascii="Arial" w:hAnsi="Arial" w:cs="Arial"/>
          <w:sz w:val="24"/>
          <w:szCs w:val="24"/>
        </w:rPr>
        <w:lastRenderedPageBreak/>
        <w:t>Additionally, the Law Commission recommended significant revisions to the defences of provocation and diminished responsibility. The current provocation law would be replaced by a partial defence of killing in response to a gross provocation or fear of serious violence (</w:t>
      </w:r>
      <w:proofErr w:type="gramStart"/>
      <w:r w:rsidRPr="003F0347">
        <w:rPr>
          <w:rFonts w:ascii="Arial" w:hAnsi="Arial" w:cs="Arial"/>
          <w:sz w:val="24"/>
          <w:szCs w:val="24"/>
        </w:rPr>
        <w:t>Fitz</w:t>
      </w:r>
      <w:r w:rsidRPr="003F0347">
        <w:rPr>
          <w:rFonts w:ascii="Cambria Math" w:hAnsi="Cambria Math" w:cs="Cambria Math"/>
          <w:sz w:val="24"/>
          <w:szCs w:val="24"/>
        </w:rPr>
        <w:t>‐</w:t>
      </w:r>
      <w:r w:rsidRPr="003F0347">
        <w:rPr>
          <w:rFonts w:ascii="Arial" w:hAnsi="Arial" w:cs="Arial"/>
          <w:sz w:val="24"/>
          <w:szCs w:val="24"/>
        </w:rPr>
        <w:t>Gibbon</w:t>
      </w:r>
      <w:proofErr w:type="gramEnd"/>
      <w:r w:rsidRPr="003F0347">
        <w:rPr>
          <w:rFonts w:ascii="Arial" w:hAnsi="Arial" w:cs="Arial"/>
          <w:sz w:val="24"/>
          <w:szCs w:val="24"/>
        </w:rPr>
        <w:t xml:space="preserve">, 2013, p.284). </w:t>
      </w:r>
      <w:r w:rsidR="00C946B4" w:rsidRPr="003F0347">
        <w:rPr>
          <w:rFonts w:ascii="Arial" w:hAnsi="Arial" w:cs="Arial"/>
          <w:sz w:val="24"/>
          <w:szCs w:val="24"/>
        </w:rPr>
        <w:t>This</w:t>
      </w:r>
      <w:r w:rsidRPr="003F0347">
        <w:rPr>
          <w:rFonts w:ascii="Arial" w:hAnsi="Arial" w:cs="Arial"/>
          <w:sz w:val="24"/>
          <w:szCs w:val="24"/>
        </w:rPr>
        <w:t xml:space="preserve"> </w:t>
      </w:r>
      <w:r w:rsidR="00AF5FEF" w:rsidRPr="003F0347">
        <w:rPr>
          <w:rFonts w:ascii="Arial" w:hAnsi="Arial" w:cs="Arial"/>
          <w:sz w:val="24"/>
          <w:szCs w:val="24"/>
        </w:rPr>
        <w:t xml:space="preserve">reform </w:t>
      </w:r>
      <w:r w:rsidRPr="003F0347">
        <w:rPr>
          <w:rFonts w:ascii="Arial" w:hAnsi="Arial" w:cs="Arial"/>
          <w:sz w:val="24"/>
          <w:szCs w:val="24"/>
        </w:rPr>
        <w:t xml:space="preserve">would eliminate the loss of self-control requirement. Instead, it will focus more on the external factors that might have driven the individual to commit the act. Similarly, the partial defence of diminished responsibility would undergo modernization. The updated requirements for this defence would include mental functioning abnormality arising from a recognized medical condition (Wells, 2006, p.32). Notably, both provocation and diminished responsibility defences would reduce first-degree murder to second-degree murder within the proposed three-tier system rather than reducing it to manslaughter as it stands currently. </w:t>
      </w:r>
    </w:p>
    <w:p w14:paraId="57302BC7" w14:textId="77777777" w:rsidR="003F0347" w:rsidRPr="003F0347" w:rsidRDefault="003F0347" w:rsidP="00DC3F30">
      <w:pPr>
        <w:spacing w:line="480" w:lineRule="auto"/>
        <w:contextualSpacing/>
        <w:rPr>
          <w:rFonts w:ascii="Arial" w:hAnsi="Arial" w:cs="Arial"/>
          <w:sz w:val="24"/>
          <w:szCs w:val="24"/>
        </w:rPr>
      </w:pPr>
    </w:p>
    <w:p w14:paraId="143E6665" w14:textId="77777777" w:rsidR="009C4BC3" w:rsidRPr="003F0347" w:rsidRDefault="008E4342" w:rsidP="00DC3F30">
      <w:pPr>
        <w:spacing w:line="480" w:lineRule="auto"/>
        <w:contextualSpacing/>
        <w:rPr>
          <w:rFonts w:ascii="Arial" w:hAnsi="Arial" w:cs="Arial"/>
          <w:b/>
          <w:sz w:val="24"/>
          <w:szCs w:val="24"/>
        </w:rPr>
      </w:pPr>
      <w:r w:rsidRPr="003F0347">
        <w:rPr>
          <w:rFonts w:ascii="Arial" w:hAnsi="Arial" w:cs="Arial"/>
          <w:b/>
          <w:sz w:val="24"/>
          <w:szCs w:val="24"/>
        </w:rPr>
        <w:t>Government Acceptance and Rejection of Reform Proposals</w:t>
      </w:r>
    </w:p>
    <w:p w14:paraId="38EAE837" w14:textId="6E0C63C8" w:rsidR="00425575" w:rsidRDefault="00425575" w:rsidP="00DC3F30">
      <w:pPr>
        <w:spacing w:line="480" w:lineRule="auto"/>
        <w:contextualSpacing/>
        <w:rPr>
          <w:rFonts w:ascii="Arial" w:hAnsi="Arial" w:cs="Arial"/>
          <w:sz w:val="24"/>
          <w:szCs w:val="24"/>
          <w:lang w:val="en-GB"/>
        </w:rPr>
      </w:pPr>
      <w:r w:rsidRPr="003F0347">
        <w:rPr>
          <w:rFonts w:ascii="Arial" w:hAnsi="Arial" w:cs="Arial"/>
          <w:sz w:val="24"/>
          <w:szCs w:val="24"/>
          <w:lang w:val="en-GB"/>
        </w:rPr>
        <w:t xml:space="preserve">The government has accepted some reform proposals while rejecting others based on various factors, including public opinion, political considerations, and potential impact on the criminal justice system. For instance, the government accepted the recommendation to replace the partial defence of provocation with the new defence of loss of control. The proposal aimed to simplify and align the law with contemporary understandings of human behaviour (Carline, 2009, pp.1-9). This reform was a step towards recognizing the complex emotional and psychological dynamics that can influence human actions in high-stress situations. However, proposals such as creating a new offence of first-degree murder have faced resistance. Opponents argue that introducing new offences </w:t>
      </w:r>
      <w:r w:rsidRPr="003F0347">
        <w:rPr>
          <w:rFonts w:ascii="Arial" w:hAnsi="Arial" w:cs="Arial"/>
          <w:sz w:val="24"/>
          <w:szCs w:val="24"/>
          <w:lang w:val="en-GB"/>
        </w:rPr>
        <w:lastRenderedPageBreak/>
        <w:t xml:space="preserve">would complicate the legal framework, potentially confuse juries, and burden the courts with additional cases. They suggest </w:t>
      </w:r>
      <w:r w:rsidR="00C757C7" w:rsidRPr="003F0347">
        <w:rPr>
          <w:rFonts w:ascii="Arial" w:hAnsi="Arial" w:cs="Arial"/>
          <w:sz w:val="24"/>
          <w:szCs w:val="24"/>
          <w:lang w:val="en-GB"/>
        </w:rPr>
        <w:t xml:space="preserve">that existing legal categories </w:t>
      </w:r>
      <w:r w:rsidRPr="003F0347">
        <w:rPr>
          <w:rFonts w:ascii="Arial" w:hAnsi="Arial" w:cs="Arial"/>
          <w:sz w:val="24"/>
          <w:szCs w:val="24"/>
          <w:lang w:val="en-GB"/>
        </w:rPr>
        <w:t xml:space="preserve">already cover scenarios where intent to cause serious harm but not death is present (Chantler et al., 2020, p.490). The government's cautious approach to reform is understandable. The reason is that </w:t>
      </w:r>
      <w:r w:rsidR="00783924" w:rsidRPr="003F0347">
        <w:rPr>
          <w:rFonts w:ascii="Arial" w:hAnsi="Arial" w:cs="Arial"/>
          <w:sz w:val="24"/>
          <w:szCs w:val="24"/>
          <w:lang w:val="en-GB"/>
        </w:rPr>
        <w:t xml:space="preserve">any </w:t>
      </w:r>
      <w:r w:rsidRPr="003F0347">
        <w:rPr>
          <w:rFonts w:ascii="Arial" w:hAnsi="Arial" w:cs="Arial"/>
          <w:sz w:val="24"/>
          <w:szCs w:val="24"/>
          <w:lang w:val="en-GB"/>
        </w:rPr>
        <w:t xml:space="preserve">homicide </w:t>
      </w:r>
      <w:r w:rsidR="00783924" w:rsidRPr="003F0347">
        <w:rPr>
          <w:rFonts w:ascii="Arial" w:hAnsi="Arial" w:cs="Arial"/>
          <w:sz w:val="24"/>
          <w:szCs w:val="24"/>
          <w:lang w:val="en-GB"/>
        </w:rPr>
        <w:t xml:space="preserve">law reforms </w:t>
      </w:r>
      <w:r w:rsidRPr="003F0347">
        <w:rPr>
          <w:rFonts w:ascii="Arial" w:hAnsi="Arial" w:cs="Arial"/>
          <w:sz w:val="24"/>
          <w:szCs w:val="24"/>
          <w:lang w:val="en-GB"/>
        </w:rPr>
        <w:t>must strike a delicate balance between ensuring justice for victims and defendants. The changes must also maintain legal certainty and uphold public confidence in the criminal justice system.</w:t>
      </w:r>
    </w:p>
    <w:p w14:paraId="41CFBAAC" w14:textId="77777777" w:rsidR="003F0347" w:rsidRPr="003F0347" w:rsidRDefault="003F0347" w:rsidP="00DC3F30">
      <w:pPr>
        <w:spacing w:line="480" w:lineRule="auto"/>
        <w:contextualSpacing/>
        <w:rPr>
          <w:rFonts w:ascii="Arial" w:hAnsi="Arial" w:cs="Arial"/>
          <w:sz w:val="24"/>
          <w:szCs w:val="24"/>
          <w:lang w:val="en-GB"/>
        </w:rPr>
      </w:pPr>
    </w:p>
    <w:p w14:paraId="26DB5050" w14:textId="77777777" w:rsidR="00E7698D" w:rsidRPr="003F0347" w:rsidRDefault="002542C3" w:rsidP="00DC3F30">
      <w:pPr>
        <w:spacing w:line="480" w:lineRule="auto"/>
        <w:contextualSpacing/>
        <w:rPr>
          <w:rFonts w:ascii="Arial" w:hAnsi="Arial" w:cs="Arial"/>
          <w:sz w:val="24"/>
          <w:szCs w:val="24"/>
          <w:lang w:val="en-GB"/>
        </w:rPr>
      </w:pPr>
      <w:r w:rsidRPr="003F0347">
        <w:rPr>
          <w:rFonts w:ascii="Arial" w:hAnsi="Arial" w:cs="Arial"/>
          <w:b/>
          <w:bCs/>
          <w:sz w:val="24"/>
          <w:szCs w:val="24"/>
          <w:lang w:val="en-GB"/>
        </w:rPr>
        <w:t>Arguments against Reform</w:t>
      </w:r>
    </w:p>
    <w:p w14:paraId="46A4C7BB" w14:textId="593935EB" w:rsidR="00A21CDD" w:rsidRDefault="00A21CDD" w:rsidP="00DC3F30">
      <w:pPr>
        <w:spacing w:line="480" w:lineRule="auto"/>
        <w:contextualSpacing/>
        <w:rPr>
          <w:rFonts w:ascii="Arial" w:hAnsi="Arial" w:cs="Arial"/>
          <w:sz w:val="24"/>
          <w:szCs w:val="24"/>
          <w:lang w:val="en-GB"/>
        </w:rPr>
      </w:pPr>
      <w:r w:rsidRPr="003F0347">
        <w:rPr>
          <w:rFonts w:ascii="Arial" w:hAnsi="Arial" w:cs="Arial"/>
          <w:sz w:val="24"/>
          <w:szCs w:val="24"/>
          <w:lang w:val="en-GB"/>
        </w:rPr>
        <w:t xml:space="preserve">Arguments against reform emphasize preserving fundamental legal principles and caution against hasty changes that may lead to unintended consequences despite the compelling case for reform. </w:t>
      </w:r>
      <w:r w:rsidR="00F0483B" w:rsidRPr="003F0347">
        <w:rPr>
          <w:rFonts w:ascii="Arial" w:hAnsi="Arial" w:cs="Arial"/>
          <w:sz w:val="24"/>
          <w:szCs w:val="24"/>
          <w:lang w:val="en-GB"/>
        </w:rPr>
        <w:t>According to Pike (2022, p.33), critics</w:t>
      </w:r>
      <w:r w:rsidR="00615EC8" w:rsidRPr="003F0347">
        <w:rPr>
          <w:rFonts w:ascii="Arial" w:hAnsi="Arial" w:cs="Arial"/>
          <w:sz w:val="24"/>
          <w:szCs w:val="24"/>
          <w:lang w:val="en-GB"/>
        </w:rPr>
        <w:t xml:space="preserve"> argue that the current law</w:t>
      </w:r>
      <w:r w:rsidR="00802F5F" w:rsidRPr="003F0347">
        <w:rPr>
          <w:rFonts w:ascii="Arial" w:hAnsi="Arial" w:cs="Arial"/>
          <w:sz w:val="24"/>
          <w:szCs w:val="24"/>
          <w:lang w:val="en-GB"/>
        </w:rPr>
        <w:t xml:space="preserve"> </w:t>
      </w:r>
      <w:r w:rsidRPr="003F0347">
        <w:rPr>
          <w:rFonts w:ascii="Arial" w:hAnsi="Arial" w:cs="Arial"/>
          <w:sz w:val="24"/>
          <w:szCs w:val="24"/>
          <w:lang w:val="en-GB"/>
        </w:rPr>
        <w:t>has stood the test of time and continues to serve as a robust framework for addressing homicide cases. They stress the importance of maintaining certainty and predictability in the law while acknowledging the need for targeted improvements. Moreover, opponents of reform argue that changes to the law may disrupt the delicate balance between the accused's rights and society's interests in ensuring public safety (Downes and Newburn, 2022, p.14). They caution against diluting the gravity of murder charges or inadvertently creating loopholes that could be exploited.</w:t>
      </w:r>
    </w:p>
    <w:p w14:paraId="405418F5" w14:textId="77777777" w:rsidR="003F0347" w:rsidRPr="003F0347" w:rsidRDefault="003F0347" w:rsidP="00DC3F30">
      <w:pPr>
        <w:spacing w:line="480" w:lineRule="auto"/>
        <w:contextualSpacing/>
        <w:rPr>
          <w:rFonts w:ascii="Arial" w:hAnsi="Arial" w:cs="Arial"/>
          <w:sz w:val="24"/>
          <w:szCs w:val="24"/>
          <w:lang w:val="en-GB"/>
        </w:rPr>
      </w:pPr>
    </w:p>
    <w:p w14:paraId="3A8F3364" w14:textId="02D6659F" w:rsidR="00845141" w:rsidRPr="003F0347" w:rsidRDefault="00833397" w:rsidP="00DC3F30">
      <w:pPr>
        <w:spacing w:line="480" w:lineRule="auto"/>
        <w:contextualSpacing/>
        <w:rPr>
          <w:rFonts w:ascii="Arial" w:hAnsi="Arial" w:cs="Arial"/>
          <w:sz w:val="24"/>
          <w:szCs w:val="24"/>
          <w:lang w:val="en-GB"/>
        </w:rPr>
      </w:pPr>
      <w:r w:rsidRPr="003F0347">
        <w:rPr>
          <w:rFonts w:ascii="Arial" w:hAnsi="Arial" w:cs="Arial"/>
          <w:sz w:val="24"/>
          <w:szCs w:val="24"/>
          <w:lang w:val="en-GB"/>
        </w:rPr>
        <w:t xml:space="preserve">In conclusion, England and Wales's homicide law requires reform to address the complex and inconsistent application of partial defences, the intent requirements controversy, and the breadth of manslaughter. The Law Commission and other bodies' </w:t>
      </w:r>
      <w:r w:rsidRPr="003F0347">
        <w:rPr>
          <w:rFonts w:ascii="Arial" w:hAnsi="Arial" w:cs="Arial"/>
          <w:sz w:val="24"/>
          <w:szCs w:val="24"/>
          <w:lang w:val="en-GB"/>
        </w:rPr>
        <w:lastRenderedPageBreak/>
        <w:t xml:space="preserve">proposals seek to streamline and clarify the law, ensuring a fair and just application of justice. Relatedly, some reform recommendations have been accepted and implemented. However, others faced resistance because of concerns regarding unintended consequences and preserving fundamental legal principles. </w:t>
      </w:r>
      <w:r w:rsidR="003F41D9" w:rsidRPr="003F0347">
        <w:rPr>
          <w:rFonts w:ascii="Arial" w:hAnsi="Arial" w:cs="Arial"/>
          <w:sz w:val="24"/>
          <w:szCs w:val="24"/>
          <w:lang w:val="en-GB"/>
        </w:rPr>
        <w:t>Striking the right balance between reform and preservation</w:t>
      </w:r>
      <w:r w:rsidR="00902AD8" w:rsidRPr="003F0347">
        <w:rPr>
          <w:rFonts w:ascii="Arial" w:hAnsi="Arial" w:cs="Arial"/>
          <w:sz w:val="24"/>
          <w:szCs w:val="24"/>
          <w:lang w:val="en-GB"/>
        </w:rPr>
        <w:t xml:space="preserve"> is challenging</w:t>
      </w:r>
      <w:r w:rsidR="003F41D9" w:rsidRPr="003F0347">
        <w:rPr>
          <w:rFonts w:ascii="Arial" w:hAnsi="Arial" w:cs="Arial"/>
          <w:sz w:val="24"/>
          <w:szCs w:val="24"/>
          <w:lang w:val="en-GB"/>
        </w:rPr>
        <w:t xml:space="preserve">. </w:t>
      </w:r>
      <w:r w:rsidR="00786A27" w:rsidRPr="003F0347">
        <w:rPr>
          <w:rFonts w:ascii="Arial" w:hAnsi="Arial" w:cs="Arial"/>
          <w:sz w:val="24"/>
          <w:szCs w:val="24"/>
          <w:lang w:val="en-GB"/>
        </w:rPr>
        <w:t>Th</w:t>
      </w:r>
      <w:r w:rsidR="00FD53A3" w:rsidRPr="003F0347">
        <w:rPr>
          <w:rFonts w:ascii="Arial" w:hAnsi="Arial" w:cs="Arial"/>
          <w:sz w:val="24"/>
          <w:szCs w:val="24"/>
          <w:lang w:val="en-GB"/>
        </w:rPr>
        <w:t>us</w:t>
      </w:r>
      <w:r w:rsidR="00786A27" w:rsidRPr="003F0347">
        <w:rPr>
          <w:rFonts w:ascii="Arial" w:hAnsi="Arial" w:cs="Arial"/>
          <w:sz w:val="24"/>
          <w:szCs w:val="24"/>
          <w:lang w:val="en-GB"/>
        </w:rPr>
        <w:t>,</w:t>
      </w:r>
      <w:r w:rsidR="00A5230B" w:rsidRPr="003F0347">
        <w:rPr>
          <w:rFonts w:ascii="Arial" w:hAnsi="Arial" w:cs="Arial"/>
          <w:sz w:val="24"/>
          <w:szCs w:val="24"/>
          <w:lang w:val="en-GB"/>
        </w:rPr>
        <w:t xml:space="preserve"> </w:t>
      </w:r>
      <w:r w:rsidR="00D67532" w:rsidRPr="003F0347">
        <w:rPr>
          <w:rFonts w:ascii="Arial" w:hAnsi="Arial" w:cs="Arial"/>
          <w:sz w:val="24"/>
          <w:szCs w:val="24"/>
          <w:lang w:val="en-GB"/>
        </w:rPr>
        <w:t xml:space="preserve">any homicide law changes </w:t>
      </w:r>
      <w:r w:rsidRPr="003F0347">
        <w:rPr>
          <w:rFonts w:ascii="Arial" w:hAnsi="Arial" w:cs="Arial"/>
          <w:sz w:val="24"/>
          <w:szCs w:val="24"/>
          <w:lang w:val="en-GB"/>
        </w:rPr>
        <w:t>must be carefully considered to achieve a system that is fair, proportionate, and fit for purpose in the modern era.</w:t>
      </w:r>
    </w:p>
    <w:p w14:paraId="22B350BB" w14:textId="77777777" w:rsidR="00845141" w:rsidRPr="003F0347" w:rsidRDefault="00845141">
      <w:pPr>
        <w:rPr>
          <w:rFonts w:ascii="Arial" w:hAnsi="Arial" w:cs="Arial"/>
          <w:sz w:val="24"/>
          <w:szCs w:val="24"/>
          <w:lang w:val="en-GB"/>
        </w:rPr>
      </w:pPr>
      <w:r w:rsidRPr="003F0347">
        <w:rPr>
          <w:rFonts w:ascii="Arial" w:hAnsi="Arial" w:cs="Arial"/>
          <w:sz w:val="24"/>
          <w:szCs w:val="24"/>
          <w:lang w:val="en-GB"/>
        </w:rPr>
        <w:br w:type="page"/>
      </w:r>
    </w:p>
    <w:p w14:paraId="58DDC8C9"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lastRenderedPageBreak/>
        <w:t>Carline, A., 2009. Reforming Provocation: Perspectives from the Law Commission and the Government. </w:t>
      </w:r>
      <w:r w:rsidRPr="003F0347">
        <w:rPr>
          <w:rFonts w:ascii="Arial" w:hAnsi="Arial" w:cs="Arial"/>
          <w:i/>
          <w:iCs/>
          <w:sz w:val="24"/>
          <w:szCs w:val="24"/>
          <w:shd w:val="clear" w:color="auto" w:fill="FFFFFF"/>
        </w:rPr>
        <w:t>Web Journal of Current Legal Issues</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2</w:t>
      </w:r>
      <w:r w:rsidRPr="003F0347">
        <w:rPr>
          <w:rFonts w:ascii="Arial" w:hAnsi="Arial" w:cs="Arial"/>
          <w:sz w:val="24"/>
          <w:szCs w:val="24"/>
          <w:shd w:val="clear" w:color="auto" w:fill="FFFFFF"/>
        </w:rPr>
        <w:t>, pp.1-9.</w:t>
      </w:r>
    </w:p>
    <w:p w14:paraId="4F6CA3C8"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Chantler, K., Robbins, R., Baker, V. and Stanley, N., 2020. Learning from domestic homicide reviews in England and Wales. </w:t>
      </w:r>
      <w:r w:rsidRPr="003F0347">
        <w:rPr>
          <w:rFonts w:ascii="Arial" w:hAnsi="Arial" w:cs="Arial"/>
          <w:i/>
          <w:iCs/>
          <w:sz w:val="24"/>
          <w:szCs w:val="24"/>
          <w:shd w:val="clear" w:color="auto" w:fill="FFFFFF"/>
        </w:rPr>
        <w:t>Health &amp; Social Care in the Community</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28</w:t>
      </w:r>
      <w:r w:rsidRPr="003F0347">
        <w:rPr>
          <w:rFonts w:ascii="Arial" w:hAnsi="Arial" w:cs="Arial"/>
          <w:sz w:val="24"/>
          <w:szCs w:val="24"/>
          <w:shd w:val="clear" w:color="auto" w:fill="FFFFFF"/>
        </w:rPr>
        <w:t>(2), pp.485-493.</w:t>
      </w:r>
    </w:p>
    <w:p w14:paraId="15D4048E"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Downes, D. and Newburn, T., 2022. </w:t>
      </w:r>
      <w:r w:rsidRPr="003F0347">
        <w:rPr>
          <w:rFonts w:ascii="Arial" w:hAnsi="Arial" w:cs="Arial"/>
          <w:i/>
          <w:iCs/>
          <w:sz w:val="24"/>
          <w:szCs w:val="24"/>
          <w:shd w:val="clear" w:color="auto" w:fill="FFFFFF"/>
        </w:rPr>
        <w:t>The Official History of Criminal Justice in England and Wales: Volume IV: The Politics of Law and Order</w:t>
      </w:r>
      <w:r w:rsidRPr="003F0347">
        <w:rPr>
          <w:rFonts w:ascii="Arial" w:hAnsi="Arial" w:cs="Arial"/>
          <w:sz w:val="24"/>
          <w:szCs w:val="24"/>
          <w:shd w:val="clear" w:color="auto" w:fill="FFFFFF"/>
        </w:rPr>
        <w:t>. Taylor &amp; Francis.</w:t>
      </w:r>
    </w:p>
    <w:p w14:paraId="01BF6759"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proofErr w:type="gramStart"/>
      <w:r w:rsidRPr="003F0347">
        <w:rPr>
          <w:rFonts w:ascii="Arial" w:hAnsi="Arial" w:cs="Arial"/>
          <w:sz w:val="24"/>
          <w:szCs w:val="24"/>
          <w:shd w:val="clear" w:color="auto" w:fill="FFFFFF"/>
        </w:rPr>
        <w:t>Fitz</w:t>
      </w:r>
      <w:r w:rsidRPr="003F0347">
        <w:rPr>
          <w:rFonts w:ascii="Cambria Math" w:hAnsi="Cambria Math" w:cs="Cambria Math"/>
          <w:sz w:val="24"/>
          <w:szCs w:val="24"/>
          <w:shd w:val="clear" w:color="auto" w:fill="FFFFFF"/>
        </w:rPr>
        <w:t>‐</w:t>
      </w:r>
      <w:r w:rsidRPr="003F0347">
        <w:rPr>
          <w:rFonts w:ascii="Arial" w:hAnsi="Arial" w:cs="Arial"/>
          <w:sz w:val="24"/>
          <w:szCs w:val="24"/>
          <w:shd w:val="clear" w:color="auto" w:fill="FFFFFF"/>
        </w:rPr>
        <w:t>Gibbon</w:t>
      </w:r>
      <w:proofErr w:type="gramEnd"/>
      <w:r w:rsidRPr="003F0347">
        <w:rPr>
          <w:rFonts w:ascii="Arial" w:hAnsi="Arial" w:cs="Arial"/>
          <w:sz w:val="24"/>
          <w:szCs w:val="24"/>
          <w:shd w:val="clear" w:color="auto" w:fill="FFFFFF"/>
        </w:rPr>
        <w:t>, K., 2013. Replacing provocation in England and Wales: Examining the partial defence of loss of control. </w:t>
      </w:r>
      <w:r w:rsidRPr="003F0347">
        <w:rPr>
          <w:rFonts w:ascii="Arial" w:hAnsi="Arial" w:cs="Arial"/>
          <w:i/>
          <w:iCs/>
          <w:sz w:val="24"/>
          <w:szCs w:val="24"/>
          <w:shd w:val="clear" w:color="auto" w:fill="FFFFFF"/>
        </w:rPr>
        <w:t>Journal of Law and Society</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40</w:t>
      </w:r>
      <w:r w:rsidRPr="003F0347">
        <w:rPr>
          <w:rFonts w:ascii="Arial" w:hAnsi="Arial" w:cs="Arial"/>
          <w:sz w:val="24"/>
          <w:szCs w:val="24"/>
          <w:shd w:val="clear" w:color="auto" w:fill="FFFFFF"/>
        </w:rPr>
        <w:t>(2), pp.280-305.</w:t>
      </w:r>
    </w:p>
    <w:p w14:paraId="26EC77CF" w14:textId="3BB52C29" w:rsidR="007B2AAB" w:rsidRPr="003F0347" w:rsidRDefault="007B2AAB" w:rsidP="007B2AAB">
      <w:pPr>
        <w:spacing w:line="480" w:lineRule="auto"/>
        <w:ind w:left="720" w:hanging="720"/>
        <w:contextualSpacing/>
        <w:rPr>
          <w:rFonts w:ascii="Arial" w:hAnsi="Arial" w:cs="Arial"/>
          <w:sz w:val="24"/>
          <w:szCs w:val="24"/>
          <w:shd w:val="clear" w:color="auto" w:fill="FFFFFF"/>
        </w:rPr>
      </w:pPr>
      <w:proofErr w:type="gramStart"/>
      <w:r w:rsidRPr="003F0347">
        <w:rPr>
          <w:rFonts w:ascii="Arial" w:hAnsi="Arial" w:cs="Arial"/>
          <w:sz w:val="24"/>
          <w:szCs w:val="24"/>
          <w:shd w:val="clear" w:color="auto" w:fill="FFFFFF"/>
        </w:rPr>
        <w:t>Fitz-Gibbon</w:t>
      </w:r>
      <w:proofErr w:type="gramEnd"/>
      <w:r w:rsidRPr="003F0347">
        <w:rPr>
          <w:rFonts w:ascii="Arial" w:hAnsi="Arial" w:cs="Arial"/>
          <w:sz w:val="24"/>
          <w:szCs w:val="24"/>
          <w:shd w:val="clear" w:color="auto" w:fill="FFFFFF"/>
        </w:rPr>
        <w:t xml:space="preserve">, K., 2017. Homicide law reform in New South Wales: Examining the merits of the partial </w:t>
      </w:r>
      <w:r w:rsidR="003F0347" w:rsidRPr="003F0347">
        <w:rPr>
          <w:rFonts w:ascii="Arial" w:hAnsi="Arial" w:cs="Arial"/>
          <w:sz w:val="24"/>
          <w:szCs w:val="24"/>
          <w:shd w:val="clear" w:color="auto" w:fill="FFFFFF"/>
        </w:rPr>
        <w:t>defense</w:t>
      </w:r>
      <w:r w:rsidRPr="003F0347">
        <w:rPr>
          <w:rFonts w:ascii="Arial" w:hAnsi="Arial" w:cs="Arial"/>
          <w:sz w:val="24"/>
          <w:szCs w:val="24"/>
          <w:shd w:val="clear" w:color="auto" w:fill="FFFFFF"/>
        </w:rPr>
        <w:t xml:space="preserve"> </w:t>
      </w:r>
      <w:r w:rsidR="003F0347">
        <w:rPr>
          <w:rFonts w:ascii="Arial" w:hAnsi="Arial" w:cs="Arial"/>
          <w:sz w:val="24"/>
          <w:szCs w:val="24"/>
          <w:shd w:val="clear" w:color="auto" w:fill="FFFFFF"/>
        </w:rPr>
        <w:t>of extreme provocation</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Melbourne University law review</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40</w:t>
      </w:r>
      <w:r w:rsidRPr="003F0347">
        <w:rPr>
          <w:rFonts w:ascii="Arial" w:hAnsi="Arial" w:cs="Arial"/>
          <w:sz w:val="24"/>
          <w:szCs w:val="24"/>
          <w:shd w:val="clear" w:color="auto" w:fill="FFFFFF"/>
        </w:rPr>
        <w:t>(3), pp.769-815.</w:t>
      </w:r>
    </w:p>
    <w:p w14:paraId="58BCF5B3"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Gibson, M. and Reed, A., 2018. Reforming English homicide law: Fair labelling questions and comparative answers. In </w:t>
      </w:r>
      <w:r w:rsidRPr="003F0347">
        <w:rPr>
          <w:rFonts w:ascii="Arial" w:hAnsi="Arial" w:cs="Arial"/>
          <w:i/>
          <w:iCs/>
          <w:sz w:val="24"/>
          <w:szCs w:val="24"/>
          <w:shd w:val="clear" w:color="auto" w:fill="FFFFFF"/>
        </w:rPr>
        <w:t>Homicide in Criminal Law</w:t>
      </w:r>
      <w:r w:rsidRPr="003F0347">
        <w:rPr>
          <w:rFonts w:ascii="Arial" w:hAnsi="Arial" w:cs="Arial"/>
          <w:sz w:val="24"/>
          <w:szCs w:val="24"/>
          <w:shd w:val="clear" w:color="auto" w:fill="FFFFFF"/>
        </w:rPr>
        <w:t> (pp. 37-61). Routledge.</w:t>
      </w:r>
    </w:p>
    <w:p w14:paraId="642AB907"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Jones, D.L., 2013. The Law Commission and the implementation of law reform. </w:t>
      </w:r>
      <w:r w:rsidRPr="003F0347">
        <w:rPr>
          <w:rFonts w:ascii="Arial" w:hAnsi="Arial" w:cs="Arial"/>
          <w:i/>
          <w:iCs/>
          <w:sz w:val="24"/>
          <w:szCs w:val="24"/>
          <w:shd w:val="clear" w:color="auto" w:fill="FFFFFF"/>
        </w:rPr>
        <w:t>Amicus Curiae</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94</w:t>
      </w:r>
      <w:r w:rsidRPr="003F0347">
        <w:rPr>
          <w:rFonts w:ascii="Arial" w:hAnsi="Arial" w:cs="Arial"/>
          <w:sz w:val="24"/>
          <w:szCs w:val="24"/>
          <w:shd w:val="clear" w:color="auto" w:fill="FFFFFF"/>
        </w:rPr>
        <w:t>, p.2.</w:t>
      </w:r>
    </w:p>
    <w:p w14:paraId="56093C0D"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Pike, S., 2022. </w:t>
      </w:r>
      <w:r w:rsidRPr="003F0347">
        <w:rPr>
          <w:rFonts w:ascii="Arial" w:hAnsi="Arial" w:cs="Arial"/>
          <w:i/>
          <w:iCs/>
          <w:sz w:val="24"/>
          <w:szCs w:val="24"/>
          <w:shd w:val="clear" w:color="auto" w:fill="FFFFFF"/>
        </w:rPr>
        <w:t>A recent history of homicide investigation: changes and implications for criminal justice in England and Wales</w:t>
      </w:r>
      <w:r w:rsidRPr="003F0347">
        <w:rPr>
          <w:rFonts w:ascii="Arial" w:hAnsi="Arial" w:cs="Arial"/>
          <w:sz w:val="24"/>
          <w:szCs w:val="24"/>
          <w:shd w:val="clear" w:color="auto" w:fill="FFFFFF"/>
        </w:rPr>
        <w:t>. Taylor &amp; Francis.</w:t>
      </w:r>
    </w:p>
    <w:p w14:paraId="3B5197E3"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Pike, S.B.J., 2018. </w:t>
      </w:r>
      <w:r w:rsidRPr="003F0347">
        <w:rPr>
          <w:rFonts w:ascii="Arial" w:hAnsi="Arial" w:cs="Arial"/>
          <w:i/>
          <w:iCs/>
          <w:sz w:val="24"/>
          <w:szCs w:val="24"/>
          <w:shd w:val="clear" w:color="auto" w:fill="FFFFFF"/>
        </w:rPr>
        <w:t>A Critical Exploration of Changes to the Investigation of Homicide in England and Wales from the 1980s to the Present Day</w:t>
      </w:r>
      <w:r w:rsidRPr="003F0347">
        <w:rPr>
          <w:rFonts w:ascii="Arial" w:hAnsi="Arial" w:cs="Arial"/>
          <w:sz w:val="24"/>
          <w:szCs w:val="24"/>
          <w:shd w:val="clear" w:color="auto" w:fill="FFFFFF"/>
        </w:rPr>
        <w:t>. University of South Wales (United Kingdom).</w:t>
      </w:r>
    </w:p>
    <w:p w14:paraId="443CBF26"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lastRenderedPageBreak/>
        <w:t>Quick, O. and Wells, C., 2012. Partial reform of partial defences: Developments in England and Wales. </w:t>
      </w:r>
      <w:r w:rsidRPr="003F0347">
        <w:rPr>
          <w:rFonts w:ascii="Arial" w:hAnsi="Arial" w:cs="Arial"/>
          <w:i/>
          <w:iCs/>
          <w:sz w:val="24"/>
          <w:szCs w:val="24"/>
          <w:shd w:val="clear" w:color="auto" w:fill="FFFFFF"/>
        </w:rPr>
        <w:t>Australian &amp; New Zealand Journal of Criminology</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45</w:t>
      </w:r>
      <w:r w:rsidRPr="003F0347">
        <w:rPr>
          <w:rFonts w:ascii="Arial" w:hAnsi="Arial" w:cs="Arial"/>
          <w:sz w:val="24"/>
          <w:szCs w:val="24"/>
          <w:shd w:val="clear" w:color="auto" w:fill="FFFFFF"/>
        </w:rPr>
        <w:t>(3), pp.337-350.</w:t>
      </w:r>
    </w:p>
    <w:p w14:paraId="697DECEB"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Rogers, J., 2006. The Law Commission's Proposed Restructuring of Homicide. </w:t>
      </w:r>
      <w:r w:rsidRPr="003F0347">
        <w:rPr>
          <w:rFonts w:ascii="Arial" w:hAnsi="Arial" w:cs="Arial"/>
          <w:i/>
          <w:iCs/>
          <w:sz w:val="24"/>
          <w:szCs w:val="24"/>
          <w:shd w:val="clear" w:color="auto" w:fill="FFFFFF"/>
        </w:rPr>
        <w:t>The Journal of Criminal Law</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70</w:t>
      </w:r>
      <w:r w:rsidRPr="003F0347">
        <w:rPr>
          <w:rFonts w:ascii="Arial" w:hAnsi="Arial" w:cs="Arial"/>
          <w:sz w:val="24"/>
          <w:szCs w:val="24"/>
          <w:shd w:val="clear" w:color="auto" w:fill="FFFFFF"/>
        </w:rPr>
        <w:t>(3), pp.223-245.</w:t>
      </w:r>
    </w:p>
    <w:p w14:paraId="1EF6E497"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Soothill, K. and Francis, B., 2011. Homicide in England and Wales. In </w:t>
      </w:r>
      <w:r w:rsidRPr="003F0347">
        <w:rPr>
          <w:rFonts w:ascii="Arial" w:hAnsi="Arial" w:cs="Arial"/>
          <w:i/>
          <w:iCs/>
          <w:sz w:val="24"/>
          <w:szCs w:val="24"/>
          <w:shd w:val="clear" w:color="auto" w:fill="FFFFFF"/>
        </w:rPr>
        <w:t>Handbook of European homicide research: Patterns, explanations, and country studies</w:t>
      </w:r>
      <w:r w:rsidRPr="003F0347">
        <w:rPr>
          <w:rFonts w:ascii="Arial" w:hAnsi="Arial" w:cs="Arial"/>
          <w:sz w:val="24"/>
          <w:szCs w:val="24"/>
          <w:shd w:val="clear" w:color="auto" w:fill="FFFFFF"/>
        </w:rPr>
        <w:t> (pp. 287-300). New York, NY: Springer New York.</w:t>
      </w:r>
    </w:p>
    <w:p w14:paraId="00AC39F2" w14:textId="3998AECE"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 xml:space="preserve">Todd, L., Usman, K., Tyler, F., Toffolo, L. and Temple, A., 2019. Should the laws on involuntary manslaughter in England and Wales be </w:t>
      </w:r>
      <w:r w:rsidR="003F0347" w:rsidRPr="003F0347">
        <w:rPr>
          <w:rFonts w:ascii="Arial" w:hAnsi="Arial" w:cs="Arial"/>
          <w:sz w:val="24"/>
          <w:szCs w:val="24"/>
          <w:shd w:val="clear" w:color="auto" w:fill="FFFFFF"/>
        </w:rPr>
        <w:t>reformed?</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The Student Journal of Professional Practice and Academic Research</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1</w:t>
      </w:r>
      <w:r w:rsidRPr="003F0347">
        <w:rPr>
          <w:rFonts w:ascii="Arial" w:hAnsi="Arial" w:cs="Arial"/>
          <w:sz w:val="24"/>
          <w:szCs w:val="24"/>
          <w:shd w:val="clear" w:color="auto" w:fill="FFFFFF"/>
        </w:rPr>
        <w:t>(1), pp.65-73.</w:t>
      </w:r>
    </w:p>
    <w:p w14:paraId="6A379828"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 xml:space="preserve">Walklate, S., </w:t>
      </w:r>
      <w:proofErr w:type="gramStart"/>
      <w:r w:rsidRPr="003F0347">
        <w:rPr>
          <w:rFonts w:ascii="Arial" w:hAnsi="Arial" w:cs="Arial"/>
          <w:sz w:val="24"/>
          <w:szCs w:val="24"/>
          <w:shd w:val="clear" w:color="auto" w:fill="FFFFFF"/>
        </w:rPr>
        <w:t>Fitz-Gibbon</w:t>
      </w:r>
      <w:proofErr w:type="gramEnd"/>
      <w:r w:rsidRPr="003F0347">
        <w:rPr>
          <w:rFonts w:ascii="Arial" w:hAnsi="Arial" w:cs="Arial"/>
          <w:sz w:val="24"/>
          <w:szCs w:val="24"/>
          <w:shd w:val="clear" w:color="auto" w:fill="FFFFFF"/>
        </w:rPr>
        <w:t>, K. and McCulloch, J., 2018. Is more law the answer? Seeking justice for victims of intimate partner violence through the reform of legal categories. </w:t>
      </w:r>
      <w:r w:rsidRPr="003F0347">
        <w:rPr>
          <w:rFonts w:ascii="Arial" w:hAnsi="Arial" w:cs="Arial"/>
          <w:i/>
          <w:iCs/>
          <w:sz w:val="24"/>
          <w:szCs w:val="24"/>
          <w:shd w:val="clear" w:color="auto" w:fill="FFFFFF"/>
        </w:rPr>
        <w:t>Criminology &amp; criminal justice</w:t>
      </w:r>
      <w:r w:rsidRPr="003F0347">
        <w:rPr>
          <w:rFonts w:ascii="Arial" w:hAnsi="Arial" w:cs="Arial"/>
          <w:sz w:val="24"/>
          <w:szCs w:val="24"/>
          <w:shd w:val="clear" w:color="auto" w:fill="FFFFFF"/>
        </w:rPr>
        <w:t>, </w:t>
      </w:r>
      <w:r w:rsidRPr="003F0347">
        <w:rPr>
          <w:rFonts w:ascii="Arial" w:hAnsi="Arial" w:cs="Arial"/>
          <w:i/>
          <w:iCs/>
          <w:sz w:val="24"/>
          <w:szCs w:val="24"/>
          <w:shd w:val="clear" w:color="auto" w:fill="FFFFFF"/>
        </w:rPr>
        <w:t>18</w:t>
      </w:r>
      <w:r w:rsidRPr="003F0347">
        <w:rPr>
          <w:rFonts w:ascii="Arial" w:hAnsi="Arial" w:cs="Arial"/>
          <w:sz w:val="24"/>
          <w:szCs w:val="24"/>
          <w:shd w:val="clear" w:color="auto" w:fill="FFFFFF"/>
        </w:rPr>
        <w:t>(1), pp.115-131.</w:t>
      </w:r>
    </w:p>
    <w:p w14:paraId="71D52CEB"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r w:rsidRPr="003F0347">
        <w:rPr>
          <w:rFonts w:ascii="Arial" w:hAnsi="Arial" w:cs="Arial"/>
          <w:sz w:val="24"/>
          <w:szCs w:val="24"/>
          <w:shd w:val="clear" w:color="auto" w:fill="FFFFFF"/>
        </w:rPr>
        <w:t>Wells, C., 2006. Restructuring Homicide: The Law Commission's Proposals for Partial Defences. </w:t>
      </w:r>
      <w:r w:rsidRPr="003F0347">
        <w:rPr>
          <w:rFonts w:ascii="Arial" w:hAnsi="Arial" w:cs="Arial"/>
          <w:i/>
          <w:iCs/>
          <w:sz w:val="24"/>
          <w:szCs w:val="24"/>
          <w:shd w:val="clear" w:color="auto" w:fill="FFFFFF"/>
        </w:rPr>
        <w:t>Inter Alia</w:t>
      </w:r>
      <w:r w:rsidRPr="003F0347">
        <w:rPr>
          <w:rFonts w:ascii="Arial" w:hAnsi="Arial" w:cs="Arial"/>
          <w:sz w:val="24"/>
          <w:szCs w:val="24"/>
          <w:shd w:val="clear" w:color="auto" w:fill="FFFFFF"/>
        </w:rPr>
        <w:t>, p.32.</w:t>
      </w:r>
    </w:p>
    <w:p w14:paraId="1A291861" w14:textId="77777777" w:rsidR="007B2AAB" w:rsidRPr="003F0347" w:rsidRDefault="007B2AAB" w:rsidP="007B2AAB">
      <w:pPr>
        <w:spacing w:line="480" w:lineRule="auto"/>
        <w:ind w:left="720" w:hanging="720"/>
        <w:contextualSpacing/>
        <w:rPr>
          <w:rFonts w:ascii="Arial" w:hAnsi="Arial" w:cs="Arial"/>
          <w:sz w:val="24"/>
          <w:szCs w:val="24"/>
          <w:shd w:val="clear" w:color="auto" w:fill="FFFFFF"/>
        </w:rPr>
      </w:pPr>
    </w:p>
    <w:p w14:paraId="3598EF05" w14:textId="77777777" w:rsidR="007B2AAB" w:rsidRPr="003F0347" w:rsidRDefault="007B2AAB" w:rsidP="007B2AAB">
      <w:pPr>
        <w:spacing w:line="480" w:lineRule="auto"/>
        <w:contextualSpacing/>
        <w:rPr>
          <w:rFonts w:ascii="Arial" w:hAnsi="Arial" w:cs="Arial"/>
          <w:b/>
          <w:sz w:val="24"/>
          <w:szCs w:val="24"/>
          <w:lang w:val="en-GB"/>
        </w:rPr>
      </w:pPr>
    </w:p>
    <w:p w14:paraId="47166BFB" w14:textId="77777777" w:rsidR="007B2AAB" w:rsidRPr="003F0347" w:rsidRDefault="007B2AAB" w:rsidP="007B2AAB">
      <w:pPr>
        <w:rPr>
          <w:rFonts w:ascii="Arial" w:hAnsi="Arial" w:cs="Arial"/>
        </w:rPr>
      </w:pPr>
    </w:p>
    <w:p w14:paraId="42395BDE" w14:textId="77777777" w:rsidR="006729D6" w:rsidRPr="003F0347" w:rsidRDefault="006729D6" w:rsidP="00DC3F30">
      <w:pPr>
        <w:spacing w:line="480" w:lineRule="auto"/>
        <w:contextualSpacing/>
        <w:rPr>
          <w:rFonts w:ascii="Arial" w:hAnsi="Arial" w:cs="Arial"/>
          <w:sz w:val="24"/>
          <w:szCs w:val="24"/>
          <w:lang w:val="en-GB"/>
        </w:rPr>
      </w:pPr>
    </w:p>
    <w:sectPr w:rsidR="006729D6" w:rsidRPr="003F0347">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A912F3" w14:textId="77777777" w:rsidR="007611A5" w:rsidRDefault="007611A5" w:rsidP="00E4308E">
      <w:pPr>
        <w:spacing w:after="0" w:line="240" w:lineRule="auto"/>
      </w:pPr>
      <w:r>
        <w:separator/>
      </w:r>
    </w:p>
  </w:endnote>
  <w:endnote w:type="continuationSeparator" w:id="0">
    <w:p w14:paraId="661E11D2" w14:textId="77777777" w:rsidR="007611A5" w:rsidRDefault="007611A5" w:rsidP="00E430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372CB" w14:textId="77777777" w:rsidR="007611A5" w:rsidRDefault="007611A5" w:rsidP="00E4308E">
      <w:pPr>
        <w:spacing w:after="0" w:line="240" w:lineRule="auto"/>
      </w:pPr>
      <w:r>
        <w:separator/>
      </w:r>
    </w:p>
  </w:footnote>
  <w:footnote w:type="continuationSeparator" w:id="0">
    <w:p w14:paraId="7D6C7662" w14:textId="77777777" w:rsidR="007611A5" w:rsidRDefault="007611A5" w:rsidP="00E430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01336839"/>
      <w:docPartObj>
        <w:docPartGallery w:val="Page Numbers (Top of Page)"/>
        <w:docPartUnique/>
      </w:docPartObj>
    </w:sdtPr>
    <w:sdtEndPr>
      <w:rPr>
        <w:noProof/>
      </w:rPr>
    </w:sdtEndPr>
    <w:sdtContent>
      <w:p w14:paraId="08EB32B1" w14:textId="77777777" w:rsidR="00E4308E" w:rsidRDefault="00E4308E">
        <w:pPr>
          <w:pStyle w:val="Header"/>
          <w:jc w:val="right"/>
        </w:pPr>
        <w:r>
          <w:fldChar w:fldCharType="begin"/>
        </w:r>
        <w:r>
          <w:instrText xml:space="preserve"> PAGE   \* MERGEFORMAT </w:instrText>
        </w:r>
        <w:r>
          <w:fldChar w:fldCharType="separate"/>
        </w:r>
        <w:r w:rsidR="00A64E38">
          <w:rPr>
            <w:noProof/>
          </w:rPr>
          <w:t>10</w:t>
        </w:r>
        <w:r>
          <w:rPr>
            <w:noProof/>
          </w:rPr>
          <w:fldChar w:fldCharType="end"/>
        </w:r>
      </w:p>
    </w:sdtContent>
  </w:sdt>
  <w:p w14:paraId="420463C7" w14:textId="77777777" w:rsidR="00E4308E" w:rsidRDefault="00E430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503661"/>
    <w:multiLevelType w:val="multilevel"/>
    <w:tmpl w:val="DF16E82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7510865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EwtTM2MLA1MgtDRS0lEKTi0uzszPAykwrAUAKyIerCwAAAA="/>
  </w:docVars>
  <w:rsids>
    <w:rsidRoot w:val="00E4308E"/>
    <w:rsid w:val="0003355C"/>
    <w:rsid w:val="000347C5"/>
    <w:rsid w:val="000354C5"/>
    <w:rsid w:val="00035CC8"/>
    <w:rsid w:val="00041587"/>
    <w:rsid w:val="00044793"/>
    <w:rsid w:val="0004581F"/>
    <w:rsid w:val="0007047C"/>
    <w:rsid w:val="00086654"/>
    <w:rsid w:val="000A3F4D"/>
    <w:rsid w:val="000A6D43"/>
    <w:rsid w:val="000B1031"/>
    <w:rsid w:val="000B701E"/>
    <w:rsid w:val="000B7607"/>
    <w:rsid w:val="000D52A9"/>
    <w:rsid w:val="000D73F6"/>
    <w:rsid w:val="000E126D"/>
    <w:rsid w:val="000E1FA2"/>
    <w:rsid w:val="000E2379"/>
    <w:rsid w:val="000E5115"/>
    <w:rsid w:val="000E6D35"/>
    <w:rsid w:val="00137D7C"/>
    <w:rsid w:val="0014126F"/>
    <w:rsid w:val="00142F89"/>
    <w:rsid w:val="00172C87"/>
    <w:rsid w:val="001740E9"/>
    <w:rsid w:val="00186209"/>
    <w:rsid w:val="001875EF"/>
    <w:rsid w:val="00187788"/>
    <w:rsid w:val="001A1C7F"/>
    <w:rsid w:val="001C4221"/>
    <w:rsid w:val="001D0BEF"/>
    <w:rsid w:val="001D6CF1"/>
    <w:rsid w:val="00205EE2"/>
    <w:rsid w:val="00211A4D"/>
    <w:rsid w:val="00226AB5"/>
    <w:rsid w:val="00240BAC"/>
    <w:rsid w:val="00250B68"/>
    <w:rsid w:val="002542C3"/>
    <w:rsid w:val="00270009"/>
    <w:rsid w:val="00273650"/>
    <w:rsid w:val="00273F37"/>
    <w:rsid w:val="002906E0"/>
    <w:rsid w:val="002A3BCA"/>
    <w:rsid w:val="002D561B"/>
    <w:rsid w:val="002F584D"/>
    <w:rsid w:val="003008F4"/>
    <w:rsid w:val="00353090"/>
    <w:rsid w:val="003642E9"/>
    <w:rsid w:val="00372E32"/>
    <w:rsid w:val="003771BB"/>
    <w:rsid w:val="003901DD"/>
    <w:rsid w:val="003921E4"/>
    <w:rsid w:val="003A5AEC"/>
    <w:rsid w:val="003C6664"/>
    <w:rsid w:val="003D60E7"/>
    <w:rsid w:val="003E26ED"/>
    <w:rsid w:val="003F0347"/>
    <w:rsid w:val="003F1BED"/>
    <w:rsid w:val="003F41D9"/>
    <w:rsid w:val="0040223B"/>
    <w:rsid w:val="00414828"/>
    <w:rsid w:val="00421B02"/>
    <w:rsid w:val="00425575"/>
    <w:rsid w:val="00425B4D"/>
    <w:rsid w:val="0044095D"/>
    <w:rsid w:val="0045513E"/>
    <w:rsid w:val="00465B68"/>
    <w:rsid w:val="00474016"/>
    <w:rsid w:val="004B50E1"/>
    <w:rsid w:val="004C2CF4"/>
    <w:rsid w:val="004C384D"/>
    <w:rsid w:val="004C5852"/>
    <w:rsid w:val="004D1620"/>
    <w:rsid w:val="004E2021"/>
    <w:rsid w:val="004E52AA"/>
    <w:rsid w:val="00510A4A"/>
    <w:rsid w:val="00512CFE"/>
    <w:rsid w:val="0053120E"/>
    <w:rsid w:val="005514F6"/>
    <w:rsid w:val="0056556E"/>
    <w:rsid w:val="00574198"/>
    <w:rsid w:val="0059541F"/>
    <w:rsid w:val="00596570"/>
    <w:rsid w:val="005A546D"/>
    <w:rsid w:val="005A669A"/>
    <w:rsid w:val="005A6778"/>
    <w:rsid w:val="005C1960"/>
    <w:rsid w:val="005E14D4"/>
    <w:rsid w:val="005E5011"/>
    <w:rsid w:val="005E5847"/>
    <w:rsid w:val="00606969"/>
    <w:rsid w:val="00611987"/>
    <w:rsid w:val="00613E4F"/>
    <w:rsid w:val="00615EC8"/>
    <w:rsid w:val="0063376E"/>
    <w:rsid w:val="00641A4E"/>
    <w:rsid w:val="00650448"/>
    <w:rsid w:val="00650D37"/>
    <w:rsid w:val="00651E13"/>
    <w:rsid w:val="00654946"/>
    <w:rsid w:val="006729D6"/>
    <w:rsid w:val="00681172"/>
    <w:rsid w:val="00690641"/>
    <w:rsid w:val="006B3571"/>
    <w:rsid w:val="006B41D0"/>
    <w:rsid w:val="006C13A0"/>
    <w:rsid w:val="006E37B6"/>
    <w:rsid w:val="006E4EAB"/>
    <w:rsid w:val="006E603D"/>
    <w:rsid w:val="006E7AA3"/>
    <w:rsid w:val="00702A16"/>
    <w:rsid w:val="00716A20"/>
    <w:rsid w:val="0072070E"/>
    <w:rsid w:val="007611A5"/>
    <w:rsid w:val="00761F95"/>
    <w:rsid w:val="00763ECA"/>
    <w:rsid w:val="007736DA"/>
    <w:rsid w:val="007809E6"/>
    <w:rsid w:val="00780CC4"/>
    <w:rsid w:val="00783924"/>
    <w:rsid w:val="00783D4B"/>
    <w:rsid w:val="00786A27"/>
    <w:rsid w:val="007A3D4A"/>
    <w:rsid w:val="007A43A2"/>
    <w:rsid w:val="007A74DA"/>
    <w:rsid w:val="007B2AAB"/>
    <w:rsid w:val="007F048C"/>
    <w:rsid w:val="007F1DA5"/>
    <w:rsid w:val="00802F5F"/>
    <w:rsid w:val="00812DCD"/>
    <w:rsid w:val="00815E52"/>
    <w:rsid w:val="008164D0"/>
    <w:rsid w:val="00823EAE"/>
    <w:rsid w:val="00833397"/>
    <w:rsid w:val="00834D0D"/>
    <w:rsid w:val="00845141"/>
    <w:rsid w:val="008503F3"/>
    <w:rsid w:val="00865AF5"/>
    <w:rsid w:val="00874B89"/>
    <w:rsid w:val="008961AB"/>
    <w:rsid w:val="00896A94"/>
    <w:rsid w:val="008A185C"/>
    <w:rsid w:val="008B1B6E"/>
    <w:rsid w:val="008B25C2"/>
    <w:rsid w:val="008B38DE"/>
    <w:rsid w:val="008E1D84"/>
    <w:rsid w:val="008E3EA3"/>
    <w:rsid w:val="008E4342"/>
    <w:rsid w:val="008E4D32"/>
    <w:rsid w:val="00902AD8"/>
    <w:rsid w:val="00907A4E"/>
    <w:rsid w:val="00914ABC"/>
    <w:rsid w:val="00922E94"/>
    <w:rsid w:val="009349FC"/>
    <w:rsid w:val="009446AA"/>
    <w:rsid w:val="00953610"/>
    <w:rsid w:val="00954548"/>
    <w:rsid w:val="0095617D"/>
    <w:rsid w:val="009563DC"/>
    <w:rsid w:val="009752A9"/>
    <w:rsid w:val="00975B68"/>
    <w:rsid w:val="00976CA1"/>
    <w:rsid w:val="00976E51"/>
    <w:rsid w:val="00976F1B"/>
    <w:rsid w:val="00982E51"/>
    <w:rsid w:val="009B0F52"/>
    <w:rsid w:val="009B27D4"/>
    <w:rsid w:val="009C4BC3"/>
    <w:rsid w:val="009D6EAD"/>
    <w:rsid w:val="009E19AB"/>
    <w:rsid w:val="009E251E"/>
    <w:rsid w:val="00A0067D"/>
    <w:rsid w:val="00A00922"/>
    <w:rsid w:val="00A00BF6"/>
    <w:rsid w:val="00A21CDD"/>
    <w:rsid w:val="00A338B8"/>
    <w:rsid w:val="00A35EE3"/>
    <w:rsid w:val="00A5230B"/>
    <w:rsid w:val="00A647EF"/>
    <w:rsid w:val="00A64E38"/>
    <w:rsid w:val="00A80E57"/>
    <w:rsid w:val="00A8327F"/>
    <w:rsid w:val="00A86770"/>
    <w:rsid w:val="00AA4246"/>
    <w:rsid w:val="00AC140D"/>
    <w:rsid w:val="00AD3EF9"/>
    <w:rsid w:val="00AD5109"/>
    <w:rsid w:val="00AD6B44"/>
    <w:rsid w:val="00AF0E4A"/>
    <w:rsid w:val="00AF37B8"/>
    <w:rsid w:val="00AF5FEF"/>
    <w:rsid w:val="00B1013D"/>
    <w:rsid w:val="00B2052E"/>
    <w:rsid w:val="00B2201C"/>
    <w:rsid w:val="00B22342"/>
    <w:rsid w:val="00B24573"/>
    <w:rsid w:val="00B2535E"/>
    <w:rsid w:val="00B310DC"/>
    <w:rsid w:val="00B337F7"/>
    <w:rsid w:val="00B51574"/>
    <w:rsid w:val="00B95DDB"/>
    <w:rsid w:val="00BB39D2"/>
    <w:rsid w:val="00BD2E92"/>
    <w:rsid w:val="00BD60A9"/>
    <w:rsid w:val="00C06300"/>
    <w:rsid w:val="00C32C61"/>
    <w:rsid w:val="00C332C1"/>
    <w:rsid w:val="00C35819"/>
    <w:rsid w:val="00C411FE"/>
    <w:rsid w:val="00C429EA"/>
    <w:rsid w:val="00C45E1F"/>
    <w:rsid w:val="00C52968"/>
    <w:rsid w:val="00C54D9C"/>
    <w:rsid w:val="00C63151"/>
    <w:rsid w:val="00C64C3C"/>
    <w:rsid w:val="00C757C7"/>
    <w:rsid w:val="00C76412"/>
    <w:rsid w:val="00C76ED1"/>
    <w:rsid w:val="00C8537D"/>
    <w:rsid w:val="00C879E0"/>
    <w:rsid w:val="00C946B4"/>
    <w:rsid w:val="00CB029F"/>
    <w:rsid w:val="00CB4FC2"/>
    <w:rsid w:val="00CB6B9D"/>
    <w:rsid w:val="00CC1FE3"/>
    <w:rsid w:val="00CC3A80"/>
    <w:rsid w:val="00CC4C19"/>
    <w:rsid w:val="00CD6437"/>
    <w:rsid w:val="00CD7754"/>
    <w:rsid w:val="00CE39F2"/>
    <w:rsid w:val="00D06242"/>
    <w:rsid w:val="00D444BA"/>
    <w:rsid w:val="00D47BC8"/>
    <w:rsid w:val="00D60060"/>
    <w:rsid w:val="00D61D0D"/>
    <w:rsid w:val="00D67532"/>
    <w:rsid w:val="00D7140B"/>
    <w:rsid w:val="00DA678F"/>
    <w:rsid w:val="00DB7134"/>
    <w:rsid w:val="00DC3F30"/>
    <w:rsid w:val="00DC67F5"/>
    <w:rsid w:val="00DF0E93"/>
    <w:rsid w:val="00DF1A2F"/>
    <w:rsid w:val="00E00067"/>
    <w:rsid w:val="00E07CCC"/>
    <w:rsid w:val="00E17FEC"/>
    <w:rsid w:val="00E22175"/>
    <w:rsid w:val="00E23CB3"/>
    <w:rsid w:val="00E408ED"/>
    <w:rsid w:val="00E41530"/>
    <w:rsid w:val="00E42963"/>
    <w:rsid w:val="00E4308E"/>
    <w:rsid w:val="00E47A4F"/>
    <w:rsid w:val="00E5659B"/>
    <w:rsid w:val="00E57895"/>
    <w:rsid w:val="00E62965"/>
    <w:rsid w:val="00E64873"/>
    <w:rsid w:val="00E65DAE"/>
    <w:rsid w:val="00E70293"/>
    <w:rsid w:val="00E714F4"/>
    <w:rsid w:val="00E74213"/>
    <w:rsid w:val="00E7698D"/>
    <w:rsid w:val="00E773B2"/>
    <w:rsid w:val="00E953D4"/>
    <w:rsid w:val="00E97F98"/>
    <w:rsid w:val="00EB33B9"/>
    <w:rsid w:val="00EB558D"/>
    <w:rsid w:val="00EC0E08"/>
    <w:rsid w:val="00EC1F78"/>
    <w:rsid w:val="00EC5371"/>
    <w:rsid w:val="00EC5D89"/>
    <w:rsid w:val="00EC6009"/>
    <w:rsid w:val="00EE1165"/>
    <w:rsid w:val="00EF098A"/>
    <w:rsid w:val="00F0483B"/>
    <w:rsid w:val="00F06A53"/>
    <w:rsid w:val="00F11028"/>
    <w:rsid w:val="00F12392"/>
    <w:rsid w:val="00F165FA"/>
    <w:rsid w:val="00F17F6E"/>
    <w:rsid w:val="00F20E3B"/>
    <w:rsid w:val="00F21057"/>
    <w:rsid w:val="00F30202"/>
    <w:rsid w:val="00F37DA7"/>
    <w:rsid w:val="00F57A6B"/>
    <w:rsid w:val="00F61E4C"/>
    <w:rsid w:val="00F63A55"/>
    <w:rsid w:val="00F80BF0"/>
    <w:rsid w:val="00F94C44"/>
    <w:rsid w:val="00F954B2"/>
    <w:rsid w:val="00FA581B"/>
    <w:rsid w:val="00FA5BD2"/>
    <w:rsid w:val="00FA6B58"/>
    <w:rsid w:val="00FC09A9"/>
    <w:rsid w:val="00FC28A2"/>
    <w:rsid w:val="00FC29B0"/>
    <w:rsid w:val="00FD1988"/>
    <w:rsid w:val="00FD53A3"/>
    <w:rsid w:val="00FF090D"/>
    <w:rsid w:val="00FF1043"/>
    <w:rsid w:val="00FF2B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2F11AD"/>
  <w15:docId w15:val="{8148D57B-758B-4BF0-982C-D24BFC82D8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308E"/>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308E"/>
  </w:style>
  <w:style w:type="paragraph" w:styleId="Footer">
    <w:name w:val="footer"/>
    <w:basedOn w:val="Normal"/>
    <w:link w:val="FooterChar"/>
    <w:uiPriority w:val="99"/>
    <w:unhideWhenUsed/>
    <w:rsid w:val="00E4308E"/>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308E"/>
  </w:style>
  <w:style w:type="paragraph" w:styleId="NormalWeb">
    <w:name w:val="Normal (Web)"/>
    <w:basedOn w:val="Normal"/>
    <w:uiPriority w:val="99"/>
    <w:semiHidden/>
    <w:unhideWhenUsed/>
    <w:rsid w:val="006B3571"/>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paragraph" w:styleId="ListParagraph">
    <w:name w:val="List Paragraph"/>
    <w:basedOn w:val="Normal"/>
    <w:uiPriority w:val="34"/>
    <w:qFormat/>
    <w:rsid w:val="000E126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244192">
      <w:bodyDiv w:val="1"/>
      <w:marLeft w:val="0"/>
      <w:marRight w:val="0"/>
      <w:marTop w:val="0"/>
      <w:marBottom w:val="0"/>
      <w:divBdr>
        <w:top w:val="none" w:sz="0" w:space="0" w:color="auto"/>
        <w:left w:val="none" w:sz="0" w:space="0" w:color="auto"/>
        <w:bottom w:val="none" w:sz="0" w:space="0" w:color="auto"/>
        <w:right w:val="none" w:sz="0" w:space="0" w:color="auto"/>
      </w:divBdr>
    </w:div>
    <w:div w:id="322316919">
      <w:bodyDiv w:val="1"/>
      <w:marLeft w:val="0"/>
      <w:marRight w:val="0"/>
      <w:marTop w:val="0"/>
      <w:marBottom w:val="0"/>
      <w:divBdr>
        <w:top w:val="none" w:sz="0" w:space="0" w:color="auto"/>
        <w:left w:val="none" w:sz="0" w:space="0" w:color="auto"/>
        <w:bottom w:val="none" w:sz="0" w:space="0" w:color="auto"/>
        <w:right w:val="none" w:sz="0" w:space="0" w:color="auto"/>
      </w:divBdr>
    </w:div>
    <w:div w:id="362901828">
      <w:bodyDiv w:val="1"/>
      <w:marLeft w:val="0"/>
      <w:marRight w:val="0"/>
      <w:marTop w:val="0"/>
      <w:marBottom w:val="0"/>
      <w:divBdr>
        <w:top w:val="none" w:sz="0" w:space="0" w:color="auto"/>
        <w:left w:val="none" w:sz="0" w:space="0" w:color="auto"/>
        <w:bottom w:val="none" w:sz="0" w:space="0" w:color="auto"/>
        <w:right w:val="none" w:sz="0" w:space="0" w:color="auto"/>
      </w:divBdr>
    </w:div>
    <w:div w:id="458032835">
      <w:bodyDiv w:val="1"/>
      <w:marLeft w:val="0"/>
      <w:marRight w:val="0"/>
      <w:marTop w:val="0"/>
      <w:marBottom w:val="0"/>
      <w:divBdr>
        <w:top w:val="none" w:sz="0" w:space="0" w:color="auto"/>
        <w:left w:val="none" w:sz="0" w:space="0" w:color="auto"/>
        <w:bottom w:val="none" w:sz="0" w:space="0" w:color="auto"/>
        <w:right w:val="none" w:sz="0" w:space="0" w:color="auto"/>
      </w:divBdr>
    </w:div>
    <w:div w:id="6248927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2238</Words>
  <Characters>12757</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Tasleem kara</cp:lastModifiedBy>
  <cp:revision>2</cp:revision>
  <dcterms:created xsi:type="dcterms:W3CDTF">2023-07-13T16:32:00Z</dcterms:created>
  <dcterms:modified xsi:type="dcterms:W3CDTF">2023-07-13T16:32:00Z</dcterms:modified>
</cp:coreProperties>
</file>