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24C92E" w14:textId="77777777" w:rsidR="00621F27" w:rsidRPr="00074402" w:rsidRDefault="00621F27" w:rsidP="00621F27">
      <w:pPr>
        <w:spacing w:line="360" w:lineRule="auto"/>
        <w:rPr>
          <w:rFonts w:ascii="Arial" w:hAnsi="Arial" w:cs="Arial"/>
          <w:szCs w:val="24"/>
        </w:rPr>
      </w:pPr>
      <w:bookmarkStart w:id="0" w:name="_Hlk119323191"/>
      <w:r w:rsidRPr="00074402">
        <w:rPr>
          <w:rFonts w:ascii="Arial" w:hAnsi="Arial" w:cs="Arial"/>
          <w:noProof/>
          <w:szCs w:val="24"/>
        </w:rPr>
        <w:drawing>
          <wp:anchor distT="0" distB="0" distL="114300" distR="114300" simplePos="0" relativeHeight="251659264" behindDoc="0" locked="0" layoutInCell="1" allowOverlap="1" wp14:anchorId="7AA966A5" wp14:editId="4FD3D21C">
            <wp:simplePos x="0" y="0"/>
            <wp:positionH relativeFrom="column">
              <wp:posOffset>214489</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046B756" w14:textId="77777777" w:rsidR="00621F27" w:rsidRPr="00074402" w:rsidRDefault="00621F27" w:rsidP="00621F27">
      <w:pPr>
        <w:spacing w:line="360" w:lineRule="auto"/>
        <w:rPr>
          <w:rFonts w:ascii="Arial" w:hAnsi="Arial" w:cs="Arial"/>
          <w:szCs w:val="24"/>
        </w:rPr>
      </w:pPr>
    </w:p>
    <w:p w14:paraId="13F43EFA" w14:textId="77777777" w:rsidR="00621F27" w:rsidRPr="00074402" w:rsidRDefault="00621F27" w:rsidP="00621F27">
      <w:pPr>
        <w:spacing w:line="360" w:lineRule="auto"/>
        <w:rPr>
          <w:rFonts w:ascii="Arial" w:hAnsi="Arial" w:cs="Arial"/>
          <w:szCs w:val="24"/>
        </w:rPr>
      </w:pPr>
    </w:p>
    <w:p w14:paraId="1C20C368" w14:textId="77777777" w:rsidR="00621F27" w:rsidRPr="00074402" w:rsidRDefault="00621F27" w:rsidP="00621F27">
      <w:pPr>
        <w:spacing w:line="360" w:lineRule="auto"/>
        <w:rPr>
          <w:rFonts w:ascii="Arial" w:hAnsi="Arial" w:cs="Arial"/>
          <w:szCs w:val="24"/>
        </w:rPr>
      </w:pPr>
    </w:p>
    <w:p w14:paraId="2FF5244E" w14:textId="77777777" w:rsidR="00621F27" w:rsidRDefault="00621F27" w:rsidP="00621F27">
      <w:pPr>
        <w:tabs>
          <w:tab w:val="left" w:pos="6540"/>
        </w:tabs>
        <w:spacing w:line="360" w:lineRule="auto"/>
        <w:rPr>
          <w:rFonts w:ascii="Arial" w:hAnsi="Arial" w:cs="Arial"/>
          <w:sz w:val="28"/>
          <w:szCs w:val="28"/>
        </w:rPr>
      </w:pPr>
    </w:p>
    <w:p w14:paraId="6A7E8EAA" w14:textId="77777777" w:rsidR="00621F27" w:rsidRPr="00C83A82" w:rsidRDefault="00621F27" w:rsidP="00621F27">
      <w:pPr>
        <w:tabs>
          <w:tab w:val="left" w:pos="6540"/>
        </w:tabs>
        <w:spacing w:line="360" w:lineRule="auto"/>
        <w:rPr>
          <w:rFonts w:ascii="Arial" w:hAnsi="Arial" w:cs="Arial"/>
          <w:sz w:val="28"/>
          <w:szCs w:val="28"/>
        </w:rPr>
      </w:pPr>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Tania Begum</w:t>
      </w:r>
    </w:p>
    <w:p w14:paraId="1433F0CB" w14:textId="77777777" w:rsidR="00621F27" w:rsidRPr="00C83A82" w:rsidRDefault="00621F27" w:rsidP="00621F27">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2441716</w:t>
      </w:r>
    </w:p>
    <w:p w14:paraId="27A957D7" w14:textId="03D56AA0" w:rsidR="00621F27" w:rsidRPr="00C83A82" w:rsidRDefault="00621F27" w:rsidP="00621F27">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 xml:space="preserve">Module </w:t>
      </w:r>
      <w:proofErr w:type="spellStart"/>
      <w:proofErr w:type="gramStart"/>
      <w:r w:rsidRPr="00C83A82">
        <w:rPr>
          <w:rFonts w:ascii="Arial" w:hAnsi="Arial" w:cs="Arial"/>
          <w:b/>
          <w:bCs/>
          <w:sz w:val="28"/>
          <w:szCs w:val="28"/>
          <w:lang w:val="nl-NL"/>
        </w:rPr>
        <w:t>name</w:t>
      </w:r>
      <w:r>
        <w:rPr>
          <w:rFonts w:ascii="Arial" w:hAnsi="Arial" w:cs="Arial"/>
          <w:sz w:val="28"/>
          <w:szCs w:val="28"/>
          <w:lang w:val="nl-NL"/>
        </w:rPr>
        <w:t>:Psychology</w:t>
      </w:r>
      <w:proofErr w:type="spellEnd"/>
      <w:proofErr w:type="gramEnd"/>
      <w:r>
        <w:rPr>
          <w:rFonts w:ascii="Arial" w:hAnsi="Arial" w:cs="Arial"/>
          <w:sz w:val="28"/>
          <w:szCs w:val="28"/>
          <w:lang w:val="nl-NL"/>
        </w:rPr>
        <w:t xml:space="preserve"> in health </w:t>
      </w:r>
      <w:proofErr w:type="spellStart"/>
      <w:r>
        <w:rPr>
          <w:rFonts w:ascii="Arial" w:hAnsi="Arial" w:cs="Arial"/>
          <w:sz w:val="28"/>
          <w:szCs w:val="28"/>
          <w:lang w:val="nl-NL"/>
        </w:rPr>
        <w:t>and</w:t>
      </w:r>
      <w:proofErr w:type="spellEnd"/>
      <w:r>
        <w:rPr>
          <w:rFonts w:ascii="Arial" w:hAnsi="Arial" w:cs="Arial"/>
          <w:sz w:val="28"/>
          <w:szCs w:val="28"/>
          <w:lang w:val="nl-NL"/>
        </w:rPr>
        <w:t xml:space="preserve"> </w:t>
      </w:r>
      <w:proofErr w:type="spellStart"/>
      <w:r>
        <w:rPr>
          <w:rFonts w:ascii="Arial" w:hAnsi="Arial" w:cs="Arial"/>
          <w:sz w:val="28"/>
          <w:szCs w:val="28"/>
          <w:lang w:val="nl-NL"/>
        </w:rPr>
        <w:t>social</w:t>
      </w:r>
      <w:proofErr w:type="spellEnd"/>
      <w:r>
        <w:rPr>
          <w:rFonts w:ascii="Arial" w:hAnsi="Arial" w:cs="Arial"/>
          <w:sz w:val="28"/>
          <w:szCs w:val="28"/>
          <w:lang w:val="nl-NL"/>
        </w:rPr>
        <w:t xml:space="preserve"> care</w:t>
      </w:r>
    </w:p>
    <w:p w14:paraId="269BA082" w14:textId="3CA4ED14" w:rsidR="00621F27" w:rsidRPr="0020413D" w:rsidRDefault="00621F27" w:rsidP="00621F27">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proofErr w:type="gramStart"/>
      <w:r w:rsidRPr="0020413D">
        <w:rPr>
          <w:rFonts w:ascii="Arial" w:hAnsi="Arial" w:cs="Arial"/>
          <w:b/>
          <w:bCs/>
          <w:sz w:val="28"/>
          <w:szCs w:val="28"/>
        </w:rPr>
        <w:t>code</w:t>
      </w:r>
      <w:r w:rsidRPr="0020413D">
        <w:rPr>
          <w:rFonts w:ascii="Arial" w:hAnsi="Arial" w:cs="Arial"/>
          <w:sz w:val="28"/>
          <w:szCs w:val="28"/>
        </w:rPr>
        <w:t>:</w:t>
      </w:r>
      <w:r>
        <w:rPr>
          <w:rFonts w:ascii="Arial" w:hAnsi="Arial" w:cs="Arial"/>
          <w:sz w:val="28"/>
          <w:szCs w:val="28"/>
        </w:rPr>
        <w:t>LCHS</w:t>
      </w:r>
      <w:proofErr w:type="gramEnd"/>
      <w:r>
        <w:rPr>
          <w:rFonts w:ascii="Arial" w:hAnsi="Arial" w:cs="Arial"/>
          <w:sz w:val="28"/>
          <w:szCs w:val="28"/>
        </w:rPr>
        <w:t>4010</w:t>
      </w:r>
    </w:p>
    <w:p w14:paraId="3B69670E" w14:textId="0E3DD76D" w:rsidR="00621F27" w:rsidRDefault="00621F27" w:rsidP="00621F27">
      <w:r w:rsidRPr="0020413D">
        <w:rPr>
          <w:rFonts w:ascii="Arial" w:hAnsi="Arial" w:cs="Arial"/>
          <w:b/>
          <w:bCs/>
          <w:sz w:val="28"/>
          <w:szCs w:val="28"/>
        </w:rPr>
        <w:t xml:space="preserve">Lecturer </w:t>
      </w:r>
      <w:proofErr w:type="gramStart"/>
      <w:r w:rsidRPr="0020413D">
        <w:rPr>
          <w:rFonts w:ascii="Arial" w:hAnsi="Arial" w:cs="Arial"/>
          <w:b/>
          <w:bCs/>
          <w:sz w:val="28"/>
          <w:szCs w:val="28"/>
        </w:rPr>
        <w:t>name</w:t>
      </w:r>
      <w:r w:rsidRPr="0020413D">
        <w:t xml:space="preserve"> </w:t>
      </w:r>
      <w:r>
        <w:t>:</w:t>
      </w:r>
      <w:proofErr w:type="gramEnd"/>
      <w:r>
        <w:t xml:space="preserve"> </w:t>
      </w:r>
      <w:r>
        <w:rPr>
          <w:sz w:val="28"/>
          <w:szCs w:val="28"/>
        </w:rPr>
        <w:t xml:space="preserve">Pascal </w:t>
      </w:r>
      <w:proofErr w:type="spellStart"/>
      <w:r>
        <w:rPr>
          <w:sz w:val="28"/>
          <w:szCs w:val="28"/>
        </w:rPr>
        <w:t>Navelle</w:t>
      </w:r>
      <w:proofErr w:type="spellEnd"/>
    </w:p>
    <w:bookmarkEnd w:id="0"/>
    <w:p w14:paraId="55A35708" w14:textId="77777777" w:rsidR="00621F27" w:rsidRDefault="00621F27" w:rsidP="00621F27"/>
    <w:p w14:paraId="764EAAAA" w14:textId="77777777" w:rsidR="00621F27" w:rsidRDefault="00621F27" w:rsidP="00621F27"/>
    <w:p w14:paraId="42F63704" w14:textId="77777777" w:rsidR="00621F27" w:rsidRDefault="00621F27" w:rsidP="00621F27"/>
    <w:p w14:paraId="761F90CE" w14:textId="492A59AD" w:rsidR="003A72F2" w:rsidRDefault="003A72F2">
      <w:pPr>
        <w:rPr>
          <w:rFonts w:ascii="Arial" w:hAnsi="Arial" w:cs="Arial"/>
        </w:rPr>
      </w:pPr>
    </w:p>
    <w:p w14:paraId="0182F25D" w14:textId="77777777" w:rsidR="00621F27" w:rsidRDefault="00621F27">
      <w:pPr>
        <w:rPr>
          <w:rFonts w:ascii="Arial" w:hAnsi="Arial" w:cs="Arial"/>
        </w:rPr>
      </w:pPr>
    </w:p>
    <w:p w14:paraId="54E2B8D2" w14:textId="77777777" w:rsidR="00621F27" w:rsidRDefault="00621F27">
      <w:pPr>
        <w:rPr>
          <w:rFonts w:ascii="Arial" w:hAnsi="Arial" w:cs="Arial"/>
        </w:rPr>
      </w:pPr>
    </w:p>
    <w:p w14:paraId="5D72DE4C" w14:textId="77777777" w:rsidR="00621F27" w:rsidRDefault="00621F27">
      <w:pPr>
        <w:rPr>
          <w:rFonts w:ascii="Arial" w:hAnsi="Arial" w:cs="Arial"/>
        </w:rPr>
      </w:pPr>
    </w:p>
    <w:p w14:paraId="5C5835B4" w14:textId="77777777" w:rsidR="00621F27" w:rsidRDefault="00621F27">
      <w:pPr>
        <w:rPr>
          <w:rFonts w:ascii="Arial" w:hAnsi="Arial" w:cs="Arial"/>
        </w:rPr>
      </w:pPr>
    </w:p>
    <w:p w14:paraId="50D6B8EF" w14:textId="77777777" w:rsidR="00621F27" w:rsidRDefault="00621F27" w:rsidP="00621F27">
      <w:pPr>
        <w:pStyle w:val="s5"/>
        <w:spacing w:before="360" w:beforeAutospacing="0" w:after="0" w:afterAutospacing="0"/>
        <w:rPr>
          <w:rFonts w:ascii="-webkit-standard" w:hAnsi="-webkit-standard"/>
          <w:color w:val="000000"/>
          <w:sz w:val="18"/>
          <w:szCs w:val="18"/>
        </w:rPr>
      </w:pPr>
      <w:r>
        <w:rPr>
          <w:rStyle w:val="s4"/>
          <w:rFonts w:ascii="Calibri" w:eastAsiaTheme="majorEastAsia" w:hAnsi="Calibri" w:cs="Calibri"/>
          <w:b/>
          <w:bCs/>
          <w:color w:val="365F91"/>
          <w:sz w:val="21"/>
          <w:szCs w:val="21"/>
        </w:rPr>
        <w:t>Part A: Annotated Bibliography (750 words)</w:t>
      </w:r>
    </w:p>
    <w:p w14:paraId="588178EC" w14:textId="77777777" w:rsidR="00621F27" w:rsidRDefault="00621F27" w:rsidP="00621F27">
      <w:pPr>
        <w:pStyle w:val="s6"/>
        <w:spacing w:before="0" w:beforeAutospacing="0" w:after="150" w:afterAutospacing="0"/>
        <w:rPr>
          <w:rFonts w:ascii="-webkit-standard" w:hAnsi="-webkit-standard"/>
          <w:color w:val="000000"/>
          <w:sz w:val="18"/>
          <w:szCs w:val="18"/>
        </w:rPr>
      </w:pPr>
      <w:r>
        <w:rPr>
          <w:rFonts w:ascii="-webkit-standard" w:hAnsi="-webkit-standard"/>
          <w:color w:val="000000"/>
          <w:sz w:val="18"/>
          <w:szCs w:val="18"/>
        </w:rPr>
        <w:t>Erikson, E.H. (1950) Childhood and Society. New York: W.W. Norton &amp; Company.</w:t>
      </w:r>
      <w:r>
        <w:rPr>
          <w:rFonts w:ascii="-webkit-standard" w:hAnsi="-webkit-standard"/>
          <w:color w:val="000000"/>
          <w:sz w:val="18"/>
          <w:szCs w:val="18"/>
        </w:rPr>
        <w:br/>
      </w:r>
      <w:r>
        <w:rPr>
          <w:rFonts w:ascii="-webkit-standard" w:hAnsi="-webkit-standard"/>
          <w:color w:val="000000"/>
          <w:sz w:val="18"/>
          <w:szCs w:val="18"/>
        </w:rPr>
        <w:br/>
        <w:t>Erikson’s psychosocial theory outlines eight stages of development, with the final stage—ego integrity versus despair—being particularly relevant to older adults. This stage involves reflecting on one’s life, where a sense of fulfilment results in integrity, while regret may lead to despair (Erikson, 1950). The theory emphasises identity, meaning, and life review as central to psychological wellbeing in later life.</w:t>
      </w:r>
      <w:r>
        <w:rPr>
          <w:rFonts w:ascii="-webkit-standard" w:hAnsi="-webkit-standard"/>
          <w:color w:val="000000"/>
          <w:sz w:val="18"/>
          <w:szCs w:val="18"/>
        </w:rPr>
        <w:br/>
      </w:r>
      <w:r>
        <w:rPr>
          <w:rFonts w:ascii="-webkit-standard" w:hAnsi="-webkit-standard"/>
          <w:color w:val="000000"/>
          <w:sz w:val="18"/>
          <w:szCs w:val="18"/>
        </w:rPr>
        <w:br/>
        <w:t>Critically, Erikson’s theory is highly applicable in health and social care settings, particularly through interventions such as reminiscence therapy. These approaches allow older adults to construct a coherent life narrative, supporting emotional wellbeing. However, the theory has been criticised for its lack of empirical precision and its Western-centric assumptions about individual development. It may also oversimplify complex ageing experiences by framing them within a binary outcome of integrity or despair.</w:t>
      </w:r>
      <w:r>
        <w:rPr>
          <w:rFonts w:ascii="-webkit-standard" w:hAnsi="-webkit-standard"/>
          <w:color w:val="000000"/>
          <w:sz w:val="18"/>
          <w:szCs w:val="18"/>
        </w:rPr>
        <w:br/>
      </w:r>
      <w:r>
        <w:rPr>
          <w:rFonts w:ascii="-webkit-standard" w:hAnsi="-webkit-standard"/>
          <w:color w:val="000000"/>
          <w:sz w:val="18"/>
          <w:szCs w:val="18"/>
        </w:rPr>
        <w:br/>
        <w:t>Bowlby, J. (1969) Attachment and Loss: Vol. 1: Attachment. London: Hogarth Press.</w:t>
      </w:r>
      <w:r>
        <w:rPr>
          <w:rFonts w:ascii="-webkit-standard" w:hAnsi="-webkit-standard"/>
          <w:color w:val="000000"/>
          <w:sz w:val="18"/>
          <w:szCs w:val="18"/>
        </w:rPr>
        <w:br/>
      </w:r>
      <w:r>
        <w:rPr>
          <w:rFonts w:ascii="-webkit-standard" w:hAnsi="-webkit-standard"/>
          <w:color w:val="000000"/>
          <w:sz w:val="18"/>
          <w:szCs w:val="18"/>
        </w:rPr>
        <w:br/>
        <w:t xml:space="preserve">Bowlby’s attachment theory suggests that early relationships influence emotional bonds throughout life (Bowlby, 1969). In older adulthood, attachment needs may re-emerge, particularly in contexts such as illness or relocation into </w:t>
      </w:r>
      <w:r>
        <w:rPr>
          <w:rFonts w:ascii="-webkit-standard" w:hAnsi="-webkit-standard"/>
          <w:color w:val="000000"/>
          <w:sz w:val="18"/>
          <w:szCs w:val="18"/>
        </w:rPr>
        <w:lastRenderedPageBreak/>
        <w:t>residential care. Secure attachments are associated with emotional stability, while insecure attachments may lead to anxiety or withdrawal.</w:t>
      </w:r>
      <w:r>
        <w:rPr>
          <w:rFonts w:ascii="-webkit-standard" w:hAnsi="-webkit-standard"/>
          <w:color w:val="000000"/>
          <w:sz w:val="18"/>
          <w:szCs w:val="18"/>
        </w:rPr>
        <w:br/>
      </w:r>
      <w:r>
        <w:rPr>
          <w:rFonts w:ascii="-webkit-standard" w:hAnsi="-webkit-standard"/>
          <w:color w:val="000000"/>
          <w:sz w:val="18"/>
          <w:szCs w:val="18"/>
        </w:rPr>
        <w:br/>
        <w:t>This theory is particularly useful in care settings, as it highlights the importance of consistent and trusting relationships between staff and residents. Continuity of care can reduce distress and promote a sense of security. However, critics argue that the theory places too much emphasis on early life experiences and may underestimate the capacity for change and adaptation in later life. Additionally, its application in institutional settings can be challenging due to staff turnover and organisational constraints.</w:t>
      </w:r>
      <w:r>
        <w:rPr>
          <w:rFonts w:ascii="-webkit-standard" w:hAnsi="-webkit-standard"/>
          <w:color w:val="000000"/>
          <w:sz w:val="18"/>
          <w:szCs w:val="18"/>
        </w:rPr>
        <w:br/>
      </w:r>
      <w:r>
        <w:rPr>
          <w:rFonts w:ascii="-webkit-standard" w:hAnsi="-webkit-standard"/>
          <w:color w:val="000000"/>
          <w:sz w:val="18"/>
          <w:szCs w:val="18"/>
        </w:rPr>
        <w:br/>
        <w:t>Havighurst, R.J. (1961) ‘Successful Aging’, The Gerontologist, 1(1), pp. 8–13.</w:t>
      </w:r>
      <w:r>
        <w:rPr>
          <w:rFonts w:ascii="-webkit-standard" w:hAnsi="-webkit-standard"/>
          <w:color w:val="000000"/>
          <w:sz w:val="18"/>
          <w:szCs w:val="18"/>
        </w:rPr>
        <w:br/>
      </w:r>
      <w:r>
        <w:rPr>
          <w:rFonts w:ascii="-webkit-standard" w:hAnsi="-webkit-standard"/>
          <w:color w:val="000000"/>
          <w:sz w:val="18"/>
          <w:szCs w:val="18"/>
        </w:rPr>
        <w:br/>
        <w:t>Activity theory proposes that maintaining social, physical, and mental activity leads to higher life satisfaction in older age (Havighurst, 1961). It suggests that continued engagement in meaningful roles supports identity and wellbeing.</w:t>
      </w:r>
      <w:r>
        <w:rPr>
          <w:rFonts w:ascii="-webkit-standard" w:hAnsi="-webkit-standard"/>
          <w:color w:val="000000"/>
          <w:sz w:val="18"/>
          <w:szCs w:val="18"/>
        </w:rPr>
        <w:br/>
      </w:r>
      <w:r>
        <w:rPr>
          <w:rFonts w:ascii="-webkit-standard" w:hAnsi="-webkit-standard"/>
          <w:color w:val="000000"/>
          <w:sz w:val="18"/>
          <w:szCs w:val="18"/>
        </w:rPr>
        <w:br/>
        <w:t>In practice, this theory underpins many interventions in residential care, such as organised activities and social programmes. It aligns with policy initiatives promoting active ageing. Nevertheless, the theory has been criticised for its normative assumptions, implying that all individuals should remain active. This overlooks those with significant health limitations or personal preferences for solitude, potentially marginalising certain groups.</w:t>
      </w:r>
      <w:r>
        <w:rPr>
          <w:rFonts w:ascii="-webkit-standard" w:hAnsi="-webkit-standard"/>
          <w:color w:val="000000"/>
          <w:sz w:val="18"/>
          <w:szCs w:val="18"/>
        </w:rPr>
        <w:br/>
      </w:r>
      <w:r>
        <w:rPr>
          <w:rFonts w:ascii="-webkit-standard" w:hAnsi="-webkit-standard"/>
          <w:color w:val="000000"/>
          <w:sz w:val="18"/>
          <w:szCs w:val="18"/>
        </w:rPr>
        <w:br/>
        <w:t>Seligman, M.E.P. (2011) Flourish: A Visionary New Understanding of Happiness and Well-being. New York: Free Press.</w:t>
      </w:r>
      <w:r>
        <w:rPr>
          <w:rFonts w:ascii="-webkit-standard" w:hAnsi="-webkit-standard"/>
          <w:color w:val="000000"/>
          <w:sz w:val="18"/>
          <w:szCs w:val="18"/>
        </w:rPr>
        <w:br/>
      </w:r>
      <w:r>
        <w:rPr>
          <w:rFonts w:ascii="-webkit-standard" w:hAnsi="-webkit-standard"/>
          <w:color w:val="000000"/>
          <w:sz w:val="18"/>
          <w:szCs w:val="18"/>
        </w:rPr>
        <w:br/>
        <w:t>Seligman’s positive psychology framework focuses on enhancing wellbeing through the PERMA model: positive emotion, engagement, relationships, meaning, and accomplishment (Seligman, 2011). It shifts focus from deficits to strengths.</w:t>
      </w:r>
      <w:r>
        <w:rPr>
          <w:rFonts w:ascii="-webkit-standard" w:hAnsi="-webkit-standard"/>
          <w:color w:val="000000"/>
          <w:sz w:val="18"/>
          <w:szCs w:val="18"/>
        </w:rPr>
        <w:br/>
      </w:r>
      <w:r>
        <w:rPr>
          <w:rFonts w:ascii="-webkit-standard" w:hAnsi="-webkit-standard"/>
          <w:color w:val="000000"/>
          <w:sz w:val="18"/>
          <w:szCs w:val="18"/>
        </w:rPr>
        <w:br/>
        <w:t>This approach is valuable in care settings as it promotes a holistic view of wellbeing. However, critics argue that positive psychology may underestimate structural inequalities and health-related constraints faced by older adults. Its emphasis on individual responsibility may overlook systemic issues such as underfunding in care environments.</w:t>
      </w:r>
    </w:p>
    <w:p w14:paraId="7A08D63D" w14:textId="77777777" w:rsidR="00621F27" w:rsidRDefault="00621F27" w:rsidP="00621F27">
      <w:pPr>
        <w:pStyle w:val="s5"/>
        <w:spacing w:before="360" w:beforeAutospacing="0" w:after="0" w:afterAutospacing="0"/>
        <w:rPr>
          <w:rFonts w:ascii="-webkit-standard" w:hAnsi="-webkit-standard"/>
          <w:color w:val="000000"/>
          <w:sz w:val="18"/>
          <w:szCs w:val="18"/>
        </w:rPr>
      </w:pPr>
      <w:r>
        <w:rPr>
          <w:rStyle w:val="s4"/>
          <w:rFonts w:ascii="Calibri" w:eastAsiaTheme="majorEastAsia" w:hAnsi="Calibri" w:cs="Calibri"/>
          <w:b/>
          <w:bCs/>
          <w:color w:val="365F91"/>
          <w:sz w:val="21"/>
          <w:szCs w:val="21"/>
        </w:rPr>
        <w:t>Part B: Short Report (750 words)</w:t>
      </w:r>
    </w:p>
    <w:p w14:paraId="400FE091" w14:textId="77777777" w:rsidR="00621F27" w:rsidRDefault="00621F27" w:rsidP="00621F27">
      <w:pPr>
        <w:pStyle w:val="s6"/>
        <w:spacing w:before="0" w:beforeAutospacing="0" w:after="150" w:afterAutospacing="0"/>
        <w:rPr>
          <w:rFonts w:ascii="-webkit-standard" w:hAnsi="-webkit-standard"/>
          <w:color w:val="000000"/>
          <w:sz w:val="18"/>
          <w:szCs w:val="18"/>
        </w:rPr>
      </w:pPr>
      <w:r>
        <w:rPr>
          <w:rFonts w:ascii="-webkit-standard" w:hAnsi="-webkit-standard"/>
          <w:color w:val="000000"/>
          <w:sz w:val="18"/>
          <w:szCs w:val="18"/>
        </w:rPr>
        <w:t>Promoting psychological wellbeing in older adults is a central concern within health and social care. Havighurst’s Activity Theory provides a useful framework for understanding how engagement in meaningful activities can enhance wellbeing in residential care settings (Havighurst, 1961).</w:t>
      </w:r>
      <w:r>
        <w:rPr>
          <w:rFonts w:ascii="-webkit-standard" w:hAnsi="-webkit-standard"/>
          <w:color w:val="000000"/>
          <w:sz w:val="18"/>
          <w:szCs w:val="18"/>
        </w:rPr>
        <w:br/>
      </w:r>
      <w:r>
        <w:rPr>
          <w:rFonts w:ascii="-webkit-standard" w:hAnsi="-webkit-standard"/>
          <w:color w:val="000000"/>
          <w:sz w:val="18"/>
          <w:szCs w:val="18"/>
        </w:rPr>
        <w:br/>
        <w:t>Activity Theory suggests that older adults achieve greater life satisfaction when they remain socially and physically active. In residential care, this can be implemented through structured programmes such as group activities, creative sessions, and opportunities for social interaction. These interventions aim to reduce isolation and promote a sense of purpose.</w:t>
      </w:r>
      <w:r>
        <w:rPr>
          <w:rFonts w:ascii="-webkit-standard" w:hAnsi="-webkit-standard"/>
          <w:color w:val="000000"/>
          <w:sz w:val="18"/>
          <w:szCs w:val="18"/>
        </w:rPr>
        <w:br/>
      </w:r>
      <w:r>
        <w:rPr>
          <w:rFonts w:ascii="-webkit-standard" w:hAnsi="-webkit-standard"/>
          <w:color w:val="000000"/>
          <w:sz w:val="18"/>
          <w:szCs w:val="18"/>
        </w:rPr>
        <w:br/>
        <w:t>A key strength of Activity Theory is its practical applicability. For example, consider an older adult who previously engaged in gardening. By facilitating access to a garden or indoor planting activities, care providers can support continuity of identity and promote emotional wellbeing. Research suggests that such engagement can reduce symptoms of depression and improve quality of life.</w:t>
      </w:r>
      <w:r>
        <w:rPr>
          <w:rFonts w:ascii="-webkit-standard" w:hAnsi="-webkit-standard"/>
          <w:color w:val="000000"/>
          <w:sz w:val="18"/>
          <w:szCs w:val="18"/>
        </w:rPr>
        <w:br/>
      </w:r>
      <w:r>
        <w:rPr>
          <w:rFonts w:ascii="-webkit-standard" w:hAnsi="-webkit-standard"/>
          <w:color w:val="000000"/>
          <w:sz w:val="18"/>
          <w:szCs w:val="18"/>
        </w:rPr>
        <w:br/>
        <w:t>However, the theory is not without limitations. It assumes that activity is universally beneficial, which may not account for individual differences in health, ability, or preference. For residents with advanced dementia or physical impairments, participation in traditional activities may be limited. This raises questions about the inclusivity of the approach.</w:t>
      </w:r>
      <w:r>
        <w:rPr>
          <w:rFonts w:ascii="-webkit-standard" w:hAnsi="-webkit-standard"/>
          <w:color w:val="000000"/>
          <w:sz w:val="18"/>
          <w:szCs w:val="18"/>
        </w:rPr>
        <w:br/>
      </w:r>
      <w:r>
        <w:rPr>
          <w:rFonts w:ascii="-webkit-standard" w:hAnsi="-webkit-standard"/>
          <w:color w:val="000000"/>
          <w:sz w:val="18"/>
          <w:szCs w:val="18"/>
        </w:rPr>
        <w:br/>
        <w:t>A real-world example illustrates this application. An 80-year-old resident experiencing loneliness following relocation into a care home may initially withdraw from social interaction. Through personalised activity planning, staff may introduce one-to-one sessions based on the individual’s interests. Over time, this can build confidence and lead to participation in group activities, demonstrating the value of gradual engagement.</w:t>
      </w:r>
      <w:r>
        <w:rPr>
          <w:rFonts w:ascii="-webkit-standard" w:hAnsi="-webkit-standard"/>
          <w:color w:val="000000"/>
          <w:sz w:val="18"/>
          <w:szCs w:val="18"/>
        </w:rPr>
        <w:br/>
      </w:r>
      <w:r>
        <w:rPr>
          <w:rFonts w:ascii="-webkit-standard" w:hAnsi="-webkit-standard"/>
          <w:color w:val="000000"/>
          <w:sz w:val="18"/>
          <w:szCs w:val="18"/>
        </w:rPr>
        <w:br/>
        <w:t>One significant challenge in applying Activity Theory is resource limitation. Care homes often face staffing shortages, which can restrict the availability of activities and individualised support. Additionally, some residents may experience anxiety or lack motivation, further limiting engagement.</w:t>
      </w:r>
      <w:r>
        <w:rPr>
          <w:rFonts w:ascii="-webkit-standard" w:hAnsi="-webkit-standard"/>
          <w:color w:val="000000"/>
          <w:sz w:val="18"/>
          <w:szCs w:val="18"/>
        </w:rPr>
        <w:br/>
      </w:r>
      <w:r>
        <w:rPr>
          <w:rFonts w:ascii="-webkit-standard" w:hAnsi="-webkit-standard"/>
          <w:color w:val="000000"/>
          <w:sz w:val="18"/>
          <w:szCs w:val="18"/>
        </w:rPr>
        <w:br/>
        <w:t>To address these challenges, a person-centred approach is essential. Activities should be tailored to individual needs, preferences, and abilities. For example, chair-based exercises or sensory activities may be more appropriate for those with limited mobility. Staff training is also crucial in enabling effective communication and engagement strategies.</w:t>
      </w:r>
      <w:r>
        <w:rPr>
          <w:rFonts w:ascii="-webkit-standard" w:hAnsi="-webkit-standard"/>
          <w:color w:val="000000"/>
          <w:sz w:val="18"/>
          <w:szCs w:val="18"/>
        </w:rPr>
        <w:br/>
      </w:r>
      <w:r>
        <w:rPr>
          <w:rFonts w:ascii="-webkit-standard" w:hAnsi="-webkit-standard"/>
          <w:color w:val="000000"/>
          <w:sz w:val="18"/>
          <w:szCs w:val="18"/>
        </w:rPr>
        <w:br/>
        <w:t xml:space="preserve">Furthermore, involving family members and volunteers can enhance social interaction and provide additional support. This collaborative approach can help overcome resource constraints while fostering a sense of community </w:t>
      </w:r>
      <w:r>
        <w:rPr>
          <w:rFonts w:ascii="-webkit-standard" w:hAnsi="-webkit-standard"/>
          <w:color w:val="000000"/>
          <w:sz w:val="18"/>
          <w:szCs w:val="18"/>
        </w:rPr>
        <w:lastRenderedPageBreak/>
        <w:t>within the care setting.</w:t>
      </w:r>
      <w:r>
        <w:rPr>
          <w:rFonts w:ascii="-webkit-standard" w:hAnsi="-webkit-standard"/>
          <w:color w:val="000000"/>
          <w:sz w:val="18"/>
          <w:szCs w:val="18"/>
        </w:rPr>
        <w:br/>
      </w:r>
      <w:r>
        <w:rPr>
          <w:rFonts w:ascii="-webkit-standard" w:hAnsi="-webkit-standard"/>
          <w:color w:val="000000"/>
          <w:sz w:val="18"/>
          <w:szCs w:val="18"/>
        </w:rPr>
        <w:br/>
        <w:t>In conclusion, Activity Theory offers a valuable framework for promoting psychological wellbeing in residential care. While it has limitations, particularly regarding inclusivity and resource constraints, these can be mitigated through personalised and flexible approaches. By prioritising meaningful engagement, care providers can significantly enhance the quality of life for older adults.</w:t>
      </w:r>
    </w:p>
    <w:p w14:paraId="3C26DEA3" w14:textId="77777777" w:rsidR="00621F27" w:rsidRDefault="00621F27" w:rsidP="00621F27">
      <w:pPr>
        <w:pStyle w:val="s5"/>
        <w:spacing w:before="360" w:beforeAutospacing="0" w:after="0" w:afterAutospacing="0"/>
        <w:rPr>
          <w:rFonts w:ascii="-webkit-standard" w:hAnsi="-webkit-standard"/>
          <w:color w:val="000000"/>
          <w:sz w:val="18"/>
          <w:szCs w:val="18"/>
        </w:rPr>
      </w:pPr>
      <w:r>
        <w:rPr>
          <w:rStyle w:val="s4"/>
          <w:rFonts w:ascii="Calibri" w:eastAsiaTheme="majorEastAsia" w:hAnsi="Calibri" w:cs="Calibri"/>
          <w:b/>
          <w:bCs/>
          <w:color w:val="365F91"/>
          <w:sz w:val="21"/>
          <w:szCs w:val="21"/>
        </w:rPr>
        <w:t>Reference List</w:t>
      </w:r>
    </w:p>
    <w:p w14:paraId="3A37E364" w14:textId="77777777" w:rsidR="00621F27" w:rsidRDefault="00621F27" w:rsidP="00621F27">
      <w:pPr>
        <w:pStyle w:val="s6"/>
        <w:spacing w:before="0" w:beforeAutospacing="0" w:after="150" w:afterAutospacing="0"/>
        <w:rPr>
          <w:rFonts w:ascii="-webkit-standard" w:hAnsi="-webkit-standard"/>
          <w:color w:val="000000"/>
          <w:sz w:val="18"/>
          <w:szCs w:val="18"/>
        </w:rPr>
      </w:pPr>
      <w:r>
        <w:rPr>
          <w:rFonts w:ascii="-webkit-standard" w:hAnsi="-webkit-standard"/>
          <w:color w:val="000000"/>
          <w:sz w:val="18"/>
          <w:szCs w:val="18"/>
        </w:rPr>
        <w:t>Bowlby, J. (1969) Attachment and Loss: Vol. 1: Attachment. London: Hogarth Press.</w:t>
      </w:r>
      <w:r>
        <w:rPr>
          <w:rFonts w:ascii="-webkit-standard" w:hAnsi="-webkit-standard"/>
          <w:color w:val="000000"/>
          <w:sz w:val="18"/>
          <w:szCs w:val="18"/>
        </w:rPr>
        <w:br/>
        <w:t>Erikson, E.H. (1950) Childhood and Society. New York: W.W. Norton &amp; Company.</w:t>
      </w:r>
      <w:r>
        <w:rPr>
          <w:rFonts w:ascii="-webkit-standard" w:hAnsi="-webkit-standard"/>
          <w:color w:val="000000"/>
          <w:sz w:val="18"/>
          <w:szCs w:val="18"/>
        </w:rPr>
        <w:br/>
        <w:t>Havighurst, R.J. (1961) ‘Successful Aging’, The Gerontologist, 1(1), pp. 8–13.</w:t>
      </w:r>
      <w:r>
        <w:rPr>
          <w:rFonts w:ascii="-webkit-standard" w:hAnsi="-webkit-standard"/>
          <w:color w:val="000000"/>
          <w:sz w:val="18"/>
          <w:szCs w:val="18"/>
        </w:rPr>
        <w:br/>
        <w:t>Seligman, M.E.P. (2011) Flourish: A Visionary New Understanding of Happiness and Well-being. New York: Free Press.</w:t>
      </w:r>
    </w:p>
    <w:p w14:paraId="11863BF7" w14:textId="77777777" w:rsidR="00621F27" w:rsidRDefault="00621F27">
      <w:pPr>
        <w:rPr>
          <w:rFonts w:ascii="Arial" w:hAnsi="Arial" w:cs="Arial"/>
        </w:rPr>
      </w:pPr>
    </w:p>
    <w:p w14:paraId="3F38C5CE" w14:textId="77777777" w:rsidR="00621F27" w:rsidRDefault="00621F27">
      <w:pPr>
        <w:rPr>
          <w:rFonts w:ascii="Arial" w:hAnsi="Arial" w:cs="Arial"/>
        </w:rPr>
      </w:pPr>
    </w:p>
    <w:p w14:paraId="7DEC5412" w14:textId="77777777" w:rsidR="00621F27" w:rsidRDefault="00621F27">
      <w:pPr>
        <w:rPr>
          <w:rFonts w:ascii="Arial" w:hAnsi="Arial" w:cs="Arial"/>
        </w:rPr>
      </w:pPr>
    </w:p>
    <w:p w14:paraId="4759C7BD" w14:textId="77777777" w:rsidR="00621F27" w:rsidRDefault="00621F27">
      <w:pPr>
        <w:rPr>
          <w:rFonts w:ascii="Arial" w:hAnsi="Arial" w:cs="Arial"/>
        </w:rPr>
      </w:pPr>
    </w:p>
    <w:p w14:paraId="59DD5400" w14:textId="77777777" w:rsidR="00621F27" w:rsidRPr="00371FDC" w:rsidRDefault="00621F27">
      <w:pPr>
        <w:rPr>
          <w:rFonts w:ascii="Arial" w:hAnsi="Arial" w:cs="Arial"/>
        </w:rPr>
      </w:pPr>
    </w:p>
    <w:sectPr w:rsidR="00621F27" w:rsidRPr="00371F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FDC"/>
    <w:rsid w:val="00371FDC"/>
    <w:rsid w:val="003A72F2"/>
    <w:rsid w:val="00621F27"/>
    <w:rsid w:val="00A50F9B"/>
    <w:rsid w:val="00BE476A"/>
    <w:rsid w:val="00C85C34"/>
    <w:rsid w:val="00D85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9C4BD"/>
  <w15:chartTrackingRefBased/>
  <w15:docId w15:val="{3C1C3237-60DA-D041-AA01-903595B41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F27"/>
    <w:pPr>
      <w:spacing w:after="180" w:line="274" w:lineRule="auto"/>
    </w:pPr>
    <w:rPr>
      <w:sz w:val="21"/>
    </w:rPr>
  </w:style>
  <w:style w:type="paragraph" w:styleId="Heading1">
    <w:name w:val="heading 1"/>
    <w:basedOn w:val="Normal"/>
    <w:next w:val="Normal"/>
    <w:link w:val="Heading1Char"/>
    <w:uiPriority w:val="9"/>
    <w:qFormat/>
    <w:rsid w:val="00621F27"/>
    <w:pPr>
      <w:keepNext/>
      <w:keepLines/>
      <w:spacing w:before="360" w:after="0" w:line="240" w:lineRule="auto"/>
      <w:outlineLvl w:val="0"/>
    </w:pPr>
    <w:rPr>
      <w:rFonts w:asciiTheme="majorHAnsi" w:eastAsiaTheme="majorEastAsia" w:hAnsiTheme="majorHAnsi" w:cstheme="majorBidi"/>
      <w:bCs/>
      <w:color w:val="156082" w:themeColor="accent1"/>
      <w:spacing w:val="20"/>
      <w:sz w:val="32"/>
      <w:szCs w:val="28"/>
    </w:rPr>
  </w:style>
  <w:style w:type="paragraph" w:styleId="Heading2">
    <w:name w:val="heading 2"/>
    <w:basedOn w:val="Normal"/>
    <w:next w:val="Normal"/>
    <w:link w:val="Heading2Char"/>
    <w:uiPriority w:val="9"/>
    <w:semiHidden/>
    <w:unhideWhenUsed/>
    <w:qFormat/>
    <w:rsid w:val="00621F27"/>
    <w:pPr>
      <w:keepNext/>
      <w:keepLines/>
      <w:spacing w:before="120" w:after="0" w:line="240" w:lineRule="auto"/>
      <w:outlineLvl w:val="1"/>
    </w:pPr>
    <w:rPr>
      <w:rFonts w:eastAsiaTheme="majorEastAsia" w:cstheme="majorBidi"/>
      <w:b/>
      <w:bCs/>
      <w:color w:val="156082" w:themeColor="accent1"/>
      <w:sz w:val="28"/>
      <w:szCs w:val="26"/>
    </w:rPr>
  </w:style>
  <w:style w:type="paragraph" w:styleId="Heading3">
    <w:name w:val="heading 3"/>
    <w:basedOn w:val="Normal"/>
    <w:next w:val="Normal"/>
    <w:link w:val="Heading3Char"/>
    <w:uiPriority w:val="9"/>
    <w:semiHidden/>
    <w:unhideWhenUsed/>
    <w:qFormat/>
    <w:rsid w:val="00621F27"/>
    <w:pPr>
      <w:keepNext/>
      <w:keepLines/>
      <w:spacing w:before="20" w:after="0" w:line="240" w:lineRule="auto"/>
      <w:outlineLvl w:val="2"/>
    </w:pPr>
    <w:rPr>
      <w:rFonts w:asciiTheme="majorHAnsi" w:eastAsiaTheme="majorEastAsia" w:hAnsiTheme="majorHAnsi" w:cstheme="majorBidi"/>
      <w:bCs/>
      <w:color w:val="0E2841" w:themeColor="text2"/>
      <w:spacing w:val="14"/>
      <w:sz w:val="24"/>
    </w:rPr>
  </w:style>
  <w:style w:type="paragraph" w:styleId="Heading4">
    <w:name w:val="heading 4"/>
    <w:basedOn w:val="Normal"/>
    <w:next w:val="Normal"/>
    <w:link w:val="Heading4Char"/>
    <w:uiPriority w:val="9"/>
    <w:semiHidden/>
    <w:unhideWhenUsed/>
    <w:qFormat/>
    <w:rsid w:val="00621F27"/>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621F27"/>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621F27"/>
    <w:pPr>
      <w:keepNext/>
      <w:keepLines/>
      <w:spacing w:before="200" w:after="0"/>
      <w:outlineLvl w:val="5"/>
    </w:pPr>
    <w:rPr>
      <w:rFonts w:asciiTheme="majorHAnsi" w:eastAsiaTheme="majorEastAsia" w:hAnsiTheme="majorHAnsi" w:cstheme="majorBidi"/>
      <w:iCs/>
      <w:color w:val="156082" w:themeColor="accent1"/>
      <w:sz w:val="22"/>
    </w:rPr>
  </w:style>
  <w:style w:type="paragraph" w:styleId="Heading7">
    <w:name w:val="heading 7"/>
    <w:basedOn w:val="Normal"/>
    <w:next w:val="Normal"/>
    <w:link w:val="Heading7Char"/>
    <w:uiPriority w:val="9"/>
    <w:semiHidden/>
    <w:unhideWhenUsed/>
    <w:qFormat/>
    <w:rsid w:val="00621F27"/>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621F27"/>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621F27"/>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F27"/>
    <w:rPr>
      <w:rFonts w:asciiTheme="majorHAnsi" w:eastAsiaTheme="majorEastAsia" w:hAnsiTheme="majorHAnsi" w:cstheme="majorBidi"/>
      <w:bCs/>
      <w:color w:val="156082" w:themeColor="accent1"/>
      <w:spacing w:val="20"/>
      <w:sz w:val="32"/>
      <w:szCs w:val="28"/>
    </w:rPr>
  </w:style>
  <w:style w:type="character" w:customStyle="1" w:styleId="Heading2Char">
    <w:name w:val="Heading 2 Char"/>
    <w:basedOn w:val="DefaultParagraphFont"/>
    <w:link w:val="Heading2"/>
    <w:uiPriority w:val="9"/>
    <w:semiHidden/>
    <w:rsid w:val="00621F27"/>
    <w:rPr>
      <w:rFonts w:eastAsiaTheme="majorEastAsia" w:cstheme="majorBidi"/>
      <w:b/>
      <w:bCs/>
      <w:color w:val="156082" w:themeColor="accent1"/>
      <w:sz w:val="28"/>
      <w:szCs w:val="26"/>
    </w:rPr>
  </w:style>
  <w:style w:type="character" w:customStyle="1" w:styleId="Heading3Char">
    <w:name w:val="Heading 3 Char"/>
    <w:basedOn w:val="DefaultParagraphFont"/>
    <w:link w:val="Heading3"/>
    <w:uiPriority w:val="9"/>
    <w:semiHidden/>
    <w:rsid w:val="00621F27"/>
    <w:rPr>
      <w:rFonts w:asciiTheme="majorHAnsi" w:eastAsiaTheme="majorEastAsia" w:hAnsiTheme="majorHAnsi" w:cstheme="majorBidi"/>
      <w:bCs/>
      <w:color w:val="0E2841" w:themeColor="text2"/>
      <w:spacing w:val="14"/>
      <w:sz w:val="24"/>
    </w:rPr>
  </w:style>
  <w:style w:type="character" w:customStyle="1" w:styleId="Heading4Char">
    <w:name w:val="Heading 4 Char"/>
    <w:basedOn w:val="DefaultParagraphFont"/>
    <w:link w:val="Heading4"/>
    <w:uiPriority w:val="9"/>
    <w:semiHidden/>
    <w:rsid w:val="00621F27"/>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621F27"/>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621F27"/>
    <w:rPr>
      <w:rFonts w:asciiTheme="majorHAnsi" w:eastAsiaTheme="majorEastAsia" w:hAnsiTheme="majorHAnsi" w:cstheme="majorBidi"/>
      <w:iCs/>
      <w:color w:val="156082" w:themeColor="accent1"/>
    </w:rPr>
  </w:style>
  <w:style w:type="character" w:customStyle="1" w:styleId="Heading7Char">
    <w:name w:val="Heading 7 Char"/>
    <w:basedOn w:val="DefaultParagraphFont"/>
    <w:link w:val="Heading7"/>
    <w:uiPriority w:val="9"/>
    <w:semiHidden/>
    <w:rsid w:val="00621F27"/>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621F27"/>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621F27"/>
    <w:rPr>
      <w:rFonts w:asciiTheme="majorHAnsi" w:eastAsiaTheme="majorEastAsia" w:hAnsiTheme="majorHAnsi" w:cstheme="majorBidi"/>
      <w:i/>
      <w:iCs/>
      <w:color w:val="000000"/>
      <w:sz w:val="20"/>
      <w:szCs w:val="20"/>
    </w:rPr>
  </w:style>
  <w:style w:type="paragraph" w:styleId="Title">
    <w:name w:val="Title"/>
    <w:basedOn w:val="Normal"/>
    <w:next w:val="Normal"/>
    <w:link w:val="TitleChar"/>
    <w:uiPriority w:val="10"/>
    <w:qFormat/>
    <w:rsid w:val="00621F27"/>
    <w:pPr>
      <w:spacing w:after="120" w:line="240" w:lineRule="auto"/>
      <w:contextualSpacing/>
    </w:pPr>
    <w:rPr>
      <w:rFonts w:asciiTheme="majorHAnsi" w:eastAsiaTheme="majorEastAsia" w:hAnsiTheme="majorHAnsi" w:cstheme="majorBidi"/>
      <w:color w:val="0E2841" w:themeColor="text2"/>
      <w:spacing w:val="30"/>
      <w:kern w:val="28"/>
      <w:sz w:val="96"/>
      <w:szCs w:val="52"/>
    </w:rPr>
  </w:style>
  <w:style w:type="character" w:customStyle="1" w:styleId="TitleChar">
    <w:name w:val="Title Char"/>
    <w:basedOn w:val="DefaultParagraphFont"/>
    <w:link w:val="Title"/>
    <w:uiPriority w:val="10"/>
    <w:rsid w:val="00621F27"/>
    <w:rPr>
      <w:rFonts w:asciiTheme="majorHAnsi" w:eastAsiaTheme="majorEastAsia" w:hAnsiTheme="majorHAnsi" w:cstheme="majorBidi"/>
      <w:color w:val="0E2841" w:themeColor="text2"/>
      <w:spacing w:val="30"/>
      <w:kern w:val="28"/>
      <w:sz w:val="96"/>
      <w:szCs w:val="52"/>
    </w:rPr>
  </w:style>
  <w:style w:type="paragraph" w:styleId="Subtitle">
    <w:name w:val="Subtitle"/>
    <w:basedOn w:val="Normal"/>
    <w:next w:val="Normal"/>
    <w:link w:val="SubtitleChar"/>
    <w:uiPriority w:val="11"/>
    <w:qFormat/>
    <w:rsid w:val="00621F27"/>
    <w:pPr>
      <w:numPr>
        <w:ilvl w:val="1"/>
      </w:numPr>
    </w:pPr>
    <w:rPr>
      <w:rFonts w:eastAsiaTheme="majorEastAsia" w:cstheme="majorBidi"/>
      <w:iCs/>
      <w:color w:val="0E2841" w:themeColor="text2"/>
      <w:sz w:val="40"/>
      <w:szCs w:val="24"/>
    </w:rPr>
  </w:style>
  <w:style w:type="character" w:customStyle="1" w:styleId="SubtitleChar">
    <w:name w:val="Subtitle Char"/>
    <w:basedOn w:val="DefaultParagraphFont"/>
    <w:link w:val="Subtitle"/>
    <w:uiPriority w:val="11"/>
    <w:rsid w:val="00621F27"/>
    <w:rPr>
      <w:rFonts w:eastAsiaTheme="majorEastAsia" w:cstheme="majorBidi"/>
      <w:iCs/>
      <w:color w:val="0E2841" w:themeColor="text2"/>
      <w:sz w:val="40"/>
      <w:szCs w:val="24"/>
    </w:rPr>
  </w:style>
  <w:style w:type="paragraph" w:styleId="Quote">
    <w:name w:val="Quote"/>
    <w:basedOn w:val="Normal"/>
    <w:next w:val="Normal"/>
    <w:link w:val="QuoteChar"/>
    <w:uiPriority w:val="29"/>
    <w:qFormat/>
    <w:rsid w:val="00621F27"/>
    <w:pPr>
      <w:spacing w:after="0" w:line="360" w:lineRule="auto"/>
      <w:jc w:val="center"/>
    </w:pPr>
    <w:rPr>
      <w:rFonts w:eastAsiaTheme="minorEastAsia"/>
      <w:b/>
      <w:i/>
      <w:iCs/>
      <w:color w:val="156082" w:themeColor="accent1"/>
      <w:sz w:val="26"/>
    </w:rPr>
  </w:style>
  <w:style w:type="character" w:customStyle="1" w:styleId="QuoteChar">
    <w:name w:val="Quote Char"/>
    <w:basedOn w:val="DefaultParagraphFont"/>
    <w:link w:val="Quote"/>
    <w:uiPriority w:val="29"/>
    <w:rsid w:val="00621F27"/>
    <w:rPr>
      <w:rFonts w:eastAsiaTheme="minorEastAsia"/>
      <w:b/>
      <w:i/>
      <w:iCs/>
      <w:color w:val="156082" w:themeColor="accent1"/>
      <w:sz w:val="26"/>
    </w:rPr>
  </w:style>
  <w:style w:type="paragraph" w:styleId="ListParagraph">
    <w:name w:val="List Paragraph"/>
    <w:basedOn w:val="Normal"/>
    <w:uiPriority w:val="34"/>
    <w:qFormat/>
    <w:rsid w:val="00621F27"/>
    <w:pPr>
      <w:spacing w:line="240" w:lineRule="auto"/>
      <w:ind w:left="720" w:hanging="288"/>
      <w:contextualSpacing/>
    </w:pPr>
    <w:rPr>
      <w:color w:val="0E2841" w:themeColor="text2"/>
    </w:rPr>
  </w:style>
  <w:style w:type="character" w:styleId="IntenseEmphasis">
    <w:name w:val="Intense Emphasis"/>
    <w:basedOn w:val="DefaultParagraphFont"/>
    <w:uiPriority w:val="21"/>
    <w:qFormat/>
    <w:rsid w:val="00621F27"/>
    <w:rPr>
      <w:b/>
      <w:bCs/>
      <w:i/>
      <w:iCs/>
      <w:color w:val="156082" w:themeColor="accent1"/>
    </w:rPr>
  </w:style>
  <w:style w:type="paragraph" w:styleId="IntenseQuote">
    <w:name w:val="Intense Quote"/>
    <w:basedOn w:val="Normal"/>
    <w:next w:val="Normal"/>
    <w:link w:val="IntenseQuoteChar"/>
    <w:uiPriority w:val="30"/>
    <w:qFormat/>
    <w:rsid w:val="00621F27"/>
    <w:pPr>
      <w:pBdr>
        <w:top w:val="single" w:sz="36" w:space="8" w:color="156082" w:themeColor="accent1"/>
        <w:left w:val="single" w:sz="36" w:space="8" w:color="156082" w:themeColor="accent1"/>
        <w:bottom w:val="single" w:sz="36" w:space="8" w:color="156082" w:themeColor="accent1"/>
        <w:right w:val="single" w:sz="36" w:space="8" w:color="156082" w:themeColor="accent1"/>
      </w:pBdr>
      <w:shd w:val="clear" w:color="auto" w:fill="156082"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621F27"/>
    <w:rPr>
      <w:rFonts w:asciiTheme="majorHAnsi" w:eastAsiaTheme="minorEastAsia" w:hAnsiTheme="majorHAnsi"/>
      <w:bCs/>
      <w:iCs/>
      <w:color w:val="FFFFFF" w:themeColor="background1"/>
      <w:sz w:val="28"/>
      <w:shd w:val="clear" w:color="auto" w:fill="156082" w:themeFill="accent1"/>
    </w:rPr>
  </w:style>
  <w:style w:type="character" w:styleId="IntenseReference">
    <w:name w:val="Intense Reference"/>
    <w:basedOn w:val="DefaultParagraphFont"/>
    <w:uiPriority w:val="32"/>
    <w:qFormat/>
    <w:rsid w:val="00621F27"/>
    <w:rPr>
      <w:b w:val="0"/>
      <w:bCs/>
      <w:smallCaps/>
      <w:color w:val="156082" w:themeColor="accent1"/>
      <w:spacing w:val="5"/>
      <w:u w:val="single"/>
    </w:rPr>
  </w:style>
  <w:style w:type="paragraph" w:customStyle="1" w:styleId="PersonalName">
    <w:name w:val="Personal Name"/>
    <w:basedOn w:val="Title"/>
    <w:qFormat/>
    <w:rsid w:val="00621F27"/>
    <w:rPr>
      <w:b/>
      <w:caps/>
      <w:color w:val="000000"/>
      <w:sz w:val="28"/>
      <w:szCs w:val="28"/>
    </w:rPr>
  </w:style>
  <w:style w:type="paragraph" w:styleId="Caption">
    <w:name w:val="caption"/>
    <w:basedOn w:val="Normal"/>
    <w:next w:val="Normal"/>
    <w:uiPriority w:val="35"/>
    <w:semiHidden/>
    <w:unhideWhenUsed/>
    <w:qFormat/>
    <w:rsid w:val="00621F27"/>
    <w:pPr>
      <w:spacing w:line="240" w:lineRule="auto"/>
    </w:pPr>
    <w:rPr>
      <w:rFonts w:asciiTheme="majorHAnsi" w:eastAsiaTheme="minorEastAsia" w:hAnsiTheme="majorHAnsi"/>
      <w:bCs/>
      <w:smallCaps/>
      <w:color w:val="0E2841" w:themeColor="text2"/>
      <w:spacing w:val="6"/>
      <w:sz w:val="22"/>
      <w:szCs w:val="18"/>
    </w:rPr>
  </w:style>
  <w:style w:type="character" w:styleId="Strong">
    <w:name w:val="Strong"/>
    <w:basedOn w:val="DefaultParagraphFont"/>
    <w:uiPriority w:val="22"/>
    <w:qFormat/>
    <w:rsid w:val="00621F27"/>
    <w:rPr>
      <w:b w:val="0"/>
      <w:bCs/>
      <w:i/>
      <w:color w:val="0E2841" w:themeColor="text2"/>
    </w:rPr>
  </w:style>
  <w:style w:type="character" w:styleId="Emphasis">
    <w:name w:val="Emphasis"/>
    <w:basedOn w:val="DefaultParagraphFont"/>
    <w:uiPriority w:val="20"/>
    <w:qFormat/>
    <w:rsid w:val="00621F27"/>
    <w:rPr>
      <w:b/>
      <w:i/>
      <w:iCs/>
    </w:rPr>
  </w:style>
  <w:style w:type="paragraph" w:styleId="NoSpacing">
    <w:name w:val="No Spacing"/>
    <w:link w:val="NoSpacingChar"/>
    <w:uiPriority w:val="1"/>
    <w:qFormat/>
    <w:rsid w:val="00621F27"/>
    <w:pPr>
      <w:spacing w:after="0" w:line="240" w:lineRule="auto"/>
    </w:pPr>
  </w:style>
  <w:style w:type="character" w:customStyle="1" w:styleId="NoSpacingChar">
    <w:name w:val="No Spacing Char"/>
    <w:basedOn w:val="DefaultParagraphFont"/>
    <w:link w:val="NoSpacing"/>
    <w:uiPriority w:val="1"/>
    <w:rsid w:val="00621F27"/>
  </w:style>
  <w:style w:type="character" w:styleId="SubtleEmphasis">
    <w:name w:val="Subtle Emphasis"/>
    <w:basedOn w:val="DefaultParagraphFont"/>
    <w:uiPriority w:val="19"/>
    <w:qFormat/>
    <w:rsid w:val="00621F27"/>
    <w:rPr>
      <w:i/>
      <w:iCs/>
      <w:color w:val="000000"/>
    </w:rPr>
  </w:style>
  <w:style w:type="character" w:styleId="SubtleReference">
    <w:name w:val="Subtle Reference"/>
    <w:basedOn w:val="DefaultParagraphFont"/>
    <w:uiPriority w:val="31"/>
    <w:qFormat/>
    <w:rsid w:val="00621F27"/>
    <w:rPr>
      <w:smallCaps/>
      <w:color w:val="000000"/>
      <w:u w:val="single"/>
    </w:rPr>
  </w:style>
  <w:style w:type="character" w:styleId="BookTitle">
    <w:name w:val="Book Title"/>
    <w:basedOn w:val="DefaultParagraphFont"/>
    <w:uiPriority w:val="33"/>
    <w:qFormat/>
    <w:rsid w:val="00621F27"/>
    <w:rPr>
      <w:b/>
      <w:bCs/>
      <w:caps/>
      <w:smallCaps w:val="0"/>
      <w:color w:val="0E2841" w:themeColor="text2"/>
      <w:spacing w:val="10"/>
    </w:rPr>
  </w:style>
  <w:style w:type="paragraph" w:styleId="TOCHeading">
    <w:name w:val="TOC Heading"/>
    <w:basedOn w:val="Heading1"/>
    <w:next w:val="Normal"/>
    <w:uiPriority w:val="39"/>
    <w:semiHidden/>
    <w:unhideWhenUsed/>
    <w:qFormat/>
    <w:rsid w:val="00621F27"/>
    <w:pPr>
      <w:spacing w:before="480" w:line="264" w:lineRule="auto"/>
      <w:outlineLvl w:val="9"/>
    </w:pPr>
    <w:rPr>
      <w:b/>
    </w:rPr>
  </w:style>
  <w:style w:type="paragraph" w:customStyle="1" w:styleId="s5">
    <w:name w:val="s5"/>
    <w:basedOn w:val="Normal"/>
    <w:rsid w:val="00621F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4">
    <w:name w:val="s4"/>
    <w:basedOn w:val="DefaultParagraphFont"/>
    <w:rsid w:val="00621F27"/>
  </w:style>
  <w:style w:type="paragraph" w:customStyle="1" w:styleId="s6">
    <w:name w:val="s6"/>
    <w:basedOn w:val="Normal"/>
    <w:rsid w:val="00621F2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3</Pages>
  <Words>1075</Words>
  <Characters>6134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Begum (2441716)</dc:creator>
  <cp:keywords/>
  <dc:description/>
  <cp:lastModifiedBy>Tania Begum (2441716)</cp:lastModifiedBy>
  <cp:revision>1</cp:revision>
  <dcterms:created xsi:type="dcterms:W3CDTF">2026-04-22T12:13:00Z</dcterms:created>
  <dcterms:modified xsi:type="dcterms:W3CDTF">2026-04-22T13:07:00Z</dcterms:modified>
</cp:coreProperties>
</file>