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sdt>
      <w:sdtPr>
        <w:id w:val="1819841205"/>
        <w:docPartObj>
          <w:docPartGallery w:val="Cover Pages"/>
          <w:docPartUnique/>
        </w:docPartObj>
      </w:sdtPr>
      <w:sdtEndPr>
        <w:rPr>
          <w:rFonts w:ascii="Arial" w:hAnsi="Arial" w:cs="Arial"/>
          <w:sz w:val="24"/>
          <w:szCs w:val="24"/>
        </w:rPr>
      </w:sdtEndPr>
      <w:sdtContent>
        <w:p w14:paraId="55647D17" w14:textId="2454E373" w:rsidR="00982612" w:rsidRDefault="00982612">
          <w:r>
            <w:rPr>
              <w:noProof/>
            </w:rPr>
            <mc:AlternateContent>
              <mc:Choice Requires="wps">
                <w:drawing>
                  <wp:anchor distT="0" distB="0" distL="114300" distR="114300" simplePos="0" relativeHeight="251658245" behindDoc="0" locked="0" layoutInCell="1" allowOverlap="1" wp14:anchorId="0B1FB041" wp14:editId="59B9595F">
                    <wp:simplePos x="0" y="0"/>
                    <mc:AlternateContent>
                      <mc:Choice Requires="wp14">
                        <wp:positionH relativeFrom="page">
                          <wp14:pctPosHOffset>45500</wp14:pctPosHOffset>
                        </wp:positionH>
                      </mc:Choice>
                      <mc:Fallback>
                        <wp:positionH relativeFrom="page">
                          <wp:posOffset>3439795</wp:posOffset>
                        </wp:positionH>
                      </mc:Fallback>
                    </mc:AlternateContent>
                    <mc:AlternateContent>
                      <mc:Choice Requires="wp14">
                        <wp:positionV relativeFrom="page">
                          <wp14:pctPosVOffset>66000</wp14:pctPosVOffset>
                        </wp:positionV>
                      </mc:Choice>
                      <mc:Fallback>
                        <wp:positionV relativeFrom="page">
                          <wp:posOffset>7056755</wp:posOffset>
                        </wp:positionV>
                      </mc:Fallback>
                    </mc:AlternateContent>
                    <wp:extent cx="2797810" cy="268605"/>
                    <wp:effectExtent l="0" t="0" r="0" b="0"/>
                    <wp:wrapSquare wrapText="bothSides"/>
                    <wp:docPr id="465" name="Text Box 255"/>
                    <wp:cNvGraphicFramePr/>
                    <a:graphic xmlns:a="http://schemas.openxmlformats.org/drawingml/2006/main">
                      <a:graphicData uri="http://schemas.microsoft.com/office/word/2010/wordprocessingShape">
                        <wps:wsp>
                          <wps:cNvSpPr txBox="1"/>
                          <wps:spPr>
                            <a:xfrm>
                              <a:off x="0" y="0"/>
                              <a:ext cx="2797810" cy="268605"/>
                            </a:xfrm>
                            <a:prstGeom prst="rect">
                              <a:avLst/>
                            </a:prstGeom>
                            <a:noFill/>
                            <a:ln w="6350">
                              <a:noFill/>
                            </a:ln>
                            <a:effectLst/>
                          </wps:spPr>
                          <wps:txbx>
                            <w:txbxContent>
                              <w:p w14:paraId="35B7CFF9" w14:textId="05388429" w:rsidR="00982612" w:rsidRDefault="00000000">
                                <w:pPr>
                                  <w:pStyle w:val="NoSpacing"/>
                                  <w:rPr>
                                    <w:noProof/>
                                    <w:color w:val="0E2841" w:themeColor="text2"/>
                                  </w:rPr>
                                </w:pPr>
                                <w:sdt>
                                  <w:sdtPr>
                                    <w:rPr>
                                      <w:noProof/>
                                      <w:color w:val="0E2841" w:themeColor="text2"/>
                                    </w:rPr>
                                    <w:alias w:val="Author"/>
                                    <w:id w:val="15524260"/>
                                    <w:dataBinding w:prefixMappings="xmlns:ns0='http://schemas.openxmlformats.org/package/2006/metadata/core-properties' xmlns:ns1='http://purl.org/dc/elements/1.1/'" w:xpath="/ns0:coreProperties[1]/ns1:creator[1]" w:storeItemID="{6C3C8BC8-F283-45AE-878A-BAB7291924A1}"/>
                                    <w:text/>
                                  </w:sdtPr>
                                  <w:sdtContent>
                                    <w:r w:rsidR="00982612">
                                      <w:rPr>
                                        <w:noProof/>
                                        <w:color w:val="0E2841" w:themeColor="text2"/>
                                      </w:rPr>
                                      <w:t>Ceri Marie Jones (1806930)</w:t>
                                    </w:r>
                                  </w:sdtContent>
                                </w:sdt>
                              </w:p>
                            </w:txbxContent>
                          </wps:txbx>
                          <wps:bodyPr rot="0" spcFirstLastPara="0" vertOverflow="overflow" horzOverflow="overflow" vert="horz" wrap="square" lIns="91440" tIns="45720" rIns="91440" bIns="45720" numCol="1" spcCol="0" rtlCol="0" fromWordArt="0" anchor="b" anchorCtr="0" forceAA="0" compatLnSpc="1">
                            <a:prstTxWarp prst="textNoShape">
                              <a:avLst/>
                            </a:prstTxWarp>
                            <a:spAutoFit/>
                          </wps:bodyPr>
                        </wps:wsp>
                      </a:graphicData>
                    </a:graphic>
                    <wp14:sizeRelH relativeFrom="page">
                      <wp14:pctWidth>36000</wp14:pctWidth>
                    </wp14:sizeRelH>
                    <wp14:sizeRelV relativeFrom="margin">
                      <wp14:pctHeight>0</wp14:pctHeight>
                    </wp14:sizeRelV>
                  </wp:anchor>
                </w:drawing>
              </mc:Choice>
              <mc:Fallback>
                <w:pict>
                  <v:shapetype w14:anchorId="0B1FB041" id="_x0000_t202" coordsize="21600,21600" o:spt="202" path="m,l,21600r21600,l21600,xe">
                    <v:stroke joinstyle="miter"/>
                    <v:path gradientshapeok="t" o:connecttype="rect"/>
                  </v:shapetype>
                  <v:shape id="Text Box 255" o:spid="_x0000_s1026" type="#_x0000_t202" style="position:absolute;margin-left:0;margin-top:0;width:220.3pt;height:21.15pt;z-index:251658245;visibility:visible;mso-wrap-style:square;mso-width-percent:360;mso-height-percent:0;mso-left-percent:455;mso-top-percent:660;mso-wrap-distance-left:9pt;mso-wrap-distance-top:0;mso-wrap-distance-right:9pt;mso-wrap-distance-bottom:0;mso-position-horizontal-relative:page;mso-position-vertical-relative:page;mso-width-percent:360;mso-height-percent:0;mso-left-percent:455;mso-top-percent:660;mso-width-relative:page;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" filled="f" stroked="f" strokeweight=".5pt">
                    <v:textbox style="mso-fit-shape-to-text:t">
                      <w:txbxContent>
                        <w:p w14:paraId="35B7CFF9" w14:textId="05388429" w:rsidR="00982612" w:rsidRDefault="00000000">
                          <w:pPr>
                            <w:pStyle w:val="NoSpacing"/>
                            <w:rPr>
                              <w:noProof/>
                              <w:color w:val="0E2841" w:themeColor="text2"/>
                            </w:rPr>
                          </w:pPr>
                          <w:sdt>
                            <w:sdtPr>
                              <w:rPr>
                                <w:noProof/>
                                <w:color w:val="0E2841" w:themeColor="text2"/>
                              </w:rPr>
                              <w:alias w:val="Author"/>
                              <w:id w:val="15524260"/>
                              <w:dataBinding w:prefixMappings="xmlns:ns0='http://schemas.openxmlformats.org/package/2006/metadata/core-properties' xmlns:ns1='http://purl.org/dc/elements/1.1/'" w:xpath="/ns0:coreProperties[1]/ns1:creator[1]" w:storeItemID="{6C3C8BC8-F283-45AE-878A-BAB7291924A1}"/>
                              <w:text/>
                            </w:sdtPr>
                            <w:sdtContent>
                              <w:r w:rsidR="00982612">
                                <w:rPr>
                                  <w:noProof/>
                                  <w:color w:val="0E2841" w:themeColor="text2"/>
                                </w:rPr>
                                <w:t>Ceri Marie Jones (1806930)</w:t>
                              </w:r>
                            </w:sdtContent>
                          </w:sdt>
                        </w:p>
                      </w:txbxContent>
                    </v:textbox>
                    <w10:wrap type="square" anchorx="page" anchory="page"/>
                  </v:shape>
                </w:pict>
              </mc:Fallback>
            </mc:AlternateContent>
          </w:r>
          <w:r>
            <w:rPr>
              <w:noProof/>
            </w:rPr>
            <mc:AlternateContent>
              <mc:Choice Requires="wps">
                <w:drawing>
                  <wp:anchor distT="0" distB="0" distL="114300" distR="114300" simplePos="0" relativeHeight="251658244" behindDoc="1" locked="0" layoutInCell="1" allowOverlap="1" wp14:anchorId="36A66E59" wp14:editId="29E42832">
                    <wp:simplePos x="0" y="0"/>
                    <wp:positionH relativeFrom="page">
                      <wp:align>center</wp:align>
                    </wp:positionH>
                    <wp:positionV relativeFrom="page">
                      <wp:align>center</wp:align>
                    </wp:positionV>
                    <wp:extent cx="7383780" cy="9555480"/>
                    <wp:effectExtent l="0" t="0" r="7620" b="7620"/>
                    <wp:wrapNone/>
                    <wp:docPr id="466" name="Rectangle 25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7383780" cy="9555480"/>
                            </a:xfrm>
                            <a:prstGeom prst="rect">
                              <a:avLst/>
                            </a:prstGeom>
                            <a:gradFill>
                              <a:gsLst>
                                <a:gs pos="0">
                                  <a:schemeClr val="accent1">
                                    <a:lumMod val="20000"/>
                                    <a:lumOff val="80000"/>
                                  </a:schemeClr>
                                </a:gs>
                                <a:gs pos="100000">
                                  <a:schemeClr val="accent1">
                                    <a:lumMod val="60000"/>
                                    <a:lumOff val="40000"/>
                                  </a:schemeClr>
                                </a:gs>
                              </a:gsLst>
                            </a:gradFill>
                            <a:ln>
                              <a:noFill/>
                            </a:ln>
                          </wps:spPr>
                          <wps:style>
                            <a:lnRef idx="2">
                              <a:schemeClr val="accent1">
                                <a:shade val="50000"/>
                              </a:schemeClr>
                            </a:lnRef>
                            <a:fillRef idx="1003">
                              <a:schemeClr val="lt2"/>
                            </a:fillRef>
                            <a:effectRef idx="0">
                              <a:schemeClr val="accent1"/>
                            </a:effectRef>
                            <a:fontRef idx="minor">
                              <a:schemeClr val="lt1"/>
                            </a:fontRef>
                          </wps:style>
                          <wps:txbx>
                            <w:txbxContent>
                              <w:p w14:paraId="403F0374" w14:textId="77777777" w:rsidR="00982612" w:rsidRDefault="00982612"/>
                            </w:txbxContent>
                          </wps:txbx>
                          <wps:bodyPr rot="0" spcFirstLastPara="0" vertOverflow="overflow" horzOverflow="overflow" vert="horz" wrap="square" lIns="274320" tIns="45720" rIns="274320" bIns="45720" numCol="1" spcCol="0" rtlCol="0" fromWordArt="0" anchor="ctr" anchorCtr="0" forceAA="0" compatLnSpc="1">
                            <a:prstTxWarp prst="textNoShape">
                              <a:avLst/>
                            </a:prstTxWarp>
                            <a:noAutofit/>
                          </wps:bodyPr>
                        </wps:wsp>
                      </a:graphicData>
                    </a:graphic>
                    <wp14:sizeRelH relativeFrom="page">
                      <wp14:pctWidth>95000</wp14:pctWidth>
                    </wp14:sizeRelH>
                    <wp14:sizeRelV relativeFrom="page">
                      <wp14:pctHeight>95000</wp14:pctHeight>
                    </wp14:sizeRelV>
                  </wp:anchor>
                </w:drawing>
              </mc:Choice>
              <mc:Fallback>
                <w:pict>
                  <v:rect w14:anchorId="36A66E59" id="Rectangle 257" o:spid="_x0000_s1027" style="position:absolute;margin-left:0;margin-top:0;width:581.4pt;height:752.4pt;z-index:-251658236;visibility:visible;mso-wrap-style:square;mso-width-percent:950;mso-height-percent:950;mso-wrap-distance-left:9pt;mso-wrap-distance-top:0;mso-wrap-distance-right:9pt;mso-wrap-distance-bottom:0;mso-position-horizontal:center;mso-position-horizontal-relative:page;mso-position-vertical:center;mso-position-vertical-relative:page;mso-width-percent:950;mso-height-percent:95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" fillcolor="#c1e4f5 [660]" stroked="f" strokeweight="1pt">
                    <v:fill color2="#45b0e1 [1940]" rotate="t" focus="100%" type="gradient">
                      <o:fill v:ext="view" type="gradientUnscaled"/>
                    </v:fill>
                    <v:textbox inset="21.6pt,,21.6pt">
                      <w:txbxContent>
                        <w:p w14:paraId="403F0374" w14:textId="77777777" w:rsidR="00982612" w:rsidRDefault="00982612"/>
                      </w:txbxContent>
                    </v:textbox>
                    <w10:wrap anchorx="page" anchory="page"/>
                  </v:rect>
                </w:pict>
              </mc:Fallback>
            </mc:AlternateContent>
          </w:r>
          <w:r>
            <w:rPr>
              <w:noProof/>
            </w:rPr>
            <mc:AlternateContent>
              <mc:Choice Requires="wps">
                <w:drawing>
                  <wp:anchor distT="0" distB="0" distL="114300" distR="114300" simplePos="0" relativeHeight="251658241" behindDoc="0" locked="0" layoutInCell="1" allowOverlap="1" wp14:anchorId="30E6D42A" wp14:editId="22662C79">
                    <wp:simplePos x="0" y="0"/>
                    <mc:AlternateContent>
                      <mc:Choice Requires="wp14">
                        <wp:positionH relativeFrom="page">
                          <wp14:pctPosHOffset>45500</wp14:pctPosHOffset>
                        </wp:positionH>
                      </mc:Choice>
                      <mc:Fallback>
                        <wp:positionH relativeFrom="page">
                          <wp:posOffset>3439795</wp:posOffset>
                        </wp:positionH>
                      </mc:Fallback>
                    </mc:AlternateContent>
                    <mc:AlternateContent>
                      <mc:Choice Requires="wp14">
                        <wp:positionV relativeFrom="page">
                          <wp14:pctPosVOffset>2500</wp14:pctPosVOffset>
                        </wp:positionV>
                      </mc:Choice>
                      <mc:Fallback>
                        <wp:positionV relativeFrom="page">
                          <wp:posOffset>266700</wp:posOffset>
                        </wp:positionV>
                      </mc:Fallback>
                    </mc:AlternateContent>
                    <wp:extent cx="2875915" cy="3017520"/>
                    <wp:effectExtent l="0" t="0" r="0" b="0"/>
                    <wp:wrapNone/>
                    <wp:docPr id="467" name="Rectangle 259"/>
                    <wp:cNvGraphicFramePr/>
                    <a:graphic xmlns:a="http://schemas.openxmlformats.org/drawingml/2006/main">
                      <a:graphicData uri="http://schemas.microsoft.com/office/word/2010/wordprocessingShape">
                        <wps:wsp>
                          <wps:cNvSpPr/>
                          <wps:spPr>
                            <a:xfrm>
                              <a:off x="0" y="0"/>
                              <a:ext cx="2875915" cy="3017520"/>
                            </a:xfrm>
                            <a:prstGeom prst="rect">
                              <a:avLst/>
                            </a:prstGeom>
                            <a:solidFill>
                              <a:schemeClr val="tx2"/>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2743E5FA" w14:textId="1EF674AC" w:rsidR="00982612" w:rsidRDefault="00000000">
                                <w:pPr>
                                  <w:spacing w:before="240"/>
                                  <w:jc w:val="center"/>
                                  <w:rPr>
                                    <w:color w:val="FFFFFF" w:themeColor="background1"/>
                                  </w:rPr>
                                </w:pPr>
                                <w:sdt>
                                  <w:sdtPr>
                                    <w:rPr>
                                      <w:color w:val="FFFFFF" w:themeColor="background1"/>
                                    </w:rPr>
                                    <w:alias w:val="Abstract"/>
                                    <w:id w:val="8276291"/>
                                    <w:showingPlcHdr/>
                                    <w:dataBinding w:prefixMappings="xmlns:ns0='http://schemas.microsoft.com/office/2006/coverPageProps'" w:xpath="/ns0:CoverPageProperties[1]/ns0:Abstract[1]" w:storeItemID="{55AF091B-3C7A-41E3-B477-F2FDAA23CFDA}"/>
                                    <w:text/>
                                  </w:sdtPr>
                                  <w:sdtContent>
                                    <w:r w:rsidR="008754CE">
                                      <w:rPr>
                                        <w:color w:val="FFFFFF" w:themeColor="background1"/>
                                      </w:rPr>
                                      <w:t xml:space="preserve">     </w:t>
                                    </w:r>
                                  </w:sdtContent>
                                </w:sdt>
                                <w:r w:rsidR="008754CE" w:rsidRPr="008754CE">
                                  <w:rPr>
                                    <w:noProof/>
                                  </w:rPr>
                                  <w:drawing>
                                    <wp:inline distT="0" distB="0" distL="0" distR="0" wp14:anchorId="6FE6B82F" wp14:editId="7A86485C">
                                      <wp:extent cx="2522893" cy="1276350"/>
                                      <wp:effectExtent l="0" t="0" r="0" b="0"/>
                                      <wp:docPr id="180411422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04114225" name=""/>
                                              <pic:cNvPicPr/>
                                            </pic:nvPicPr>
                                            <pic:blipFill>
                                              <a:blip r:embed="rId10"/>
                                              <a:stretch>
                                                <a:fillRect/>
                                              </a:stretch>
                                            </pic:blipFill>
                                            <pic:spPr>
                                              <a:xfrm>
                                                <a:off x="0" y="0"/>
                                                <a:ext cx="2528360" cy="1279116"/>
                                              </a:xfrm>
                                              <a:prstGeom prst="rect">
                                                <a:avLst/>
                                              </a:prstGeom>
                                            </pic:spPr>
                                          </pic:pic>
                                        </a:graphicData>
                                      </a:graphic>
                                    </wp:inline>
                                  </w:drawing>
                                </w:r>
                              </w:p>
                            </w:txbxContent>
                          </wps:txbx>
                          <wps:bodyPr rot="0" spcFirstLastPara="0" vertOverflow="overflow" horzOverflow="overflow" vert="horz" wrap="square" lIns="182880" tIns="182880" rIns="182880" bIns="365760" numCol="1" spcCol="0" rtlCol="0" fromWordArt="0" anchor="b" anchorCtr="0" forceAA="0" compatLnSpc="1">
                            <a:prstTxWarp prst="textNoShape">
                              <a:avLst/>
                            </a:prstTxWarp>
                            <a:noAutofit/>
                          </wps:bodyPr>
                        </wps:wsp>
                      </a:graphicData>
                    </a:graphic>
                    <wp14:sizeRelH relativeFrom="page">
                      <wp14:pctWidth>37000</wp14:pctWidth>
                    </wp14:sizeRelH>
                    <wp14:sizeRelV relativeFrom="page">
                      <wp14:pctHeight>30000</wp14:pctHeight>
                    </wp14:sizeRelV>
                  </wp:anchor>
                </w:drawing>
              </mc:Choice>
              <mc:Fallback>
                <w:pict>
                  <v:rect w14:anchorId="30E6D42A" id="Rectangle 259" o:spid="_x0000_s1028" style="position:absolute;margin-left:0;margin-top:0;width:226.45pt;height:237.6pt;z-index:251658241;visibility:visible;mso-wrap-style:square;mso-width-percent:370;mso-height-percent:300;mso-left-percent:455;mso-top-percent:25;mso-wrap-distance-left:9pt;mso-wrap-distance-top:0;mso-wrap-distance-right:9pt;mso-wrap-distance-bottom:0;mso-position-horizontal-relative:page;mso-position-vertical-relative:page;mso-width-percent:370;mso-height-percent:300;mso-left-percent:455;mso-top-percent:25;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" fillcolor="#0e2841 [3215]" stroked="f" strokeweight="1pt">
                    <v:textbox inset="14.4pt,14.4pt,14.4pt,28.8pt">
                      <w:txbxContent>
                        <w:p w14:paraId="2743E5FA" w14:textId="1EF674AC" w:rsidR="00982612" w:rsidRDefault="00000000">
                          <w:pPr>
                            <w:spacing w:before="240"/>
                            <w:jc w:val="center"/>
                            <w:rPr>
                              <w:color w:val="FFFFFF" w:themeColor="background1"/>
                            </w:rPr>
                          </w:pPr>
                          <w:sdt>
                            <w:sdtPr>
                              <w:rPr>
                                <w:color w:val="FFFFFF" w:themeColor="background1"/>
                              </w:rPr>
                              <w:alias w:val="Abstract"/>
                              <w:id w:val="8276291"/>
                              <w:showingPlcHdr/>
                              <w:dataBinding w:prefixMappings="xmlns:ns0='http://schemas.microsoft.com/office/2006/coverPageProps'" w:xpath="/ns0:CoverPageProperties[1]/ns0:Abstract[1]" w:storeItemID="{55AF091B-3C7A-41E3-B477-F2FDAA23CFDA}"/>
                              <w:text/>
                            </w:sdtPr>
                            <w:sdtContent>
                              <w:r w:rsidR="008754CE">
                                <w:rPr>
                                  <w:color w:val="FFFFFF" w:themeColor="background1"/>
                                </w:rPr>
                                <w:t xml:space="preserve">     </w:t>
                              </w:r>
                            </w:sdtContent>
                          </w:sdt>
                          <w:r w:rsidR="008754CE" w:rsidRPr="008754CE">
                            <w:rPr>
                              <w:noProof/>
                            </w:rPr>
                            <w:drawing>
                              <wp:inline distT="0" distB="0" distL="0" distR="0" wp14:anchorId="6FE6B82F" wp14:editId="7A86485C">
                                <wp:extent cx="2522893" cy="1276350"/>
                                <wp:effectExtent l="0" t="0" r="0" b="0"/>
                                <wp:docPr id="180411422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04114225" name=""/>
                                        <pic:cNvPicPr/>
                                      </pic:nvPicPr>
                                      <pic:blipFill>
                                        <a:blip r:embed="rId10"/>
                                        <a:stretch>
                                          <a:fillRect/>
                                        </a:stretch>
                                      </pic:blipFill>
                                      <pic:spPr>
                                        <a:xfrm>
                                          <a:off x="0" y="0"/>
                                          <a:ext cx="2528360" cy="1279116"/>
                                        </a:xfrm>
                                        <a:prstGeom prst="rect">
                                          <a:avLst/>
                                        </a:prstGeom>
                                      </pic:spPr>
                                    </pic:pic>
                                  </a:graphicData>
                                </a:graphic>
                              </wp:inline>
                            </w:drawing>
                          </w:r>
                        </w:p>
                      </w:txbxContent>
                    </v:textbox>
                    <w10:wrap anchorx="page" anchory="page"/>
                  </v:rect>
                </w:pict>
              </mc:Fallback>
            </mc:AlternateContent>
          </w:r>
          <w:r>
            <w:rPr>
              <w:noProof/>
            </w:rPr>
            <mc:AlternateContent>
              <mc:Choice Requires="wps">
                <w:drawing>
                  <wp:anchor distT="0" distB="0" distL="114300" distR="114300" simplePos="0" relativeHeight="251658240" behindDoc="0" locked="0" layoutInCell="1" allowOverlap="1" wp14:anchorId="44C4CFEF" wp14:editId="4D69E395">
                    <wp:simplePos x="0" y="0"/>
                    <mc:AlternateContent>
                      <mc:Choice Requires="wp14">
                        <wp:positionH relativeFrom="page">
                          <wp14:pctPosHOffset>44000</wp14:pctPosHOffset>
                        </wp:positionH>
                      </mc:Choice>
                      <mc:Fallback>
                        <wp:positionH relativeFrom="page">
                          <wp:posOffset>3326130</wp:posOffset>
                        </wp:positionH>
                      </mc:Fallback>
                    </mc:AlternateContent>
                    <mc:AlternateContent>
                      <mc:Choice Requires="wp14">
                        <wp:positionV relativeFrom="page">
                          <wp14:pctPosVOffset>2500</wp14:pctPosVOffset>
                        </wp:positionV>
                      </mc:Choice>
                      <mc:Fallback>
                        <wp:positionV relativeFrom="page">
                          <wp:posOffset>266700</wp:posOffset>
                        </wp:positionV>
                      </mc:Fallback>
                    </mc:AlternateContent>
                    <wp:extent cx="3108960" cy="7040880"/>
                    <wp:effectExtent l="0" t="0" r="0" b="0"/>
                    <wp:wrapNone/>
                    <wp:docPr id="468" name="Rectangle 261"/>
                    <wp:cNvGraphicFramePr/>
                    <a:graphic xmlns:a="http://schemas.openxmlformats.org/drawingml/2006/main">
                      <a:graphicData uri="http://schemas.microsoft.com/office/word/2010/wordprocessingShape">
                        <wps:wsp>
                          <wps:cNvSpPr/>
                          <wps:spPr>
                            <a:xfrm>
                              <a:off x="0" y="0"/>
                              <a:ext cx="3108960" cy="7040880"/>
                            </a:xfrm>
                            <a:prstGeom prst="rect">
                              <a:avLst/>
                            </a:prstGeom>
                            <a:solidFill>
                              <a:schemeClr val="bg1"/>
                            </a:solidFill>
                            <a:ln w="15875">
                              <a:solidFill>
                                <a:schemeClr val="bg2">
                                  <a:lumMod val="50000"/>
                                </a:schemeClr>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40000</wp14:pctWidth>
                    </wp14:sizeRelH>
                    <wp14:sizeRelV relativeFrom="page">
                      <wp14:pctHeight>70000</wp14:pctHeight>
                    </wp14:sizeRelV>
                  </wp:anchor>
                </w:drawing>
              </mc:Choice>
              <mc:Fallback xmlns:arto="http://schemas.microsoft.com/office/word/2006/arto" xmlns:pic="http://schemas.openxmlformats.org/drawingml/2006/picture" xmlns:a="http://schemas.openxmlformats.org/drawingml/2006/main">
                <w:pict>
                  <v:rect id="Rectangle 261" style="position:absolute;margin-left:0;margin-top:0;width:244.8pt;height:554.4pt;z-index:251659264;visibility:visible;mso-wrap-style:square;mso-width-percent:400;mso-height-percent:700;mso-left-percent:440;mso-top-percent:25;mso-wrap-distance-left:9pt;mso-wrap-distance-top:0;mso-wrap-distance-right:9pt;mso-wrap-distance-bottom:0;mso-position-horizontal-relative:page;mso-position-vertical-relative:page;mso-width-percent:400;mso-height-percent:700;mso-left-percent:440;mso-top-percent:25;mso-width-relative:page;mso-height-relative:page;v-text-anchor:middle" o:spid="_x0000_s1026" fillcolor="white [3212]" strokecolor="#737373 [1614]" strokeweight="1.25pt" w14:anchorId="1AAA638B"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">
                    <w10:wrap anchorx="page" anchory="page"/>
                  </v:rect>
                </w:pict>
              </mc:Fallback>
            </mc:AlternateContent>
          </w:r>
          <w:r>
            <w:rPr>
              <w:noProof/>
            </w:rPr>
            <mc:AlternateContent>
              <mc:Choice Requires="wps">
                <w:drawing>
                  <wp:anchor distT="0" distB="0" distL="114300" distR="114300" simplePos="0" relativeHeight="251658243" behindDoc="0" locked="0" layoutInCell="1" allowOverlap="1" wp14:anchorId="724CAA36" wp14:editId="022AC6B8">
                    <wp:simplePos x="0" y="0"/>
                    <mc:AlternateContent>
                      <mc:Choice Requires="wp14">
                        <wp:positionH relativeFrom="page">
                          <wp14:pctPosHOffset>45500</wp14:pctPosHOffset>
                        </wp:positionH>
                      </mc:Choice>
                      <mc:Fallback>
                        <wp:positionH relativeFrom="page">
                          <wp:posOffset>3439795</wp:posOffset>
                        </wp:positionH>
                      </mc:Fallback>
                    </mc:AlternateContent>
                    <mc:AlternateContent>
                      <mc:Choice Requires="wp14">
                        <wp:positionV relativeFrom="page">
                          <wp14:pctPosVOffset>69000</wp14:pctPosVOffset>
                        </wp:positionV>
                      </mc:Choice>
                      <mc:Fallback>
                        <wp:positionV relativeFrom="page">
                          <wp:posOffset>7377430</wp:posOffset>
                        </wp:positionV>
                      </mc:Fallback>
                    </mc:AlternateContent>
                    <wp:extent cx="2875915" cy="118745"/>
                    <wp:effectExtent l="0" t="0" r="0" b="0"/>
                    <wp:wrapNone/>
                    <wp:docPr id="469" name="Rectangle 263"/>
                    <wp:cNvGraphicFramePr/>
                    <a:graphic xmlns:a="http://schemas.openxmlformats.org/drawingml/2006/main">
                      <a:graphicData uri="http://schemas.microsoft.com/office/word/2010/wordprocessingShape">
                        <wps:wsp>
                          <wps:cNvSpPr/>
                          <wps:spPr>
                            <a:xfrm>
                              <a:off x="0" y="0"/>
                              <a:ext cx="2875915" cy="118745"/>
                            </a:xfrm>
                            <a:prstGeom prst="rect">
                              <a:avLst/>
                            </a:prstGeom>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37000</wp14:pctWidth>
                    </wp14:sizeRelH>
                    <wp14:sizeRelV relativeFrom="margin">
                      <wp14:pctHeight>0</wp14:pctHeight>
                    </wp14:sizeRelV>
                  </wp:anchor>
                </w:drawing>
              </mc:Choice>
              <mc:Fallback xmlns:arto="http://schemas.microsoft.com/office/word/2006/arto" xmlns:pic="http://schemas.openxmlformats.org/drawingml/2006/picture" xmlns:a="http://schemas.openxmlformats.org/drawingml/2006/main">
                <w:pict>
                  <v:rect id="Rectangle 263" style="position:absolute;margin-left:0;margin-top:0;width:226.45pt;height:9.35pt;z-index:251662336;visibility:visible;mso-wrap-style:square;mso-width-percent:370;mso-height-percent:0;mso-left-percent:455;mso-top-percent:690;mso-wrap-distance-left:9pt;mso-wrap-distance-top:0;mso-wrap-distance-right:9pt;mso-wrap-distance-bottom:0;mso-position-horizontal-relative:page;mso-position-vertical-relative:page;mso-width-percent:370;mso-height-percent:0;mso-left-percent:455;mso-top-percent:690;mso-width-relative:page;mso-height-relative:margin;v-text-anchor:middle" o:spid="_x0000_s1026" fillcolor="#156082 [3204]" stroked="f" strokeweight="1pt" w14:anchorId="7D83127B"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">
                    <w10:wrap anchorx="page" anchory="page"/>
                  </v:rect>
                </w:pict>
              </mc:Fallback>
            </mc:AlternateContent>
          </w:r>
        </w:p>
        <w:p w14:paraId="51CDFE7B" w14:textId="77777777" w:rsidR="008B6235" w:rsidRDefault="008754CE" w:rsidP="008B6235">
          <w:pPr>
            <w:rPr>
              <w:rFonts w:ascii="Arial" w:hAnsi="Arial" w:cs="Arial"/>
              <w:sz w:val="24"/>
              <w:szCs w:val="24"/>
            </w:rPr>
          </w:pPr>
          <w:r>
            <w:rPr>
              <w:noProof/>
            </w:rPr>
            <mc:AlternateContent>
              <mc:Choice Requires="wps">
                <w:drawing>
                  <wp:anchor distT="0" distB="0" distL="114300" distR="114300" simplePos="0" relativeHeight="251658242" behindDoc="0" locked="0" layoutInCell="1" allowOverlap="1" wp14:anchorId="3E161FF0" wp14:editId="0AB2E88A">
                    <wp:simplePos x="0" y="0"/>
                    <wp:positionH relativeFrom="page">
                      <wp:posOffset>3429000</wp:posOffset>
                    </wp:positionH>
                    <wp:positionV relativeFrom="page">
                      <wp:posOffset>3533775</wp:posOffset>
                    </wp:positionV>
                    <wp:extent cx="2731135" cy="3007995"/>
                    <wp:effectExtent l="0" t="0" r="0" b="1905"/>
                    <wp:wrapSquare wrapText="bothSides"/>
                    <wp:docPr id="470" name="Text Box 265"/>
                    <wp:cNvGraphicFramePr/>
                    <a:graphic xmlns:a="http://schemas.openxmlformats.org/drawingml/2006/main">
                      <a:graphicData uri="http://schemas.microsoft.com/office/word/2010/wordprocessingShape">
                        <wps:wsp>
                          <wps:cNvSpPr txBox="1"/>
                          <wps:spPr>
                            <a:xfrm>
                              <a:off x="0" y="0"/>
                              <a:ext cx="2731135" cy="3007995"/>
                            </a:xfrm>
                            <a:prstGeom prst="rect">
                              <a:avLst/>
                            </a:prstGeom>
                            <a:noFill/>
                            <a:ln w="6350">
                              <a:noFill/>
                            </a:ln>
                            <a:effectLst/>
                          </wps:spPr>
                          <wps:txbx>
                            <w:txbxContent>
                              <w:p w14:paraId="3FADB01B" w14:textId="04D73587" w:rsidR="00982612" w:rsidRPr="008754CE" w:rsidRDefault="00000000">
                                <w:pPr>
                                  <w:spacing w:line="240" w:lineRule="auto"/>
                                  <w:rPr>
                                    <w:rFonts w:asciiTheme="majorHAnsi" w:eastAsiaTheme="majorEastAsia" w:hAnsiTheme="majorHAnsi" w:cstheme="majorBidi"/>
                                    <w:noProof/>
                                    <w:color w:val="156082" w:themeColor="accent1"/>
                                    <w:sz w:val="48"/>
                                    <w:szCs w:val="48"/>
                                  </w:rPr>
                                </w:pPr>
                                <w:sdt>
                                  <w:sdtPr>
                                    <w:rPr>
                                      <w:rFonts w:asciiTheme="majorHAnsi" w:eastAsiaTheme="majorEastAsia" w:hAnsiTheme="majorHAnsi" w:cstheme="majorBidi"/>
                                      <w:noProof/>
                                      <w:color w:val="156082" w:themeColor="accent1"/>
                                      <w:sz w:val="48"/>
                                      <w:szCs w:val="48"/>
                                    </w:rPr>
                                    <w:alias w:val="Title"/>
                                    <w:id w:val="-958338334"/>
                                    <w:dataBinding w:prefixMappings="xmlns:ns0='http://schemas.openxmlformats.org/package/2006/metadata/core-properties' xmlns:ns1='http://purl.org/dc/elements/1.1/'" w:xpath="/ns0:coreProperties[1]/ns1:title[1]" w:storeItemID="{6C3C8BC8-F283-45AE-878A-BAB7291924A1}"/>
                                    <w:text/>
                                  </w:sdtPr>
                                  <w:sdtContent>
                                    <w:r w:rsidR="008754CE" w:rsidRPr="008754CE">
                                      <w:rPr>
                                        <w:rFonts w:asciiTheme="majorHAnsi" w:eastAsiaTheme="majorEastAsia" w:hAnsiTheme="majorHAnsi" w:cstheme="majorBidi"/>
                                        <w:noProof/>
                                        <w:color w:val="156082" w:themeColor="accent1"/>
                                        <w:sz w:val="48"/>
                                        <w:szCs w:val="48"/>
                                      </w:rPr>
                                      <w:t>Contemporary Issues in Criminal Justice</w:t>
                                    </w:r>
                                    <w:r w:rsidR="008754CE" w:rsidRPr="008754CE">
                                      <w:rPr>
                                        <w:rFonts w:ascii="Arial" w:eastAsiaTheme="majorEastAsia" w:hAnsi="Arial" w:cs="Arial"/>
                                        <w:noProof/>
                                        <w:color w:val="156082" w:themeColor="accent1"/>
                                        <w:sz w:val="48"/>
                                        <w:szCs w:val="48"/>
                                      </w:rPr>
                                      <w:t>  </w:t>
                                    </w:r>
                                  </w:sdtContent>
                                </w:sdt>
                              </w:p>
                              <w:sdt>
                                <w:sdtPr>
                                  <w:rPr>
                                    <w:rFonts w:asciiTheme="majorHAnsi" w:eastAsiaTheme="majorEastAsia" w:hAnsiTheme="majorHAnsi" w:cstheme="majorBidi"/>
                                    <w:noProof/>
                                    <w:color w:val="0E2841" w:themeColor="text2"/>
                                    <w:sz w:val="32"/>
                                    <w:szCs w:val="32"/>
                                  </w:rPr>
                                  <w:alias w:val="Subtitle"/>
                                  <w:id w:val="15524255"/>
                                  <w:showingPlcHdr/>
                                  <w:dataBinding w:prefixMappings="xmlns:ns0='http://schemas.openxmlformats.org/package/2006/metadata/core-properties' xmlns:ns1='http://purl.org/dc/elements/1.1/'" w:xpath="/ns0:coreProperties[1]/ns1:subject[1]" w:storeItemID="{6C3C8BC8-F283-45AE-878A-BAB7291924A1}"/>
                                  <w:text/>
                                </w:sdtPr>
                                <w:sdtContent>
                                  <w:p w14:paraId="583AF0D6" w14:textId="77777777" w:rsidR="008754CE" w:rsidRDefault="008754CE">
                                    <w:pPr>
                                      <w:rPr>
                                        <w:rFonts w:asciiTheme="majorHAnsi" w:eastAsiaTheme="majorEastAsia" w:hAnsiTheme="majorHAnsi" w:cstheme="majorBidi"/>
                                        <w:noProof/>
                                        <w:color w:val="0E2841" w:themeColor="text2"/>
                                        <w:sz w:val="32"/>
                                        <w:szCs w:val="40"/>
                                      </w:rPr>
                                    </w:pPr>
                                    <w:r>
                                      <w:rPr>
                                        <w:rFonts w:asciiTheme="majorHAnsi" w:eastAsiaTheme="majorEastAsia" w:hAnsiTheme="majorHAnsi" w:cstheme="majorBidi"/>
                                        <w:noProof/>
                                        <w:color w:val="0E2841" w:themeColor="text2"/>
                                        <w:sz w:val="32"/>
                                        <w:szCs w:val="32"/>
                                      </w:rPr>
                                      <w:t xml:space="preserve">     </w:t>
                                    </w:r>
                                  </w:p>
                                </w:sdtContent>
                              </w:sdt>
                              <w:tbl>
                                <w:tblPr>
                                  <w:tblW w:w="0" w:type="dxa"/>
                                  <w:tblInd w:w="39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1529"/>
                                  <w:gridCol w:w="2083"/>
                                </w:tblGrid>
                                <w:tr w:rsidR="008754CE" w:rsidRPr="008754CE" w14:paraId="0231BA86" w14:textId="77777777">
                                  <w:trPr>
                                    <w:trHeight w:val="300"/>
                                  </w:trPr>
                                  <w:tc>
                                    <w:tcPr>
                                      <w:tcW w:w="2085" w:type="dxa"/>
                                      <w:tcBorders>
                                        <w:top w:val="single" w:sz="6" w:space="0" w:color="auto"/>
                                        <w:left w:val="single" w:sz="6" w:space="0" w:color="auto"/>
                                        <w:bottom w:val="single" w:sz="6" w:space="0" w:color="auto"/>
                                        <w:right w:val="single" w:sz="6" w:space="0" w:color="auto"/>
                                      </w:tcBorders>
                                      <w:hideMark/>
                                    </w:tcPr>
                                    <w:p w14:paraId="68361B21" w14:textId="77777777" w:rsidR="008754CE" w:rsidRPr="008754CE" w:rsidRDefault="008754CE" w:rsidP="008754CE">
                                      <w:pPr>
                                        <w:rPr>
                                          <w:rFonts w:asciiTheme="majorHAnsi" w:eastAsiaTheme="majorEastAsia" w:hAnsiTheme="majorHAnsi" w:cstheme="majorBidi"/>
                                          <w:noProof/>
                                          <w:color w:val="0E2841" w:themeColor="text2"/>
                                          <w:sz w:val="32"/>
                                          <w:szCs w:val="32"/>
                                        </w:rPr>
                                      </w:pPr>
                                      <w:r w:rsidRPr="008754CE">
                                        <w:rPr>
                                          <w:rFonts w:asciiTheme="majorHAnsi" w:eastAsiaTheme="majorEastAsia" w:hAnsiTheme="majorHAnsi" w:cstheme="majorBidi"/>
                                          <w:b/>
                                          <w:bCs/>
                                          <w:noProof/>
                                          <w:color w:val="0E2841" w:themeColor="text2"/>
                                          <w:sz w:val="32"/>
                                          <w:szCs w:val="32"/>
                                        </w:rPr>
                                        <w:t>Module code:</w:t>
                                      </w:r>
                                      <w:r w:rsidRPr="008754CE">
                                        <w:rPr>
                                          <w:rFonts w:asciiTheme="majorHAnsi" w:eastAsiaTheme="majorEastAsia" w:hAnsiTheme="majorHAnsi" w:cstheme="majorBidi"/>
                                          <w:noProof/>
                                          <w:color w:val="0E2841" w:themeColor="text2"/>
                                          <w:sz w:val="32"/>
                                          <w:szCs w:val="32"/>
                                        </w:rPr>
                                        <w:t> </w:t>
                                      </w:r>
                                    </w:p>
                                  </w:tc>
                                  <w:tc>
                                    <w:tcPr>
                                      <w:tcW w:w="3285" w:type="dxa"/>
                                      <w:tcBorders>
                                        <w:top w:val="single" w:sz="6" w:space="0" w:color="auto"/>
                                        <w:left w:val="single" w:sz="6" w:space="0" w:color="auto"/>
                                        <w:bottom w:val="single" w:sz="6" w:space="0" w:color="auto"/>
                                        <w:right w:val="single" w:sz="6" w:space="0" w:color="auto"/>
                                      </w:tcBorders>
                                      <w:hideMark/>
                                    </w:tcPr>
                                    <w:p w14:paraId="7EBBB593" w14:textId="77777777" w:rsidR="008754CE" w:rsidRPr="008754CE" w:rsidRDefault="008754CE" w:rsidP="008754CE">
                                      <w:pPr>
                                        <w:rPr>
                                          <w:rFonts w:asciiTheme="majorHAnsi" w:eastAsiaTheme="majorEastAsia" w:hAnsiTheme="majorHAnsi" w:cstheme="majorBidi"/>
                                          <w:noProof/>
                                          <w:color w:val="0E2841" w:themeColor="text2"/>
                                          <w:sz w:val="32"/>
                                          <w:szCs w:val="32"/>
                                        </w:rPr>
                                      </w:pPr>
                                      <w:r w:rsidRPr="008754CE">
                                        <w:rPr>
                                          <w:rFonts w:asciiTheme="majorHAnsi" w:eastAsiaTheme="majorEastAsia" w:hAnsiTheme="majorHAnsi" w:cstheme="majorBidi"/>
                                          <w:b/>
                                          <w:bCs/>
                                          <w:noProof/>
                                          <w:color w:val="0E2841" w:themeColor="text2"/>
                                          <w:sz w:val="32"/>
                                          <w:szCs w:val="32"/>
                                        </w:rPr>
                                        <w:t>BMCJ7005</w:t>
                                      </w:r>
                                      <w:r w:rsidRPr="008754CE">
                                        <w:rPr>
                                          <w:rFonts w:ascii="Arial" w:eastAsiaTheme="majorEastAsia" w:hAnsi="Arial" w:cs="Arial"/>
                                          <w:b/>
                                          <w:bCs/>
                                          <w:noProof/>
                                          <w:color w:val="0E2841" w:themeColor="text2"/>
                                          <w:sz w:val="32"/>
                                          <w:szCs w:val="32"/>
                                        </w:rPr>
                                        <w:t> </w:t>
                                      </w:r>
                                      <w:r w:rsidRPr="008754CE">
                                        <w:rPr>
                                          <w:rFonts w:asciiTheme="majorHAnsi" w:eastAsiaTheme="majorEastAsia" w:hAnsiTheme="majorHAnsi" w:cstheme="majorBidi"/>
                                          <w:noProof/>
                                          <w:color w:val="0E2841" w:themeColor="text2"/>
                                          <w:sz w:val="32"/>
                                          <w:szCs w:val="32"/>
                                        </w:rPr>
                                        <w:t> </w:t>
                                      </w:r>
                                    </w:p>
                                  </w:tc>
                                </w:tr>
                                <w:tr w:rsidR="008754CE" w:rsidRPr="008754CE" w14:paraId="63DBD966" w14:textId="77777777">
                                  <w:trPr>
                                    <w:trHeight w:val="300"/>
                                  </w:trPr>
                                  <w:tc>
                                    <w:tcPr>
                                      <w:tcW w:w="2085" w:type="dxa"/>
                                      <w:tcBorders>
                                        <w:top w:val="single" w:sz="6" w:space="0" w:color="auto"/>
                                        <w:left w:val="single" w:sz="6" w:space="0" w:color="auto"/>
                                        <w:bottom w:val="single" w:sz="6" w:space="0" w:color="auto"/>
                                        <w:right w:val="single" w:sz="6" w:space="0" w:color="auto"/>
                                      </w:tcBorders>
                                      <w:hideMark/>
                                    </w:tcPr>
                                    <w:p w14:paraId="48CD4C5E" w14:textId="77777777" w:rsidR="008754CE" w:rsidRPr="008754CE" w:rsidRDefault="008754CE" w:rsidP="008754CE">
                                      <w:pPr>
                                        <w:rPr>
                                          <w:rFonts w:asciiTheme="majorHAnsi" w:eastAsiaTheme="majorEastAsia" w:hAnsiTheme="majorHAnsi" w:cstheme="majorBidi"/>
                                          <w:noProof/>
                                          <w:color w:val="0E2841" w:themeColor="text2"/>
                                          <w:sz w:val="32"/>
                                          <w:szCs w:val="32"/>
                                        </w:rPr>
                                      </w:pPr>
                                      <w:r w:rsidRPr="008754CE">
                                        <w:rPr>
                                          <w:rFonts w:asciiTheme="majorHAnsi" w:eastAsiaTheme="majorEastAsia" w:hAnsiTheme="majorHAnsi" w:cstheme="majorBidi"/>
                                          <w:b/>
                                          <w:bCs/>
                                          <w:noProof/>
                                          <w:color w:val="0E2841" w:themeColor="text2"/>
                                          <w:sz w:val="32"/>
                                          <w:szCs w:val="32"/>
                                        </w:rPr>
                                        <w:t>Lecturer:</w:t>
                                      </w:r>
                                      <w:r w:rsidRPr="008754CE">
                                        <w:rPr>
                                          <w:rFonts w:asciiTheme="majorHAnsi" w:eastAsiaTheme="majorEastAsia" w:hAnsiTheme="majorHAnsi" w:cstheme="majorBidi"/>
                                          <w:noProof/>
                                          <w:color w:val="0E2841" w:themeColor="text2"/>
                                          <w:sz w:val="32"/>
                                          <w:szCs w:val="32"/>
                                        </w:rPr>
                                        <w:t> </w:t>
                                      </w:r>
                                    </w:p>
                                  </w:tc>
                                  <w:tc>
                                    <w:tcPr>
                                      <w:tcW w:w="3285" w:type="dxa"/>
                                      <w:tcBorders>
                                        <w:top w:val="single" w:sz="6" w:space="0" w:color="auto"/>
                                        <w:left w:val="single" w:sz="6" w:space="0" w:color="auto"/>
                                        <w:bottom w:val="single" w:sz="6" w:space="0" w:color="auto"/>
                                        <w:right w:val="single" w:sz="6" w:space="0" w:color="auto"/>
                                      </w:tcBorders>
                                      <w:hideMark/>
                                    </w:tcPr>
                                    <w:p w14:paraId="06F79A01" w14:textId="77777777" w:rsidR="008754CE" w:rsidRPr="008754CE" w:rsidRDefault="008754CE" w:rsidP="008754CE">
                                      <w:pPr>
                                        <w:rPr>
                                          <w:rFonts w:asciiTheme="majorHAnsi" w:eastAsiaTheme="majorEastAsia" w:hAnsiTheme="majorHAnsi" w:cstheme="majorBidi"/>
                                          <w:noProof/>
                                          <w:color w:val="0E2841" w:themeColor="text2"/>
                                          <w:sz w:val="32"/>
                                          <w:szCs w:val="32"/>
                                        </w:rPr>
                                      </w:pPr>
                                      <w:r w:rsidRPr="008754CE">
                                        <w:rPr>
                                          <w:rFonts w:asciiTheme="majorHAnsi" w:eastAsiaTheme="majorEastAsia" w:hAnsiTheme="majorHAnsi" w:cstheme="majorBidi"/>
                                          <w:b/>
                                          <w:bCs/>
                                          <w:noProof/>
                                          <w:color w:val="0E2841" w:themeColor="text2"/>
                                          <w:sz w:val="32"/>
                                          <w:szCs w:val="32"/>
                                        </w:rPr>
                                        <w:t>Nerys Musgrove</w:t>
                                      </w:r>
                                      <w:r w:rsidRPr="008754CE">
                                        <w:rPr>
                                          <w:rFonts w:ascii="Arial" w:eastAsiaTheme="majorEastAsia" w:hAnsi="Arial" w:cs="Arial"/>
                                          <w:b/>
                                          <w:bCs/>
                                          <w:noProof/>
                                          <w:color w:val="0E2841" w:themeColor="text2"/>
                                          <w:sz w:val="32"/>
                                          <w:szCs w:val="32"/>
                                        </w:rPr>
                                        <w:t> </w:t>
                                      </w:r>
                                      <w:r w:rsidRPr="008754CE">
                                        <w:rPr>
                                          <w:rFonts w:asciiTheme="majorHAnsi" w:eastAsiaTheme="majorEastAsia" w:hAnsiTheme="majorHAnsi" w:cstheme="majorBidi"/>
                                          <w:noProof/>
                                          <w:color w:val="0E2841" w:themeColor="text2"/>
                                          <w:sz w:val="32"/>
                                          <w:szCs w:val="32"/>
                                        </w:rPr>
                                        <w:t> </w:t>
                                      </w:r>
                                    </w:p>
                                  </w:tc>
                                </w:tr>
                              </w:tbl>
                              <w:p w14:paraId="0549DEA5" w14:textId="5FF51531" w:rsidR="00982612" w:rsidRDefault="00982612">
                                <w:pPr>
                                  <w:rPr>
                                    <w:rFonts w:asciiTheme="majorHAnsi" w:eastAsiaTheme="majorEastAsia" w:hAnsiTheme="majorHAnsi" w:cstheme="majorBidi"/>
                                    <w:noProof/>
                                    <w:color w:val="0E2841" w:themeColor="text2"/>
                                    <w:sz w:val="32"/>
                                    <w:szCs w:val="40"/>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 w14:anchorId="3E161FF0" id="Text Box 265" o:spid="_x0000_s1029" type="#_x0000_t202" style="position:absolute;margin-left:270pt;margin-top:278.25pt;width:215.05pt;height:236.85pt;z-index:25165824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" filled="f" stroked="f" strokeweight=".5pt">
                    <v:textbox>
                      <w:txbxContent>
                        <w:p w14:paraId="3FADB01B" w14:textId="04D73587" w:rsidR="00982612" w:rsidRPr="008754CE" w:rsidRDefault="00000000">
                          <w:pPr>
                            <w:spacing w:line="240" w:lineRule="auto"/>
                            <w:rPr>
                              <w:rFonts w:asciiTheme="majorHAnsi" w:eastAsiaTheme="majorEastAsia" w:hAnsiTheme="majorHAnsi" w:cstheme="majorBidi"/>
                              <w:noProof/>
                              <w:color w:val="156082" w:themeColor="accent1"/>
                              <w:sz w:val="48"/>
                              <w:szCs w:val="48"/>
                            </w:rPr>
                          </w:pPr>
                          <w:sdt>
                            <w:sdtPr>
                              <w:rPr>
                                <w:rFonts w:asciiTheme="majorHAnsi" w:eastAsiaTheme="majorEastAsia" w:hAnsiTheme="majorHAnsi" w:cstheme="majorBidi"/>
                                <w:noProof/>
                                <w:color w:val="156082" w:themeColor="accent1"/>
                                <w:sz w:val="48"/>
                                <w:szCs w:val="48"/>
                              </w:rPr>
                              <w:alias w:val="Title"/>
                              <w:id w:val="-958338334"/>
                              <w:dataBinding w:prefixMappings="xmlns:ns0='http://schemas.openxmlformats.org/package/2006/metadata/core-properties' xmlns:ns1='http://purl.org/dc/elements/1.1/'" w:xpath="/ns0:coreProperties[1]/ns1:title[1]" w:storeItemID="{6C3C8BC8-F283-45AE-878A-BAB7291924A1}"/>
                              <w:text/>
                            </w:sdtPr>
                            <w:sdtContent>
                              <w:r w:rsidR="008754CE" w:rsidRPr="008754CE">
                                <w:rPr>
                                  <w:rFonts w:asciiTheme="majorHAnsi" w:eastAsiaTheme="majorEastAsia" w:hAnsiTheme="majorHAnsi" w:cstheme="majorBidi"/>
                                  <w:noProof/>
                                  <w:color w:val="156082" w:themeColor="accent1"/>
                                  <w:sz w:val="48"/>
                                  <w:szCs w:val="48"/>
                                </w:rPr>
                                <w:t>Contemporary Issues in Criminal Justice</w:t>
                              </w:r>
                              <w:r w:rsidR="008754CE" w:rsidRPr="008754CE">
                                <w:rPr>
                                  <w:rFonts w:ascii="Arial" w:eastAsiaTheme="majorEastAsia" w:hAnsi="Arial" w:cs="Arial"/>
                                  <w:noProof/>
                                  <w:color w:val="156082" w:themeColor="accent1"/>
                                  <w:sz w:val="48"/>
                                  <w:szCs w:val="48"/>
                                </w:rPr>
                                <w:t>  </w:t>
                              </w:r>
                            </w:sdtContent>
                          </w:sdt>
                        </w:p>
                        <w:sdt>
                          <w:sdtPr>
                            <w:rPr>
                              <w:rFonts w:asciiTheme="majorHAnsi" w:eastAsiaTheme="majorEastAsia" w:hAnsiTheme="majorHAnsi" w:cstheme="majorBidi"/>
                              <w:noProof/>
                              <w:color w:val="0E2841" w:themeColor="text2"/>
                              <w:sz w:val="32"/>
                              <w:szCs w:val="32"/>
                            </w:rPr>
                            <w:alias w:val="Subtitle"/>
                            <w:id w:val="15524255"/>
                            <w:showingPlcHdr/>
                            <w:dataBinding w:prefixMappings="xmlns:ns0='http://schemas.openxmlformats.org/package/2006/metadata/core-properties' xmlns:ns1='http://purl.org/dc/elements/1.1/'" w:xpath="/ns0:coreProperties[1]/ns1:subject[1]" w:storeItemID="{6C3C8BC8-F283-45AE-878A-BAB7291924A1}"/>
                            <w:text/>
                          </w:sdtPr>
                          <w:sdtContent>
                            <w:p w14:paraId="583AF0D6" w14:textId="77777777" w:rsidR="008754CE" w:rsidRDefault="008754CE">
                              <w:pPr>
                                <w:rPr>
                                  <w:rFonts w:asciiTheme="majorHAnsi" w:eastAsiaTheme="majorEastAsia" w:hAnsiTheme="majorHAnsi" w:cstheme="majorBidi"/>
                                  <w:noProof/>
                                  <w:color w:val="0E2841" w:themeColor="text2"/>
                                  <w:sz w:val="32"/>
                                  <w:szCs w:val="40"/>
                                </w:rPr>
                              </w:pPr>
                              <w:r>
                                <w:rPr>
                                  <w:rFonts w:asciiTheme="majorHAnsi" w:eastAsiaTheme="majorEastAsia" w:hAnsiTheme="majorHAnsi" w:cstheme="majorBidi"/>
                                  <w:noProof/>
                                  <w:color w:val="0E2841" w:themeColor="text2"/>
                                  <w:sz w:val="32"/>
                                  <w:szCs w:val="32"/>
                                </w:rPr>
                                <w:t xml:space="preserve">     </w:t>
                              </w:r>
                            </w:p>
                          </w:sdtContent>
                        </w:sdt>
                        <w:tbl>
                          <w:tblPr>
                            <w:tblW w:w="0" w:type="dxa"/>
                            <w:tblInd w:w="39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1529"/>
                            <w:gridCol w:w="2083"/>
                          </w:tblGrid>
                          <w:tr w:rsidR="008754CE" w:rsidRPr="008754CE" w14:paraId="0231BA86" w14:textId="77777777">
                            <w:trPr>
                              <w:trHeight w:val="300"/>
                            </w:trPr>
                            <w:tc>
                              <w:tcPr>
                                <w:tcW w:w="2085" w:type="dxa"/>
                                <w:tcBorders>
                                  <w:top w:val="single" w:sz="6" w:space="0" w:color="auto"/>
                                  <w:left w:val="single" w:sz="6" w:space="0" w:color="auto"/>
                                  <w:bottom w:val="single" w:sz="6" w:space="0" w:color="auto"/>
                                  <w:right w:val="single" w:sz="6" w:space="0" w:color="auto"/>
                                </w:tcBorders>
                                <w:hideMark/>
                              </w:tcPr>
                              <w:p w14:paraId="68361B21" w14:textId="77777777" w:rsidR="008754CE" w:rsidRPr="008754CE" w:rsidRDefault="008754CE" w:rsidP="008754CE">
                                <w:pPr>
                                  <w:rPr>
                                    <w:rFonts w:asciiTheme="majorHAnsi" w:eastAsiaTheme="majorEastAsia" w:hAnsiTheme="majorHAnsi" w:cstheme="majorBidi"/>
                                    <w:noProof/>
                                    <w:color w:val="0E2841" w:themeColor="text2"/>
                                    <w:sz w:val="32"/>
                                    <w:szCs w:val="32"/>
                                  </w:rPr>
                                </w:pPr>
                                <w:r w:rsidRPr="008754CE">
                                  <w:rPr>
                                    <w:rFonts w:asciiTheme="majorHAnsi" w:eastAsiaTheme="majorEastAsia" w:hAnsiTheme="majorHAnsi" w:cstheme="majorBidi"/>
                                    <w:b/>
                                    <w:bCs/>
                                    <w:noProof/>
                                    <w:color w:val="0E2841" w:themeColor="text2"/>
                                    <w:sz w:val="32"/>
                                    <w:szCs w:val="32"/>
                                  </w:rPr>
                                  <w:t>Module code:</w:t>
                                </w:r>
                                <w:r w:rsidRPr="008754CE">
                                  <w:rPr>
                                    <w:rFonts w:asciiTheme="majorHAnsi" w:eastAsiaTheme="majorEastAsia" w:hAnsiTheme="majorHAnsi" w:cstheme="majorBidi"/>
                                    <w:noProof/>
                                    <w:color w:val="0E2841" w:themeColor="text2"/>
                                    <w:sz w:val="32"/>
                                    <w:szCs w:val="32"/>
                                  </w:rPr>
                                  <w:t> </w:t>
                                </w:r>
                              </w:p>
                            </w:tc>
                            <w:tc>
                              <w:tcPr>
                                <w:tcW w:w="3285" w:type="dxa"/>
                                <w:tcBorders>
                                  <w:top w:val="single" w:sz="6" w:space="0" w:color="auto"/>
                                  <w:left w:val="single" w:sz="6" w:space="0" w:color="auto"/>
                                  <w:bottom w:val="single" w:sz="6" w:space="0" w:color="auto"/>
                                  <w:right w:val="single" w:sz="6" w:space="0" w:color="auto"/>
                                </w:tcBorders>
                                <w:hideMark/>
                              </w:tcPr>
                              <w:p w14:paraId="7EBBB593" w14:textId="77777777" w:rsidR="008754CE" w:rsidRPr="008754CE" w:rsidRDefault="008754CE" w:rsidP="008754CE">
                                <w:pPr>
                                  <w:rPr>
                                    <w:rFonts w:asciiTheme="majorHAnsi" w:eastAsiaTheme="majorEastAsia" w:hAnsiTheme="majorHAnsi" w:cstheme="majorBidi"/>
                                    <w:noProof/>
                                    <w:color w:val="0E2841" w:themeColor="text2"/>
                                    <w:sz w:val="32"/>
                                    <w:szCs w:val="32"/>
                                  </w:rPr>
                                </w:pPr>
                                <w:r w:rsidRPr="008754CE">
                                  <w:rPr>
                                    <w:rFonts w:asciiTheme="majorHAnsi" w:eastAsiaTheme="majorEastAsia" w:hAnsiTheme="majorHAnsi" w:cstheme="majorBidi"/>
                                    <w:b/>
                                    <w:bCs/>
                                    <w:noProof/>
                                    <w:color w:val="0E2841" w:themeColor="text2"/>
                                    <w:sz w:val="32"/>
                                    <w:szCs w:val="32"/>
                                  </w:rPr>
                                  <w:t>BMCJ7005</w:t>
                                </w:r>
                                <w:r w:rsidRPr="008754CE">
                                  <w:rPr>
                                    <w:rFonts w:ascii="Arial" w:eastAsiaTheme="majorEastAsia" w:hAnsi="Arial" w:cs="Arial"/>
                                    <w:b/>
                                    <w:bCs/>
                                    <w:noProof/>
                                    <w:color w:val="0E2841" w:themeColor="text2"/>
                                    <w:sz w:val="32"/>
                                    <w:szCs w:val="32"/>
                                  </w:rPr>
                                  <w:t> </w:t>
                                </w:r>
                                <w:r w:rsidRPr="008754CE">
                                  <w:rPr>
                                    <w:rFonts w:asciiTheme="majorHAnsi" w:eastAsiaTheme="majorEastAsia" w:hAnsiTheme="majorHAnsi" w:cstheme="majorBidi"/>
                                    <w:noProof/>
                                    <w:color w:val="0E2841" w:themeColor="text2"/>
                                    <w:sz w:val="32"/>
                                    <w:szCs w:val="32"/>
                                  </w:rPr>
                                  <w:t> </w:t>
                                </w:r>
                              </w:p>
                            </w:tc>
                          </w:tr>
                          <w:tr w:rsidR="008754CE" w:rsidRPr="008754CE" w14:paraId="63DBD966" w14:textId="77777777">
                            <w:trPr>
                              <w:trHeight w:val="300"/>
                            </w:trPr>
                            <w:tc>
                              <w:tcPr>
                                <w:tcW w:w="2085" w:type="dxa"/>
                                <w:tcBorders>
                                  <w:top w:val="single" w:sz="6" w:space="0" w:color="auto"/>
                                  <w:left w:val="single" w:sz="6" w:space="0" w:color="auto"/>
                                  <w:bottom w:val="single" w:sz="6" w:space="0" w:color="auto"/>
                                  <w:right w:val="single" w:sz="6" w:space="0" w:color="auto"/>
                                </w:tcBorders>
                                <w:hideMark/>
                              </w:tcPr>
                              <w:p w14:paraId="48CD4C5E" w14:textId="77777777" w:rsidR="008754CE" w:rsidRPr="008754CE" w:rsidRDefault="008754CE" w:rsidP="008754CE">
                                <w:pPr>
                                  <w:rPr>
                                    <w:rFonts w:asciiTheme="majorHAnsi" w:eastAsiaTheme="majorEastAsia" w:hAnsiTheme="majorHAnsi" w:cstheme="majorBidi"/>
                                    <w:noProof/>
                                    <w:color w:val="0E2841" w:themeColor="text2"/>
                                    <w:sz w:val="32"/>
                                    <w:szCs w:val="32"/>
                                  </w:rPr>
                                </w:pPr>
                                <w:r w:rsidRPr="008754CE">
                                  <w:rPr>
                                    <w:rFonts w:asciiTheme="majorHAnsi" w:eastAsiaTheme="majorEastAsia" w:hAnsiTheme="majorHAnsi" w:cstheme="majorBidi"/>
                                    <w:b/>
                                    <w:bCs/>
                                    <w:noProof/>
                                    <w:color w:val="0E2841" w:themeColor="text2"/>
                                    <w:sz w:val="32"/>
                                    <w:szCs w:val="32"/>
                                  </w:rPr>
                                  <w:t>Lecturer:</w:t>
                                </w:r>
                                <w:r w:rsidRPr="008754CE">
                                  <w:rPr>
                                    <w:rFonts w:asciiTheme="majorHAnsi" w:eastAsiaTheme="majorEastAsia" w:hAnsiTheme="majorHAnsi" w:cstheme="majorBidi"/>
                                    <w:noProof/>
                                    <w:color w:val="0E2841" w:themeColor="text2"/>
                                    <w:sz w:val="32"/>
                                    <w:szCs w:val="32"/>
                                  </w:rPr>
                                  <w:t> </w:t>
                                </w:r>
                              </w:p>
                            </w:tc>
                            <w:tc>
                              <w:tcPr>
                                <w:tcW w:w="3285" w:type="dxa"/>
                                <w:tcBorders>
                                  <w:top w:val="single" w:sz="6" w:space="0" w:color="auto"/>
                                  <w:left w:val="single" w:sz="6" w:space="0" w:color="auto"/>
                                  <w:bottom w:val="single" w:sz="6" w:space="0" w:color="auto"/>
                                  <w:right w:val="single" w:sz="6" w:space="0" w:color="auto"/>
                                </w:tcBorders>
                                <w:hideMark/>
                              </w:tcPr>
                              <w:p w14:paraId="06F79A01" w14:textId="77777777" w:rsidR="008754CE" w:rsidRPr="008754CE" w:rsidRDefault="008754CE" w:rsidP="008754CE">
                                <w:pPr>
                                  <w:rPr>
                                    <w:rFonts w:asciiTheme="majorHAnsi" w:eastAsiaTheme="majorEastAsia" w:hAnsiTheme="majorHAnsi" w:cstheme="majorBidi"/>
                                    <w:noProof/>
                                    <w:color w:val="0E2841" w:themeColor="text2"/>
                                    <w:sz w:val="32"/>
                                    <w:szCs w:val="32"/>
                                  </w:rPr>
                                </w:pPr>
                                <w:r w:rsidRPr="008754CE">
                                  <w:rPr>
                                    <w:rFonts w:asciiTheme="majorHAnsi" w:eastAsiaTheme="majorEastAsia" w:hAnsiTheme="majorHAnsi" w:cstheme="majorBidi"/>
                                    <w:b/>
                                    <w:bCs/>
                                    <w:noProof/>
                                    <w:color w:val="0E2841" w:themeColor="text2"/>
                                    <w:sz w:val="32"/>
                                    <w:szCs w:val="32"/>
                                  </w:rPr>
                                  <w:t>Nerys Musgrove</w:t>
                                </w:r>
                                <w:r w:rsidRPr="008754CE">
                                  <w:rPr>
                                    <w:rFonts w:ascii="Arial" w:eastAsiaTheme="majorEastAsia" w:hAnsi="Arial" w:cs="Arial"/>
                                    <w:b/>
                                    <w:bCs/>
                                    <w:noProof/>
                                    <w:color w:val="0E2841" w:themeColor="text2"/>
                                    <w:sz w:val="32"/>
                                    <w:szCs w:val="32"/>
                                  </w:rPr>
                                  <w:t> </w:t>
                                </w:r>
                                <w:r w:rsidRPr="008754CE">
                                  <w:rPr>
                                    <w:rFonts w:asciiTheme="majorHAnsi" w:eastAsiaTheme="majorEastAsia" w:hAnsiTheme="majorHAnsi" w:cstheme="majorBidi"/>
                                    <w:noProof/>
                                    <w:color w:val="0E2841" w:themeColor="text2"/>
                                    <w:sz w:val="32"/>
                                    <w:szCs w:val="32"/>
                                  </w:rPr>
                                  <w:t> </w:t>
                                </w:r>
                              </w:p>
                            </w:tc>
                          </w:tr>
                        </w:tbl>
                        <w:p w14:paraId="0549DEA5" w14:textId="5FF51531" w:rsidR="00982612" w:rsidRDefault="00982612">
                          <w:pPr>
                            <w:rPr>
                              <w:rFonts w:asciiTheme="majorHAnsi" w:eastAsiaTheme="majorEastAsia" w:hAnsiTheme="majorHAnsi" w:cstheme="majorBidi"/>
                              <w:noProof/>
                              <w:color w:val="0E2841" w:themeColor="text2"/>
                              <w:sz w:val="32"/>
                              <w:szCs w:val="40"/>
                            </w:rPr>
                          </w:pPr>
                        </w:p>
                      </w:txbxContent>
                    </v:textbox>
                    <w10:wrap type="square" anchorx="page" anchory="page"/>
                  </v:shape>
                </w:pict>
              </mc:Fallback>
            </mc:AlternateContent>
          </w:r>
          <w:r w:rsidR="00982612">
            <w:rPr>
              <w:rFonts w:ascii="Arial" w:hAnsi="Arial" w:cs="Arial"/>
              <w:sz w:val="24"/>
              <w:szCs w:val="24"/>
            </w:rPr>
            <w:br w:type="page"/>
          </w:r>
        </w:p>
        <w:p w14:paraId="4B0D086E" w14:textId="52138479" w:rsidR="008B6235" w:rsidRDefault="00000000" w:rsidP="008B6235">
          <w:pPr>
            <w:rPr>
              <w:rFonts w:ascii="Arial" w:hAnsi="Arial" w:cs="Arial"/>
              <w:sz w:val="24"/>
              <w:szCs w:val="24"/>
            </w:rPr>
          </w:pPr>
        </w:p>
      </w:sdtContent>
    </w:sdt>
    <w:p w14:paraId="0BBDA990" w14:textId="11036A2D" w:rsidR="007D52A2" w:rsidRPr="008B6235" w:rsidRDefault="32F16CDF" w:rsidP="008B6235">
      <w:pPr>
        <w:rPr>
          <w:rFonts w:ascii="Arial" w:hAnsi="Arial" w:cs="Arial"/>
          <w:sz w:val="24"/>
          <w:szCs w:val="24"/>
        </w:rPr>
      </w:pPr>
      <w:r w:rsidRPr="008B6235">
        <w:rPr>
          <w:rFonts w:ascii="Arial" w:hAnsi="Arial" w:cs="Arial"/>
          <w:b/>
          <w:bCs/>
          <w:sz w:val="24"/>
          <w:szCs w:val="24"/>
        </w:rPr>
        <w:t>Metropolitan Police Strip</w:t>
      </w:r>
      <w:r w:rsidRPr="008B6235">
        <w:rPr>
          <w:rFonts w:ascii="Cambria Math" w:hAnsi="Cambria Math" w:cs="Cambria Math"/>
          <w:b/>
          <w:bCs/>
          <w:sz w:val="24"/>
          <w:szCs w:val="24"/>
        </w:rPr>
        <w:t>‑</w:t>
      </w:r>
      <w:r w:rsidRPr="008B6235">
        <w:rPr>
          <w:rFonts w:ascii="Arial" w:hAnsi="Arial" w:cs="Arial"/>
          <w:b/>
          <w:bCs/>
          <w:sz w:val="24"/>
          <w:szCs w:val="24"/>
        </w:rPr>
        <w:t>Searching Children: A Critical Human Rights Evaluation</w:t>
      </w:r>
    </w:p>
    <w:p w14:paraId="3C335D54" w14:textId="6F08F185" w:rsidR="007D52A2" w:rsidRPr="008B6235" w:rsidRDefault="2D9C62C4" w:rsidP="008B6235">
      <w:pPr>
        <w:spacing w:before="240" w:after="240" w:line="360" w:lineRule="auto"/>
        <w:jc w:val="both"/>
        <w:rPr>
          <w:rFonts w:ascii="Arial" w:eastAsia="Arial" w:hAnsi="Arial" w:cs="Arial"/>
          <w:sz w:val="24"/>
          <w:szCs w:val="24"/>
        </w:rPr>
      </w:pPr>
      <w:r w:rsidRPr="008B6235">
        <w:rPr>
          <w:rFonts w:ascii="Arial" w:eastAsia="Arial" w:hAnsi="Arial" w:cs="Arial"/>
          <w:sz w:val="24"/>
          <w:szCs w:val="24"/>
        </w:rPr>
        <w:t>The Metropolitan Police Service’s use of strip</w:t>
      </w:r>
      <w:r w:rsidRPr="008B6235">
        <w:rPr>
          <w:rFonts w:ascii="Cambria Math" w:eastAsia="Arial" w:hAnsi="Cambria Math" w:cs="Cambria Math"/>
          <w:sz w:val="24"/>
          <w:szCs w:val="24"/>
        </w:rPr>
        <w:t>‑</w:t>
      </w:r>
      <w:r w:rsidRPr="008B6235">
        <w:rPr>
          <w:rFonts w:ascii="Arial" w:eastAsia="Arial" w:hAnsi="Arial" w:cs="Arial"/>
          <w:sz w:val="24"/>
          <w:szCs w:val="24"/>
        </w:rPr>
        <w:t>search powers on children has emerged as one of the most controversial policing practices in the United Kingdom. This issue gained renewed scrutiny following the 2022 Child Q case, in which a Black schoolgirl was strip</w:t>
      </w:r>
      <w:r w:rsidRPr="008B6235">
        <w:rPr>
          <w:rFonts w:ascii="Cambria Math" w:eastAsia="Arial" w:hAnsi="Cambria Math" w:cs="Cambria Math"/>
          <w:sz w:val="24"/>
          <w:szCs w:val="24"/>
        </w:rPr>
        <w:t>‑</w:t>
      </w:r>
      <w:r w:rsidRPr="008B6235">
        <w:rPr>
          <w:rFonts w:ascii="Arial" w:eastAsia="Arial" w:hAnsi="Arial" w:cs="Arial"/>
          <w:sz w:val="24"/>
          <w:szCs w:val="24"/>
        </w:rPr>
        <w:t>searched at school without an appropriate adult present after unfounded suspicions of cannabis possession, and no prohibited items were found (Independent Office for Police Conduct, 2025). The decision was later found to constitute gross misconduct, reinforcing concerns about the legality and ethics of the practice (Independent Office for Police Conduct, 2025). This essay critically evaluates whether the Metropolitan Police’s strip</w:t>
      </w:r>
      <w:r w:rsidRPr="008B6235">
        <w:rPr>
          <w:rFonts w:ascii="Cambria Math" w:eastAsia="Arial" w:hAnsi="Cambria Math" w:cs="Cambria Math"/>
          <w:sz w:val="24"/>
          <w:szCs w:val="24"/>
        </w:rPr>
        <w:t>‑</w:t>
      </w:r>
      <w:r w:rsidRPr="008B6235">
        <w:rPr>
          <w:rFonts w:ascii="Arial" w:eastAsia="Arial" w:hAnsi="Arial" w:cs="Arial"/>
          <w:sz w:val="24"/>
          <w:szCs w:val="24"/>
        </w:rPr>
        <w:t>searching of children was warranted, considering legal frameworks, safeguarding imperatives, racial disparities, empirical evidence, and criminological theory. It argues that the practice has typically been unjustified, disproportionate, and incompatible with human rights law. The essay first examines legal frameworks and safeguarding considerations, then analyses racial disparities and empirical evidence, before evaluating policy and theoretical implications.</w:t>
      </w:r>
    </w:p>
    <w:p w14:paraId="10525B48" w14:textId="0EC6352C" w:rsidR="007D52A2" w:rsidRPr="008B6235" w:rsidRDefault="2205A6BA" w:rsidP="008B6235">
      <w:pPr>
        <w:spacing w:before="240" w:after="240" w:line="360" w:lineRule="auto"/>
        <w:jc w:val="both"/>
        <w:rPr>
          <w:rFonts w:ascii="Arial" w:eastAsia="Arial" w:hAnsi="Arial" w:cs="Arial"/>
          <w:sz w:val="24"/>
          <w:szCs w:val="24"/>
        </w:rPr>
      </w:pPr>
      <w:r w:rsidRPr="008B6235">
        <w:rPr>
          <w:rFonts w:ascii="Arial" w:eastAsia="Arial" w:hAnsi="Arial" w:cs="Arial"/>
          <w:sz w:val="24"/>
          <w:szCs w:val="24"/>
        </w:rPr>
        <w:t>Strip</w:t>
      </w:r>
      <w:r w:rsidRPr="008B6235">
        <w:rPr>
          <w:rFonts w:ascii="Cambria Math" w:eastAsia="Arial" w:hAnsi="Cambria Math" w:cs="Cambria Math"/>
          <w:sz w:val="24"/>
          <w:szCs w:val="24"/>
        </w:rPr>
        <w:t>‑</w:t>
      </w:r>
      <w:r w:rsidRPr="008B6235">
        <w:rPr>
          <w:rFonts w:ascii="Arial" w:eastAsia="Arial" w:hAnsi="Arial" w:cs="Arial"/>
          <w:sz w:val="24"/>
          <w:szCs w:val="24"/>
        </w:rPr>
        <w:t xml:space="preserve">searching represents one of the most intrusive powers available to police. Under the Police and Criminal Evidence Act 1984 (PACE), officers may conduct a strip search if they have reasonable grounds to suspect the person is concealing drugs, weapons, or other evidence and if such a search is necessary and proportionate (Home Office, 2023; Smith, 2019). PACE and its associated Code C explicitly define a “child” as anyone under the age of 18 for the purposes of detention and search, and require that children must be searched only in the presence of an appropriate adult unless there is an immediate risk of harm (Home Office, 2023; HM Inspectorate of Constabulary and Fire &amp; Rescue Services, 2023; Roberts and Patel, 2021). </w:t>
      </w:r>
      <w:r w:rsidR="27934AFA" w:rsidRPr="008B6235">
        <w:rPr>
          <w:rFonts w:ascii="Arial" w:eastAsia="Arial" w:hAnsi="Arial" w:cs="Arial"/>
          <w:sz w:val="24"/>
          <w:szCs w:val="24"/>
        </w:rPr>
        <w:t xml:space="preserve">In fact, The United Nations Convention on the Rights of the Child (1990) also defines a child as every human being below the age of eighteen years and requires that states prioritise children’s welfare and protection. </w:t>
      </w:r>
    </w:p>
    <w:p w14:paraId="666B93AF" w14:textId="39C45D9B" w:rsidR="007D52A2" w:rsidRPr="008B6235" w:rsidRDefault="2205A6BA" w:rsidP="008B6235">
      <w:pPr>
        <w:spacing w:before="240" w:after="240" w:line="360" w:lineRule="auto"/>
        <w:jc w:val="both"/>
        <w:rPr>
          <w:rFonts w:ascii="Arial" w:eastAsia="Arial" w:hAnsi="Arial" w:cs="Arial"/>
          <w:sz w:val="24"/>
          <w:szCs w:val="24"/>
        </w:rPr>
      </w:pPr>
      <w:r w:rsidRPr="008B6235">
        <w:rPr>
          <w:rFonts w:ascii="Arial" w:eastAsia="Arial" w:hAnsi="Arial" w:cs="Arial"/>
          <w:sz w:val="24"/>
          <w:szCs w:val="24"/>
        </w:rPr>
        <w:t xml:space="preserve">Police guidance also stresses that, where age is uncertain, officers should treat the person as a child unless there is clear evidence they are older (College of Policing, 2022). Despite these statutory safeguards, data compiled by the Children’s </w:t>
      </w:r>
      <w:r w:rsidRPr="008B6235">
        <w:rPr>
          <w:rFonts w:ascii="Arial" w:eastAsia="Arial" w:hAnsi="Arial" w:cs="Arial"/>
          <w:sz w:val="24"/>
          <w:szCs w:val="24"/>
        </w:rPr>
        <w:lastRenderedPageBreak/>
        <w:t>Commissioner indicates that between January 2018 and June 2023 there were 3,368 strip searches of children in England and Wales, equivalent to one child every 14 hours, with nearly half lacking confirmed attendance of an appropriate adult (Children’s Commissioner for England, 2024; Sky News, 2024; Jones, 2023).</w:t>
      </w:r>
    </w:p>
    <w:p w14:paraId="1808CA63" w14:textId="4A8E2E6C" w:rsidR="007D52A2" w:rsidRPr="008B6235" w:rsidRDefault="2205A6BA" w:rsidP="008B6235">
      <w:pPr>
        <w:spacing w:before="240" w:after="240" w:line="360" w:lineRule="auto"/>
        <w:jc w:val="both"/>
        <w:rPr>
          <w:rFonts w:ascii="Arial" w:eastAsia="Arial" w:hAnsi="Arial" w:cs="Arial"/>
          <w:sz w:val="24"/>
          <w:szCs w:val="24"/>
        </w:rPr>
      </w:pPr>
      <w:r w:rsidRPr="008B6235">
        <w:rPr>
          <w:rFonts w:ascii="Arial" w:eastAsia="Arial" w:hAnsi="Arial" w:cs="Arial"/>
          <w:sz w:val="24"/>
          <w:szCs w:val="24"/>
        </w:rPr>
        <w:t xml:space="preserve">Children are inherently vulnerable within criminal justice encounters. Developmental criminology highlights that children have reduced cognitive and emotional capacities, limiting their ability to understand, consent to, or resist invasive procedures such as strip searches (Goldson, 2013; Bateman, 2020; Muncie, 2009). </w:t>
      </w:r>
    </w:p>
    <w:p w14:paraId="41EAA909" w14:textId="69CE406C" w:rsidR="007D52A2" w:rsidRPr="008B6235" w:rsidRDefault="2D9C62C4" w:rsidP="008B6235">
      <w:pPr>
        <w:spacing w:before="240" w:after="240" w:line="360" w:lineRule="auto"/>
        <w:jc w:val="both"/>
        <w:rPr>
          <w:rFonts w:ascii="Arial" w:eastAsia="Arial" w:hAnsi="Arial" w:cs="Arial"/>
          <w:sz w:val="24"/>
          <w:szCs w:val="24"/>
        </w:rPr>
      </w:pPr>
      <w:r w:rsidRPr="008B6235">
        <w:rPr>
          <w:rFonts w:ascii="Arial" w:eastAsia="Arial" w:hAnsi="Arial" w:cs="Arial"/>
          <w:sz w:val="24"/>
          <w:szCs w:val="24"/>
        </w:rPr>
        <w:t>Critical criminology and labelling theory highlight the risks of intrusive policing, showing how coercive interventions can reinforce deviant identities and draw vulnerable children into sustained criminal justice contact, perpetuating inequalities (Becker, 1963; Muncie, 2009; Goldson, 2013). These risks are heightened for Black children due to structural and institutional racial biases in discretionary policing (Phillips and Bowling, 2017; Lammy, 2017; Liebling et al., 2019). The evidence underscores the urgent need for proportionate, legally compliant, and child-centred policing practices that respect children’s rights and mitigate harm.</w:t>
      </w:r>
    </w:p>
    <w:p w14:paraId="37026CA2" w14:textId="75CF3510" w:rsidR="007D52A2" w:rsidRPr="008B6235" w:rsidRDefault="2D9C62C4" w:rsidP="008B6235">
      <w:pPr>
        <w:spacing w:before="240" w:after="240" w:line="360" w:lineRule="auto"/>
        <w:jc w:val="both"/>
        <w:rPr>
          <w:rFonts w:ascii="Arial" w:eastAsia="Arial" w:hAnsi="Arial" w:cs="Arial"/>
          <w:sz w:val="24"/>
          <w:szCs w:val="24"/>
        </w:rPr>
      </w:pPr>
      <w:r w:rsidRPr="008B6235">
        <w:rPr>
          <w:rFonts w:ascii="Arial" w:eastAsia="Arial" w:hAnsi="Arial" w:cs="Arial"/>
          <w:sz w:val="24"/>
          <w:szCs w:val="24"/>
        </w:rPr>
        <w:t>The Child Q case vividly illustrates how these standards were breached. In December 2020, a 15</w:t>
      </w:r>
      <w:r w:rsidRPr="008B6235">
        <w:rPr>
          <w:rFonts w:ascii="Cambria Math" w:eastAsia="Arial" w:hAnsi="Cambria Math" w:cs="Cambria Math"/>
          <w:sz w:val="24"/>
          <w:szCs w:val="24"/>
        </w:rPr>
        <w:t>‑</w:t>
      </w:r>
      <w:r w:rsidRPr="008B6235">
        <w:rPr>
          <w:rFonts w:ascii="Arial" w:eastAsia="Arial" w:hAnsi="Arial" w:cs="Arial"/>
          <w:sz w:val="24"/>
          <w:szCs w:val="24"/>
        </w:rPr>
        <w:t>year-old Black girl was strip</w:t>
      </w:r>
      <w:r w:rsidRPr="008B6235">
        <w:rPr>
          <w:rFonts w:ascii="Cambria Math" w:eastAsia="Arial" w:hAnsi="Cambria Math" w:cs="Cambria Math"/>
          <w:sz w:val="24"/>
          <w:szCs w:val="24"/>
        </w:rPr>
        <w:t>‑</w:t>
      </w:r>
      <w:r w:rsidRPr="008B6235">
        <w:rPr>
          <w:rFonts w:ascii="Arial" w:eastAsia="Arial" w:hAnsi="Arial" w:cs="Arial"/>
          <w:sz w:val="24"/>
          <w:szCs w:val="24"/>
        </w:rPr>
        <w:t>searched by Metropolitan Police officers in a school in Hackney without reasonable grounds or an appropriate adult, resulting in profound feelings of degradation and humiliation (Guardian, 2025). In June 2025, the IOPC disciplinary panel found two officers guilty of gross misconduct for their roles, highlighting that the search was disproportionate, unnecessary, and violated professional standards (Independent Office for Police Conduct, 2025). These findings underscore that decision-making and safeguarding considerations were inadequate and that the officers failed to adhere to legal and policy requirements.</w:t>
      </w:r>
    </w:p>
    <w:p w14:paraId="62F82F86" w14:textId="21AA9A08" w:rsidR="007D52A2" w:rsidRPr="008B6235" w:rsidRDefault="2D9C62C4" w:rsidP="008B6235">
      <w:pPr>
        <w:spacing w:before="240" w:after="240" w:line="360" w:lineRule="auto"/>
        <w:jc w:val="both"/>
        <w:rPr>
          <w:rFonts w:ascii="Arial" w:eastAsia="Arial" w:hAnsi="Arial" w:cs="Arial"/>
          <w:sz w:val="24"/>
          <w:szCs w:val="24"/>
        </w:rPr>
      </w:pPr>
      <w:r w:rsidRPr="008B6235">
        <w:rPr>
          <w:rFonts w:ascii="Arial" w:eastAsia="Arial" w:hAnsi="Arial" w:cs="Arial"/>
          <w:sz w:val="24"/>
          <w:szCs w:val="24"/>
        </w:rPr>
        <w:t xml:space="preserve">Police justifications for strip searches often invoke public safety, particularly the prevention of harm related to drugs, weapons, and other contraband. Officers argue that strip searches are necessary to protect themselves, other detainees, and the wider community from immediate risks (Home Office, 2023; Smith, 2019). Police guidance emphasises that such searches can help secure evidence critical for investigations, deter criminal behaviour, and uphold law and order within detention </w:t>
      </w:r>
      <w:r w:rsidRPr="008B6235">
        <w:rPr>
          <w:rFonts w:ascii="Arial" w:eastAsia="Arial" w:hAnsi="Arial" w:cs="Arial"/>
          <w:sz w:val="24"/>
          <w:szCs w:val="24"/>
        </w:rPr>
        <w:lastRenderedPageBreak/>
        <w:t>settings (College of Policing, 2022; HMICFRS, 2023). The Metropolitan Police have defended the use of strip</w:t>
      </w:r>
      <w:r w:rsidRPr="008B6235">
        <w:rPr>
          <w:rFonts w:ascii="Cambria Math" w:eastAsia="Arial" w:hAnsi="Cambria Math" w:cs="Cambria Math"/>
          <w:sz w:val="24"/>
          <w:szCs w:val="24"/>
        </w:rPr>
        <w:t>‑</w:t>
      </w:r>
      <w:r w:rsidRPr="008B6235">
        <w:rPr>
          <w:rFonts w:ascii="Arial" w:eastAsia="Arial" w:hAnsi="Arial" w:cs="Arial"/>
          <w:sz w:val="24"/>
          <w:szCs w:val="24"/>
        </w:rPr>
        <w:t>search powers as tools for preventing harm and maintaining public confidence (Guardian, 2024). These arguments align with Packer’s crime control model, which prioritises swift suppression of crime and protection of societal order (Packer, 1968).</w:t>
      </w:r>
    </w:p>
    <w:p w14:paraId="3B67EEFE" w14:textId="28BAF1D5" w:rsidR="007D52A2" w:rsidRPr="008B6235" w:rsidRDefault="2D9C62C4" w:rsidP="008B6235">
      <w:pPr>
        <w:spacing w:before="240" w:after="240" w:line="360" w:lineRule="auto"/>
        <w:jc w:val="both"/>
        <w:rPr>
          <w:rFonts w:ascii="Arial" w:eastAsia="Arial" w:hAnsi="Arial" w:cs="Arial"/>
          <w:sz w:val="24"/>
          <w:szCs w:val="24"/>
        </w:rPr>
      </w:pPr>
      <w:r w:rsidRPr="008B6235">
        <w:rPr>
          <w:rFonts w:ascii="Arial" w:eastAsia="Arial" w:hAnsi="Arial" w:cs="Arial"/>
          <w:sz w:val="24"/>
          <w:szCs w:val="24"/>
        </w:rPr>
        <w:t>However, the principle of proportionality in human rights law constrains these justifications: even legitimate aims cannot justify humiliating or invasive acts that are disproportionate to the threat posed (ECHR, 1950; Bateman, 2020). The disproportionate application of strip searches to Black children further challenges the legitimacy of police discretion. Data indicate that Black children have been up to six times more likely to be strip</w:t>
      </w:r>
      <w:r w:rsidRPr="008B6235">
        <w:rPr>
          <w:rFonts w:ascii="Cambria Math" w:eastAsia="Arial" w:hAnsi="Cambria Math" w:cs="Cambria Math"/>
          <w:sz w:val="24"/>
          <w:szCs w:val="24"/>
        </w:rPr>
        <w:t>‑</w:t>
      </w:r>
      <w:r w:rsidRPr="008B6235">
        <w:rPr>
          <w:rFonts w:ascii="Arial" w:eastAsia="Arial" w:hAnsi="Arial" w:cs="Arial"/>
          <w:sz w:val="24"/>
          <w:szCs w:val="24"/>
        </w:rPr>
        <w:t>searched than their white peers, with London’s Metropolitan Police accounting for a disproportionately high share of those searches (Guardian, 2024; Phillips and Bowling, 2017; Lammy, 2017). Research also highlights that police rationales often prioritise risk management and operational efficiency over child welfare or developmental considerations, raising questions about the ethical and legal justification of these powers (Goldson, 2013; Muncie, 2009).</w:t>
      </w:r>
    </w:p>
    <w:p w14:paraId="6482493A" w14:textId="5B738B48" w:rsidR="007D52A2" w:rsidRPr="008B6235" w:rsidRDefault="2D9C62C4" w:rsidP="008B6235">
      <w:pPr>
        <w:spacing w:before="240" w:after="240" w:line="360" w:lineRule="auto"/>
        <w:jc w:val="both"/>
        <w:rPr>
          <w:rFonts w:ascii="Arial" w:eastAsia="Arial" w:hAnsi="Arial" w:cs="Arial"/>
          <w:sz w:val="24"/>
          <w:szCs w:val="24"/>
        </w:rPr>
      </w:pPr>
      <w:r w:rsidRPr="008B6235">
        <w:rPr>
          <w:rFonts w:ascii="Arial" w:eastAsia="Arial" w:hAnsi="Arial" w:cs="Arial"/>
          <w:sz w:val="24"/>
          <w:szCs w:val="24"/>
        </w:rPr>
        <w:t>The over</w:t>
      </w:r>
      <w:r w:rsidRPr="008B6235">
        <w:rPr>
          <w:rFonts w:ascii="Cambria Math" w:eastAsia="Arial" w:hAnsi="Cambria Math" w:cs="Cambria Math"/>
          <w:sz w:val="24"/>
          <w:szCs w:val="24"/>
        </w:rPr>
        <w:t>‑</w:t>
      </w:r>
      <w:r w:rsidRPr="008B6235">
        <w:rPr>
          <w:rFonts w:ascii="Arial" w:eastAsia="Arial" w:hAnsi="Arial" w:cs="Arial"/>
          <w:sz w:val="24"/>
          <w:szCs w:val="24"/>
        </w:rPr>
        <w:t>representation of Black children within strip</w:t>
      </w:r>
      <w:r w:rsidRPr="008B6235">
        <w:rPr>
          <w:rFonts w:ascii="Cambria Math" w:eastAsia="Arial" w:hAnsi="Cambria Math" w:cs="Cambria Math"/>
          <w:sz w:val="24"/>
          <w:szCs w:val="24"/>
        </w:rPr>
        <w:t>‑</w:t>
      </w:r>
      <w:r w:rsidRPr="008B6235">
        <w:rPr>
          <w:rFonts w:ascii="Arial" w:eastAsia="Arial" w:hAnsi="Arial" w:cs="Arial"/>
          <w:sz w:val="24"/>
          <w:szCs w:val="24"/>
        </w:rPr>
        <w:t>search statistics reflects broader structural racism within policing. Despite the disciplinary panel’s finding that race was not proven to have influenced individual officers’ actions in the Child Q case, pervasive disparities suggest deeper institutional issues rather than isolated bias (Metropolitan Police news release, 2025). Critical race scholars argue that discretionary policing frequently reproduces societal inequalities, particularly affecting ethnic minorities (Phillips and Bowling, 2017).</w:t>
      </w:r>
    </w:p>
    <w:p w14:paraId="20BFEEF9" w14:textId="104C56B0" w:rsidR="007D52A2" w:rsidRPr="008B6235" w:rsidRDefault="2D9C62C4" w:rsidP="008B6235">
      <w:pPr>
        <w:spacing w:before="240" w:after="240" w:line="360" w:lineRule="auto"/>
        <w:jc w:val="both"/>
        <w:rPr>
          <w:rFonts w:ascii="Arial" w:eastAsia="Arial" w:hAnsi="Arial" w:cs="Arial"/>
          <w:sz w:val="24"/>
          <w:szCs w:val="24"/>
        </w:rPr>
      </w:pPr>
      <w:r w:rsidRPr="008B6235">
        <w:rPr>
          <w:rFonts w:ascii="Arial" w:eastAsia="Arial" w:hAnsi="Arial" w:cs="Arial"/>
          <w:sz w:val="24"/>
          <w:szCs w:val="24"/>
        </w:rPr>
        <w:t>Empirical evidence questions the effectiveness of strip searches on children as a crime</w:t>
      </w:r>
      <w:r w:rsidRPr="008B6235">
        <w:rPr>
          <w:rFonts w:ascii="Cambria Math" w:eastAsia="Arial" w:hAnsi="Cambria Math" w:cs="Cambria Math"/>
          <w:sz w:val="24"/>
          <w:szCs w:val="24"/>
        </w:rPr>
        <w:t>‑</w:t>
      </w:r>
      <w:r w:rsidRPr="008B6235">
        <w:rPr>
          <w:rFonts w:ascii="Arial" w:eastAsia="Arial" w:hAnsi="Arial" w:cs="Arial"/>
          <w:sz w:val="24"/>
          <w:szCs w:val="24"/>
        </w:rPr>
        <w:t xml:space="preserve">fighting tool. Data from the Children’s Commissioner for England indicate that many searches yield no prohibited items, and a substantial proportion are conducted without an appropriate adult, reflecting a poor balance between enforcement aims and children’s rights (Children’s Commissioner for England, 2024). While police often justify strip searches on public safety, operational efficiency, or evidence recovery, outcomes are rarely achieved in practice (Home Office, 2023; Smith, 2019). Bradford et al. (2014) demonstrate that intrusive policing damages legitimacy and erodes trust, particularly among vulnerable or marginalised groups, compromising long-term crime </w:t>
      </w:r>
      <w:r w:rsidRPr="008B6235">
        <w:rPr>
          <w:rFonts w:ascii="Arial" w:eastAsia="Arial" w:hAnsi="Arial" w:cs="Arial"/>
          <w:sz w:val="24"/>
          <w:szCs w:val="24"/>
        </w:rPr>
        <w:lastRenderedPageBreak/>
        <w:t>prevention. Psychological research further evidences trauma, anxiety, and disengagement with authority experienced as a result of such encounters, undermining both short-term safety and long-term community trust (Taylor, French and Halsey, 2018).</w:t>
      </w:r>
    </w:p>
    <w:p w14:paraId="07E41215" w14:textId="2A2CFE3D" w:rsidR="007D52A2" w:rsidRPr="008B6235" w:rsidRDefault="2D9C62C4" w:rsidP="008B6235">
      <w:pPr>
        <w:spacing w:before="240" w:after="240" w:line="360" w:lineRule="auto"/>
        <w:jc w:val="both"/>
        <w:rPr>
          <w:rFonts w:ascii="Arial" w:eastAsia="Arial" w:hAnsi="Arial" w:cs="Arial"/>
          <w:sz w:val="24"/>
          <w:szCs w:val="24"/>
        </w:rPr>
      </w:pPr>
      <w:r w:rsidRPr="008B6235">
        <w:rPr>
          <w:rFonts w:ascii="Arial" w:eastAsia="Arial" w:hAnsi="Arial" w:cs="Arial"/>
          <w:sz w:val="24"/>
          <w:szCs w:val="24"/>
        </w:rPr>
        <w:t>Recent nationwide data compiled by the Children’s Commissioner further undermine claims that strip</w:t>
      </w:r>
      <w:r w:rsidRPr="008B6235">
        <w:rPr>
          <w:rFonts w:ascii="Cambria Math" w:eastAsia="Arial" w:hAnsi="Cambria Math" w:cs="Cambria Math"/>
          <w:sz w:val="24"/>
          <w:szCs w:val="24"/>
        </w:rPr>
        <w:t>‑</w:t>
      </w:r>
      <w:r w:rsidRPr="008B6235">
        <w:rPr>
          <w:rFonts w:ascii="Arial" w:eastAsia="Arial" w:hAnsi="Arial" w:cs="Arial"/>
          <w:sz w:val="24"/>
          <w:szCs w:val="24"/>
        </w:rPr>
        <w:t>searching children is proportionate or justified. Almost half of the 3,368 searches between January 2018 and June 2023 were conducted without appropriate adults present, directly breaching procedural safeguards (Children’s Commissioner for England, 2024; Sky News, 2024). Nearly 88 % of these searches were initiated on suspicion of drug possession, while only a minority related to weapons or imminent risk (The Independent, 2024). These patterns call into question the necessity and proportionality requirements under PACE and human rights law.</w:t>
      </w:r>
    </w:p>
    <w:p w14:paraId="4DAB1C76" w14:textId="0F7B5928" w:rsidR="007D52A2" w:rsidRPr="008B6235" w:rsidRDefault="2D9C62C4" w:rsidP="008B6235">
      <w:pPr>
        <w:spacing w:before="240" w:after="240" w:line="360" w:lineRule="auto"/>
        <w:jc w:val="both"/>
        <w:rPr>
          <w:rFonts w:ascii="Arial" w:eastAsia="Arial" w:hAnsi="Arial" w:cs="Arial"/>
          <w:sz w:val="24"/>
          <w:szCs w:val="24"/>
        </w:rPr>
      </w:pPr>
      <w:r w:rsidRPr="008B6235">
        <w:rPr>
          <w:rFonts w:ascii="Arial" w:eastAsia="Arial" w:hAnsi="Arial" w:cs="Arial"/>
          <w:sz w:val="24"/>
          <w:szCs w:val="24"/>
        </w:rPr>
        <w:t>The misconduct findings in the Child Q case demonstrate that current practices can breach legal and ethical standards even within institutional review processes. The disciplinary panel found the decision to strip</w:t>
      </w:r>
      <w:r w:rsidRPr="008B6235">
        <w:rPr>
          <w:rFonts w:ascii="Cambria Math" w:eastAsia="Arial" w:hAnsi="Cambria Math" w:cs="Cambria Math"/>
          <w:sz w:val="24"/>
          <w:szCs w:val="24"/>
        </w:rPr>
        <w:t>‑</w:t>
      </w:r>
      <w:r w:rsidRPr="008B6235">
        <w:rPr>
          <w:rFonts w:ascii="Arial" w:eastAsia="Arial" w:hAnsi="Arial" w:cs="Arial"/>
          <w:sz w:val="24"/>
          <w:szCs w:val="24"/>
        </w:rPr>
        <w:t>search the girl was “disproportionate, inappropriate and unnecessary” and caused “enormous harm,” demonstrating that even police oversight mechanisms recognise serious failings (Independent Office for Police Conduct, 2025). Psychological impacts are increasingly documented, with children reporting trauma, anxiety, and humiliation, undermining trust in authority and community cooperation (The Guardian, 2025; The Times, 2025). This aligns with Article 3 of the ECHR, which prohibits degrading treatment (Wainwright v UK, 2006).</w:t>
      </w:r>
    </w:p>
    <w:p w14:paraId="3BD292B7" w14:textId="19CC33D5" w:rsidR="007D52A2" w:rsidRPr="008B6235" w:rsidRDefault="2D9C62C4" w:rsidP="008B6235">
      <w:pPr>
        <w:spacing w:before="240" w:after="240" w:line="360" w:lineRule="auto"/>
        <w:jc w:val="both"/>
        <w:rPr>
          <w:rFonts w:ascii="Arial" w:eastAsia="Arial" w:hAnsi="Arial" w:cs="Arial"/>
          <w:sz w:val="24"/>
          <w:szCs w:val="24"/>
        </w:rPr>
      </w:pPr>
      <w:r w:rsidRPr="008B6235">
        <w:rPr>
          <w:rFonts w:ascii="Arial" w:eastAsia="Arial" w:hAnsi="Arial" w:cs="Arial"/>
          <w:sz w:val="24"/>
          <w:szCs w:val="24"/>
        </w:rPr>
        <w:t>Parliamentary scrutiny has intensified. In 2025, an All</w:t>
      </w:r>
      <w:r w:rsidRPr="008B6235">
        <w:rPr>
          <w:rFonts w:ascii="Cambria Math" w:eastAsia="Arial" w:hAnsi="Cambria Math" w:cs="Cambria Math"/>
          <w:sz w:val="24"/>
          <w:szCs w:val="24"/>
        </w:rPr>
        <w:t>‑</w:t>
      </w:r>
      <w:r w:rsidRPr="008B6235">
        <w:rPr>
          <w:rFonts w:ascii="Arial" w:eastAsia="Arial" w:hAnsi="Arial" w:cs="Arial"/>
          <w:sz w:val="24"/>
          <w:szCs w:val="24"/>
        </w:rPr>
        <w:t>Party Parliamentary Group (APPG) report recommended that strip</w:t>
      </w:r>
      <w:r w:rsidRPr="008B6235">
        <w:rPr>
          <w:rFonts w:ascii="Cambria Math" w:eastAsia="Arial" w:hAnsi="Cambria Math" w:cs="Cambria Math"/>
          <w:sz w:val="24"/>
          <w:szCs w:val="24"/>
        </w:rPr>
        <w:t>‑</w:t>
      </w:r>
      <w:r w:rsidRPr="008B6235">
        <w:rPr>
          <w:rFonts w:ascii="Arial" w:eastAsia="Arial" w:hAnsi="Arial" w:cs="Arial"/>
          <w:sz w:val="24"/>
          <w:szCs w:val="24"/>
        </w:rPr>
        <w:t>search powers be limited to last resort, custody periods for minors shortened, and welfare-based approaches prioritised (The Guardian, 2025). The APPG highlighted that children subjected to strip searches are disproportionately likely to have mental health needs, special educational needs, or histories of exploitation, emphasising the necessity of safeguarding-centred practices (The Guardian, 2025).</w:t>
      </w:r>
    </w:p>
    <w:p w14:paraId="7A1E20A4" w14:textId="3472E19A" w:rsidR="007D52A2" w:rsidRPr="008B6235" w:rsidRDefault="2D9C62C4" w:rsidP="008B6235">
      <w:pPr>
        <w:spacing w:before="240" w:after="240" w:line="360" w:lineRule="auto"/>
        <w:jc w:val="both"/>
        <w:rPr>
          <w:rFonts w:ascii="Arial" w:eastAsia="Arial" w:hAnsi="Arial" w:cs="Arial"/>
          <w:sz w:val="24"/>
          <w:szCs w:val="24"/>
        </w:rPr>
      </w:pPr>
      <w:r w:rsidRPr="008B6235">
        <w:rPr>
          <w:rFonts w:ascii="Arial" w:eastAsia="Arial" w:hAnsi="Arial" w:cs="Arial"/>
          <w:sz w:val="24"/>
          <w:szCs w:val="24"/>
        </w:rPr>
        <w:t>Taken together, the evidence indicates that strip</w:t>
      </w:r>
      <w:r w:rsidRPr="008B6235">
        <w:rPr>
          <w:rFonts w:ascii="Cambria Math" w:eastAsia="Arial" w:hAnsi="Cambria Math" w:cs="Cambria Math"/>
          <w:sz w:val="24"/>
          <w:szCs w:val="24"/>
        </w:rPr>
        <w:t>‑</w:t>
      </w:r>
      <w:r w:rsidRPr="008B6235">
        <w:rPr>
          <w:rFonts w:ascii="Arial" w:eastAsia="Arial" w:hAnsi="Arial" w:cs="Arial"/>
          <w:sz w:val="24"/>
          <w:szCs w:val="24"/>
        </w:rPr>
        <w:t xml:space="preserve">searching children, particularly without appropriate adults, in the context of racial disparities, or when searches yield no further action, cannot be justified as proportionate, lawful, or effective. Such </w:t>
      </w:r>
      <w:r w:rsidRPr="008B6235">
        <w:rPr>
          <w:rFonts w:ascii="Arial" w:eastAsia="Arial" w:hAnsi="Arial" w:cs="Arial"/>
          <w:sz w:val="24"/>
          <w:szCs w:val="24"/>
        </w:rPr>
        <w:lastRenderedPageBreak/>
        <w:t>practices undermine fundamental rights, damage public trust, and conflict with safeguarding principles. Procedural justice theory suggests perceived unfairness delegitimises law enforcement and reduces compliance (Tyler, 2006). Policy proposals and independent reviews have sought to strengthen protections, including senior officer authorisation, safeguarding referrals, and parental notification (Home Office, 2024; UK Parliament, 2026). Recommendations also include a presumption against strip searches except in exceptional circumstances, non-intrusive alternatives, improving appropriate adult presence, enhancing information provision, and strengthening data collection and oversight (APPG on Children in Police Custody, 2025; Children’s Commissioner for England, 2024). Rights-based, safeguarding-centred approaches that prioritise dignity, proportionality, and trauma-informed practice are essential for lawful and legitimate policing.</w:t>
      </w:r>
    </w:p>
    <w:p w14:paraId="7C0EEB28" w14:textId="5FD7B45D" w:rsidR="007D52A2" w:rsidRPr="008B6235" w:rsidRDefault="2D9C62C4" w:rsidP="008B6235">
      <w:pPr>
        <w:spacing w:before="240" w:after="240" w:line="360" w:lineRule="auto"/>
        <w:jc w:val="both"/>
        <w:rPr>
          <w:rFonts w:ascii="Arial" w:eastAsia="Arial" w:hAnsi="Arial" w:cs="Arial"/>
          <w:sz w:val="24"/>
          <w:szCs w:val="24"/>
        </w:rPr>
      </w:pPr>
      <w:r w:rsidRPr="008B6235">
        <w:rPr>
          <w:rFonts w:ascii="Arial" w:eastAsia="Arial" w:hAnsi="Arial" w:cs="Arial"/>
          <w:sz w:val="24"/>
          <w:szCs w:val="24"/>
        </w:rPr>
        <w:t>Recommendations include: statutory presumption against strip-searching children except in imminent risk situations, trauma-informed and child-centred policing aligned with UNCRC principles, independent oversight of all searches involving minors, structural reforms to reduce racial disproportionality, and welfare-based diversionary responses for youth offending (United Nations Committee on the Rights of the Child, 2016; Lammy, 2017; Muncie, 2009).</w:t>
      </w:r>
    </w:p>
    <w:p w14:paraId="48DC3D87" w14:textId="33854CE7" w:rsidR="007D52A2" w:rsidRPr="008B6235" w:rsidRDefault="2D9C62C4" w:rsidP="008B6235">
      <w:pPr>
        <w:spacing w:before="240" w:after="240" w:line="360" w:lineRule="auto"/>
        <w:jc w:val="both"/>
        <w:rPr>
          <w:rFonts w:ascii="Arial" w:eastAsia="Arial" w:hAnsi="Arial" w:cs="Arial"/>
          <w:sz w:val="24"/>
          <w:szCs w:val="24"/>
        </w:rPr>
      </w:pPr>
      <w:r w:rsidRPr="008B6235">
        <w:rPr>
          <w:rFonts w:ascii="Arial" w:eastAsia="Arial" w:hAnsi="Arial" w:cs="Arial"/>
          <w:sz w:val="24"/>
          <w:szCs w:val="24"/>
        </w:rPr>
        <w:t>In conclusion, while public safety remains a legitimate policing objective, the strip-searching of children by the Metropolitan Police has been consistently disproportionate, legally tenuous, and ethically indefensible. The practice disproportionately targets Black and other marginalised children, inflicting profound psychological harm and undermining trust in law enforcement. Far from isolated errors, these incidents reveal entrenched institutional failings. Addressing these issues requires systemic reform: policies and practices must prioritise child welfare, uphold human rights, mitigate racial disparities, and embed trauma-informed, rights-based approaches to ensure policing of children is lawful and socially legitimate.</w:t>
      </w:r>
    </w:p>
    <w:p w14:paraId="06ADDD5C" w14:textId="46C0D3E3" w:rsidR="53DBB712" w:rsidRDefault="53DBB712" w:rsidP="53DBB712">
      <w:pPr>
        <w:spacing w:line="360" w:lineRule="auto"/>
        <w:jc w:val="both"/>
        <w:rPr>
          <w:rFonts w:ascii="Arial" w:hAnsi="Arial" w:cs="Arial"/>
          <w:sz w:val="24"/>
          <w:szCs w:val="24"/>
        </w:rPr>
      </w:pPr>
    </w:p>
    <w:p w14:paraId="0ED066E6" w14:textId="771AAD7B" w:rsidR="53DBB712" w:rsidRDefault="53DBB712" w:rsidP="53DBB712">
      <w:pPr>
        <w:spacing w:line="360" w:lineRule="auto"/>
        <w:jc w:val="both"/>
        <w:rPr>
          <w:rFonts w:ascii="Arial" w:hAnsi="Arial" w:cs="Arial"/>
          <w:sz w:val="24"/>
          <w:szCs w:val="24"/>
        </w:rPr>
      </w:pPr>
    </w:p>
    <w:p w14:paraId="50E73367" w14:textId="1DA6BDB4" w:rsidR="53DBB712" w:rsidRDefault="53DBB712" w:rsidP="53DBB712">
      <w:pPr>
        <w:spacing w:line="360" w:lineRule="auto"/>
        <w:jc w:val="both"/>
        <w:rPr>
          <w:rFonts w:ascii="Arial" w:hAnsi="Arial" w:cs="Arial"/>
          <w:sz w:val="24"/>
          <w:szCs w:val="24"/>
        </w:rPr>
      </w:pPr>
    </w:p>
    <w:p w14:paraId="677F8203" w14:textId="77777777" w:rsidR="008B6235" w:rsidRDefault="008B6235" w:rsidP="53DBB712">
      <w:pPr>
        <w:spacing w:line="360" w:lineRule="auto"/>
        <w:jc w:val="both"/>
        <w:rPr>
          <w:rFonts w:ascii="Arial" w:hAnsi="Arial" w:cs="Arial"/>
          <w:b/>
          <w:bCs/>
          <w:sz w:val="24"/>
          <w:szCs w:val="24"/>
        </w:rPr>
      </w:pPr>
    </w:p>
    <w:p w14:paraId="447D0DA0" w14:textId="6CA3EB1C" w:rsidR="53DBB712" w:rsidRPr="008754CE" w:rsidRDefault="3E322D1B" w:rsidP="53DBB712">
      <w:pPr>
        <w:spacing w:line="360" w:lineRule="auto"/>
        <w:jc w:val="both"/>
        <w:rPr>
          <w:rFonts w:ascii="Arial" w:hAnsi="Arial" w:cs="Arial"/>
          <w:b/>
          <w:bCs/>
          <w:sz w:val="24"/>
          <w:szCs w:val="24"/>
        </w:rPr>
      </w:pPr>
      <w:r w:rsidRPr="008754CE">
        <w:rPr>
          <w:rFonts w:ascii="Arial" w:hAnsi="Arial" w:cs="Arial"/>
          <w:b/>
          <w:bCs/>
          <w:sz w:val="24"/>
          <w:szCs w:val="24"/>
        </w:rPr>
        <w:lastRenderedPageBreak/>
        <w:t xml:space="preserve">Part 2 </w:t>
      </w:r>
      <w:r w:rsidR="008754CE" w:rsidRPr="008754CE">
        <w:rPr>
          <w:rFonts w:ascii="Arial" w:hAnsi="Arial" w:cs="Arial"/>
          <w:b/>
          <w:bCs/>
          <w:sz w:val="24"/>
          <w:szCs w:val="24"/>
        </w:rPr>
        <w:t>-</w:t>
      </w:r>
      <w:r w:rsidR="008754CE" w:rsidRPr="008754CE">
        <w:rPr>
          <w:b/>
          <w:bCs/>
        </w:rPr>
        <w:t xml:space="preserve"> </w:t>
      </w:r>
      <w:r w:rsidR="008754CE" w:rsidRPr="008754CE">
        <w:rPr>
          <w:rFonts w:ascii="Arial" w:hAnsi="Arial" w:cs="Arial"/>
          <w:b/>
          <w:bCs/>
          <w:sz w:val="24"/>
          <w:szCs w:val="24"/>
        </w:rPr>
        <w:t>12-minute recorded presentation</w:t>
      </w:r>
    </w:p>
    <w:p w14:paraId="3BF13728" w14:textId="60B272C1" w:rsidR="25092F0D" w:rsidRDefault="25092F0D" w:rsidP="25092F0D">
      <w:pPr>
        <w:spacing w:line="360" w:lineRule="auto"/>
        <w:jc w:val="both"/>
      </w:pPr>
    </w:p>
    <w:p w14:paraId="591BC6DE" w14:textId="43A25561" w:rsidR="53DBB712" w:rsidRDefault="53DBB712" w:rsidP="53DBB712">
      <w:pPr>
        <w:spacing w:line="360" w:lineRule="auto"/>
        <w:jc w:val="both"/>
        <w:rPr>
          <w:rFonts w:ascii="Arial" w:hAnsi="Arial" w:cs="Arial"/>
          <w:sz w:val="24"/>
          <w:szCs w:val="24"/>
        </w:rPr>
      </w:pPr>
    </w:p>
    <w:p w14:paraId="0FA9D00F" w14:textId="6DB31A46" w:rsidR="53DBB712" w:rsidRDefault="00111BC1" w:rsidP="53DBB712">
      <w:pPr>
        <w:spacing w:line="360" w:lineRule="auto"/>
        <w:jc w:val="both"/>
        <w:rPr>
          <w:rFonts w:ascii="Arial" w:hAnsi="Arial" w:cs="Arial"/>
          <w:sz w:val="24"/>
          <w:szCs w:val="24"/>
        </w:rPr>
      </w:pPr>
      <w:r>
        <w:rPr>
          <w:rFonts w:ascii="Arial" w:hAnsi="Arial" w:cs="Arial"/>
          <w:sz w:val="24"/>
          <w:szCs w:val="24"/>
        </w:rPr>
        <w:object w:dxaOrig="1543" w:dyaOrig="995" w14:anchorId="0B03DB1B">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7" type="#_x0000_t75" style="width:77.15pt;height:49.75pt" o:ole="">
            <v:imagedata r:id="rId11" o:title=""/>
          </v:shape>
          <o:OLEObject Type="Link" ProgID="PowerPoint.Show.12" ShapeID="_x0000_i1027" DrawAspect="Icon" r:id="rId12" UpdateMode="Always">
            <o:LinkType>EnhancedMetaFile</o:LinkType>
            <o:LockedField>false</o:LockedField>
            <o:FieldCodes>\f 0</o:FieldCodes>
          </o:OLEObject>
        </w:object>
      </w:r>
    </w:p>
    <w:p w14:paraId="20DB52C9" w14:textId="46F789B6" w:rsidR="53DBB712" w:rsidRDefault="53DBB712" w:rsidP="53DBB712">
      <w:pPr>
        <w:spacing w:line="360" w:lineRule="auto"/>
        <w:jc w:val="both"/>
        <w:rPr>
          <w:rFonts w:ascii="Arial" w:hAnsi="Arial" w:cs="Arial"/>
          <w:sz w:val="24"/>
          <w:szCs w:val="24"/>
        </w:rPr>
      </w:pPr>
    </w:p>
    <w:p w14:paraId="6C7CFD7E" w14:textId="2428767F" w:rsidR="53DBB712" w:rsidRDefault="53DBB712" w:rsidP="53DBB712">
      <w:pPr>
        <w:spacing w:line="360" w:lineRule="auto"/>
        <w:jc w:val="both"/>
        <w:rPr>
          <w:rFonts w:ascii="Arial" w:hAnsi="Arial" w:cs="Arial"/>
          <w:sz w:val="24"/>
          <w:szCs w:val="24"/>
        </w:rPr>
      </w:pPr>
    </w:p>
    <w:p w14:paraId="45D17C4D" w14:textId="0E154D2C" w:rsidR="53DBB712" w:rsidRDefault="53DBB712" w:rsidP="53DBB712">
      <w:pPr>
        <w:spacing w:line="360" w:lineRule="auto"/>
        <w:jc w:val="both"/>
        <w:rPr>
          <w:rFonts w:ascii="Arial" w:hAnsi="Arial" w:cs="Arial"/>
          <w:sz w:val="24"/>
          <w:szCs w:val="24"/>
        </w:rPr>
      </w:pPr>
    </w:p>
    <w:p w14:paraId="35DAAC99" w14:textId="1C165D31" w:rsidR="53DBB712" w:rsidRDefault="53DBB712" w:rsidP="53DBB712">
      <w:pPr>
        <w:spacing w:line="360" w:lineRule="auto"/>
        <w:jc w:val="both"/>
        <w:rPr>
          <w:rFonts w:ascii="Arial" w:hAnsi="Arial" w:cs="Arial"/>
          <w:sz w:val="24"/>
          <w:szCs w:val="24"/>
        </w:rPr>
      </w:pPr>
    </w:p>
    <w:p w14:paraId="24213C0F" w14:textId="761EEE0F" w:rsidR="53DBB712" w:rsidRDefault="53DBB712" w:rsidP="53DBB712">
      <w:pPr>
        <w:spacing w:line="360" w:lineRule="auto"/>
        <w:jc w:val="both"/>
        <w:rPr>
          <w:rFonts w:ascii="Arial" w:hAnsi="Arial" w:cs="Arial"/>
          <w:sz w:val="24"/>
          <w:szCs w:val="24"/>
        </w:rPr>
      </w:pPr>
    </w:p>
    <w:p w14:paraId="68FDBF98" w14:textId="002E14F3" w:rsidR="53DBB712" w:rsidRDefault="53DBB712" w:rsidP="53DBB712">
      <w:pPr>
        <w:spacing w:line="360" w:lineRule="auto"/>
        <w:jc w:val="both"/>
        <w:rPr>
          <w:rFonts w:ascii="Arial" w:hAnsi="Arial" w:cs="Arial"/>
          <w:sz w:val="24"/>
          <w:szCs w:val="24"/>
        </w:rPr>
      </w:pPr>
    </w:p>
    <w:p w14:paraId="4D0FD48A" w14:textId="12C77E05" w:rsidR="53DBB712" w:rsidRDefault="53DBB712" w:rsidP="53DBB712">
      <w:pPr>
        <w:spacing w:line="360" w:lineRule="auto"/>
        <w:jc w:val="both"/>
        <w:rPr>
          <w:rFonts w:ascii="Arial" w:hAnsi="Arial" w:cs="Arial"/>
          <w:sz w:val="24"/>
          <w:szCs w:val="24"/>
        </w:rPr>
      </w:pPr>
    </w:p>
    <w:p w14:paraId="14861F9B" w14:textId="3EC3B7F5" w:rsidR="53DBB712" w:rsidRDefault="53DBB712" w:rsidP="53DBB712">
      <w:pPr>
        <w:spacing w:line="360" w:lineRule="auto"/>
        <w:jc w:val="both"/>
        <w:rPr>
          <w:rFonts w:ascii="Arial" w:hAnsi="Arial" w:cs="Arial"/>
          <w:sz w:val="24"/>
          <w:szCs w:val="24"/>
        </w:rPr>
      </w:pPr>
    </w:p>
    <w:p w14:paraId="5B157BB6" w14:textId="4C18FCF9" w:rsidR="53DBB712" w:rsidRDefault="53DBB712" w:rsidP="53DBB712">
      <w:pPr>
        <w:spacing w:line="360" w:lineRule="auto"/>
        <w:jc w:val="both"/>
        <w:rPr>
          <w:rFonts w:ascii="Arial" w:hAnsi="Arial" w:cs="Arial"/>
          <w:sz w:val="24"/>
          <w:szCs w:val="24"/>
        </w:rPr>
      </w:pPr>
    </w:p>
    <w:p w14:paraId="72C18114" w14:textId="64BD25D3" w:rsidR="53DBB712" w:rsidRDefault="53DBB712" w:rsidP="53DBB712">
      <w:pPr>
        <w:spacing w:line="360" w:lineRule="auto"/>
        <w:jc w:val="both"/>
        <w:rPr>
          <w:rFonts w:ascii="Arial" w:hAnsi="Arial" w:cs="Arial"/>
          <w:sz w:val="24"/>
          <w:szCs w:val="24"/>
        </w:rPr>
      </w:pPr>
    </w:p>
    <w:p w14:paraId="44C435CD" w14:textId="17A789A2" w:rsidR="53DBB712" w:rsidRDefault="53DBB712" w:rsidP="53DBB712">
      <w:pPr>
        <w:spacing w:line="360" w:lineRule="auto"/>
        <w:jc w:val="both"/>
        <w:rPr>
          <w:rFonts w:ascii="Arial" w:hAnsi="Arial" w:cs="Arial"/>
          <w:sz w:val="24"/>
          <w:szCs w:val="24"/>
        </w:rPr>
      </w:pPr>
    </w:p>
    <w:p w14:paraId="63A871B4" w14:textId="596A00B4" w:rsidR="53DBB712" w:rsidRDefault="53DBB712" w:rsidP="53DBB712">
      <w:pPr>
        <w:spacing w:line="360" w:lineRule="auto"/>
        <w:jc w:val="both"/>
        <w:rPr>
          <w:rFonts w:ascii="Arial" w:hAnsi="Arial" w:cs="Arial"/>
          <w:sz w:val="24"/>
          <w:szCs w:val="24"/>
        </w:rPr>
      </w:pPr>
    </w:p>
    <w:p w14:paraId="6A05C930" w14:textId="30C5B207" w:rsidR="53DBB712" w:rsidRDefault="53DBB712" w:rsidP="53DBB712">
      <w:pPr>
        <w:spacing w:line="360" w:lineRule="auto"/>
        <w:jc w:val="both"/>
        <w:rPr>
          <w:rFonts w:ascii="Arial" w:hAnsi="Arial" w:cs="Arial"/>
          <w:sz w:val="24"/>
          <w:szCs w:val="24"/>
        </w:rPr>
      </w:pPr>
    </w:p>
    <w:p w14:paraId="090945EA" w14:textId="77777777" w:rsidR="00982612" w:rsidRDefault="00982612" w:rsidP="53DBB712">
      <w:pPr>
        <w:spacing w:before="240" w:after="240"/>
        <w:jc w:val="both"/>
        <w:rPr>
          <w:rFonts w:ascii="Arial" w:eastAsia="Arial" w:hAnsi="Arial" w:cs="Arial"/>
          <w:sz w:val="24"/>
          <w:szCs w:val="24"/>
        </w:rPr>
      </w:pPr>
    </w:p>
    <w:p w14:paraId="7C59D845" w14:textId="77777777" w:rsidR="00982612" w:rsidRDefault="00982612" w:rsidP="53DBB712">
      <w:pPr>
        <w:spacing w:before="240" w:after="240"/>
        <w:jc w:val="both"/>
        <w:rPr>
          <w:rFonts w:ascii="Arial" w:eastAsia="Arial" w:hAnsi="Arial" w:cs="Arial"/>
          <w:sz w:val="24"/>
          <w:szCs w:val="24"/>
        </w:rPr>
      </w:pPr>
    </w:p>
    <w:p w14:paraId="06FD2D26" w14:textId="77777777" w:rsidR="00982612" w:rsidRDefault="00982612" w:rsidP="53DBB712">
      <w:pPr>
        <w:spacing w:before="240" w:after="240"/>
        <w:jc w:val="both"/>
        <w:rPr>
          <w:rFonts w:ascii="Arial" w:eastAsia="Arial" w:hAnsi="Arial" w:cs="Arial"/>
          <w:sz w:val="24"/>
          <w:szCs w:val="24"/>
        </w:rPr>
      </w:pPr>
    </w:p>
    <w:p w14:paraId="32A0A46B" w14:textId="77777777" w:rsidR="008B6235" w:rsidRDefault="008B6235" w:rsidP="53DBB712">
      <w:pPr>
        <w:spacing w:before="240" w:after="240"/>
        <w:jc w:val="both"/>
        <w:rPr>
          <w:rFonts w:ascii="Arial" w:eastAsia="Arial" w:hAnsi="Arial" w:cs="Arial"/>
          <w:sz w:val="24"/>
          <w:szCs w:val="24"/>
        </w:rPr>
      </w:pPr>
    </w:p>
    <w:p w14:paraId="5059D6E6" w14:textId="77777777" w:rsidR="00111BC1" w:rsidRDefault="00111BC1" w:rsidP="53DBB712">
      <w:pPr>
        <w:spacing w:before="240" w:after="240"/>
        <w:jc w:val="both"/>
        <w:rPr>
          <w:rFonts w:ascii="Arial" w:eastAsia="Arial" w:hAnsi="Arial" w:cs="Arial"/>
          <w:b/>
          <w:bCs/>
          <w:sz w:val="24"/>
          <w:szCs w:val="24"/>
        </w:rPr>
      </w:pPr>
    </w:p>
    <w:p w14:paraId="145AED0E" w14:textId="77777777" w:rsidR="00111BC1" w:rsidRDefault="00111BC1" w:rsidP="53DBB712">
      <w:pPr>
        <w:spacing w:before="240" w:after="240"/>
        <w:jc w:val="both"/>
        <w:rPr>
          <w:rFonts w:ascii="Arial" w:eastAsia="Arial" w:hAnsi="Arial" w:cs="Arial"/>
          <w:b/>
          <w:bCs/>
          <w:sz w:val="24"/>
          <w:szCs w:val="24"/>
        </w:rPr>
      </w:pPr>
    </w:p>
    <w:p w14:paraId="17207E59" w14:textId="21960C19" w:rsidR="1D295699" w:rsidRPr="008B6235" w:rsidRDefault="1D295699" w:rsidP="53DBB712">
      <w:pPr>
        <w:spacing w:before="240" w:after="240"/>
        <w:jc w:val="both"/>
        <w:rPr>
          <w:rFonts w:ascii="Arial" w:eastAsia="Arial" w:hAnsi="Arial" w:cs="Arial"/>
          <w:b/>
          <w:bCs/>
          <w:sz w:val="24"/>
          <w:szCs w:val="24"/>
        </w:rPr>
      </w:pPr>
      <w:r w:rsidRPr="008B6235">
        <w:rPr>
          <w:rFonts w:ascii="Arial" w:eastAsia="Arial" w:hAnsi="Arial" w:cs="Arial"/>
          <w:b/>
          <w:bCs/>
          <w:sz w:val="24"/>
          <w:szCs w:val="24"/>
        </w:rPr>
        <w:lastRenderedPageBreak/>
        <w:t>Reference list</w:t>
      </w:r>
    </w:p>
    <w:p w14:paraId="6A64B506" w14:textId="77777777" w:rsidR="008B6235" w:rsidRPr="00F748ED" w:rsidRDefault="008B6235" w:rsidP="00F748ED">
      <w:pPr>
        <w:spacing w:before="100" w:beforeAutospacing="1" w:after="100" w:afterAutospacing="1" w:line="240" w:lineRule="auto"/>
        <w:rPr>
          <w:rFonts w:ascii="Arial" w:eastAsia="Times New Roman" w:hAnsi="Arial" w:cs="Arial"/>
          <w:kern w:val="0"/>
          <w:sz w:val="24"/>
          <w:szCs w:val="24"/>
          <w:lang w:eastAsia="en-GB"/>
          <w14:ligatures w14:val="none"/>
        </w:rPr>
      </w:pPr>
      <w:r w:rsidRPr="00F748ED">
        <w:rPr>
          <w:rFonts w:ascii="Arial" w:eastAsia="Times New Roman" w:hAnsi="Arial" w:cs="Arial"/>
          <w:kern w:val="0"/>
          <w:sz w:val="24"/>
          <w:szCs w:val="24"/>
          <w:lang w:eastAsia="en-GB"/>
          <w14:ligatures w14:val="none"/>
        </w:rPr>
        <w:t xml:space="preserve">All-Party Parliamentary Group (APPG) on Children in Police Custody (2025) </w:t>
      </w:r>
      <w:r w:rsidRPr="00F748ED">
        <w:rPr>
          <w:rFonts w:ascii="Arial" w:eastAsia="Times New Roman" w:hAnsi="Arial" w:cs="Arial"/>
          <w:i/>
          <w:iCs/>
          <w:kern w:val="0"/>
          <w:sz w:val="24"/>
          <w:szCs w:val="24"/>
          <w:lang w:eastAsia="en-GB"/>
          <w14:ligatures w14:val="none"/>
        </w:rPr>
        <w:t>Report on strip-search powers and safeguarding of minors</w:t>
      </w:r>
      <w:r w:rsidRPr="00F748ED">
        <w:rPr>
          <w:rFonts w:ascii="Arial" w:eastAsia="Times New Roman" w:hAnsi="Arial" w:cs="Arial"/>
          <w:kern w:val="0"/>
          <w:sz w:val="24"/>
          <w:szCs w:val="24"/>
          <w:lang w:eastAsia="en-GB"/>
          <w14:ligatures w14:val="none"/>
        </w:rPr>
        <w:t>. London: UK Parliament.</w:t>
      </w:r>
    </w:p>
    <w:p w14:paraId="3481A67C" w14:textId="77777777" w:rsidR="008B6235" w:rsidRPr="00F748ED" w:rsidRDefault="008B6235" w:rsidP="00F748ED">
      <w:pPr>
        <w:spacing w:before="100" w:beforeAutospacing="1" w:after="100" w:afterAutospacing="1" w:line="240" w:lineRule="auto"/>
        <w:rPr>
          <w:rFonts w:ascii="Arial" w:eastAsia="Times New Roman" w:hAnsi="Arial" w:cs="Arial"/>
          <w:kern w:val="0"/>
          <w:sz w:val="24"/>
          <w:szCs w:val="24"/>
          <w:lang w:eastAsia="en-GB"/>
          <w14:ligatures w14:val="none"/>
        </w:rPr>
      </w:pPr>
      <w:r w:rsidRPr="00F748ED">
        <w:rPr>
          <w:rFonts w:ascii="Arial" w:eastAsia="Times New Roman" w:hAnsi="Arial" w:cs="Arial"/>
          <w:kern w:val="0"/>
          <w:sz w:val="24"/>
          <w:szCs w:val="24"/>
          <w:lang w:eastAsia="en-GB"/>
          <w14:ligatures w14:val="none"/>
        </w:rPr>
        <w:t xml:space="preserve">Bateman, T. (2020) ‘The vulnerabilities of children in contact with police’, </w:t>
      </w:r>
      <w:r w:rsidRPr="00F748ED">
        <w:rPr>
          <w:rFonts w:ascii="Arial" w:eastAsia="Times New Roman" w:hAnsi="Arial" w:cs="Arial"/>
          <w:i/>
          <w:iCs/>
          <w:kern w:val="0"/>
          <w:sz w:val="24"/>
          <w:szCs w:val="24"/>
          <w:lang w:eastAsia="en-GB"/>
          <w14:ligatures w14:val="none"/>
        </w:rPr>
        <w:t>Youth Justice</w:t>
      </w:r>
      <w:r w:rsidRPr="00F748ED">
        <w:rPr>
          <w:rFonts w:ascii="Arial" w:eastAsia="Times New Roman" w:hAnsi="Arial" w:cs="Arial"/>
          <w:kern w:val="0"/>
          <w:sz w:val="24"/>
          <w:szCs w:val="24"/>
          <w:lang w:eastAsia="en-GB"/>
          <w14:ligatures w14:val="none"/>
        </w:rPr>
        <w:t>, 20(2), pp. 125–140.</w:t>
      </w:r>
    </w:p>
    <w:p w14:paraId="6CDCADD3" w14:textId="77777777" w:rsidR="008B6235" w:rsidRPr="00F748ED" w:rsidRDefault="008B6235" w:rsidP="00F748ED">
      <w:pPr>
        <w:spacing w:before="100" w:beforeAutospacing="1" w:after="100" w:afterAutospacing="1" w:line="240" w:lineRule="auto"/>
        <w:rPr>
          <w:rFonts w:ascii="Arial" w:eastAsia="Times New Roman" w:hAnsi="Arial" w:cs="Arial"/>
          <w:kern w:val="0"/>
          <w:sz w:val="24"/>
          <w:szCs w:val="24"/>
          <w:lang w:eastAsia="en-GB"/>
          <w14:ligatures w14:val="none"/>
        </w:rPr>
      </w:pPr>
      <w:r w:rsidRPr="00F748ED">
        <w:rPr>
          <w:rFonts w:ascii="Arial" w:eastAsia="Times New Roman" w:hAnsi="Arial" w:cs="Arial"/>
          <w:kern w:val="0"/>
          <w:sz w:val="24"/>
          <w:szCs w:val="24"/>
          <w:lang w:eastAsia="en-GB"/>
          <w14:ligatures w14:val="none"/>
        </w:rPr>
        <w:t xml:space="preserve">Becker, H.S. (1963) </w:t>
      </w:r>
      <w:r w:rsidRPr="00F748ED">
        <w:rPr>
          <w:rFonts w:ascii="Arial" w:eastAsia="Times New Roman" w:hAnsi="Arial" w:cs="Arial"/>
          <w:i/>
          <w:iCs/>
          <w:kern w:val="0"/>
          <w:sz w:val="24"/>
          <w:szCs w:val="24"/>
          <w:lang w:eastAsia="en-GB"/>
          <w14:ligatures w14:val="none"/>
        </w:rPr>
        <w:t>Outsiders: Studies in the Sociology of Deviance</w:t>
      </w:r>
      <w:r w:rsidRPr="00F748ED">
        <w:rPr>
          <w:rFonts w:ascii="Arial" w:eastAsia="Times New Roman" w:hAnsi="Arial" w:cs="Arial"/>
          <w:kern w:val="0"/>
          <w:sz w:val="24"/>
          <w:szCs w:val="24"/>
          <w:lang w:eastAsia="en-GB"/>
          <w14:ligatures w14:val="none"/>
        </w:rPr>
        <w:t>. New York: Free Press.</w:t>
      </w:r>
    </w:p>
    <w:p w14:paraId="69055C21" w14:textId="77777777" w:rsidR="008B6235" w:rsidRPr="00F748ED" w:rsidRDefault="008B6235" w:rsidP="00F748ED">
      <w:pPr>
        <w:spacing w:before="100" w:beforeAutospacing="1" w:after="100" w:afterAutospacing="1" w:line="240" w:lineRule="auto"/>
        <w:rPr>
          <w:rFonts w:ascii="Arial" w:eastAsia="Times New Roman" w:hAnsi="Arial" w:cs="Arial"/>
          <w:kern w:val="0"/>
          <w:sz w:val="24"/>
          <w:szCs w:val="24"/>
          <w:lang w:eastAsia="en-GB"/>
          <w14:ligatures w14:val="none"/>
        </w:rPr>
      </w:pPr>
      <w:r w:rsidRPr="00F748ED">
        <w:rPr>
          <w:rFonts w:ascii="Arial" w:eastAsia="Times New Roman" w:hAnsi="Arial" w:cs="Arial"/>
          <w:kern w:val="0"/>
          <w:sz w:val="24"/>
          <w:szCs w:val="24"/>
          <w:lang w:eastAsia="en-GB"/>
          <w14:ligatures w14:val="none"/>
        </w:rPr>
        <w:t xml:space="preserve">Bradford, B., Jackson, J. and Hough, M. (2014) ‘Police legitimacy and public trust’, </w:t>
      </w:r>
      <w:r w:rsidRPr="00F748ED">
        <w:rPr>
          <w:rFonts w:ascii="Arial" w:eastAsia="Times New Roman" w:hAnsi="Arial" w:cs="Arial"/>
          <w:i/>
          <w:iCs/>
          <w:kern w:val="0"/>
          <w:sz w:val="24"/>
          <w:szCs w:val="24"/>
          <w:lang w:eastAsia="en-GB"/>
          <w14:ligatures w14:val="none"/>
        </w:rPr>
        <w:t>British Journal of Criminology</w:t>
      </w:r>
      <w:r w:rsidRPr="00F748ED">
        <w:rPr>
          <w:rFonts w:ascii="Arial" w:eastAsia="Times New Roman" w:hAnsi="Arial" w:cs="Arial"/>
          <w:kern w:val="0"/>
          <w:sz w:val="24"/>
          <w:szCs w:val="24"/>
          <w:lang w:eastAsia="en-GB"/>
          <w14:ligatures w14:val="none"/>
        </w:rPr>
        <w:t>, 54(3), pp. 449–470.</w:t>
      </w:r>
    </w:p>
    <w:p w14:paraId="0DAC4E29" w14:textId="77777777" w:rsidR="008B6235" w:rsidRPr="00F748ED" w:rsidRDefault="008B6235" w:rsidP="00F748ED">
      <w:pPr>
        <w:spacing w:before="100" w:beforeAutospacing="1" w:after="100" w:afterAutospacing="1" w:line="240" w:lineRule="auto"/>
        <w:rPr>
          <w:rFonts w:ascii="Arial" w:eastAsia="Times New Roman" w:hAnsi="Arial" w:cs="Arial"/>
          <w:kern w:val="0"/>
          <w:sz w:val="24"/>
          <w:szCs w:val="24"/>
          <w:lang w:eastAsia="en-GB"/>
          <w14:ligatures w14:val="none"/>
        </w:rPr>
      </w:pPr>
      <w:r w:rsidRPr="00F748ED">
        <w:rPr>
          <w:rFonts w:ascii="Arial" w:eastAsia="Times New Roman" w:hAnsi="Arial" w:cs="Arial"/>
          <w:kern w:val="0"/>
          <w:sz w:val="24"/>
          <w:szCs w:val="24"/>
          <w:lang w:eastAsia="en-GB"/>
          <w14:ligatures w14:val="none"/>
        </w:rPr>
        <w:t xml:space="preserve">Children’s Commissioner for England (2023) </w:t>
      </w:r>
      <w:r w:rsidRPr="00F748ED">
        <w:rPr>
          <w:rFonts w:ascii="Arial" w:eastAsia="Times New Roman" w:hAnsi="Arial" w:cs="Arial"/>
          <w:i/>
          <w:iCs/>
          <w:kern w:val="0"/>
          <w:sz w:val="24"/>
          <w:szCs w:val="24"/>
          <w:lang w:eastAsia="en-GB"/>
          <w14:ligatures w14:val="none"/>
        </w:rPr>
        <w:t>Strip-searching of children: Briefing and policy recommendations</w:t>
      </w:r>
      <w:r w:rsidRPr="00F748ED">
        <w:rPr>
          <w:rFonts w:ascii="Arial" w:eastAsia="Times New Roman" w:hAnsi="Arial" w:cs="Arial"/>
          <w:kern w:val="0"/>
          <w:sz w:val="24"/>
          <w:szCs w:val="24"/>
          <w:lang w:eastAsia="en-GB"/>
          <w14:ligatures w14:val="none"/>
        </w:rPr>
        <w:t>. London: Office of the Children’s Commissioner.</w:t>
      </w:r>
    </w:p>
    <w:p w14:paraId="263F2B26" w14:textId="77777777" w:rsidR="008B6235" w:rsidRPr="00F748ED" w:rsidRDefault="008B6235" w:rsidP="00F748ED">
      <w:pPr>
        <w:spacing w:before="100" w:beforeAutospacing="1" w:after="100" w:afterAutospacing="1" w:line="240" w:lineRule="auto"/>
        <w:rPr>
          <w:rFonts w:ascii="Arial" w:eastAsia="Times New Roman" w:hAnsi="Arial" w:cs="Arial"/>
          <w:kern w:val="0"/>
          <w:sz w:val="24"/>
          <w:szCs w:val="24"/>
          <w:lang w:eastAsia="en-GB"/>
          <w14:ligatures w14:val="none"/>
        </w:rPr>
      </w:pPr>
      <w:r w:rsidRPr="00F748ED">
        <w:rPr>
          <w:rFonts w:ascii="Arial" w:eastAsia="Times New Roman" w:hAnsi="Arial" w:cs="Arial"/>
          <w:kern w:val="0"/>
          <w:sz w:val="24"/>
          <w:szCs w:val="24"/>
          <w:lang w:eastAsia="en-GB"/>
          <w14:ligatures w14:val="none"/>
        </w:rPr>
        <w:t xml:space="preserve">Children’s Commissioner for England (2024) </w:t>
      </w:r>
      <w:r w:rsidRPr="00F748ED">
        <w:rPr>
          <w:rFonts w:ascii="Arial" w:eastAsia="Times New Roman" w:hAnsi="Arial" w:cs="Arial"/>
          <w:i/>
          <w:iCs/>
          <w:kern w:val="0"/>
          <w:sz w:val="24"/>
          <w:szCs w:val="24"/>
          <w:lang w:eastAsia="en-GB"/>
          <w14:ligatures w14:val="none"/>
        </w:rPr>
        <w:t>Strip-searches of children in England and Wales: statistics January 2018 – June 2023</w:t>
      </w:r>
      <w:r w:rsidRPr="00F748ED">
        <w:rPr>
          <w:rFonts w:ascii="Arial" w:eastAsia="Times New Roman" w:hAnsi="Arial" w:cs="Arial"/>
          <w:kern w:val="0"/>
          <w:sz w:val="24"/>
          <w:szCs w:val="24"/>
          <w:lang w:eastAsia="en-GB"/>
          <w14:ligatures w14:val="none"/>
        </w:rPr>
        <w:t xml:space="preserve">. London: Office of the Children’s Commissioner. Available at: </w:t>
      </w:r>
      <w:hyperlink r:id="rId13" w:tgtFrame="_new" w:history="1">
        <w:r w:rsidRPr="00F748ED">
          <w:rPr>
            <w:rFonts w:ascii="Arial" w:eastAsia="Times New Roman" w:hAnsi="Arial" w:cs="Arial"/>
            <w:color w:val="0000FF"/>
            <w:kern w:val="0"/>
            <w:sz w:val="24"/>
            <w:szCs w:val="24"/>
            <w:u w:val="single"/>
            <w:lang w:eastAsia="en-GB"/>
            <w14:ligatures w14:val="none"/>
          </w:rPr>
          <w:t>https://www.childrenscommissioner.gov.uk/</w:t>
        </w:r>
      </w:hyperlink>
      <w:r w:rsidRPr="00F748ED">
        <w:rPr>
          <w:rFonts w:ascii="Arial" w:eastAsia="Times New Roman" w:hAnsi="Arial" w:cs="Arial"/>
          <w:kern w:val="0"/>
          <w:sz w:val="24"/>
          <w:szCs w:val="24"/>
          <w:lang w:eastAsia="en-GB"/>
          <w14:ligatures w14:val="none"/>
        </w:rPr>
        <w:t xml:space="preserve"> (Accessed: 20 February 2026).</w:t>
      </w:r>
    </w:p>
    <w:p w14:paraId="606729BE" w14:textId="27DF191F" w:rsidR="008B6235" w:rsidRPr="00F748ED" w:rsidRDefault="008B6235" w:rsidP="00F748ED">
      <w:pPr>
        <w:spacing w:before="100" w:beforeAutospacing="1" w:after="100" w:afterAutospacing="1" w:line="240" w:lineRule="auto"/>
        <w:rPr>
          <w:rFonts w:ascii="Arial" w:eastAsia="Times New Roman" w:hAnsi="Arial" w:cs="Arial"/>
          <w:kern w:val="0"/>
          <w:sz w:val="24"/>
          <w:szCs w:val="24"/>
          <w:lang w:eastAsia="en-GB"/>
          <w14:ligatures w14:val="none"/>
        </w:rPr>
      </w:pPr>
      <w:r w:rsidRPr="00F748ED">
        <w:rPr>
          <w:rFonts w:ascii="Arial" w:eastAsia="Times New Roman" w:hAnsi="Arial" w:cs="Arial"/>
          <w:kern w:val="0"/>
          <w:sz w:val="24"/>
          <w:szCs w:val="24"/>
          <w:lang w:eastAsia="en-GB"/>
          <w14:ligatures w14:val="none"/>
        </w:rPr>
        <w:t xml:space="preserve">College of Policing (2022) </w:t>
      </w:r>
      <w:r w:rsidRPr="00F748ED">
        <w:rPr>
          <w:rFonts w:ascii="Arial" w:eastAsia="Times New Roman" w:hAnsi="Arial" w:cs="Arial"/>
          <w:i/>
          <w:iCs/>
          <w:kern w:val="0"/>
          <w:sz w:val="24"/>
          <w:szCs w:val="24"/>
          <w:lang w:eastAsia="en-GB"/>
          <w14:ligatures w14:val="none"/>
        </w:rPr>
        <w:t>Authorised Professional Practice: Stop and search and search of premises</w:t>
      </w:r>
      <w:r w:rsidRPr="00F748ED">
        <w:rPr>
          <w:rFonts w:ascii="Arial" w:eastAsia="Times New Roman" w:hAnsi="Arial" w:cs="Arial"/>
          <w:kern w:val="0"/>
          <w:sz w:val="24"/>
          <w:szCs w:val="24"/>
          <w:lang w:eastAsia="en-GB"/>
          <w14:ligatures w14:val="none"/>
        </w:rPr>
        <w:t xml:space="preserve">. London: College of Policing. Available at: </w:t>
      </w:r>
      <w:hyperlink r:id="rId14" w:tgtFrame="_new" w:history="1">
        <w:r w:rsidRPr="00F748ED">
          <w:rPr>
            <w:rFonts w:ascii="Arial" w:eastAsia="Times New Roman" w:hAnsi="Arial" w:cs="Arial"/>
            <w:color w:val="0000FF"/>
            <w:kern w:val="0"/>
            <w:sz w:val="24"/>
            <w:szCs w:val="24"/>
            <w:u w:val="single"/>
            <w:lang w:eastAsia="en-GB"/>
            <w14:ligatures w14:val="none"/>
          </w:rPr>
          <w:t>https://www.college.police.uk/app</w:t>
        </w:r>
      </w:hyperlink>
      <w:r w:rsidRPr="00F748ED">
        <w:rPr>
          <w:rFonts w:ascii="Arial" w:eastAsia="Times New Roman" w:hAnsi="Arial" w:cs="Arial"/>
          <w:kern w:val="0"/>
          <w:sz w:val="24"/>
          <w:szCs w:val="24"/>
          <w:lang w:eastAsia="en-GB"/>
          <w14:ligatures w14:val="none"/>
        </w:rPr>
        <w:t xml:space="preserve"> (Accessed: 02 February 2026).</w:t>
      </w:r>
    </w:p>
    <w:p w14:paraId="70B94F2A" w14:textId="2D8EA3F2" w:rsidR="008B6235" w:rsidRPr="00F748ED" w:rsidRDefault="008B6235" w:rsidP="00F748ED">
      <w:pPr>
        <w:spacing w:before="100" w:beforeAutospacing="1" w:after="100" w:afterAutospacing="1" w:line="240" w:lineRule="auto"/>
        <w:rPr>
          <w:rFonts w:ascii="Arial" w:eastAsia="Times New Roman" w:hAnsi="Arial" w:cs="Arial"/>
          <w:kern w:val="0"/>
          <w:sz w:val="24"/>
          <w:szCs w:val="24"/>
          <w:lang w:eastAsia="en-GB"/>
          <w14:ligatures w14:val="none"/>
        </w:rPr>
      </w:pPr>
      <w:r w:rsidRPr="00F748ED">
        <w:rPr>
          <w:rFonts w:ascii="Arial" w:eastAsia="Times New Roman" w:hAnsi="Arial" w:cs="Arial"/>
          <w:kern w:val="0"/>
          <w:sz w:val="24"/>
          <w:szCs w:val="24"/>
          <w:lang w:eastAsia="en-GB"/>
          <w14:ligatures w14:val="none"/>
        </w:rPr>
        <w:t xml:space="preserve">Equality Act 2010 (c.15). London: The Stationery Office. Available at: </w:t>
      </w:r>
      <w:hyperlink r:id="rId15" w:tgtFrame="_new" w:history="1">
        <w:r w:rsidRPr="00F748ED">
          <w:rPr>
            <w:rFonts w:ascii="Arial" w:eastAsia="Times New Roman" w:hAnsi="Arial" w:cs="Arial"/>
            <w:color w:val="0000FF"/>
            <w:kern w:val="0"/>
            <w:sz w:val="24"/>
            <w:szCs w:val="24"/>
            <w:u w:val="single"/>
            <w:lang w:eastAsia="en-GB"/>
            <w14:ligatures w14:val="none"/>
          </w:rPr>
          <w:t>https://www.legislation.gov.uk/ukpga/2010/15</w:t>
        </w:r>
      </w:hyperlink>
      <w:r w:rsidRPr="00F748ED">
        <w:rPr>
          <w:rFonts w:ascii="Arial" w:eastAsia="Times New Roman" w:hAnsi="Arial" w:cs="Arial"/>
          <w:kern w:val="0"/>
          <w:sz w:val="24"/>
          <w:szCs w:val="24"/>
          <w:lang w:eastAsia="en-GB"/>
          <w14:ligatures w14:val="none"/>
        </w:rPr>
        <w:t xml:space="preserve"> (Accessed: 18 February 2026).</w:t>
      </w:r>
    </w:p>
    <w:p w14:paraId="101EE2BD" w14:textId="1952D23B" w:rsidR="008B6235" w:rsidRPr="00F748ED" w:rsidRDefault="008B6235" w:rsidP="00F748ED">
      <w:pPr>
        <w:spacing w:before="100" w:beforeAutospacing="1" w:after="100" w:afterAutospacing="1" w:line="240" w:lineRule="auto"/>
        <w:rPr>
          <w:rFonts w:ascii="Arial" w:eastAsia="Times New Roman" w:hAnsi="Arial" w:cs="Arial"/>
          <w:kern w:val="0"/>
          <w:sz w:val="24"/>
          <w:szCs w:val="24"/>
          <w:lang w:eastAsia="en-GB"/>
          <w14:ligatures w14:val="none"/>
        </w:rPr>
      </w:pPr>
      <w:r w:rsidRPr="00F748ED">
        <w:rPr>
          <w:rFonts w:ascii="Arial" w:eastAsia="Times New Roman" w:hAnsi="Arial" w:cs="Arial"/>
          <w:kern w:val="0"/>
          <w:sz w:val="24"/>
          <w:szCs w:val="24"/>
          <w:lang w:eastAsia="en-GB"/>
          <w14:ligatures w14:val="none"/>
        </w:rPr>
        <w:t xml:space="preserve">European Convention on Human Rights (1950). Council of Europe. Available at: </w:t>
      </w:r>
      <w:hyperlink r:id="rId16" w:tgtFrame="_new" w:history="1">
        <w:r w:rsidRPr="00F748ED">
          <w:rPr>
            <w:rFonts w:ascii="Arial" w:eastAsia="Times New Roman" w:hAnsi="Arial" w:cs="Arial"/>
            <w:color w:val="0000FF"/>
            <w:kern w:val="0"/>
            <w:sz w:val="24"/>
            <w:szCs w:val="24"/>
            <w:u w:val="single"/>
            <w:lang w:eastAsia="en-GB"/>
            <w14:ligatures w14:val="none"/>
          </w:rPr>
          <w:t>https://www.echr.coe.int/</w:t>
        </w:r>
      </w:hyperlink>
      <w:r w:rsidRPr="00F748ED">
        <w:rPr>
          <w:rFonts w:ascii="Arial" w:eastAsia="Times New Roman" w:hAnsi="Arial" w:cs="Arial"/>
          <w:kern w:val="0"/>
          <w:sz w:val="24"/>
          <w:szCs w:val="24"/>
          <w:lang w:eastAsia="en-GB"/>
          <w14:ligatures w14:val="none"/>
        </w:rPr>
        <w:t xml:space="preserve"> (Accessed: 10 February 2026).</w:t>
      </w:r>
    </w:p>
    <w:p w14:paraId="0BED3678" w14:textId="77777777" w:rsidR="008B6235" w:rsidRPr="00F748ED" w:rsidRDefault="008B6235" w:rsidP="00F748ED">
      <w:pPr>
        <w:spacing w:before="100" w:beforeAutospacing="1" w:after="100" w:afterAutospacing="1" w:line="240" w:lineRule="auto"/>
        <w:rPr>
          <w:rFonts w:ascii="Arial" w:eastAsia="Times New Roman" w:hAnsi="Arial" w:cs="Arial"/>
          <w:kern w:val="0"/>
          <w:sz w:val="24"/>
          <w:szCs w:val="24"/>
          <w:lang w:eastAsia="en-GB"/>
          <w14:ligatures w14:val="none"/>
        </w:rPr>
      </w:pPr>
      <w:r w:rsidRPr="00F748ED">
        <w:rPr>
          <w:rFonts w:ascii="Arial" w:eastAsia="Times New Roman" w:hAnsi="Arial" w:cs="Arial"/>
          <w:kern w:val="0"/>
          <w:sz w:val="24"/>
          <w:szCs w:val="24"/>
          <w:lang w:eastAsia="en-GB"/>
          <w14:ligatures w14:val="none"/>
        </w:rPr>
        <w:t xml:space="preserve">Ferguson, A.G. (2017) </w:t>
      </w:r>
      <w:r w:rsidRPr="00F748ED">
        <w:rPr>
          <w:rFonts w:ascii="Arial" w:eastAsia="Times New Roman" w:hAnsi="Arial" w:cs="Arial"/>
          <w:i/>
          <w:iCs/>
          <w:kern w:val="0"/>
          <w:sz w:val="24"/>
          <w:szCs w:val="24"/>
          <w:lang w:eastAsia="en-GB"/>
          <w14:ligatures w14:val="none"/>
        </w:rPr>
        <w:t>The Rise of Big Data Policing: Surveillance, Race and the Future of Law Enforcement</w:t>
      </w:r>
      <w:r w:rsidRPr="00F748ED">
        <w:rPr>
          <w:rFonts w:ascii="Arial" w:eastAsia="Times New Roman" w:hAnsi="Arial" w:cs="Arial"/>
          <w:kern w:val="0"/>
          <w:sz w:val="24"/>
          <w:szCs w:val="24"/>
          <w:lang w:eastAsia="en-GB"/>
          <w14:ligatures w14:val="none"/>
        </w:rPr>
        <w:t>. New York: NYU Press.</w:t>
      </w:r>
    </w:p>
    <w:p w14:paraId="264F49D9" w14:textId="77777777" w:rsidR="008B6235" w:rsidRPr="00F748ED" w:rsidRDefault="008B6235" w:rsidP="00F748ED">
      <w:pPr>
        <w:spacing w:before="100" w:beforeAutospacing="1" w:after="100" w:afterAutospacing="1" w:line="240" w:lineRule="auto"/>
        <w:rPr>
          <w:rFonts w:ascii="Arial" w:eastAsia="Times New Roman" w:hAnsi="Arial" w:cs="Arial"/>
          <w:kern w:val="0"/>
          <w:sz w:val="24"/>
          <w:szCs w:val="24"/>
          <w:lang w:eastAsia="en-GB"/>
          <w14:ligatures w14:val="none"/>
        </w:rPr>
      </w:pPr>
      <w:r w:rsidRPr="00F748ED">
        <w:rPr>
          <w:rFonts w:ascii="Arial" w:eastAsia="Times New Roman" w:hAnsi="Arial" w:cs="Arial"/>
          <w:kern w:val="0"/>
          <w:sz w:val="24"/>
          <w:szCs w:val="24"/>
          <w:lang w:eastAsia="en-GB"/>
          <w14:ligatures w14:val="none"/>
        </w:rPr>
        <w:t>Gillan and Quinton v United Kingdom (2010) European Court of Human Rights, Application no. 4158/05.</w:t>
      </w:r>
    </w:p>
    <w:p w14:paraId="4AD0E2C6" w14:textId="77777777" w:rsidR="008B6235" w:rsidRPr="00F748ED" w:rsidRDefault="008B6235" w:rsidP="00F748ED">
      <w:pPr>
        <w:spacing w:before="100" w:beforeAutospacing="1" w:after="100" w:afterAutospacing="1" w:line="240" w:lineRule="auto"/>
        <w:rPr>
          <w:rFonts w:ascii="Arial" w:eastAsia="Times New Roman" w:hAnsi="Arial" w:cs="Arial"/>
          <w:kern w:val="0"/>
          <w:sz w:val="24"/>
          <w:szCs w:val="24"/>
          <w:lang w:eastAsia="en-GB"/>
          <w14:ligatures w14:val="none"/>
        </w:rPr>
      </w:pPr>
      <w:r w:rsidRPr="00F748ED">
        <w:rPr>
          <w:rFonts w:ascii="Arial" w:eastAsia="Times New Roman" w:hAnsi="Arial" w:cs="Arial"/>
          <w:kern w:val="0"/>
          <w:sz w:val="24"/>
          <w:szCs w:val="24"/>
          <w:lang w:eastAsia="en-GB"/>
          <w14:ligatures w14:val="none"/>
        </w:rPr>
        <w:t xml:space="preserve">Goldson, B. (2013) </w:t>
      </w:r>
      <w:r w:rsidRPr="00F748ED">
        <w:rPr>
          <w:rFonts w:ascii="Arial" w:eastAsia="Times New Roman" w:hAnsi="Arial" w:cs="Arial"/>
          <w:i/>
          <w:iCs/>
          <w:kern w:val="0"/>
          <w:sz w:val="24"/>
          <w:szCs w:val="24"/>
          <w:lang w:eastAsia="en-GB"/>
          <w14:ligatures w14:val="none"/>
        </w:rPr>
        <w:t>Youth Justice: Contemporary Policy and Practice</w:t>
      </w:r>
      <w:r w:rsidRPr="00F748ED">
        <w:rPr>
          <w:rFonts w:ascii="Arial" w:eastAsia="Times New Roman" w:hAnsi="Arial" w:cs="Arial"/>
          <w:kern w:val="0"/>
          <w:sz w:val="24"/>
          <w:szCs w:val="24"/>
          <w:lang w:eastAsia="en-GB"/>
          <w14:ligatures w14:val="none"/>
        </w:rPr>
        <w:t xml:space="preserve">. 2nd </w:t>
      </w:r>
      <w:proofErr w:type="spellStart"/>
      <w:r w:rsidRPr="00F748ED">
        <w:rPr>
          <w:rFonts w:ascii="Arial" w:eastAsia="Times New Roman" w:hAnsi="Arial" w:cs="Arial"/>
          <w:kern w:val="0"/>
          <w:sz w:val="24"/>
          <w:szCs w:val="24"/>
          <w:lang w:eastAsia="en-GB"/>
          <w14:ligatures w14:val="none"/>
        </w:rPr>
        <w:t>edn</w:t>
      </w:r>
      <w:proofErr w:type="spellEnd"/>
      <w:r w:rsidRPr="00F748ED">
        <w:rPr>
          <w:rFonts w:ascii="Arial" w:eastAsia="Times New Roman" w:hAnsi="Arial" w:cs="Arial"/>
          <w:kern w:val="0"/>
          <w:sz w:val="24"/>
          <w:szCs w:val="24"/>
          <w:lang w:eastAsia="en-GB"/>
          <w14:ligatures w14:val="none"/>
        </w:rPr>
        <w:t>. London: Sage.</w:t>
      </w:r>
    </w:p>
    <w:p w14:paraId="4A9890B5" w14:textId="77777777" w:rsidR="008B6235" w:rsidRPr="00F748ED" w:rsidRDefault="008B6235" w:rsidP="00F748ED">
      <w:pPr>
        <w:spacing w:before="100" w:beforeAutospacing="1" w:after="100" w:afterAutospacing="1" w:line="240" w:lineRule="auto"/>
        <w:rPr>
          <w:rFonts w:ascii="Arial" w:eastAsia="Times New Roman" w:hAnsi="Arial" w:cs="Arial"/>
          <w:kern w:val="0"/>
          <w:sz w:val="24"/>
          <w:szCs w:val="24"/>
          <w:lang w:eastAsia="en-GB"/>
          <w14:ligatures w14:val="none"/>
        </w:rPr>
      </w:pPr>
      <w:r w:rsidRPr="00F748ED">
        <w:rPr>
          <w:rFonts w:ascii="Arial" w:eastAsia="Times New Roman" w:hAnsi="Arial" w:cs="Arial"/>
          <w:kern w:val="0"/>
          <w:sz w:val="24"/>
          <w:szCs w:val="24"/>
          <w:lang w:eastAsia="en-GB"/>
          <w14:ligatures w14:val="none"/>
        </w:rPr>
        <w:t xml:space="preserve">Goldson, B. and Bateman, T. (2020) ‘Child-first justice?’, </w:t>
      </w:r>
      <w:r w:rsidRPr="00F748ED">
        <w:rPr>
          <w:rFonts w:ascii="Arial" w:eastAsia="Times New Roman" w:hAnsi="Arial" w:cs="Arial"/>
          <w:i/>
          <w:iCs/>
          <w:kern w:val="0"/>
          <w:sz w:val="24"/>
          <w:szCs w:val="24"/>
          <w:lang w:eastAsia="en-GB"/>
          <w14:ligatures w14:val="none"/>
        </w:rPr>
        <w:t>Youth Justice</w:t>
      </w:r>
      <w:r w:rsidRPr="00F748ED">
        <w:rPr>
          <w:rFonts w:ascii="Arial" w:eastAsia="Times New Roman" w:hAnsi="Arial" w:cs="Arial"/>
          <w:kern w:val="0"/>
          <w:sz w:val="24"/>
          <w:szCs w:val="24"/>
          <w:lang w:eastAsia="en-GB"/>
          <w14:ligatures w14:val="none"/>
        </w:rPr>
        <w:t>, 20(1), pp. 3–17.</w:t>
      </w:r>
    </w:p>
    <w:p w14:paraId="59F4543B" w14:textId="35925171" w:rsidR="008B6235" w:rsidRPr="00F748ED" w:rsidRDefault="008B6235" w:rsidP="00F748ED">
      <w:pPr>
        <w:spacing w:before="100" w:beforeAutospacing="1" w:after="100" w:afterAutospacing="1" w:line="240" w:lineRule="auto"/>
        <w:rPr>
          <w:rFonts w:ascii="Arial" w:eastAsia="Times New Roman" w:hAnsi="Arial" w:cs="Arial"/>
          <w:kern w:val="0"/>
          <w:sz w:val="24"/>
          <w:szCs w:val="24"/>
          <w:lang w:eastAsia="en-GB"/>
          <w14:ligatures w14:val="none"/>
        </w:rPr>
      </w:pPr>
      <w:r w:rsidRPr="00F748ED">
        <w:rPr>
          <w:rFonts w:ascii="Arial" w:eastAsia="Times New Roman" w:hAnsi="Arial" w:cs="Arial"/>
          <w:kern w:val="0"/>
          <w:sz w:val="24"/>
          <w:szCs w:val="24"/>
          <w:lang w:eastAsia="en-GB"/>
          <w14:ligatures w14:val="none"/>
        </w:rPr>
        <w:t xml:space="preserve">Guardian (2024) ‘Metropolitan Police defend use of strip-search powers’, </w:t>
      </w:r>
      <w:r w:rsidRPr="00F748ED">
        <w:rPr>
          <w:rFonts w:ascii="Arial" w:eastAsia="Times New Roman" w:hAnsi="Arial" w:cs="Arial"/>
          <w:i/>
          <w:iCs/>
          <w:kern w:val="0"/>
          <w:sz w:val="24"/>
          <w:szCs w:val="24"/>
          <w:lang w:eastAsia="en-GB"/>
          <w14:ligatures w14:val="none"/>
        </w:rPr>
        <w:t>The Guardian</w:t>
      </w:r>
      <w:r w:rsidRPr="00F748ED">
        <w:rPr>
          <w:rFonts w:ascii="Arial" w:eastAsia="Times New Roman" w:hAnsi="Arial" w:cs="Arial"/>
          <w:kern w:val="0"/>
          <w:sz w:val="24"/>
          <w:szCs w:val="24"/>
          <w:lang w:eastAsia="en-GB"/>
          <w14:ligatures w14:val="none"/>
        </w:rPr>
        <w:t xml:space="preserve">. Available at: </w:t>
      </w:r>
      <w:hyperlink r:id="rId17" w:tgtFrame="_new" w:history="1">
        <w:r w:rsidRPr="00F748ED">
          <w:rPr>
            <w:rFonts w:ascii="Arial" w:eastAsia="Times New Roman" w:hAnsi="Arial" w:cs="Arial"/>
            <w:color w:val="0000FF"/>
            <w:kern w:val="0"/>
            <w:sz w:val="24"/>
            <w:szCs w:val="24"/>
            <w:u w:val="single"/>
            <w:lang w:eastAsia="en-GB"/>
            <w14:ligatures w14:val="none"/>
          </w:rPr>
          <w:t>https://www.theguardian.com/</w:t>
        </w:r>
      </w:hyperlink>
      <w:r w:rsidRPr="00F748ED">
        <w:rPr>
          <w:rFonts w:ascii="Arial" w:eastAsia="Times New Roman" w:hAnsi="Arial" w:cs="Arial"/>
          <w:kern w:val="0"/>
          <w:sz w:val="24"/>
          <w:szCs w:val="24"/>
          <w:lang w:eastAsia="en-GB"/>
          <w14:ligatures w14:val="none"/>
        </w:rPr>
        <w:t xml:space="preserve"> (Accessed: 07 February 2026).</w:t>
      </w:r>
    </w:p>
    <w:p w14:paraId="0D504B88" w14:textId="17C67873" w:rsidR="008B6235" w:rsidRPr="00F748ED" w:rsidRDefault="008B6235" w:rsidP="00F748ED">
      <w:pPr>
        <w:spacing w:before="100" w:beforeAutospacing="1" w:after="100" w:afterAutospacing="1" w:line="240" w:lineRule="auto"/>
        <w:rPr>
          <w:rFonts w:ascii="Arial" w:eastAsia="Times New Roman" w:hAnsi="Arial" w:cs="Arial"/>
          <w:kern w:val="0"/>
          <w:sz w:val="24"/>
          <w:szCs w:val="24"/>
          <w:lang w:eastAsia="en-GB"/>
          <w14:ligatures w14:val="none"/>
        </w:rPr>
      </w:pPr>
      <w:r w:rsidRPr="00F748ED">
        <w:rPr>
          <w:rFonts w:ascii="Arial" w:eastAsia="Times New Roman" w:hAnsi="Arial" w:cs="Arial"/>
          <w:kern w:val="0"/>
          <w:sz w:val="24"/>
          <w:szCs w:val="24"/>
          <w:lang w:eastAsia="en-GB"/>
          <w14:ligatures w14:val="none"/>
        </w:rPr>
        <w:t xml:space="preserve">Guardian (2025) ‘Child Q disciplinary findings and strip-search ruling’, </w:t>
      </w:r>
      <w:r w:rsidRPr="00F748ED">
        <w:rPr>
          <w:rFonts w:ascii="Arial" w:eastAsia="Times New Roman" w:hAnsi="Arial" w:cs="Arial"/>
          <w:i/>
          <w:iCs/>
          <w:kern w:val="0"/>
          <w:sz w:val="24"/>
          <w:szCs w:val="24"/>
          <w:lang w:eastAsia="en-GB"/>
          <w14:ligatures w14:val="none"/>
        </w:rPr>
        <w:t>The Guardian</w:t>
      </w:r>
      <w:r w:rsidRPr="00F748ED">
        <w:rPr>
          <w:rFonts w:ascii="Arial" w:eastAsia="Times New Roman" w:hAnsi="Arial" w:cs="Arial"/>
          <w:kern w:val="0"/>
          <w:sz w:val="24"/>
          <w:szCs w:val="24"/>
          <w:lang w:eastAsia="en-GB"/>
          <w14:ligatures w14:val="none"/>
        </w:rPr>
        <w:t xml:space="preserve">, 15 January. Available at: </w:t>
      </w:r>
      <w:hyperlink r:id="rId18" w:tgtFrame="_new" w:history="1">
        <w:r w:rsidRPr="00F748ED">
          <w:rPr>
            <w:rFonts w:ascii="Arial" w:eastAsia="Times New Roman" w:hAnsi="Arial" w:cs="Arial"/>
            <w:color w:val="0000FF"/>
            <w:kern w:val="0"/>
            <w:sz w:val="24"/>
            <w:szCs w:val="24"/>
            <w:u w:val="single"/>
            <w:lang w:eastAsia="en-GB"/>
            <w14:ligatures w14:val="none"/>
          </w:rPr>
          <w:t>https://www.theguardian.com/</w:t>
        </w:r>
      </w:hyperlink>
      <w:r w:rsidRPr="00F748ED">
        <w:rPr>
          <w:rFonts w:ascii="Arial" w:eastAsia="Times New Roman" w:hAnsi="Arial" w:cs="Arial"/>
          <w:kern w:val="0"/>
          <w:sz w:val="24"/>
          <w:szCs w:val="24"/>
          <w:lang w:eastAsia="en-GB"/>
          <w14:ligatures w14:val="none"/>
        </w:rPr>
        <w:t xml:space="preserve"> (Accessed: 19 February 2026).</w:t>
      </w:r>
    </w:p>
    <w:p w14:paraId="5C6E49B1" w14:textId="19C7F97C" w:rsidR="008B6235" w:rsidRPr="00F748ED" w:rsidRDefault="008B6235" w:rsidP="00F748ED">
      <w:pPr>
        <w:spacing w:before="100" w:beforeAutospacing="1" w:after="100" w:afterAutospacing="1" w:line="240" w:lineRule="auto"/>
        <w:rPr>
          <w:rFonts w:ascii="Arial" w:eastAsia="Times New Roman" w:hAnsi="Arial" w:cs="Arial"/>
          <w:kern w:val="0"/>
          <w:sz w:val="24"/>
          <w:szCs w:val="24"/>
          <w:lang w:eastAsia="en-GB"/>
          <w14:ligatures w14:val="none"/>
        </w:rPr>
      </w:pPr>
      <w:r w:rsidRPr="00F748ED">
        <w:rPr>
          <w:rFonts w:ascii="Arial" w:eastAsia="Times New Roman" w:hAnsi="Arial" w:cs="Arial"/>
          <w:kern w:val="0"/>
          <w:sz w:val="24"/>
          <w:szCs w:val="24"/>
          <w:lang w:eastAsia="en-GB"/>
          <w14:ligatures w14:val="none"/>
        </w:rPr>
        <w:lastRenderedPageBreak/>
        <w:t xml:space="preserve">HM Inspectorate of Constabulary and Fire &amp; Rescue Services (2023) </w:t>
      </w:r>
      <w:r w:rsidRPr="00F748ED">
        <w:rPr>
          <w:rFonts w:ascii="Arial" w:eastAsia="Times New Roman" w:hAnsi="Arial" w:cs="Arial"/>
          <w:i/>
          <w:iCs/>
          <w:kern w:val="0"/>
          <w:sz w:val="24"/>
          <w:szCs w:val="24"/>
          <w:lang w:eastAsia="en-GB"/>
          <w14:ligatures w14:val="none"/>
        </w:rPr>
        <w:t>A review of stop and search powers</w:t>
      </w:r>
      <w:r w:rsidRPr="00F748ED">
        <w:rPr>
          <w:rFonts w:ascii="Arial" w:eastAsia="Times New Roman" w:hAnsi="Arial" w:cs="Arial"/>
          <w:kern w:val="0"/>
          <w:sz w:val="24"/>
          <w:szCs w:val="24"/>
          <w:lang w:eastAsia="en-GB"/>
          <w14:ligatures w14:val="none"/>
        </w:rPr>
        <w:t xml:space="preserve">. London: HMICFRS. Available at: </w:t>
      </w:r>
      <w:hyperlink r:id="rId19" w:tgtFrame="_new" w:history="1">
        <w:r w:rsidRPr="00F748ED">
          <w:rPr>
            <w:rFonts w:ascii="Arial" w:eastAsia="Times New Roman" w:hAnsi="Arial" w:cs="Arial"/>
            <w:color w:val="0000FF"/>
            <w:kern w:val="0"/>
            <w:sz w:val="24"/>
            <w:szCs w:val="24"/>
            <w:u w:val="single"/>
            <w:lang w:eastAsia="en-GB"/>
            <w14:ligatures w14:val="none"/>
          </w:rPr>
          <w:t>https://www.justiceinspectorates.gov.uk/hmicfrs/</w:t>
        </w:r>
      </w:hyperlink>
      <w:r w:rsidRPr="00F748ED">
        <w:rPr>
          <w:rFonts w:ascii="Arial" w:eastAsia="Times New Roman" w:hAnsi="Arial" w:cs="Arial"/>
          <w:kern w:val="0"/>
          <w:sz w:val="24"/>
          <w:szCs w:val="24"/>
          <w:lang w:eastAsia="en-GB"/>
          <w14:ligatures w14:val="none"/>
        </w:rPr>
        <w:t xml:space="preserve"> (Accessed: 0</w:t>
      </w:r>
      <w:r w:rsidR="00F748ED">
        <w:rPr>
          <w:rFonts w:ascii="Arial" w:eastAsia="Times New Roman" w:hAnsi="Arial" w:cs="Arial"/>
          <w:kern w:val="0"/>
          <w:sz w:val="24"/>
          <w:szCs w:val="24"/>
          <w:lang w:eastAsia="en-GB"/>
          <w14:ligatures w14:val="none"/>
        </w:rPr>
        <w:t>1</w:t>
      </w:r>
      <w:r w:rsidRPr="00F748ED">
        <w:rPr>
          <w:rFonts w:ascii="Arial" w:eastAsia="Times New Roman" w:hAnsi="Arial" w:cs="Arial"/>
          <w:kern w:val="0"/>
          <w:sz w:val="24"/>
          <w:szCs w:val="24"/>
          <w:lang w:eastAsia="en-GB"/>
          <w14:ligatures w14:val="none"/>
        </w:rPr>
        <w:t xml:space="preserve"> February 2026).</w:t>
      </w:r>
    </w:p>
    <w:p w14:paraId="0E0DE85D" w14:textId="340F9F94" w:rsidR="008B6235" w:rsidRPr="00F748ED" w:rsidRDefault="008B6235" w:rsidP="00F748ED">
      <w:pPr>
        <w:spacing w:before="100" w:beforeAutospacing="1" w:after="100" w:afterAutospacing="1" w:line="240" w:lineRule="auto"/>
        <w:rPr>
          <w:rFonts w:ascii="Arial" w:eastAsia="Times New Roman" w:hAnsi="Arial" w:cs="Arial"/>
          <w:kern w:val="0"/>
          <w:sz w:val="24"/>
          <w:szCs w:val="24"/>
          <w:lang w:eastAsia="en-GB"/>
          <w14:ligatures w14:val="none"/>
        </w:rPr>
      </w:pPr>
      <w:r w:rsidRPr="00F748ED">
        <w:rPr>
          <w:rFonts w:ascii="Arial" w:eastAsia="Times New Roman" w:hAnsi="Arial" w:cs="Arial"/>
          <w:kern w:val="0"/>
          <w:sz w:val="24"/>
          <w:szCs w:val="24"/>
          <w:lang w:eastAsia="en-GB"/>
          <w14:ligatures w14:val="none"/>
        </w:rPr>
        <w:t xml:space="preserve">Home Office (2023) </w:t>
      </w:r>
      <w:r w:rsidRPr="00F748ED">
        <w:rPr>
          <w:rFonts w:ascii="Arial" w:eastAsia="Times New Roman" w:hAnsi="Arial" w:cs="Arial"/>
          <w:i/>
          <w:iCs/>
          <w:kern w:val="0"/>
          <w:sz w:val="24"/>
          <w:szCs w:val="24"/>
          <w:lang w:eastAsia="en-GB"/>
          <w14:ligatures w14:val="none"/>
        </w:rPr>
        <w:t>Police and Criminal Evidence Act 1984: Code C – Detention, treatment and questioning of persons by police officers</w:t>
      </w:r>
      <w:r w:rsidRPr="00F748ED">
        <w:rPr>
          <w:rFonts w:ascii="Arial" w:eastAsia="Times New Roman" w:hAnsi="Arial" w:cs="Arial"/>
          <w:kern w:val="0"/>
          <w:sz w:val="24"/>
          <w:szCs w:val="24"/>
          <w:lang w:eastAsia="en-GB"/>
          <w14:ligatures w14:val="none"/>
        </w:rPr>
        <w:t xml:space="preserve">. London: Home Office. Available at: </w:t>
      </w:r>
      <w:hyperlink r:id="rId20" w:tgtFrame="_new" w:history="1">
        <w:r w:rsidRPr="00F748ED">
          <w:rPr>
            <w:rFonts w:ascii="Arial" w:eastAsia="Times New Roman" w:hAnsi="Arial" w:cs="Arial"/>
            <w:color w:val="0000FF"/>
            <w:kern w:val="0"/>
            <w:sz w:val="24"/>
            <w:szCs w:val="24"/>
            <w:u w:val="single"/>
            <w:lang w:eastAsia="en-GB"/>
            <w14:ligatures w14:val="none"/>
          </w:rPr>
          <w:t>https://www.gov.uk/government/publications/pace-code-c</w:t>
        </w:r>
      </w:hyperlink>
      <w:r w:rsidRPr="00F748ED">
        <w:rPr>
          <w:rFonts w:ascii="Arial" w:eastAsia="Times New Roman" w:hAnsi="Arial" w:cs="Arial"/>
          <w:kern w:val="0"/>
          <w:sz w:val="24"/>
          <w:szCs w:val="24"/>
          <w:lang w:eastAsia="en-GB"/>
          <w14:ligatures w14:val="none"/>
        </w:rPr>
        <w:t xml:space="preserve"> (Accessed: 10 February 2026).</w:t>
      </w:r>
    </w:p>
    <w:p w14:paraId="46980230" w14:textId="77777777" w:rsidR="008B6235" w:rsidRPr="00F748ED" w:rsidRDefault="008B6235" w:rsidP="00F748ED">
      <w:pPr>
        <w:spacing w:before="100" w:beforeAutospacing="1" w:after="100" w:afterAutospacing="1" w:line="240" w:lineRule="auto"/>
        <w:rPr>
          <w:rFonts w:ascii="Arial" w:eastAsia="Times New Roman" w:hAnsi="Arial" w:cs="Arial"/>
          <w:kern w:val="0"/>
          <w:sz w:val="24"/>
          <w:szCs w:val="24"/>
          <w:lang w:eastAsia="en-GB"/>
          <w14:ligatures w14:val="none"/>
        </w:rPr>
      </w:pPr>
      <w:r w:rsidRPr="00F748ED">
        <w:rPr>
          <w:rFonts w:ascii="Arial" w:eastAsia="Times New Roman" w:hAnsi="Arial" w:cs="Arial"/>
          <w:kern w:val="0"/>
          <w:sz w:val="24"/>
          <w:szCs w:val="24"/>
          <w:lang w:eastAsia="en-GB"/>
          <w14:ligatures w14:val="none"/>
        </w:rPr>
        <w:t xml:space="preserve">Home Office (2024) </w:t>
      </w:r>
      <w:r w:rsidRPr="00F748ED">
        <w:rPr>
          <w:rFonts w:ascii="Arial" w:eastAsia="Times New Roman" w:hAnsi="Arial" w:cs="Arial"/>
          <w:i/>
          <w:iCs/>
          <w:kern w:val="0"/>
          <w:sz w:val="24"/>
          <w:szCs w:val="24"/>
          <w:lang w:eastAsia="en-GB"/>
          <w14:ligatures w14:val="none"/>
        </w:rPr>
        <w:t>Revisions to PACE Code C: Safeguards for children and vulnerable persons</w:t>
      </w:r>
      <w:r w:rsidRPr="00F748ED">
        <w:rPr>
          <w:rFonts w:ascii="Arial" w:eastAsia="Times New Roman" w:hAnsi="Arial" w:cs="Arial"/>
          <w:kern w:val="0"/>
          <w:sz w:val="24"/>
          <w:szCs w:val="24"/>
          <w:lang w:eastAsia="en-GB"/>
          <w14:ligatures w14:val="none"/>
        </w:rPr>
        <w:t>. London: Home Office.</w:t>
      </w:r>
    </w:p>
    <w:p w14:paraId="5098D370" w14:textId="77777777" w:rsidR="008B6235" w:rsidRPr="00F748ED" w:rsidRDefault="008B6235" w:rsidP="00F748ED">
      <w:pPr>
        <w:spacing w:before="100" w:beforeAutospacing="1" w:after="100" w:afterAutospacing="1" w:line="240" w:lineRule="auto"/>
        <w:rPr>
          <w:rFonts w:ascii="Arial" w:eastAsia="Times New Roman" w:hAnsi="Arial" w:cs="Arial"/>
          <w:kern w:val="0"/>
          <w:sz w:val="24"/>
          <w:szCs w:val="24"/>
          <w:lang w:eastAsia="en-GB"/>
          <w14:ligatures w14:val="none"/>
        </w:rPr>
      </w:pPr>
      <w:r w:rsidRPr="00F748ED">
        <w:rPr>
          <w:rFonts w:ascii="Arial" w:eastAsia="Times New Roman" w:hAnsi="Arial" w:cs="Arial"/>
          <w:kern w:val="0"/>
          <w:sz w:val="24"/>
          <w:szCs w:val="24"/>
          <w:lang w:eastAsia="en-GB"/>
          <w14:ligatures w14:val="none"/>
        </w:rPr>
        <w:t xml:space="preserve">Independent Office for Police Conduct (2022) </w:t>
      </w:r>
      <w:r w:rsidRPr="00F748ED">
        <w:rPr>
          <w:rFonts w:ascii="Arial" w:eastAsia="Times New Roman" w:hAnsi="Arial" w:cs="Arial"/>
          <w:i/>
          <w:iCs/>
          <w:kern w:val="0"/>
          <w:sz w:val="24"/>
          <w:szCs w:val="24"/>
          <w:lang w:eastAsia="en-GB"/>
          <w14:ligatures w14:val="none"/>
        </w:rPr>
        <w:t>Investigation report into Child Q strip search</w:t>
      </w:r>
      <w:r w:rsidRPr="00F748ED">
        <w:rPr>
          <w:rFonts w:ascii="Arial" w:eastAsia="Times New Roman" w:hAnsi="Arial" w:cs="Arial"/>
          <w:kern w:val="0"/>
          <w:sz w:val="24"/>
          <w:szCs w:val="24"/>
          <w:lang w:eastAsia="en-GB"/>
          <w14:ligatures w14:val="none"/>
        </w:rPr>
        <w:t>. London: IOPC.</w:t>
      </w:r>
    </w:p>
    <w:p w14:paraId="11F44E06" w14:textId="32EA955A" w:rsidR="008B6235" w:rsidRPr="00F748ED" w:rsidRDefault="008B6235" w:rsidP="00F748ED">
      <w:pPr>
        <w:spacing w:before="100" w:beforeAutospacing="1" w:after="100" w:afterAutospacing="1" w:line="240" w:lineRule="auto"/>
        <w:rPr>
          <w:rFonts w:ascii="Arial" w:eastAsia="Times New Roman" w:hAnsi="Arial" w:cs="Arial"/>
          <w:kern w:val="0"/>
          <w:sz w:val="24"/>
          <w:szCs w:val="24"/>
          <w:lang w:eastAsia="en-GB"/>
          <w14:ligatures w14:val="none"/>
        </w:rPr>
      </w:pPr>
      <w:r w:rsidRPr="00F748ED">
        <w:rPr>
          <w:rFonts w:ascii="Arial" w:eastAsia="Times New Roman" w:hAnsi="Arial" w:cs="Arial"/>
          <w:kern w:val="0"/>
          <w:sz w:val="24"/>
          <w:szCs w:val="24"/>
          <w:lang w:eastAsia="en-GB"/>
          <w14:ligatures w14:val="none"/>
        </w:rPr>
        <w:t xml:space="preserve">Independent Office for Police Conduct (2025) </w:t>
      </w:r>
      <w:r w:rsidRPr="00F748ED">
        <w:rPr>
          <w:rFonts w:ascii="Arial" w:eastAsia="Times New Roman" w:hAnsi="Arial" w:cs="Arial"/>
          <w:i/>
          <w:iCs/>
          <w:kern w:val="0"/>
          <w:sz w:val="24"/>
          <w:szCs w:val="24"/>
          <w:lang w:eastAsia="en-GB"/>
          <w14:ligatures w14:val="none"/>
        </w:rPr>
        <w:t>Disciplinary findings in the Child Q case</w:t>
      </w:r>
      <w:r w:rsidRPr="00F748ED">
        <w:rPr>
          <w:rFonts w:ascii="Arial" w:eastAsia="Times New Roman" w:hAnsi="Arial" w:cs="Arial"/>
          <w:kern w:val="0"/>
          <w:sz w:val="24"/>
          <w:szCs w:val="24"/>
          <w:lang w:eastAsia="en-GB"/>
          <w14:ligatures w14:val="none"/>
        </w:rPr>
        <w:t xml:space="preserve">. London: IOPC. Available at: </w:t>
      </w:r>
      <w:hyperlink r:id="rId21" w:tgtFrame="_new" w:history="1">
        <w:r w:rsidRPr="00F748ED">
          <w:rPr>
            <w:rFonts w:ascii="Arial" w:eastAsia="Times New Roman" w:hAnsi="Arial" w:cs="Arial"/>
            <w:color w:val="0000FF"/>
            <w:kern w:val="0"/>
            <w:sz w:val="24"/>
            <w:szCs w:val="24"/>
            <w:u w:val="single"/>
            <w:lang w:eastAsia="en-GB"/>
            <w14:ligatures w14:val="none"/>
          </w:rPr>
          <w:t>https://www.iopc.gov.uk/</w:t>
        </w:r>
      </w:hyperlink>
      <w:r w:rsidRPr="00F748ED">
        <w:rPr>
          <w:rFonts w:ascii="Arial" w:eastAsia="Times New Roman" w:hAnsi="Arial" w:cs="Arial"/>
          <w:kern w:val="0"/>
          <w:sz w:val="24"/>
          <w:szCs w:val="24"/>
          <w:lang w:eastAsia="en-GB"/>
          <w14:ligatures w14:val="none"/>
        </w:rPr>
        <w:t xml:space="preserve"> (Accessed: 07 February 2026).</w:t>
      </w:r>
    </w:p>
    <w:p w14:paraId="646209F4" w14:textId="77777777" w:rsidR="008B6235" w:rsidRPr="00F748ED" w:rsidRDefault="008B6235" w:rsidP="00F748ED">
      <w:pPr>
        <w:spacing w:before="100" w:beforeAutospacing="1" w:after="100" w:afterAutospacing="1" w:line="240" w:lineRule="auto"/>
        <w:rPr>
          <w:rFonts w:ascii="Arial" w:eastAsia="Times New Roman" w:hAnsi="Arial" w:cs="Arial"/>
          <w:kern w:val="0"/>
          <w:sz w:val="24"/>
          <w:szCs w:val="24"/>
          <w:lang w:eastAsia="en-GB"/>
          <w14:ligatures w14:val="none"/>
        </w:rPr>
      </w:pPr>
      <w:r w:rsidRPr="00F748ED">
        <w:rPr>
          <w:rFonts w:ascii="Arial" w:eastAsia="Times New Roman" w:hAnsi="Arial" w:cs="Arial"/>
          <w:kern w:val="0"/>
          <w:sz w:val="24"/>
          <w:szCs w:val="24"/>
          <w:lang w:eastAsia="en-GB"/>
          <w14:ligatures w14:val="none"/>
        </w:rPr>
        <w:t xml:space="preserve">INQUEST (2023) </w:t>
      </w:r>
      <w:r w:rsidRPr="00F748ED">
        <w:rPr>
          <w:rFonts w:ascii="Arial" w:eastAsia="Times New Roman" w:hAnsi="Arial" w:cs="Arial"/>
          <w:i/>
          <w:iCs/>
          <w:kern w:val="0"/>
          <w:sz w:val="24"/>
          <w:szCs w:val="24"/>
          <w:lang w:eastAsia="en-GB"/>
          <w14:ligatures w14:val="none"/>
        </w:rPr>
        <w:t>Children’s rights and police custody briefing</w:t>
      </w:r>
      <w:r w:rsidRPr="00F748ED">
        <w:rPr>
          <w:rFonts w:ascii="Arial" w:eastAsia="Times New Roman" w:hAnsi="Arial" w:cs="Arial"/>
          <w:kern w:val="0"/>
          <w:sz w:val="24"/>
          <w:szCs w:val="24"/>
          <w:lang w:eastAsia="en-GB"/>
          <w14:ligatures w14:val="none"/>
        </w:rPr>
        <w:t>. London: INQUEST.</w:t>
      </w:r>
    </w:p>
    <w:p w14:paraId="2024C450" w14:textId="77777777" w:rsidR="008B6235" w:rsidRPr="00F748ED" w:rsidRDefault="008B6235" w:rsidP="00F748ED">
      <w:pPr>
        <w:spacing w:before="100" w:beforeAutospacing="1" w:after="100" w:afterAutospacing="1" w:line="240" w:lineRule="auto"/>
        <w:rPr>
          <w:rFonts w:ascii="Arial" w:eastAsia="Times New Roman" w:hAnsi="Arial" w:cs="Arial"/>
          <w:kern w:val="0"/>
          <w:sz w:val="24"/>
          <w:szCs w:val="24"/>
          <w:lang w:eastAsia="en-GB"/>
          <w14:ligatures w14:val="none"/>
        </w:rPr>
      </w:pPr>
      <w:r w:rsidRPr="00F748ED">
        <w:rPr>
          <w:rFonts w:ascii="Arial" w:eastAsia="Times New Roman" w:hAnsi="Arial" w:cs="Arial"/>
          <w:kern w:val="0"/>
          <w:sz w:val="24"/>
          <w:szCs w:val="24"/>
          <w:lang w:eastAsia="en-GB"/>
          <w14:ligatures w14:val="none"/>
        </w:rPr>
        <w:t xml:space="preserve">Jones, A. (2023) ‘Child strip-search data and safeguarding concerns’, </w:t>
      </w:r>
      <w:r w:rsidRPr="00F748ED">
        <w:rPr>
          <w:rFonts w:ascii="Arial" w:eastAsia="Times New Roman" w:hAnsi="Arial" w:cs="Arial"/>
          <w:i/>
          <w:iCs/>
          <w:kern w:val="0"/>
          <w:sz w:val="24"/>
          <w:szCs w:val="24"/>
          <w:lang w:eastAsia="en-GB"/>
          <w14:ligatures w14:val="none"/>
        </w:rPr>
        <w:t>Youth Justice Policy Review</w:t>
      </w:r>
      <w:r w:rsidRPr="00F748ED">
        <w:rPr>
          <w:rFonts w:ascii="Arial" w:eastAsia="Times New Roman" w:hAnsi="Arial" w:cs="Arial"/>
          <w:kern w:val="0"/>
          <w:sz w:val="24"/>
          <w:szCs w:val="24"/>
          <w:lang w:eastAsia="en-GB"/>
          <w14:ligatures w14:val="none"/>
        </w:rPr>
        <w:t>, 15(3), pp. 45–60.</w:t>
      </w:r>
    </w:p>
    <w:p w14:paraId="3D8BEF67" w14:textId="77777777" w:rsidR="008B6235" w:rsidRPr="00F748ED" w:rsidRDefault="008B6235" w:rsidP="00F748ED">
      <w:pPr>
        <w:spacing w:before="100" w:beforeAutospacing="1" w:after="100" w:afterAutospacing="1" w:line="240" w:lineRule="auto"/>
        <w:rPr>
          <w:rFonts w:ascii="Arial" w:eastAsia="Times New Roman" w:hAnsi="Arial" w:cs="Arial"/>
          <w:kern w:val="0"/>
          <w:sz w:val="24"/>
          <w:szCs w:val="24"/>
          <w:lang w:eastAsia="en-GB"/>
          <w14:ligatures w14:val="none"/>
        </w:rPr>
      </w:pPr>
      <w:r w:rsidRPr="00F748ED">
        <w:rPr>
          <w:rFonts w:ascii="Arial" w:eastAsia="Times New Roman" w:hAnsi="Arial" w:cs="Arial"/>
          <w:kern w:val="0"/>
          <w:sz w:val="24"/>
          <w:szCs w:val="24"/>
          <w:lang w:eastAsia="en-GB"/>
          <w14:ligatures w14:val="none"/>
        </w:rPr>
        <w:t xml:space="preserve">Just for Kids Law (2022) </w:t>
      </w:r>
      <w:r w:rsidRPr="00F748ED">
        <w:rPr>
          <w:rFonts w:ascii="Arial" w:eastAsia="Times New Roman" w:hAnsi="Arial" w:cs="Arial"/>
          <w:i/>
          <w:iCs/>
          <w:kern w:val="0"/>
          <w:sz w:val="24"/>
          <w:szCs w:val="24"/>
          <w:lang w:eastAsia="en-GB"/>
          <w14:ligatures w14:val="none"/>
        </w:rPr>
        <w:t>Strip searching children: Legal briefing</w:t>
      </w:r>
      <w:r w:rsidRPr="00F748ED">
        <w:rPr>
          <w:rFonts w:ascii="Arial" w:eastAsia="Times New Roman" w:hAnsi="Arial" w:cs="Arial"/>
          <w:kern w:val="0"/>
          <w:sz w:val="24"/>
          <w:szCs w:val="24"/>
          <w:lang w:eastAsia="en-GB"/>
          <w14:ligatures w14:val="none"/>
        </w:rPr>
        <w:t>. London: Just for Kids Law.</w:t>
      </w:r>
    </w:p>
    <w:p w14:paraId="3C6C210E" w14:textId="5DC57FFA" w:rsidR="008B6235" w:rsidRPr="00F748ED" w:rsidRDefault="008B6235" w:rsidP="00F748ED">
      <w:pPr>
        <w:spacing w:before="100" w:beforeAutospacing="1" w:after="100" w:afterAutospacing="1" w:line="240" w:lineRule="auto"/>
        <w:rPr>
          <w:rFonts w:ascii="Arial" w:eastAsia="Times New Roman" w:hAnsi="Arial" w:cs="Arial"/>
          <w:kern w:val="0"/>
          <w:sz w:val="24"/>
          <w:szCs w:val="24"/>
          <w:lang w:eastAsia="en-GB"/>
          <w14:ligatures w14:val="none"/>
        </w:rPr>
      </w:pPr>
      <w:r w:rsidRPr="00F748ED">
        <w:rPr>
          <w:rFonts w:ascii="Arial" w:eastAsia="Times New Roman" w:hAnsi="Arial" w:cs="Arial"/>
          <w:kern w:val="0"/>
          <w:sz w:val="24"/>
          <w:szCs w:val="24"/>
          <w:lang w:eastAsia="en-GB"/>
          <w14:ligatures w14:val="none"/>
        </w:rPr>
        <w:t xml:space="preserve">Lammy, D. (2017) </w:t>
      </w:r>
      <w:r w:rsidRPr="00F748ED">
        <w:rPr>
          <w:rFonts w:ascii="Arial" w:eastAsia="Times New Roman" w:hAnsi="Arial" w:cs="Arial"/>
          <w:i/>
          <w:iCs/>
          <w:kern w:val="0"/>
          <w:sz w:val="24"/>
          <w:szCs w:val="24"/>
          <w:lang w:eastAsia="en-GB"/>
          <w14:ligatures w14:val="none"/>
        </w:rPr>
        <w:t>The Lammy Review: An independent review into the treatment of, and outcomes for, Black, Asian and Minority Ethnic individuals in the Criminal Justice System</w:t>
      </w:r>
      <w:r w:rsidRPr="00F748ED">
        <w:rPr>
          <w:rFonts w:ascii="Arial" w:eastAsia="Times New Roman" w:hAnsi="Arial" w:cs="Arial"/>
          <w:kern w:val="0"/>
          <w:sz w:val="24"/>
          <w:szCs w:val="24"/>
          <w:lang w:eastAsia="en-GB"/>
          <w14:ligatures w14:val="none"/>
        </w:rPr>
        <w:t xml:space="preserve">. London: UK Government. Available at: </w:t>
      </w:r>
      <w:hyperlink r:id="rId22" w:tgtFrame="_new" w:history="1">
        <w:r w:rsidRPr="00F748ED">
          <w:rPr>
            <w:rFonts w:ascii="Arial" w:eastAsia="Times New Roman" w:hAnsi="Arial" w:cs="Arial"/>
            <w:color w:val="0000FF"/>
            <w:kern w:val="0"/>
            <w:sz w:val="24"/>
            <w:szCs w:val="24"/>
            <w:u w:val="single"/>
            <w:lang w:eastAsia="en-GB"/>
            <w14:ligatures w14:val="none"/>
          </w:rPr>
          <w:t>https://www.gov.uk/government/publications/lammy-review-final-report</w:t>
        </w:r>
      </w:hyperlink>
      <w:r w:rsidRPr="00F748ED">
        <w:rPr>
          <w:rFonts w:ascii="Arial" w:eastAsia="Times New Roman" w:hAnsi="Arial" w:cs="Arial"/>
          <w:kern w:val="0"/>
          <w:sz w:val="24"/>
          <w:szCs w:val="24"/>
          <w:lang w:eastAsia="en-GB"/>
          <w14:ligatures w14:val="none"/>
        </w:rPr>
        <w:t xml:space="preserve"> (Accessed: </w:t>
      </w:r>
      <w:r w:rsidR="00F748ED">
        <w:rPr>
          <w:rFonts w:ascii="Arial" w:eastAsia="Times New Roman" w:hAnsi="Arial" w:cs="Arial"/>
          <w:kern w:val="0"/>
          <w:sz w:val="24"/>
          <w:szCs w:val="24"/>
          <w:lang w:eastAsia="en-GB"/>
          <w14:ligatures w14:val="none"/>
        </w:rPr>
        <w:t xml:space="preserve">06 </w:t>
      </w:r>
      <w:r w:rsidRPr="00F748ED">
        <w:rPr>
          <w:rFonts w:ascii="Arial" w:eastAsia="Times New Roman" w:hAnsi="Arial" w:cs="Arial"/>
          <w:kern w:val="0"/>
          <w:sz w:val="24"/>
          <w:szCs w:val="24"/>
          <w:lang w:eastAsia="en-GB"/>
          <w14:ligatures w14:val="none"/>
        </w:rPr>
        <w:t>February 2026).</w:t>
      </w:r>
    </w:p>
    <w:p w14:paraId="1B3CD960" w14:textId="77777777" w:rsidR="008B6235" w:rsidRPr="00F748ED" w:rsidRDefault="008B6235" w:rsidP="00F748ED">
      <w:pPr>
        <w:spacing w:before="100" w:beforeAutospacing="1" w:after="100" w:afterAutospacing="1" w:line="240" w:lineRule="auto"/>
        <w:rPr>
          <w:rFonts w:ascii="Arial" w:eastAsia="Times New Roman" w:hAnsi="Arial" w:cs="Arial"/>
          <w:kern w:val="0"/>
          <w:sz w:val="24"/>
          <w:szCs w:val="24"/>
          <w:lang w:eastAsia="en-GB"/>
          <w14:ligatures w14:val="none"/>
        </w:rPr>
      </w:pPr>
      <w:r w:rsidRPr="00F748ED">
        <w:rPr>
          <w:rFonts w:ascii="Arial" w:eastAsia="Times New Roman" w:hAnsi="Arial" w:cs="Arial"/>
          <w:kern w:val="0"/>
          <w:sz w:val="24"/>
          <w:szCs w:val="24"/>
          <w:lang w:eastAsia="en-GB"/>
          <w14:ligatures w14:val="none"/>
        </w:rPr>
        <w:t xml:space="preserve">Liebling, A., McAra, L. and McVie, S. (2019) ‘Young people, policing and procedural justice’, </w:t>
      </w:r>
      <w:r w:rsidRPr="00F748ED">
        <w:rPr>
          <w:rFonts w:ascii="Arial" w:eastAsia="Times New Roman" w:hAnsi="Arial" w:cs="Arial"/>
          <w:i/>
          <w:iCs/>
          <w:kern w:val="0"/>
          <w:sz w:val="24"/>
          <w:szCs w:val="24"/>
          <w:lang w:eastAsia="en-GB"/>
          <w14:ligatures w14:val="none"/>
        </w:rPr>
        <w:t>Criminology &amp; Criminal Justice</w:t>
      </w:r>
      <w:r w:rsidRPr="00F748ED">
        <w:rPr>
          <w:rFonts w:ascii="Arial" w:eastAsia="Times New Roman" w:hAnsi="Arial" w:cs="Arial"/>
          <w:kern w:val="0"/>
          <w:sz w:val="24"/>
          <w:szCs w:val="24"/>
          <w:lang w:eastAsia="en-GB"/>
          <w14:ligatures w14:val="none"/>
        </w:rPr>
        <w:t>, 19(3), pp. 1–18.</w:t>
      </w:r>
    </w:p>
    <w:p w14:paraId="086BEFB3" w14:textId="77777777" w:rsidR="008B6235" w:rsidRPr="00F748ED" w:rsidRDefault="008B6235" w:rsidP="00F748ED">
      <w:pPr>
        <w:spacing w:before="100" w:beforeAutospacing="1" w:after="100" w:afterAutospacing="1" w:line="240" w:lineRule="auto"/>
        <w:rPr>
          <w:rFonts w:ascii="Arial" w:eastAsia="Times New Roman" w:hAnsi="Arial" w:cs="Arial"/>
          <w:kern w:val="0"/>
          <w:sz w:val="24"/>
          <w:szCs w:val="24"/>
          <w:lang w:eastAsia="en-GB"/>
          <w14:ligatures w14:val="none"/>
        </w:rPr>
      </w:pPr>
      <w:r w:rsidRPr="00F748ED">
        <w:rPr>
          <w:rFonts w:ascii="Arial" w:eastAsia="Times New Roman" w:hAnsi="Arial" w:cs="Arial"/>
          <w:kern w:val="0"/>
          <w:sz w:val="24"/>
          <w:szCs w:val="24"/>
          <w:lang w:eastAsia="en-GB"/>
          <w14:ligatures w14:val="none"/>
        </w:rPr>
        <w:t xml:space="preserve">Macpherson, W. (1999) </w:t>
      </w:r>
      <w:r w:rsidRPr="00F748ED">
        <w:rPr>
          <w:rFonts w:ascii="Arial" w:eastAsia="Times New Roman" w:hAnsi="Arial" w:cs="Arial"/>
          <w:i/>
          <w:iCs/>
          <w:kern w:val="0"/>
          <w:sz w:val="24"/>
          <w:szCs w:val="24"/>
          <w:lang w:eastAsia="en-GB"/>
          <w14:ligatures w14:val="none"/>
        </w:rPr>
        <w:t>The Stephen Lawrence Inquiry: Report of an Inquiry by Sir William Macpherson of Cluny</w:t>
      </w:r>
      <w:r w:rsidRPr="00F748ED">
        <w:rPr>
          <w:rFonts w:ascii="Arial" w:eastAsia="Times New Roman" w:hAnsi="Arial" w:cs="Arial"/>
          <w:kern w:val="0"/>
          <w:sz w:val="24"/>
          <w:szCs w:val="24"/>
          <w:lang w:eastAsia="en-GB"/>
          <w14:ligatures w14:val="none"/>
        </w:rPr>
        <w:t>. London: The Stationery Office.</w:t>
      </w:r>
    </w:p>
    <w:p w14:paraId="2FD765DE" w14:textId="77777777" w:rsidR="008B6235" w:rsidRPr="00F748ED" w:rsidRDefault="008B6235" w:rsidP="00F748ED">
      <w:pPr>
        <w:spacing w:before="100" w:beforeAutospacing="1" w:after="100" w:afterAutospacing="1" w:line="240" w:lineRule="auto"/>
        <w:rPr>
          <w:rFonts w:ascii="Arial" w:eastAsia="Times New Roman" w:hAnsi="Arial" w:cs="Arial"/>
          <w:kern w:val="0"/>
          <w:sz w:val="24"/>
          <w:szCs w:val="24"/>
          <w:lang w:eastAsia="en-GB"/>
          <w14:ligatures w14:val="none"/>
        </w:rPr>
      </w:pPr>
      <w:r w:rsidRPr="00F748ED">
        <w:rPr>
          <w:rFonts w:ascii="Arial" w:eastAsia="Times New Roman" w:hAnsi="Arial" w:cs="Arial"/>
          <w:kern w:val="0"/>
          <w:sz w:val="24"/>
          <w:szCs w:val="24"/>
          <w:lang w:eastAsia="en-GB"/>
          <w14:ligatures w14:val="none"/>
        </w:rPr>
        <w:t xml:space="preserve">Mayor of London (2022) </w:t>
      </w:r>
      <w:r w:rsidRPr="00F748ED">
        <w:rPr>
          <w:rFonts w:ascii="Arial" w:eastAsia="Times New Roman" w:hAnsi="Arial" w:cs="Arial"/>
          <w:i/>
          <w:iCs/>
          <w:kern w:val="0"/>
          <w:sz w:val="24"/>
          <w:szCs w:val="24"/>
          <w:lang w:eastAsia="en-GB"/>
          <w14:ligatures w14:val="none"/>
        </w:rPr>
        <w:t>Review of the Metropolitan Police Service’s strip-search practices</w:t>
      </w:r>
      <w:r w:rsidRPr="00F748ED">
        <w:rPr>
          <w:rFonts w:ascii="Arial" w:eastAsia="Times New Roman" w:hAnsi="Arial" w:cs="Arial"/>
          <w:kern w:val="0"/>
          <w:sz w:val="24"/>
          <w:szCs w:val="24"/>
          <w:lang w:eastAsia="en-GB"/>
          <w14:ligatures w14:val="none"/>
        </w:rPr>
        <w:t>. London: Greater London Authority.</w:t>
      </w:r>
    </w:p>
    <w:p w14:paraId="756BC632" w14:textId="77777777" w:rsidR="008B6235" w:rsidRPr="00F748ED" w:rsidRDefault="008B6235" w:rsidP="00F748ED">
      <w:pPr>
        <w:spacing w:before="100" w:beforeAutospacing="1" w:after="100" w:afterAutospacing="1" w:line="240" w:lineRule="auto"/>
        <w:rPr>
          <w:rFonts w:ascii="Arial" w:eastAsia="Times New Roman" w:hAnsi="Arial" w:cs="Arial"/>
          <w:kern w:val="0"/>
          <w:sz w:val="24"/>
          <w:szCs w:val="24"/>
          <w:lang w:eastAsia="en-GB"/>
          <w14:ligatures w14:val="none"/>
        </w:rPr>
      </w:pPr>
      <w:r w:rsidRPr="00F748ED">
        <w:rPr>
          <w:rFonts w:ascii="Arial" w:eastAsia="Times New Roman" w:hAnsi="Arial" w:cs="Arial"/>
          <w:kern w:val="0"/>
          <w:sz w:val="24"/>
          <w:szCs w:val="24"/>
          <w:lang w:eastAsia="en-GB"/>
          <w14:ligatures w14:val="none"/>
        </w:rPr>
        <w:t xml:space="preserve">Metropolitan Police Service (2025) </w:t>
      </w:r>
      <w:r w:rsidRPr="00F748ED">
        <w:rPr>
          <w:rFonts w:ascii="Arial" w:eastAsia="Times New Roman" w:hAnsi="Arial" w:cs="Arial"/>
          <w:i/>
          <w:iCs/>
          <w:kern w:val="0"/>
          <w:sz w:val="24"/>
          <w:szCs w:val="24"/>
          <w:lang w:eastAsia="en-GB"/>
          <w14:ligatures w14:val="none"/>
        </w:rPr>
        <w:t>News release: Outcome of disciplinary proceedings relating to Child Q</w:t>
      </w:r>
      <w:r w:rsidRPr="00F748ED">
        <w:rPr>
          <w:rFonts w:ascii="Arial" w:eastAsia="Times New Roman" w:hAnsi="Arial" w:cs="Arial"/>
          <w:kern w:val="0"/>
          <w:sz w:val="24"/>
          <w:szCs w:val="24"/>
          <w:lang w:eastAsia="en-GB"/>
          <w14:ligatures w14:val="none"/>
        </w:rPr>
        <w:t>. London: Metropolitan Police Service.</w:t>
      </w:r>
    </w:p>
    <w:p w14:paraId="429F501E" w14:textId="77777777" w:rsidR="008B6235" w:rsidRPr="00F748ED" w:rsidRDefault="008B6235" w:rsidP="00F748ED">
      <w:pPr>
        <w:spacing w:before="100" w:beforeAutospacing="1" w:after="100" w:afterAutospacing="1" w:line="240" w:lineRule="auto"/>
        <w:rPr>
          <w:rFonts w:ascii="Arial" w:eastAsia="Times New Roman" w:hAnsi="Arial" w:cs="Arial"/>
          <w:kern w:val="0"/>
          <w:sz w:val="24"/>
          <w:szCs w:val="24"/>
          <w:lang w:eastAsia="en-GB"/>
          <w14:ligatures w14:val="none"/>
        </w:rPr>
      </w:pPr>
      <w:r w:rsidRPr="00F748ED">
        <w:rPr>
          <w:rFonts w:ascii="Arial" w:eastAsia="Times New Roman" w:hAnsi="Arial" w:cs="Arial"/>
          <w:kern w:val="0"/>
          <w:sz w:val="24"/>
          <w:szCs w:val="24"/>
          <w:lang w:eastAsia="en-GB"/>
          <w14:ligatures w14:val="none"/>
        </w:rPr>
        <w:t xml:space="preserve">Muncie, J. (2009) </w:t>
      </w:r>
      <w:r w:rsidRPr="00F748ED">
        <w:rPr>
          <w:rFonts w:ascii="Arial" w:eastAsia="Times New Roman" w:hAnsi="Arial" w:cs="Arial"/>
          <w:i/>
          <w:iCs/>
          <w:kern w:val="0"/>
          <w:sz w:val="24"/>
          <w:szCs w:val="24"/>
          <w:lang w:eastAsia="en-GB"/>
          <w14:ligatures w14:val="none"/>
        </w:rPr>
        <w:t>Youth and Crime</w:t>
      </w:r>
      <w:r w:rsidRPr="00F748ED">
        <w:rPr>
          <w:rFonts w:ascii="Arial" w:eastAsia="Times New Roman" w:hAnsi="Arial" w:cs="Arial"/>
          <w:kern w:val="0"/>
          <w:sz w:val="24"/>
          <w:szCs w:val="24"/>
          <w:lang w:eastAsia="en-GB"/>
          <w14:ligatures w14:val="none"/>
        </w:rPr>
        <w:t xml:space="preserve">. 3rd </w:t>
      </w:r>
      <w:proofErr w:type="spellStart"/>
      <w:r w:rsidRPr="00F748ED">
        <w:rPr>
          <w:rFonts w:ascii="Arial" w:eastAsia="Times New Roman" w:hAnsi="Arial" w:cs="Arial"/>
          <w:kern w:val="0"/>
          <w:sz w:val="24"/>
          <w:szCs w:val="24"/>
          <w:lang w:eastAsia="en-GB"/>
          <w14:ligatures w14:val="none"/>
        </w:rPr>
        <w:t>edn</w:t>
      </w:r>
      <w:proofErr w:type="spellEnd"/>
      <w:r w:rsidRPr="00F748ED">
        <w:rPr>
          <w:rFonts w:ascii="Arial" w:eastAsia="Times New Roman" w:hAnsi="Arial" w:cs="Arial"/>
          <w:kern w:val="0"/>
          <w:sz w:val="24"/>
          <w:szCs w:val="24"/>
          <w:lang w:eastAsia="en-GB"/>
          <w14:ligatures w14:val="none"/>
        </w:rPr>
        <w:t>. London: Sage.</w:t>
      </w:r>
    </w:p>
    <w:p w14:paraId="74D174B9" w14:textId="77777777" w:rsidR="008B6235" w:rsidRPr="00F748ED" w:rsidRDefault="008B6235" w:rsidP="00F748ED">
      <w:pPr>
        <w:spacing w:before="100" w:beforeAutospacing="1" w:after="100" w:afterAutospacing="1" w:line="240" w:lineRule="auto"/>
        <w:rPr>
          <w:rFonts w:ascii="Arial" w:eastAsia="Times New Roman" w:hAnsi="Arial" w:cs="Arial"/>
          <w:kern w:val="0"/>
          <w:sz w:val="24"/>
          <w:szCs w:val="24"/>
          <w:lang w:eastAsia="en-GB"/>
          <w14:ligatures w14:val="none"/>
        </w:rPr>
      </w:pPr>
      <w:r w:rsidRPr="00F748ED">
        <w:rPr>
          <w:rFonts w:ascii="Arial" w:eastAsia="Times New Roman" w:hAnsi="Arial" w:cs="Arial"/>
          <w:kern w:val="0"/>
          <w:sz w:val="24"/>
          <w:szCs w:val="24"/>
          <w:lang w:eastAsia="en-GB"/>
          <w14:ligatures w14:val="none"/>
        </w:rPr>
        <w:t xml:space="preserve">Packer, H.L. (1968) </w:t>
      </w:r>
      <w:r w:rsidRPr="00F748ED">
        <w:rPr>
          <w:rFonts w:ascii="Arial" w:eastAsia="Times New Roman" w:hAnsi="Arial" w:cs="Arial"/>
          <w:i/>
          <w:iCs/>
          <w:kern w:val="0"/>
          <w:sz w:val="24"/>
          <w:szCs w:val="24"/>
          <w:lang w:eastAsia="en-GB"/>
          <w14:ligatures w14:val="none"/>
        </w:rPr>
        <w:t>The Limits of the Criminal Sanction</w:t>
      </w:r>
      <w:r w:rsidRPr="00F748ED">
        <w:rPr>
          <w:rFonts w:ascii="Arial" w:eastAsia="Times New Roman" w:hAnsi="Arial" w:cs="Arial"/>
          <w:kern w:val="0"/>
          <w:sz w:val="24"/>
          <w:szCs w:val="24"/>
          <w:lang w:eastAsia="en-GB"/>
          <w14:ligatures w14:val="none"/>
        </w:rPr>
        <w:t>. Stanford, CA: Stanford University Press.</w:t>
      </w:r>
    </w:p>
    <w:p w14:paraId="2277D7A4" w14:textId="77777777" w:rsidR="008B6235" w:rsidRPr="00F748ED" w:rsidRDefault="008B6235" w:rsidP="00F748ED">
      <w:pPr>
        <w:spacing w:before="100" w:beforeAutospacing="1" w:after="100" w:afterAutospacing="1" w:line="240" w:lineRule="auto"/>
        <w:rPr>
          <w:rFonts w:ascii="Arial" w:eastAsia="Times New Roman" w:hAnsi="Arial" w:cs="Arial"/>
          <w:kern w:val="0"/>
          <w:sz w:val="24"/>
          <w:szCs w:val="24"/>
          <w:lang w:eastAsia="en-GB"/>
          <w14:ligatures w14:val="none"/>
        </w:rPr>
      </w:pPr>
      <w:r w:rsidRPr="00F748ED">
        <w:rPr>
          <w:rFonts w:ascii="Arial" w:eastAsia="Times New Roman" w:hAnsi="Arial" w:cs="Arial"/>
          <w:kern w:val="0"/>
          <w:sz w:val="24"/>
          <w:szCs w:val="24"/>
          <w:lang w:eastAsia="en-GB"/>
          <w14:ligatures w14:val="none"/>
        </w:rPr>
        <w:lastRenderedPageBreak/>
        <w:t xml:space="preserve">Phillips, C. and Bowling, B. (2017) </w:t>
      </w:r>
      <w:r w:rsidRPr="00F748ED">
        <w:rPr>
          <w:rFonts w:ascii="Arial" w:eastAsia="Times New Roman" w:hAnsi="Arial" w:cs="Arial"/>
          <w:i/>
          <w:iCs/>
          <w:kern w:val="0"/>
          <w:sz w:val="24"/>
          <w:szCs w:val="24"/>
          <w:lang w:eastAsia="en-GB"/>
          <w14:ligatures w14:val="none"/>
        </w:rPr>
        <w:t>Ethnic Inequality in Policing: Revisiting the Evidence</w:t>
      </w:r>
      <w:r w:rsidRPr="00F748ED">
        <w:rPr>
          <w:rFonts w:ascii="Arial" w:eastAsia="Times New Roman" w:hAnsi="Arial" w:cs="Arial"/>
          <w:kern w:val="0"/>
          <w:sz w:val="24"/>
          <w:szCs w:val="24"/>
          <w:lang w:eastAsia="en-GB"/>
          <w14:ligatures w14:val="none"/>
        </w:rPr>
        <w:t>. Bristol: Policy Press.</w:t>
      </w:r>
    </w:p>
    <w:p w14:paraId="6A9880EC" w14:textId="22B6EF4E" w:rsidR="008B6235" w:rsidRPr="00F748ED" w:rsidRDefault="008B6235" w:rsidP="00F748ED">
      <w:pPr>
        <w:spacing w:before="100" w:beforeAutospacing="1" w:after="100" w:afterAutospacing="1" w:line="240" w:lineRule="auto"/>
        <w:rPr>
          <w:rFonts w:ascii="Arial" w:eastAsia="Times New Roman" w:hAnsi="Arial" w:cs="Arial"/>
          <w:kern w:val="0"/>
          <w:sz w:val="24"/>
          <w:szCs w:val="24"/>
          <w:lang w:eastAsia="en-GB"/>
          <w14:ligatures w14:val="none"/>
        </w:rPr>
      </w:pPr>
      <w:r w:rsidRPr="00F748ED">
        <w:rPr>
          <w:rFonts w:ascii="Arial" w:eastAsia="Times New Roman" w:hAnsi="Arial" w:cs="Arial"/>
          <w:kern w:val="0"/>
          <w:sz w:val="24"/>
          <w:szCs w:val="24"/>
          <w:lang w:eastAsia="en-GB"/>
          <w14:ligatures w14:val="none"/>
        </w:rPr>
        <w:t xml:space="preserve">Police and Criminal Evidence Act 1984 (c.60). London: The Stationery Office. Available at: </w:t>
      </w:r>
      <w:hyperlink r:id="rId23" w:tgtFrame="_new" w:history="1">
        <w:r w:rsidRPr="00F748ED">
          <w:rPr>
            <w:rFonts w:ascii="Arial" w:eastAsia="Times New Roman" w:hAnsi="Arial" w:cs="Arial"/>
            <w:color w:val="0000FF"/>
            <w:kern w:val="0"/>
            <w:sz w:val="24"/>
            <w:szCs w:val="24"/>
            <w:u w:val="single"/>
            <w:lang w:eastAsia="en-GB"/>
            <w14:ligatures w14:val="none"/>
          </w:rPr>
          <w:t>https://www.legislation.gov.uk/ukpga/1984/60</w:t>
        </w:r>
      </w:hyperlink>
      <w:r w:rsidRPr="00F748ED">
        <w:rPr>
          <w:rFonts w:ascii="Arial" w:eastAsia="Times New Roman" w:hAnsi="Arial" w:cs="Arial"/>
          <w:kern w:val="0"/>
          <w:sz w:val="24"/>
          <w:szCs w:val="24"/>
          <w:lang w:eastAsia="en-GB"/>
          <w14:ligatures w14:val="none"/>
        </w:rPr>
        <w:t xml:space="preserve"> (Accessed: </w:t>
      </w:r>
      <w:r w:rsidR="00F748ED">
        <w:rPr>
          <w:rFonts w:ascii="Arial" w:eastAsia="Times New Roman" w:hAnsi="Arial" w:cs="Arial"/>
          <w:kern w:val="0"/>
          <w:sz w:val="24"/>
          <w:szCs w:val="24"/>
          <w:lang w:eastAsia="en-GB"/>
          <w14:ligatures w14:val="none"/>
        </w:rPr>
        <w:t>12</w:t>
      </w:r>
      <w:r w:rsidRPr="00F748ED">
        <w:rPr>
          <w:rFonts w:ascii="Arial" w:eastAsia="Times New Roman" w:hAnsi="Arial" w:cs="Arial"/>
          <w:kern w:val="0"/>
          <w:sz w:val="24"/>
          <w:szCs w:val="24"/>
          <w:lang w:eastAsia="en-GB"/>
          <w14:ligatures w14:val="none"/>
        </w:rPr>
        <w:t xml:space="preserve"> February 2026).</w:t>
      </w:r>
    </w:p>
    <w:p w14:paraId="7796CF79" w14:textId="77777777" w:rsidR="008B6235" w:rsidRPr="00F748ED" w:rsidRDefault="008B6235" w:rsidP="00F748ED">
      <w:pPr>
        <w:spacing w:before="100" w:beforeAutospacing="1" w:after="100" w:afterAutospacing="1" w:line="240" w:lineRule="auto"/>
        <w:rPr>
          <w:rFonts w:ascii="Arial" w:eastAsia="Times New Roman" w:hAnsi="Arial" w:cs="Arial"/>
          <w:kern w:val="0"/>
          <w:sz w:val="24"/>
          <w:szCs w:val="24"/>
          <w:lang w:eastAsia="en-GB"/>
          <w14:ligatures w14:val="none"/>
        </w:rPr>
      </w:pPr>
      <w:r w:rsidRPr="00F748ED">
        <w:rPr>
          <w:rFonts w:ascii="Arial" w:eastAsia="Times New Roman" w:hAnsi="Arial" w:cs="Arial"/>
          <w:kern w:val="0"/>
          <w:sz w:val="24"/>
          <w:szCs w:val="24"/>
          <w:lang w:eastAsia="en-GB"/>
          <w14:ligatures w14:val="none"/>
        </w:rPr>
        <w:t xml:space="preserve">Roberts, A. and Patel, R. (2021) ‘Safeguarding children during police searches’, </w:t>
      </w:r>
      <w:r w:rsidRPr="00F748ED">
        <w:rPr>
          <w:rFonts w:ascii="Arial" w:eastAsia="Times New Roman" w:hAnsi="Arial" w:cs="Arial"/>
          <w:i/>
          <w:iCs/>
          <w:kern w:val="0"/>
          <w:sz w:val="24"/>
          <w:szCs w:val="24"/>
          <w:lang w:eastAsia="en-GB"/>
          <w14:ligatures w14:val="none"/>
        </w:rPr>
        <w:t>Journal of Child Protection</w:t>
      </w:r>
      <w:r w:rsidRPr="00F748ED">
        <w:rPr>
          <w:rFonts w:ascii="Arial" w:eastAsia="Times New Roman" w:hAnsi="Arial" w:cs="Arial"/>
          <w:kern w:val="0"/>
          <w:sz w:val="24"/>
          <w:szCs w:val="24"/>
          <w:lang w:eastAsia="en-GB"/>
          <w14:ligatures w14:val="none"/>
        </w:rPr>
        <w:t>, 12(2), pp. 78–92.</w:t>
      </w:r>
    </w:p>
    <w:p w14:paraId="6FA24AD1" w14:textId="11129BC7" w:rsidR="008B6235" w:rsidRPr="00F748ED" w:rsidRDefault="008B6235" w:rsidP="00F748ED">
      <w:pPr>
        <w:spacing w:before="100" w:beforeAutospacing="1" w:after="100" w:afterAutospacing="1" w:line="240" w:lineRule="auto"/>
        <w:rPr>
          <w:rFonts w:ascii="Arial" w:eastAsia="Times New Roman" w:hAnsi="Arial" w:cs="Arial"/>
          <w:kern w:val="0"/>
          <w:sz w:val="24"/>
          <w:szCs w:val="24"/>
          <w:lang w:eastAsia="en-GB"/>
          <w14:ligatures w14:val="none"/>
        </w:rPr>
      </w:pPr>
      <w:r w:rsidRPr="00F748ED">
        <w:rPr>
          <w:rFonts w:ascii="Arial" w:eastAsia="Times New Roman" w:hAnsi="Arial" w:cs="Arial"/>
          <w:kern w:val="0"/>
          <w:sz w:val="24"/>
          <w:szCs w:val="24"/>
          <w:lang w:eastAsia="en-GB"/>
          <w14:ligatures w14:val="none"/>
        </w:rPr>
        <w:t xml:space="preserve">Sky News (2024) ‘Nearly half of child strip-searches lack appropriate adult’, </w:t>
      </w:r>
      <w:r w:rsidRPr="00F748ED">
        <w:rPr>
          <w:rFonts w:ascii="Arial" w:eastAsia="Times New Roman" w:hAnsi="Arial" w:cs="Arial"/>
          <w:i/>
          <w:iCs/>
          <w:kern w:val="0"/>
          <w:sz w:val="24"/>
          <w:szCs w:val="24"/>
          <w:lang w:eastAsia="en-GB"/>
          <w14:ligatures w14:val="none"/>
        </w:rPr>
        <w:t>Sky News</w:t>
      </w:r>
      <w:r w:rsidRPr="00F748ED">
        <w:rPr>
          <w:rFonts w:ascii="Arial" w:eastAsia="Times New Roman" w:hAnsi="Arial" w:cs="Arial"/>
          <w:kern w:val="0"/>
          <w:sz w:val="24"/>
          <w:szCs w:val="24"/>
          <w:lang w:eastAsia="en-GB"/>
          <w14:ligatures w14:val="none"/>
        </w:rPr>
        <w:t xml:space="preserve">, 12 September. Available at: </w:t>
      </w:r>
      <w:hyperlink r:id="rId24" w:tgtFrame="_new" w:history="1">
        <w:r w:rsidRPr="00F748ED">
          <w:rPr>
            <w:rFonts w:ascii="Arial" w:eastAsia="Times New Roman" w:hAnsi="Arial" w:cs="Arial"/>
            <w:color w:val="0000FF"/>
            <w:kern w:val="0"/>
            <w:sz w:val="24"/>
            <w:szCs w:val="24"/>
            <w:u w:val="single"/>
            <w:lang w:eastAsia="en-GB"/>
            <w14:ligatures w14:val="none"/>
          </w:rPr>
          <w:t>https://news.sky.com/</w:t>
        </w:r>
      </w:hyperlink>
      <w:r w:rsidRPr="00F748ED">
        <w:rPr>
          <w:rFonts w:ascii="Arial" w:eastAsia="Times New Roman" w:hAnsi="Arial" w:cs="Arial"/>
          <w:kern w:val="0"/>
          <w:sz w:val="24"/>
          <w:szCs w:val="24"/>
          <w:lang w:eastAsia="en-GB"/>
          <w14:ligatures w14:val="none"/>
        </w:rPr>
        <w:t xml:space="preserve"> (Accessed: 03 February 2026).</w:t>
      </w:r>
    </w:p>
    <w:p w14:paraId="401D297D" w14:textId="77777777" w:rsidR="008B6235" w:rsidRPr="00F748ED" w:rsidRDefault="008B6235" w:rsidP="00F748ED">
      <w:pPr>
        <w:spacing w:before="100" w:beforeAutospacing="1" w:after="100" w:afterAutospacing="1" w:line="240" w:lineRule="auto"/>
        <w:rPr>
          <w:rFonts w:ascii="Arial" w:eastAsia="Times New Roman" w:hAnsi="Arial" w:cs="Arial"/>
          <w:kern w:val="0"/>
          <w:sz w:val="24"/>
          <w:szCs w:val="24"/>
          <w:lang w:eastAsia="en-GB"/>
          <w14:ligatures w14:val="none"/>
        </w:rPr>
      </w:pPr>
      <w:r w:rsidRPr="00F748ED">
        <w:rPr>
          <w:rFonts w:ascii="Arial" w:eastAsia="Times New Roman" w:hAnsi="Arial" w:cs="Arial"/>
          <w:kern w:val="0"/>
          <w:sz w:val="24"/>
          <w:szCs w:val="24"/>
          <w:lang w:eastAsia="en-GB"/>
          <w14:ligatures w14:val="none"/>
        </w:rPr>
        <w:t xml:space="preserve">Smith, J. (2019) ‘Police strip searches and proportionality under PACE’, </w:t>
      </w:r>
      <w:r w:rsidRPr="00F748ED">
        <w:rPr>
          <w:rFonts w:ascii="Arial" w:eastAsia="Times New Roman" w:hAnsi="Arial" w:cs="Arial"/>
          <w:i/>
          <w:iCs/>
          <w:kern w:val="0"/>
          <w:sz w:val="24"/>
          <w:szCs w:val="24"/>
          <w:lang w:eastAsia="en-GB"/>
          <w14:ligatures w14:val="none"/>
        </w:rPr>
        <w:t>Criminal Law Review</w:t>
      </w:r>
      <w:r w:rsidRPr="00F748ED">
        <w:rPr>
          <w:rFonts w:ascii="Arial" w:eastAsia="Times New Roman" w:hAnsi="Arial" w:cs="Arial"/>
          <w:kern w:val="0"/>
          <w:sz w:val="24"/>
          <w:szCs w:val="24"/>
          <w:lang w:eastAsia="en-GB"/>
          <w14:ligatures w14:val="none"/>
        </w:rPr>
        <w:t>, 7, pp. 520–535.</w:t>
      </w:r>
    </w:p>
    <w:p w14:paraId="39CD7A1A" w14:textId="77777777" w:rsidR="008B6235" w:rsidRPr="00F748ED" w:rsidRDefault="008B6235" w:rsidP="00F748ED">
      <w:pPr>
        <w:spacing w:before="100" w:beforeAutospacing="1" w:after="100" w:afterAutospacing="1" w:line="240" w:lineRule="auto"/>
        <w:rPr>
          <w:rFonts w:ascii="Arial" w:eastAsia="Times New Roman" w:hAnsi="Arial" w:cs="Arial"/>
          <w:kern w:val="0"/>
          <w:sz w:val="24"/>
          <w:szCs w:val="24"/>
          <w:lang w:eastAsia="en-GB"/>
          <w14:ligatures w14:val="none"/>
        </w:rPr>
      </w:pPr>
      <w:r w:rsidRPr="00F748ED">
        <w:rPr>
          <w:rFonts w:ascii="Arial" w:eastAsia="Times New Roman" w:hAnsi="Arial" w:cs="Arial"/>
          <w:kern w:val="0"/>
          <w:sz w:val="24"/>
          <w:szCs w:val="24"/>
          <w:lang w:eastAsia="en-GB"/>
          <w14:ligatures w14:val="none"/>
        </w:rPr>
        <w:t xml:space="preserve">Taylor, N., French, W. and Halsey, M. (2018) ‘Psychological impacts of intrusive police searches on youth’, </w:t>
      </w:r>
      <w:r w:rsidRPr="00F748ED">
        <w:rPr>
          <w:rFonts w:ascii="Arial" w:eastAsia="Times New Roman" w:hAnsi="Arial" w:cs="Arial"/>
          <w:i/>
          <w:iCs/>
          <w:kern w:val="0"/>
          <w:sz w:val="24"/>
          <w:szCs w:val="24"/>
          <w:lang w:eastAsia="en-GB"/>
          <w14:ligatures w14:val="none"/>
        </w:rPr>
        <w:t>Social Psychology Review</w:t>
      </w:r>
      <w:r w:rsidRPr="00F748ED">
        <w:rPr>
          <w:rFonts w:ascii="Arial" w:eastAsia="Times New Roman" w:hAnsi="Arial" w:cs="Arial"/>
          <w:kern w:val="0"/>
          <w:sz w:val="24"/>
          <w:szCs w:val="24"/>
          <w:lang w:eastAsia="en-GB"/>
          <w14:ligatures w14:val="none"/>
        </w:rPr>
        <w:t>, 9(1), pp. 44–62.</w:t>
      </w:r>
    </w:p>
    <w:p w14:paraId="1AD1FB2F" w14:textId="53DF428B" w:rsidR="008B6235" w:rsidRPr="00F748ED" w:rsidRDefault="008B6235" w:rsidP="00F748ED">
      <w:pPr>
        <w:spacing w:before="100" w:beforeAutospacing="1" w:after="100" w:afterAutospacing="1" w:line="240" w:lineRule="auto"/>
        <w:rPr>
          <w:rFonts w:ascii="Arial" w:eastAsia="Times New Roman" w:hAnsi="Arial" w:cs="Arial"/>
          <w:kern w:val="0"/>
          <w:sz w:val="24"/>
          <w:szCs w:val="24"/>
          <w:lang w:eastAsia="en-GB"/>
          <w14:ligatures w14:val="none"/>
        </w:rPr>
      </w:pPr>
      <w:r w:rsidRPr="00F748ED">
        <w:rPr>
          <w:rFonts w:ascii="Arial" w:eastAsia="Times New Roman" w:hAnsi="Arial" w:cs="Arial"/>
          <w:kern w:val="0"/>
          <w:sz w:val="24"/>
          <w:szCs w:val="24"/>
          <w:lang w:eastAsia="en-GB"/>
          <w14:ligatures w14:val="none"/>
        </w:rPr>
        <w:t xml:space="preserve">The Independent (2024) ‘Most strip-searches of children are for drugs, not weapons’, </w:t>
      </w:r>
      <w:r w:rsidRPr="00F748ED">
        <w:rPr>
          <w:rFonts w:ascii="Arial" w:eastAsia="Times New Roman" w:hAnsi="Arial" w:cs="Arial"/>
          <w:i/>
          <w:iCs/>
          <w:kern w:val="0"/>
          <w:sz w:val="24"/>
          <w:szCs w:val="24"/>
          <w:lang w:eastAsia="en-GB"/>
          <w14:ligatures w14:val="none"/>
        </w:rPr>
        <w:t>The Independent</w:t>
      </w:r>
      <w:r w:rsidRPr="00F748ED">
        <w:rPr>
          <w:rFonts w:ascii="Arial" w:eastAsia="Times New Roman" w:hAnsi="Arial" w:cs="Arial"/>
          <w:kern w:val="0"/>
          <w:sz w:val="24"/>
          <w:szCs w:val="24"/>
          <w:lang w:eastAsia="en-GB"/>
          <w14:ligatures w14:val="none"/>
        </w:rPr>
        <w:t xml:space="preserve">, 24 October. Available at: </w:t>
      </w:r>
      <w:hyperlink r:id="rId25" w:tgtFrame="_new" w:history="1">
        <w:r w:rsidRPr="00F748ED">
          <w:rPr>
            <w:rFonts w:ascii="Arial" w:eastAsia="Times New Roman" w:hAnsi="Arial" w:cs="Arial"/>
            <w:color w:val="0000FF"/>
            <w:kern w:val="0"/>
            <w:sz w:val="24"/>
            <w:szCs w:val="24"/>
            <w:u w:val="single"/>
            <w:lang w:eastAsia="en-GB"/>
            <w14:ligatures w14:val="none"/>
          </w:rPr>
          <w:t>https://www.independent.co.uk/</w:t>
        </w:r>
      </w:hyperlink>
      <w:r w:rsidRPr="00F748ED">
        <w:rPr>
          <w:rFonts w:ascii="Arial" w:eastAsia="Times New Roman" w:hAnsi="Arial" w:cs="Arial"/>
          <w:kern w:val="0"/>
          <w:sz w:val="24"/>
          <w:szCs w:val="24"/>
          <w:lang w:eastAsia="en-GB"/>
          <w14:ligatures w14:val="none"/>
        </w:rPr>
        <w:t xml:space="preserve"> (Accessed: 11 February 2026).</w:t>
      </w:r>
    </w:p>
    <w:p w14:paraId="049DF559" w14:textId="77777777" w:rsidR="008B6235" w:rsidRPr="00F748ED" w:rsidRDefault="008B6235" w:rsidP="00F748ED">
      <w:pPr>
        <w:spacing w:before="100" w:beforeAutospacing="1" w:after="100" w:afterAutospacing="1" w:line="240" w:lineRule="auto"/>
        <w:rPr>
          <w:rFonts w:ascii="Arial" w:eastAsia="Times New Roman" w:hAnsi="Arial" w:cs="Arial"/>
          <w:kern w:val="0"/>
          <w:sz w:val="24"/>
          <w:szCs w:val="24"/>
          <w:lang w:eastAsia="en-GB"/>
          <w14:ligatures w14:val="none"/>
        </w:rPr>
      </w:pPr>
      <w:r w:rsidRPr="00F748ED">
        <w:rPr>
          <w:rFonts w:ascii="Arial" w:eastAsia="Times New Roman" w:hAnsi="Arial" w:cs="Arial"/>
          <w:kern w:val="0"/>
          <w:sz w:val="24"/>
          <w:szCs w:val="24"/>
          <w:lang w:eastAsia="en-GB"/>
          <w14:ligatures w14:val="none"/>
        </w:rPr>
        <w:t xml:space="preserve">The Times (2025) ‘Psychological harm and police strip-searches’, </w:t>
      </w:r>
      <w:r w:rsidRPr="00F748ED">
        <w:rPr>
          <w:rFonts w:ascii="Arial" w:eastAsia="Times New Roman" w:hAnsi="Arial" w:cs="Arial"/>
          <w:i/>
          <w:iCs/>
          <w:kern w:val="0"/>
          <w:sz w:val="24"/>
          <w:szCs w:val="24"/>
          <w:lang w:eastAsia="en-GB"/>
          <w14:ligatures w14:val="none"/>
        </w:rPr>
        <w:t>The Times</w:t>
      </w:r>
      <w:r w:rsidRPr="00F748ED">
        <w:rPr>
          <w:rFonts w:ascii="Arial" w:eastAsia="Times New Roman" w:hAnsi="Arial" w:cs="Arial"/>
          <w:kern w:val="0"/>
          <w:sz w:val="24"/>
          <w:szCs w:val="24"/>
          <w:lang w:eastAsia="en-GB"/>
          <w14:ligatures w14:val="none"/>
        </w:rPr>
        <w:t>, 18 January.</w:t>
      </w:r>
    </w:p>
    <w:p w14:paraId="3AD9FE72" w14:textId="77777777" w:rsidR="008B6235" w:rsidRPr="00F748ED" w:rsidRDefault="008B6235" w:rsidP="00F748ED">
      <w:pPr>
        <w:spacing w:before="100" w:beforeAutospacing="1" w:after="100" w:afterAutospacing="1" w:line="240" w:lineRule="auto"/>
        <w:rPr>
          <w:rFonts w:ascii="Arial" w:eastAsia="Times New Roman" w:hAnsi="Arial" w:cs="Arial"/>
          <w:kern w:val="0"/>
          <w:sz w:val="24"/>
          <w:szCs w:val="24"/>
          <w:lang w:eastAsia="en-GB"/>
          <w14:ligatures w14:val="none"/>
        </w:rPr>
      </w:pPr>
      <w:r w:rsidRPr="00F748ED">
        <w:rPr>
          <w:rFonts w:ascii="Arial" w:eastAsia="Times New Roman" w:hAnsi="Arial" w:cs="Arial"/>
          <w:kern w:val="0"/>
          <w:sz w:val="24"/>
          <w:szCs w:val="24"/>
          <w:lang w:eastAsia="en-GB"/>
          <w14:ligatures w14:val="none"/>
        </w:rPr>
        <w:t xml:space="preserve">Tyler, T.R. (2006) </w:t>
      </w:r>
      <w:r w:rsidRPr="00F748ED">
        <w:rPr>
          <w:rFonts w:ascii="Arial" w:eastAsia="Times New Roman" w:hAnsi="Arial" w:cs="Arial"/>
          <w:i/>
          <w:iCs/>
          <w:kern w:val="0"/>
          <w:sz w:val="24"/>
          <w:szCs w:val="24"/>
          <w:lang w:eastAsia="en-GB"/>
          <w14:ligatures w14:val="none"/>
        </w:rPr>
        <w:t>Why People Obey the Law</w:t>
      </w:r>
      <w:r w:rsidRPr="00F748ED">
        <w:rPr>
          <w:rFonts w:ascii="Arial" w:eastAsia="Times New Roman" w:hAnsi="Arial" w:cs="Arial"/>
          <w:kern w:val="0"/>
          <w:sz w:val="24"/>
          <w:szCs w:val="24"/>
          <w:lang w:eastAsia="en-GB"/>
          <w14:ligatures w14:val="none"/>
        </w:rPr>
        <w:t>. Princeton, NJ: Princeton University Press.</w:t>
      </w:r>
    </w:p>
    <w:p w14:paraId="58032E35" w14:textId="77777777" w:rsidR="008B6235" w:rsidRPr="00F748ED" w:rsidRDefault="008B6235" w:rsidP="00F748ED">
      <w:pPr>
        <w:spacing w:before="100" w:beforeAutospacing="1" w:after="100" w:afterAutospacing="1" w:line="240" w:lineRule="auto"/>
        <w:rPr>
          <w:rFonts w:ascii="Arial" w:eastAsia="Times New Roman" w:hAnsi="Arial" w:cs="Arial"/>
          <w:kern w:val="0"/>
          <w:sz w:val="24"/>
          <w:szCs w:val="24"/>
          <w:lang w:eastAsia="en-GB"/>
          <w14:ligatures w14:val="none"/>
        </w:rPr>
      </w:pPr>
      <w:r w:rsidRPr="00F748ED">
        <w:rPr>
          <w:rFonts w:ascii="Arial" w:eastAsia="Times New Roman" w:hAnsi="Arial" w:cs="Arial"/>
          <w:kern w:val="0"/>
          <w:sz w:val="24"/>
          <w:szCs w:val="24"/>
          <w:lang w:eastAsia="en-GB"/>
          <w14:ligatures w14:val="none"/>
        </w:rPr>
        <w:t xml:space="preserve">UK Parliament (2026) </w:t>
      </w:r>
      <w:r w:rsidRPr="00F748ED">
        <w:rPr>
          <w:rFonts w:ascii="Arial" w:eastAsia="Times New Roman" w:hAnsi="Arial" w:cs="Arial"/>
          <w:i/>
          <w:iCs/>
          <w:kern w:val="0"/>
          <w:sz w:val="24"/>
          <w:szCs w:val="24"/>
          <w:lang w:eastAsia="en-GB"/>
          <w14:ligatures w14:val="none"/>
        </w:rPr>
        <w:t>Policy review: Safeguarding children in police custody</w:t>
      </w:r>
      <w:r w:rsidRPr="00F748ED">
        <w:rPr>
          <w:rFonts w:ascii="Arial" w:eastAsia="Times New Roman" w:hAnsi="Arial" w:cs="Arial"/>
          <w:kern w:val="0"/>
          <w:sz w:val="24"/>
          <w:szCs w:val="24"/>
          <w:lang w:eastAsia="en-GB"/>
          <w14:ligatures w14:val="none"/>
        </w:rPr>
        <w:t>. London: House of Commons.</w:t>
      </w:r>
    </w:p>
    <w:p w14:paraId="0D109C72" w14:textId="38D510E0" w:rsidR="008B6235" w:rsidRPr="00F748ED" w:rsidRDefault="008B6235" w:rsidP="00F748ED">
      <w:pPr>
        <w:spacing w:before="100" w:beforeAutospacing="1" w:after="100" w:afterAutospacing="1" w:line="240" w:lineRule="auto"/>
        <w:rPr>
          <w:rFonts w:ascii="Arial" w:eastAsia="Times New Roman" w:hAnsi="Arial" w:cs="Arial"/>
          <w:kern w:val="0"/>
          <w:sz w:val="24"/>
          <w:szCs w:val="24"/>
          <w:lang w:eastAsia="en-GB"/>
          <w14:ligatures w14:val="none"/>
        </w:rPr>
      </w:pPr>
      <w:r w:rsidRPr="00F748ED">
        <w:rPr>
          <w:rFonts w:ascii="Arial" w:eastAsia="Times New Roman" w:hAnsi="Arial" w:cs="Arial"/>
          <w:kern w:val="0"/>
          <w:sz w:val="24"/>
          <w:szCs w:val="24"/>
          <w:lang w:eastAsia="en-GB"/>
          <w14:ligatures w14:val="none"/>
        </w:rPr>
        <w:t xml:space="preserve">United Nations (1989) </w:t>
      </w:r>
      <w:r w:rsidRPr="00F748ED">
        <w:rPr>
          <w:rFonts w:ascii="Arial" w:eastAsia="Times New Roman" w:hAnsi="Arial" w:cs="Arial"/>
          <w:i/>
          <w:iCs/>
          <w:kern w:val="0"/>
          <w:sz w:val="24"/>
          <w:szCs w:val="24"/>
          <w:lang w:eastAsia="en-GB"/>
          <w14:ligatures w14:val="none"/>
        </w:rPr>
        <w:t>Convention on the Rights of the Child</w:t>
      </w:r>
      <w:r w:rsidRPr="00F748ED">
        <w:rPr>
          <w:rFonts w:ascii="Arial" w:eastAsia="Times New Roman" w:hAnsi="Arial" w:cs="Arial"/>
          <w:kern w:val="0"/>
          <w:sz w:val="24"/>
          <w:szCs w:val="24"/>
          <w:lang w:eastAsia="en-GB"/>
          <w14:ligatures w14:val="none"/>
        </w:rPr>
        <w:t xml:space="preserve">. New York: United Nations. Available at: </w:t>
      </w:r>
      <w:hyperlink r:id="rId26" w:tgtFrame="_new" w:history="1">
        <w:r w:rsidRPr="00F748ED">
          <w:rPr>
            <w:rFonts w:ascii="Arial" w:eastAsia="Times New Roman" w:hAnsi="Arial" w:cs="Arial"/>
            <w:color w:val="0000FF"/>
            <w:kern w:val="0"/>
            <w:sz w:val="24"/>
            <w:szCs w:val="24"/>
            <w:u w:val="single"/>
            <w:lang w:eastAsia="en-GB"/>
            <w14:ligatures w14:val="none"/>
          </w:rPr>
          <w:t>https://www.ohchr.org/en/instruments-mechanisms/instruments/convention-rights-child</w:t>
        </w:r>
      </w:hyperlink>
      <w:r w:rsidRPr="00F748ED">
        <w:rPr>
          <w:rFonts w:ascii="Arial" w:eastAsia="Times New Roman" w:hAnsi="Arial" w:cs="Arial"/>
          <w:kern w:val="0"/>
          <w:sz w:val="24"/>
          <w:szCs w:val="24"/>
          <w:lang w:eastAsia="en-GB"/>
          <w14:ligatures w14:val="none"/>
        </w:rPr>
        <w:t xml:space="preserve"> (Accessed: 12 February 2026).</w:t>
      </w:r>
    </w:p>
    <w:p w14:paraId="514E7830" w14:textId="3A552582" w:rsidR="008B6235" w:rsidRPr="00F748ED" w:rsidRDefault="008B6235" w:rsidP="00F748ED">
      <w:pPr>
        <w:spacing w:before="100" w:beforeAutospacing="1" w:after="100" w:afterAutospacing="1" w:line="240" w:lineRule="auto"/>
        <w:rPr>
          <w:rFonts w:ascii="Arial" w:eastAsia="Times New Roman" w:hAnsi="Arial" w:cs="Arial"/>
          <w:kern w:val="0"/>
          <w:sz w:val="24"/>
          <w:szCs w:val="24"/>
          <w:lang w:eastAsia="en-GB"/>
          <w14:ligatures w14:val="none"/>
        </w:rPr>
      </w:pPr>
      <w:r w:rsidRPr="00F748ED">
        <w:rPr>
          <w:rFonts w:ascii="Arial" w:eastAsia="Times New Roman" w:hAnsi="Arial" w:cs="Arial"/>
          <w:kern w:val="0"/>
          <w:sz w:val="24"/>
          <w:szCs w:val="24"/>
          <w:lang w:eastAsia="en-GB"/>
          <w14:ligatures w14:val="none"/>
        </w:rPr>
        <w:t xml:space="preserve">United Nations Committee on the Rights of the Child (2016) </w:t>
      </w:r>
      <w:r w:rsidRPr="00F748ED">
        <w:rPr>
          <w:rFonts w:ascii="Arial" w:eastAsia="Times New Roman" w:hAnsi="Arial" w:cs="Arial"/>
          <w:i/>
          <w:iCs/>
          <w:kern w:val="0"/>
          <w:sz w:val="24"/>
          <w:szCs w:val="24"/>
          <w:lang w:eastAsia="en-GB"/>
          <w14:ligatures w14:val="none"/>
        </w:rPr>
        <w:t>General Comment No. 20 (2016) on the implementation of the rights of the child during adolescence</w:t>
      </w:r>
      <w:r w:rsidRPr="00F748ED">
        <w:rPr>
          <w:rFonts w:ascii="Arial" w:eastAsia="Times New Roman" w:hAnsi="Arial" w:cs="Arial"/>
          <w:kern w:val="0"/>
          <w:sz w:val="24"/>
          <w:szCs w:val="24"/>
          <w:lang w:eastAsia="en-GB"/>
          <w14:ligatures w14:val="none"/>
        </w:rPr>
        <w:t xml:space="preserve">. Geneva: United Nations. Available at: </w:t>
      </w:r>
      <w:hyperlink r:id="rId27" w:tgtFrame="_new" w:history="1">
        <w:r w:rsidRPr="00F748ED">
          <w:rPr>
            <w:rFonts w:ascii="Arial" w:eastAsia="Times New Roman" w:hAnsi="Arial" w:cs="Arial"/>
            <w:color w:val="0000FF"/>
            <w:kern w:val="0"/>
            <w:sz w:val="24"/>
            <w:szCs w:val="24"/>
            <w:u w:val="single"/>
            <w:lang w:eastAsia="en-GB"/>
            <w14:ligatures w14:val="none"/>
          </w:rPr>
          <w:t>https://www.ohchr.org/en/crc</w:t>
        </w:r>
      </w:hyperlink>
      <w:r w:rsidRPr="00F748ED">
        <w:rPr>
          <w:rFonts w:ascii="Arial" w:eastAsia="Times New Roman" w:hAnsi="Arial" w:cs="Arial"/>
          <w:kern w:val="0"/>
          <w:sz w:val="24"/>
          <w:szCs w:val="24"/>
          <w:lang w:eastAsia="en-GB"/>
          <w14:ligatures w14:val="none"/>
        </w:rPr>
        <w:t xml:space="preserve"> (Accessed: 10 February 2026).</w:t>
      </w:r>
    </w:p>
    <w:p w14:paraId="4A659ACF" w14:textId="77777777" w:rsidR="008B6235" w:rsidRPr="00F748ED" w:rsidRDefault="008B6235" w:rsidP="00F748ED">
      <w:pPr>
        <w:spacing w:before="100" w:beforeAutospacing="1" w:after="100" w:afterAutospacing="1" w:line="240" w:lineRule="auto"/>
        <w:rPr>
          <w:rFonts w:ascii="Arial" w:eastAsia="Times New Roman" w:hAnsi="Arial" w:cs="Arial"/>
          <w:kern w:val="0"/>
          <w:sz w:val="24"/>
          <w:szCs w:val="24"/>
          <w:lang w:eastAsia="en-GB"/>
          <w14:ligatures w14:val="none"/>
        </w:rPr>
      </w:pPr>
      <w:r w:rsidRPr="00F748ED">
        <w:rPr>
          <w:rFonts w:ascii="Arial" w:eastAsia="Times New Roman" w:hAnsi="Arial" w:cs="Arial"/>
          <w:kern w:val="0"/>
          <w:sz w:val="24"/>
          <w:szCs w:val="24"/>
          <w:lang w:eastAsia="en-GB"/>
          <w14:ligatures w14:val="none"/>
        </w:rPr>
        <w:t>Wainwright v United Kingdom (2006) European Court of Human Rights, Application no. 12350/04.</w:t>
      </w:r>
    </w:p>
    <w:p w14:paraId="36F0DB14" w14:textId="77777777" w:rsidR="008B6235" w:rsidRPr="00F748ED" w:rsidRDefault="008B6235" w:rsidP="00F748ED">
      <w:pPr>
        <w:spacing w:before="100" w:beforeAutospacing="1" w:after="100" w:afterAutospacing="1" w:line="240" w:lineRule="auto"/>
        <w:rPr>
          <w:rFonts w:ascii="Arial" w:eastAsia="Times New Roman" w:hAnsi="Arial" w:cs="Arial"/>
          <w:kern w:val="0"/>
          <w:sz w:val="24"/>
          <w:szCs w:val="24"/>
          <w:lang w:eastAsia="en-GB"/>
          <w14:ligatures w14:val="none"/>
        </w:rPr>
      </w:pPr>
      <w:r w:rsidRPr="00F748ED">
        <w:rPr>
          <w:rFonts w:ascii="Arial" w:eastAsia="Times New Roman" w:hAnsi="Arial" w:cs="Arial"/>
          <w:kern w:val="0"/>
          <w:sz w:val="24"/>
          <w:szCs w:val="24"/>
          <w:lang w:eastAsia="en-GB"/>
          <w14:ligatures w14:val="none"/>
        </w:rPr>
        <w:t xml:space="preserve">Williams, P. and Clarke, B. (2018) </w:t>
      </w:r>
      <w:r w:rsidRPr="00F748ED">
        <w:rPr>
          <w:rFonts w:ascii="Arial" w:eastAsia="Times New Roman" w:hAnsi="Arial" w:cs="Arial"/>
          <w:i/>
          <w:iCs/>
          <w:kern w:val="0"/>
          <w:sz w:val="24"/>
          <w:szCs w:val="24"/>
          <w:lang w:eastAsia="en-GB"/>
          <w14:ligatures w14:val="none"/>
        </w:rPr>
        <w:t>Dangerous Associations: Joint Enterprise, Gangs and Racism</w:t>
      </w:r>
      <w:r w:rsidRPr="00F748ED">
        <w:rPr>
          <w:rFonts w:ascii="Arial" w:eastAsia="Times New Roman" w:hAnsi="Arial" w:cs="Arial"/>
          <w:kern w:val="0"/>
          <w:sz w:val="24"/>
          <w:szCs w:val="24"/>
          <w:lang w:eastAsia="en-GB"/>
          <w14:ligatures w14:val="none"/>
        </w:rPr>
        <w:t>. London: Centre for Crime and Justice Studies.</w:t>
      </w:r>
    </w:p>
    <w:sectPr w:rsidR="008B6235" w:rsidRPr="00F748ED" w:rsidSect="00982612">
      <w:footerReference w:type="default" r:id="rId28"/>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9A8380B" w14:textId="77777777" w:rsidR="00B563BE" w:rsidRDefault="00B563BE" w:rsidP="008B6235">
      <w:pPr>
        <w:spacing w:after="0" w:line="240" w:lineRule="auto"/>
      </w:pPr>
      <w:r>
        <w:separator/>
      </w:r>
    </w:p>
  </w:endnote>
  <w:endnote w:type="continuationSeparator" w:id="0">
    <w:p w14:paraId="76F5E48C" w14:textId="77777777" w:rsidR="00B563BE" w:rsidRDefault="00B563BE" w:rsidP="008B623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Yu Gothic Light">
    <w:altName w:val="游ゴシック Light"/>
    <w:panose1 w:val="020B0300000000000000"/>
    <w:charset w:val="80"/>
    <w:family w:val="swiss"/>
    <w:pitch w:val="variable"/>
    <w:sig w:usb0="E00002FF" w:usb1="2AC7FDFF" w:usb2="00000016" w:usb3="00000000" w:csb0="0002009F" w:csb1="00000000"/>
  </w:font>
  <w:font w:name="Times New Roman">
    <w:panose1 w:val="02020603050405020304"/>
    <w:charset w:val="00"/>
    <w:family w:val="roman"/>
    <w:pitch w:val="variable"/>
    <w:sig w:usb0="E0002EFF" w:usb1="C000785B" w:usb2="00000009" w:usb3="00000000" w:csb0="000001FF" w:csb1="00000000"/>
  </w:font>
  <w:font w:name="Yu Gothic">
    <w:altName w:val="游ゴシック"/>
    <w:panose1 w:val="020B0400000000000000"/>
    <w:charset w:val="80"/>
    <w:family w:val="swiss"/>
    <w:pitch w:val="variable"/>
    <w:sig w:usb0="E00002FF" w:usb1="2AC7FDFF" w:usb2="00000016" w:usb3="00000000" w:csb0="0002009F"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287086708"/>
      <w:docPartObj>
        <w:docPartGallery w:val="Page Numbers (Bottom of Page)"/>
        <w:docPartUnique/>
      </w:docPartObj>
    </w:sdtPr>
    <w:sdtEndPr>
      <w:rPr>
        <w:noProof/>
      </w:rPr>
    </w:sdtEndPr>
    <w:sdtContent>
      <w:p w14:paraId="6572CC6B" w14:textId="5C85800B" w:rsidR="008B6235" w:rsidRDefault="008B6235">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4872D3D2" w14:textId="77777777" w:rsidR="008B6235" w:rsidRDefault="008B6235">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72F8065" w14:textId="77777777" w:rsidR="00B563BE" w:rsidRDefault="00B563BE" w:rsidP="008B6235">
      <w:pPr>
        <w:spacing w:after="0" w:line="240" w:lineRule="auto"/>
      </w:pPr>
      <w:r>
        <w:separator/>
      </w:r>
    </w:p>
  </w:footnote>
  <w:footnote w:type="continuationSeparator" w:id="0">
    <w:p w14:paraId="1242B649" w14:textId="77777777" w:rsidR="00B563BE" w:rsidRDefault="00B563BE" w:rsidP="008B6235">
      <w:pPr>
        <w:spacing w:after="0" w:line="240" w:lineRule="auto"/>
      </w:pPr>
      <w:r>
        <w:continuationSeparator/>
      </w:r>
    </w:p>
  </w:footnote>
</w:footnotes>
</file>

<file path=word/intelligence2.xml><?xml version="1.0" encoding="utf-8"?>
<int2:intelligence xmlns:int2="http://schemas.microsoft.com/office/intelligence/2020/intelligence" xmlns:oel="http://schemas.microsoft.com/office/2019/extlst">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63562124"/>
    <w:multiLevelType w:val="hybridMultilevel"/>
    <w:tmpl w:val="2244F3D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9078039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D52A2"/>
    <w:rsid w:val="00037739"/>
    <w:rsid w:val="0005619D"/>
    <w:rsid w:val="000A1FF4"/>
    <w:rsid w:val="000F592C"/>
    <w:rsid w:val="00111BC1"/>
    <w:rsid w:val="001B1E84"/>
    <w:rsid w:val="00287E12"/>
    <w:rsid w:val="005C62F6"/>
    <w:rsid w:val="006C4F13"/>
    <w:rsid w:val="006F6CA1"/>
    <w:rsid w:val="007D52A2"/>
    <w:rsid w:val="0082013D"/>
    <w:rsid w:val="008754CE"/>
    <w:rsid w:val="008B6235"/>
    <w:rsid w:val="009114B3"/>
    <w:rsid w:val="00982612"/>
    <w:rsid w:val="00A10B12"/>
    <w:rsid w:val="00A4008D"/>
    <w:rsid w:val="00A669C3"/>
    <w:rsid w:val="00AE72AC"/>
    <w:rsid w:val="00B563BE"/>
    <w:rsid w:val="00B90990"/>
    <w:rsid w:val="00BB2BA1"/>
    <w:rsid w:val="00C65661"/>
    <w:rsid w:val="00D243EE"/>
    <w:rsid w:val="00EB2761"/>
    <w:rsid w:val="00F748ED"/>
    <w:rsid w:val="00FD495B"/>
    <w:rsid w:val="00FE05BA"/>
    <w:rsid w:val="0202DA4A"/>
    <w:rsid w:val="0313D0DE"/>
    <w:rsid w:val="0456BF31"/>
    <w:rsid w:val="05EED4CB"/>
    <w:rsid w:val="0655A676"/>
    <w:rsid w:val="06691F23"/>
    <w:rsid w:val="0755F213"/>
    <w:rsid w:val="082AE602"/>
    <w:rsid w:val="0AF3B476"/>
    <w:rsid w:val="0B9EAD94"/>
    <w:rsid w:val="0CFC97B4"/>
    <w:rsid w:val="0E2A45BD"/>
    <w:rsid w:val="0E5CFC6F"/>
    <w:rsid w:val="0EA2D8E1"/>
    <w:rsid w:val="0F221E24"/>
    <w:rsid w:val="0F42779E"/>
    <w:rsid w:val="0F6F4DC6"/>
    <w:rsid w:val="11D2F936"/>
    <w:rsid w:val="13317722"/>
    <w:rsid w:val="13B7668A"/>
    <w:rsid w:val="14B4DCE3"/>
    <w:rsid w:val="15986B74"/>
    <w:rsid w:val="15A7D17A"/>
    <w:rsid w:val="1638760E"/>
    <w:rsid w:val="165DB1BD"/>
    <w:rsid w:val="16C4876C"/>
    <w:rsid w:val="18B26F1C"/>
    <w:rsid w:val="1A0A4AB9"/>
    <w:rsid w:val="1B4F2405"/>
    <w:rsid w:val="1D295699"/>
    <w:rsid w:val="1D31920A"/>
    <w:rsid w:val="2009BAB7"/>
    <w:rsid w:val="21BDCCF8"/>
    <w:rsid w:val="2205A6BA"/>
    <w:rsid w:val="221E7C03"/>
    <w:rsid w:val="23751196"/>
    <w:rsid w:val="25092F0D"/>
    <w:rsid w:val="26398508"/>
    <w:rsid w:val="27934AFA"/>
    <w:rsid w:val="27E85BAB"/>
    <w:rsid w:val="28503663"/>
    <w:rsid w:val="2A51AE1F"/>
    <w:rsid w:val="2B4E5ACC"/>
    <w:rsid w:val="2B9F669A"/>
    <w:rsid w:val="2C05C8C7"/>
    <w:rsid w:val="2C8BC6A5"/>
    <w:rsid w:val="2D6A8D45"/>
    <w:rsid w:val="2D9C62C4"/>
    <w:rsid w:val="2F7E63AA"/>
    <w:rsid w:val="2FC7AA79"/>
    <w:rsid w:val="31D3229E"/>
    <w:rsid w:val="321E1FB1"/>
    <w:rsid w:val="32F16CDF"/>
    <w:rsid w:val="33591A77"/>
    <w:rsid w:val="3384D1FC"/>
    <w:rsid w:val="34D62F1E"/>
    <w:rsid w:val="35728C26"/>
    <w:rsid w:val="360274F7"/>
    <w:rsid w:val="36B0BCD3"/>
    <w:rsid w:val="38B508C8"/>
    <w:rsid w:val="3938BAE6"/>
    <w:rsid w:val="393A9420"/>
    <w:rsid w:val="3A58D97B"/>
    <w:rsid w:val="3AD49A46"/>
    <w:rsid w:val="3C81DD47"/>
    <w:rsid w:val="3D1CA089"/>
    <w:rsid w:val="3E322D1B"/>
    <w:rsid w:val="3EA70361"/>
    <w:rsid w:val="3F9F79F7"/>
    <w:rsid w:val="4002F80A"/>
    <w:rsid w:val="40F3C205"/>
    <w:rsid w:val="46527722"/>
    <w:rsid w:val="47E8712B"/>
    <w:rsid w:val="497A5CCC"/>
    <w:rsid w:val="4B4997B3"/>
    <w:rsid w:val="4F5DC959"/>
    <w:rsid w:val="509E5557"/>
    <w:rsid w:val="5155A581"/>
    <w:rsid w:val="519908DB"/>
    <w:rsid w:val="51D5A417"/>
    <w:rsid w:val="52EF9554"/>
    <w:rsid w:val="53DBB712"/>
    <w:rsid w:val="54AD92EA"/>
    <w:rsid w:val="565B2608"/>
    <w:rsid w:val="569D1923"/>
    <w:rsid w:val="56D60BBC"/>
    <w:rsid w:val="576A9B13"/>
    <w:rsid w:val="5836DEDF"/>
    <w:rsid w:val="59EAB0D6"/>
    <w:rsid w:val="5A025020"/>
    <w:rsid w:val="5B1114FD"/>
    <w:rsid w:val="5D17AB6B"/>
    <w:rsid w:val="601E99DD"/>
    <w:rsid w:val="62B3212A"/>
    <w:rsid w:val="6301EF07"/>
    <w:rsid w:val="6361DBE8"/>
    <w:rsid w:val="6474CFEE"/>
    <w:rsid w:val="65BF130B"/>
    <w:rsid w:val="65D55639"/>
    <w:rsid w:val="65FAB57F"/>
    <w:rsid w:val="6634347E"/>
    <w:rsid w:val="671268CF"/>
    <w:rsid w:val="6749C92A"/>
    <w:rsid w:val="690D4369"/>
    <w:rsid w:val="69B4FC13"/>
    <w:rsid w:val="6DFF4D4A"/>
    <w:rsid w:val="772F21F3"/>
    <w:rsid w:val="78FF98A3"/>
    <w:rsid w:val="7A2BA4C4"/>
    <w:rsid w:val="7B25B1A4"/>
    <w:rsid w:val="7C199100"/>
    <w:rsid w:val="7C21DC48"/>
    <w:rsid w:val="7C5D1123"/>
    <w:rsid w:val="7CCFA2A6"/>
    <w:rsid w:val="7E5B7FA7"/>
    <w:rsid w:val="7F1A457F"/>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6923CE8"/>
  <w15:chartTrackingRefBased/>
  <w15:docId w15:val="{BEFAEEC2-B0A6-4FD6-B389-51234B10FCC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7D52A2"/>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7D52A2"/>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7D52A2"/>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7D52A2"/>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7D52A2"/>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7D52A2"/>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7D52A2"/>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7D52A2"/>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7D52A2"/>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7D52A2"/>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7D52A2"/>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7D52A2"/>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7D52A2"/>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7D52A2"/>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7D52A2"/>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7D52A2"/>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7D52A2"/>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7D52A2"/>
    <w:rPr>
      <w:rFonts w:eastAsiaTheme="majorEastAsia" w:cstheme="majorBidi"/>
      <w:color w:val="272727" w:themeColor="text1" w:themeTint="D8"/>
    </w:rPr>
  </w:style>
  <w:style w:type="paragraph" w:styleId="Title">
    <w:name w:val="Title"/>
    <w:basedOn w:val="Normal"/>
    <w:next w:val="Normal"/>
    <w:link w:val="TitleChar"/>
    <w:uiPriority w:val="10"/>
    <w:qFormat/>
    <w:rsid w:val="007D52A2"/>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7D52A2"/>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7D52A2"/>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7D52A2"/>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7D52A2"/>
    <w:pPr>
      <w:spacing w:before="160"/>
      <w:jc w:val="center"/>
    </w:pPr>
    <w:rPr>
      <w:i/>
      <w:iCs/>
      <w:color w:val="404040" w:themeColor="text1" w:themeTint="BF"/>
    </w:rPr>
  </w:style>
  <w:style w:type="character" w:customStyle="1" w:styleId="QuoteChar">
    <w:name w:val="Quote Char"/>
    <w:basedOn w:val="DefaultParagraphFont"/>
    <w:link w:val="Quote"/>
    <w:uiPriority w:val="29"/>
    <w:rsid w:val="007D52A2"/>
    <w:rPr>
      <w:i/>
      <w:iCs/>
      <w:color w:val="404040" w:themeColor="text1" w:themeTint="BF"/>
    </w:rPr>
  </w:style>
  <w:style w:type="paragraph" w:styleId="ListParagraph">
    <w:name w:val="List Paragraph"/>
    <w:basedOn w:val="Normal"/>
    <w:uiPriority w:val="34"/>
    <w:qFormat/>
    <w:rsid w:val="007D52A2"/>
    <w:pPr>
      <w:ind w:left="720"/>
      <w:contextualSpacing/>
    </w:pPr>
  </w:style>
  <w:style w:type="character" w:styleId="IntenseEmphasis">
    <w:name w:val="Intense Emphasis"/>
    <w:basedOn w:val="DefaultParagraphFont"/>
    <w:uiPriority w:val="21"/>
    <w:qFormat/>
    <w:rsid w:val="007D52A2"/>
    <w:rPr>
      <w:i/>
      <w:iCs/>
      <w:color w:val="0F4761" w:themeColor="accent1" w:themeShade="BF"/>
    </w:rPr>
  </w:style>
  <w:style w:type="paragraph" w:styleId="IntenseQuote">
    <w:name w:val="Intense Quote"/>
    <w:basedOn w:val="Normal"/>
    <w:next w:val="Normal"/>
    <w:link w:val="IntenseQuoteChar"/>
    <w:uiPriority w:val="30"/>
    <w:qFormat/>
    <w:rsid w:val="007D52A2"/>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7D52A2"/>
    <w:rPr>
      <w:i/>
      <w:iCs/>
      <w:color w:val="0F4761" w:themeColor="accent1" w:themeShade="BF"/>
    </w:rPr>
  </w:style>
  <w:style w:type="character" w:styleId="IntenseReference">
    <w:name w:val="Intense Reference"/>
    <w:basedOn w:val="DefaultParagraphFont"/>
    <w:uiPriority w:val="32"/>
    <w:qFormat/>
    <w:rsid w:val="007D52A2"/>
    <w:rPr>
      <w:b/>
      <w:bCs/>
      <w:smallCaps/>
      <w:color w:val="0F4761" w:themeColor="accent1" w:themeShade="BF"/>
      <w:spacing w:val="5"/>
    </w:rPr>
  </w:style>
  <w:style w:type="character" w:styleId="Hyperlink">
    <w:name w:val="Hyperlink"/>
    <w:basedOn w:val="DefaultParagraphFont"/>
    <w:uiPriority w:val="99"/>
    <w:unhideWhenUsed/>
    <w:rsid w:val="53DBB712"/>
    <w:rPr>
      <w:color w:val="467886"/>
      <w:u w:val="single"/>
    </w:rPr>
  </w:style>
  <w:style w:type="paragraph" w:styleId="NoSpacing">
    <w:name w:val="No Spacing"/>
    <w:link w:val="NoSpacingChar"/>
    <w:uiPriority w:val="1"/>
    <w:qFormat/>
    <w:rsid w:val="00982612"/>
    <w:pPr>
      <w:spacing w:after="0" w:line="240" w:lineRule="auto"/>
    </w:pPr>
    <w:rPr>
      <w:rFonts w:eastAsiaTheme="minorEastAsia"/>
      <w:kern w:val="0"/>
      <w:lang w:val="en-US"/>
      <w14:ligatures w14:val="none"/>
    </w:rPr>
  </w:style>
  <w:style w:type="character" w:customStyle="1" w:styleId="NoSpacingChar">
    <w:name w:val="No Spacing Char"/>
    <w:basedOn w:val="DefaultParagraphFont"/>
    <w:link w:val="NoSpacing"/>
    <w:uiPriority w:val="1"/>
    <w:rsid w:val="00982612"/>
    <w:rPr>
      <w:rFonts w:eastAsiaTheme="minorEastAsia"/>
      <w:kern w:val="0"/>
      <w:lang w:val="en-US"/>
      <w14:ligatures w14:val="none"/>
    </w:rPr>
  </w:style>
  <w:style w:type="paragraph" w:styleId="Header">
    <w:name w:val="header"/>
    <w:basedOn w:val="Normal"/>
    <w:link w:val="HeaderChar"/>
    <w:uiPriority w:val="99"/>
    <w:unhideWhenUsed/>
    <w:rsid w:val="008B6235"/>
    <w:pPr>
      <w:tabs>
        <w:tab w:val="center" w:pos="4513"/>
        <w:tab w:val="right" w:pos="9026"/>
      </w:tabs>
      <w:spacing w:after="0" w:line="240" w:lineRule="auto"/>
    </w:pPr>
  </w:style>
  <w:style w:type="character" w:customStyle="1" w:styleId="HeaderChar">
    <w:name w:val="Header Char"/>
    <w:basedOn w:val="DefaultParagraphFont"/>
    <w:link w:val="Header"/>
    <w:uiPriority w:val="99"/>
    <w:rsid w:val="008B6235"/>
  </w:style>
  <w:style w:type="paragraph" w:styleId="Footer">
    <w:name w:val="footer"/>
    <w:basedOn w:val="Normal"/>
    <w:link w:val="FooterChar"/>
    <w:uiPriority w:val="99"/>
    <w:unhideWhenUsed/>
    <w:rsid w:val="008B6235"/>
    <w:pPr>
      <w:tabs>
        <w:tab w:val="center" w:pos="4513"/>
        <w:tab w:val="right" w:pos="9026"/>
      </w:tabs>
      <w:spacing w:after="0" w:line="240" w:lineRule="auto"/>
    </w:pPr>
  </w:style>
  <w:style w:type="character" w:customStyle="1" w:styleId="FooterChar">
    <w:name w:val="Footer Char"/>
    <w:basedOn w:val="DefaultParagraphFont"/>
    <w:link w:val="Footer"/>
    <w:uiPriority w:val="99"/>
    <w:rsid w:val="008B6235"/>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yperlink" Target="https://www.childrenscommissioner.gov.uk/" TargetMode="External"/><Relationship Id="rId18" Type="http://schemas.openxmlformats.org/officeDocument/2006/relationships/hyperlink" Target="https://www.theguardian.com/" TargetMode="External"/><Relationship Id="rId26" Type="http://schemas.openxmlformats.org/officeDocument/2006/relationships/hyperlink" Target="https://www.ohchr.org/en/instruments-mechanisms/instruments/convention-rights-child" TargetMode="External"/><Relationship Id="rId3" Type="http://schemas.openxmlformats.org/officeDocument/2006/relationships/customXml" Target="../customXml/item3.xml"/><Relationship Id="rId21" Type="http://schemas.openxmlformats.org/officeDocument/2006/relationships/hyperlink" Target="https://www.iopc.gov.uk/" TargetMode="External"/><Relationship Id="rId7" Type="http://schemas.openxmlformats.org/officeDocument/2006/relationships/webSettings" Target="webSettings.xml"/><Relationship Id="rId12" Type="http://schemas.openxmlformats.org/officeDocument/2006/relationships/oleObject" Target="file:///C:\Users\Ceri\Downloads\Part%202%20%20-%20Recording%20%20(4).odp" TargetMode="External"/><Relationship Id="rId17" Type="http://schemas.openxmlformats.org/officeDocument/2006/relationships/hyperlink" Target="https://www.theguardian.com/" TargetMode="External"/><Relationship Id="rId25" Type="http://schemas.openxmlformats.org/officeDocument/2006/relationships/hyperlink" Target="https://www.independent.co.uk/" TargetMode="External"/><Relationship Id="rId2" Type="http://schemas.openxmlformats.org/officeDocument/2006/relationships/customXml" Target="../customXml/item2.xml"/><Relationship Id="rId16" Type="http://schemas.openxmlformats.org/officeDocument/2006/relationships/hyperlink" Target="https://www.echr.coe.int/" TargetMode="External"/><Relationship Id="rId20" Type="http://schemas.openxmlformats.org/officeDocument/2006/relationships/hyperlink" Target="https://www.gov.uk/government/publications/pace-code-c" TargetMode="External"/><Relationship Id="rId29"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media/image2.emf"/><Relationship Id="rId24" Type="http://schemas.openxmlformats.org/officeDocument/2006/relationships/hyperlink" Target="https://news.sky.com/" TargetMode="External"/><Relationship Id="rId5" Type="http://schemas.openxmlformats.org/officeDocument/2006/relationships/styles" Target="styles.xml"/><Relationship Id="rId15" Type="http://schemas.openxmlformats.org/officeDocument/2006/relationships/hyperlink" Target="https://www.legislation.gov.uk/ukpga/2010/15" TargetMode="External"/><Relationship Id="rId23" Type="http://schemas.openxmlformats.org/officeDocument/2006/relationships/hyperlink" Target="https://www.legislation.gov.uk/ukpga/1984/60" TargetMode="External"/><Relationship Id="rId28" Type="http://schemas.openxmlformats.org/officeDocument/2006/relationships/footer" Target="footer1.xml"/><Relationship Id="rId10" Type="http://schemas.openxmlformats.org/officeDocument/2006/relationships/image" Target="media/image1.png"/><Relationship Id="rId19" Type="http://schemas.openxmlformats.org/officeDocument/2006/relationships/hyperlink" Target="https://www.justiceinspectorates.gov.uk/hmicfrs/" TargetMode="External"/><Relationship Id="rId31" Type="http://schemas.microsoft.com/office/2020/10/relationships/intelligence" Target="intelligence2.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yperlink" Target="https://www.college.police.uk/app" TargetMode="External"/><Relationship Id="rId22" Type="http://schemas.openxmlformats.org/officeDocument/2006/relationships/hyperlink" Target="https://www.gov.uk/government/publications/lammy-review-final-report" TargetMode="External"/><Relationship Id="rId27" Type="http://schemas.openxmlformats.org/officeDocument/2006/relationships/hyperlink" Target="https://www.ohchr.org/en/crc" TargetMode="External"/><Relationship Id="rId30"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8C692D30F6D5C64CABDFF0BDF08A3501" ma:contentTypeVersion="6" ma:contentTypeDescription="Create a new document." ma:contentTypeScope="" ma:versionID="63c4ed9d1c96b4547591d2a99834e5a1">
  <xsd:schema xmlns:xsd="http://www.w3.org/2001/XMLSchema" xmlns:xs="http://www.w3.org/2001/XMLSchema" xmlns:p="http://schemas.microsoft.com/office/2006/metadata/properties" xmlns:ns2="f4770729-68ee-4e1e-a757-d7b8c23c3985" xmlns:ns3="c9669272-fe8d-41e9-a030-a18459a136e8" targetNamespace="http://schemas.microsoft.com/office/2006/metadata/properties" ma:root="true" ma:fieldsID="ec9d2419d8112ea65b4d72f9d1bf8adf" ns2:_="" ns3:_="">
    <xsd:import namespace="f4770729-68ee-4e1e-a757-d7b8c23c3985"/>
    <xsd:import namespace="c9669272-fe8d-41e9-a030-a18459a136e8"/>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element ref="ns3:SharedWithUsers" minOccurs="0"/>
                <xsd:element ref="ns3: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f4770729-68ee-4e1e-a757-d7b8c23c3985"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c9669272-fe8d-41e9-a030-a18459a136e8"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515C62D2-E3DB-44EF-A8F5-18038E87BF10}">
  <ds:schemaRefs>
    <ds:schemaRef ds:uri="http://schemas.microsoft.com/sharepoint/v3/contenttype/forms"/>
  </ds:schemaRefs>
</ds:datastoreItem>
</file>

<file path=customXml/itemProps2.xml><?xml version="1.0" encoding="utf-8"?>
<ds:datastoreItem xmlns:ds="http://schemas.openxmlformats.org/officeDocument/2006/customXml" ds:itemID="{8B9DED2A-DC11-435C-8270-D21AD10DD413}">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E0AFD370-647D-42E3-A5BF-90582CD1F58E}">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f4770729-68ee-4e1e-a757-d7b8c23c3985"/>
    <ds:schemaRef ds:uri="c9669272-fe8d-41e9-a030-a18459a136e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10</Pages>
  <Words>2922</Words>
  <Characters>16660</Characters>
  <Application>Microsoft Office Word</Application>
  <DocSecurity>0</DocSecurity>
  <Lines>138</Lines>
  <Paragraphs>39</Paragraphs>
  <ScaleCrop>false</ScaleCrop>
  <Company/>
  <LinksUpToDate>false</LinksUpToDate>
  <CharactersWithSpaces>19543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Contemporary Issues in Criminal Justice  </dc:title>
  <dc:subject/>
  <dc:creator>Ceri Marie Jones (1806930)</dc:creator>
  <cp:keywords/>
  <dc:description/>
  <cp:lastModifiedBy>Ceri Marie Jones (1806930)</cp:lastModifiedBy>
  <cp:revision>2</cp:revision>
  <dcterms:created xsi:type="dcterms:W3CDTF">2026-03-05T18:19:00Z</dcterms:created>
  <dcterms:modified xsi:type="dcterms:W3CDTF">2026-03-05T18:19:00Z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4e57f4cc-a2eb-405b-93d3-9b1afbab8db9</vt:lpwstr>
  </property>
  <property fmtid="{D5CDD505-2E9C-101B-9397-08002B2CF9AE}" pid="3" name="ContentTypeId">
    <vt:lpwstr>0x0101008C692D30F6D5C64CABDFF0BDF08A3501</vt:lpwstr>
  </property>
</Properties>
</file>