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41CB98" w14:textId="78634C90" w:rsidR="008B5EA7" w:rsidRPr="008D4EDD" w:rsidRDefault="006F6771">
      <w:r w:rsidRPr="008D4EDD">
        <w:t xml:space="preserve">Q1. (AC1.1) </w:t>
      </w:r>
    </w:p>
    <w:p w14:paraId="557FCA48" w14:textId="795B4296" w:rsidR="00957977" w:rsidRPr="008D4EDD" w:rsidRDefault="00957977" w:rsidP="005B14A7">
      <w:pPr>
        <w:spacing w:before="120" w:after="120"/>
        <w:jc w:val="both"/>
      </w:pPr>
      <w:r w:rsidRPr="008D4EDD">
        <w:t>Evidence</w:t>
      </w:r>
      <w:r w:rsidRPr="008D4EDD">
        <w:noBreakHyphen/>
        <w:t>based practice (EBP), is a controlled decision</w:t>
      </w:r>
      <w:r w:rsidRPr="008D4EDD">
        <w:noBreakHyphen/>
        <w:t xml:space="preserve">making method that requires HR specialists to use the best </w:t>
      </w:r>
      <w:r w:rsidR="00676E30" w:rsidRPr="008D4EDD">
        <w:t>accessible</w:t>
      </w:r>
      <w:r w:rsidRPr="008D4EDD">
        <w:t xml:space="preserve"> evidence from several sources</w:t>
      </w:r>
      <w:r w:rsidR="00002DB0">
        <w:t xml:space="preserve">, </w:t>
      </w:r>
      <w:r w:rsidRPr="008D4EDD">
        <w:t>including scientific research, professional expertise</w:t>
      </w:r>
      <w:r w:rsidR="00C55C32">
        <w:t>,</w:t>
      </w:r>
      <w:r w:rsidRPr="008D4EDD">
        <w:t xml:space="preserve"> </w:t>
      </w:r>
      <w:r w:rsidR="00C55C32" w:rsidRPr="008D4EDD">
        <w:t xml:space="preserve">organisational data </w:t>
      </w:r>
      <w:r w:rsidRPr="008D4EDD">
        <w:t xml:space="preserve">and stakeholder views to make more reliable, transparent and effective decisions. </w:t>
      </w:r>
    </w:p>
    <w:p w14:paraId="22800759" w14:textId="6DF387DC" w:rsidR="00957977" w:rsidRPr="008D4EDD" w:rsidRDefault="00957977" w:rsidP="005B14A7">
      <w:pPr>
        <w:spacing w:before="120" w:after="120"/>
        <w:jc w:val="both"/>
      </w:pPr>
      <w:r w:rsidRPr="008D4EDD">
        <w:t>By combining HR data analytics with evidence</w:t>
      </w:r>
      <w:r w:rsidRPr="008D4EDD">
        <w:noBreakHyphen/>
        <w:t xml:space="preserve">based practice, HR professionals can strengthen their position as strategic partners within the organisation. Using data and proven evidence to guide decisions enables HR to clearly demonstrate its impact and support the organisation’s overall performance and success. </w:t>
      </w:r>
      <w:r w:rsidR="000413BB">
        <w:t>(</w:t>
      </w:r>
      <w:r w:rsidRPr="008D4EDD">
        <w:rPr>
          <w:color w:val="A91E1E"/>
        </w:rPr>
        <w:t>Patil and Priya</w:t>
      </w:r>
      <w:r w:rsidR="0023711A">
        <w:rPr>
          <w:color w:val="A91E1E"/>
        </w:rPr>
        <w:t xml:space="preserve">, </w:t>
      </w:r>
      <w:r w:rsidRPr="008D4EDD">
        <w:rPr>
          <w:color w:val="A91E1E"/>
        </w:rPr>
        <w:t>2024)</w:t>
      </w:r>
    </w:p>
    <w:p w14:paraId="24A696FC" w14:textId="6744F738" w:rsidR="00957977" w:rsidRPr="008D4EDD" w:rsidRDefault="00957977" w:rsidP="005B14A7">
      <w:pPr>
        <w:spacing w:before="120" w:after="120"/>
        <w:jc w:val="both"/>
      </w:pPr>
      <w:r w:rsidRPr="008D4EDD">
        <w:t>Even when using research, our own biases could lead us to favour studies that support our views while ignoring stronger, conflicting evidence. This tendency is common</w:t>
      </w:r>
      <w:r w:rsidR="00002DB0">
        <w:t xml:space="preserve"> </w:t>
      </w:r>
      <w:r w:rsidRPr="008D4EDD">
        <w:t>even among researchers</w:t>
      </w:r>
      <w:r w:rsidR="00002DB0">
        <w:t xml:space="preserve">, </w:t>
      </w:r>
      <w:r w:rsidRPr="008D4EDD">
        <w:t xml:space="preserve">which is why structured methods are needed to help us judge which evidence is most trustworthy. </w:t>
      </w:r>
      <w:r w:rsidRPr="008D4EDD">
        <w:rPr>
          <w:color w:val="A91E1E"/>
        </w:rPr>
        <w:t xml:space="preserve">(CIPD, 2025) </w:t>
      </w:r>
    </w:p>
    <w:p w14:paraId="25FAF71F" w14:textId="2BEA486A" w:rsidR="00957977" w:rsidRPr="008D4EDD" w:rsidRDefault="00957977" w:rsidP="005B14A7">
      <w:pPr>
        <w:spacing w:before="120" w:after="120"/>
        <w:jc w:val="both"/>
      </w:pPr>
      <w:r w:rsidRPr="008D4EDD">
        <w:t>In conclusion</w:t>
      </w:r>
      <w:r w:rsidR="002C4EFB">
        <w:t>,</w:t>
      </w:r>
      <w:r w:rsidRPr="008D4EDD">
        <w:t xml:space="preserve"> by using critical thinking, reducing bias and improving decision quality, </w:t>
      </w:r>
      <w:r w:rsidR="00A55630" w:rsidRPr="008D4EDD">
        <w:t>evidence</w:t>
      </w:r>
      <w:r w:rsidR="00A55630" w:rsidRPr="008D4EDD">
        <w:noBreakHyphen/>
        <w:t>based practice</w:t>
      </w:r>
      <w:r w:rsidRPr="008D4EDD">
        <w:t xml:space="preserve"> supports HR in becoming a more strategic, reliable and ethical business partner. To ensure it is effective though, there are difficulties to overcome, for example limited skills, lack of access to high</w:t>
      </w:r>
      <w:r w:rsidRPr="008D4EDD">
        <w:noBreakHyphen/>
        <w:t xml:space="preserve">quality evidence and misconceptions about the nature of </w:t>
      </w:r>
      <w:r w:rsidR="00A55630" w:rsidRPr="008D4EDD">
        <w:t>evidence</w:t>
      </w:r>
      <w:r w:rsidR="00A55630" w:rsidRPr="008D4EDD">
        <w:noBreakHyphen/>
        <w:t>based practice</w:t>
      </w:r>
      <w:r w:rsidRPr="008D4EDD">
        <w:t xml:space="preserve">. </w:t>
      </w:r>
      <w:r w:rsidRPr="008D4EDD">
        <w:rPr>
          <w:color w:val="A91E1E"/>
        </w:rPr>
        <w:t>(Barends, Rousseau, Briner, 2014</w:t>
      </w:r>
      <w:r w:rsidRPr="008D4EDD">
        <w:t>).</w:t>
      </w:r>
    </w:p>
    <w:p w14:paraId="27E7353B" w14:textId="74FBA559" w:rsidR="00957977" w:rsidRPr="008D4EDD" w:rsidRDefault="00957977" w:rsidP="005B14A7">
      <w:pPr>
        <w:spacing w:before="120" w:after="120"/>
        <w:jc w:val="both"/>
      </w:pPr>
      <w:r w:rsidRPr="008D4EDD">
        <w:t>Two examples of where Technivara could use</w:t>
      </w:r>
      <w:r w:rsidR="00716937">
        <w:t xml:space="preserve"> </w:t>
      </w:r>
      <w:r w:rsidR="00A55630" w:rsidRPr="008D4EDD">
        <w:t>evidence</w:t>
      </w:r>
      <w:r w:rsidR="00A55630" w:rsidRPr="008D4EDD">
        <w:noBreakHyphen/>
        <w:t xml:space="preserve">based practice </w:t>
      </w:r>
      <w:r w:rsidRPr="008D4EDD">
        <w:t xml:space="preserve">to ensure </w:t>
      </w:r>
      <w:r w:rsidR="0023117D" w:rsidRPr="008D4EDD">
        <w:t>reliable</w:t>
      </w:r>
      <w:r w:rsidRPr="008D4EDD">
        <w:t xml:space="preserve"> decision-making in people practice are: - </w:t>
      </w:r>
    </w:p>
    <w:p w14:paraId="6BF1F185" w14:textId="08B62882" w:rsidR="00957977" w:rsidRPr="008D4EDD" w:rsidRDefault="00957977" w:rsidP="005B14A7">
      <w:pPr>
        <w:spacing w:before="120" w:after="120"/>
        <w:jc w:val="both"/>
      </w:pPr>
      <w:r w:rsidRPr="008D4EDD">
        <w:t xml:space="preserve">The Board have indicated they wish to expand the business after sixteen consecutive years of growth. Technivara could use the CIPD’s Six Step Approach for workforce planning to support business expansion. By asking key questions, the Team could identify the challenges that growth may create. They should then acquire relevant evidence. This evidence must then be critically appraised, ensuring </w:t>
      </w:r>
      <w:r w:rsidR="006F48E7">
        <w:t xml:space="preserve">results </w:t>
      </w:r>
      <w:r w:rsidRPr="008D4EDD">
        <w:t xml:space="preserve">are </w:t>
      </w:r>
      <w:r w:rsidR="002C4EFB">
        <w:t>based</w:t>
      </w:r>
      <w:r w:rsidRPr="008D4EDD">
        <w:t xml:space="preserve"> on accurate and unbiased data. They must then aggregate the evidence by undertaking workshops with managers and stakeholders to assess any problems and agree </w:t>
      </w:r>
      <w:r w:rsidR="002C4EFB">
        <w:t xml:space="preserve">on </w:t>
      </w:r>
      <w:r w:rsidRPr="008D4EDD">
        <w:t xml:space="preserve">important issues. Technivara could then start to apply the evidence by constructing strategies that link to expansion targets. Technivara must then assess the outcomes to observe if they have been </w:t>
      </w:r>
      <w:r w:rsidR="00002DB0" w:rsidRPr="008D4EDD">
        <w:t>effective.</w:t>
      </w:r>
      <w:r w:rsidR="00002DB0" w:rsidRPr="008D4EDD">
        <w:rPr>
          <w:color w:val="A91E1E"/>
        </w:rPr>
        <w:t xml:space="preserve"> (</w:t>
      </w:r>
      <w:r w:rsidRPr="008D4EDD">
        <w:rPr>
          <w:color w:val="A91E1E"/>
        </w:rPr>
        <w:t>CIPD, 2025)</w:t>
      </w:r>
    </w:p>
    <w:p w14:paraId="54CF8877" w14:textId="2A981F4E" w:rsidR="008E442F" w:rsidRPr="008D4EDD" w:rsidRDefault="00551394" w:rsidP="00370551">
      <w:pPr>
        <w:jc w:val="center"/>
      </w:pPr>
      <w:r w:rsidRPr="008D4EDD">
        <w:rPr>
          <w:noProof/>
        </w:rPr>
        <w:lastRenderedPageBreak/>
        <w:drawing>
          <wp:inline distT="0" distB="0" distL="0" distR="0" wp14:anchorId="7E729D5F" wp14:editId="570EACA9">
            <wp:extent cx="4011860" cy="3879850"/>
            <wp:effectExtent l="0" t="0" r="8255" b="6350"/>
            <wp:docPr id="766596258" name="Picture 1" descr="A diagram of steps to a probl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596258" name="Picture 1" descr="A diagram of steps to a problem&#10;&#10;AI-generated content may be incorrect."/>
                    <pic:cNvPicPr/>
                  </pic:nvPicPr>
                  <pic:blipFill>
                    <a:blip r:embed="rId6"/>
                    <a:stretch>
                      <a:fillRect/>
                    </a:stretch>
                  </pic:blipFill>
                  <pic:spPr>
                    <a:xfrm>
                      <a:off x="0" y="0"/>
                      <a:ext cx="4016233" cy="3884079"/>
                    </a:xfrm>
                    <a:prstGeom prst="rect">
                      <a:avLst/>
                    </a:prstGeom>
                  </pic:spPr>
                </pic:pic>
              </a:graphicData>
            </a:graphic>
          </wp:inline>
        </w:drawing>
      </w:r>
    </w:p>
    <w:p w14:paraId="1B2394D6" w14:textId="77777777" w:rsidR="00E31928" w:rsidRPr="008D4EDD" w:rsidRDefault="00E31928" w:rsidP="00E31928">
      <w:pPr>
        <w:rPr>
          <w:color w:val="FF0000"/>
        </w:rPr>
      </w:pPr>
      <w:r w:rsidRPr="008D4EDD">
        <w:rPr>
          <w:color w:val="FF0000"/>
        </w:rPr>
        <w:t>(CIPD, 2025)</w:t>
      </w:r>
    </w:p>
    <w:p w14:paraId="77B90D56" w14:textId="77777777" w:rsidR="005F5025" w:rsidRPr="008D4EDD" w:rsidRDefault="005F5025" w:rsidP="005F5025">
      <w:pPr>
        <w:jc w:val="both"/>
      </w:pPr>
    </w:p>
    <w:p w14:paraId="7049116D" w14:textId="3093CC1A" w:rsidR="00501AC0" w:rsidRPr="008D4EDD" w:rsidRDefault="00925CB5" w:rsidP="00925CB5">
      <w:pPr>
        <w:jc w:val="both"/>
      </w:pPr>
      <w:r w:rsidRPr="008D4EDD">
        <w:t>Technivara could improve its approach to managing absence and employee wellbeing, by applying the theory of four sources of evidence</w:t>
      </w:r>
      <w:r w:rsidR="009E4604">
        <w:t xml:space="preserve">, </w:t>
      </w:r>
      <w:r w:rsidRPr="008D4EDD">
        <w:t>professional expertise, scientific research, organisational data and stakeholder views</w:t>
      </w:r>
      <w:r w:rsidR="009E4604">
        <w:t xml:space="preserve">, </w:t>
      </w:r>
      <w:r w:rsidRPr="008D4EDD">
        <w:t xml:space="preserve">rather than </w:t>
      </w:r>
      <w:r w:rsidR="006B0242" w:rsidRPr="008D4EDD">
        <w:t>relying on</w:t>
      </w:r>
      <w:r w:rsidRPr="008D4EDD">
        <w:t xml:space="preserve"> personal knowledge or established practices. Technivara currently rely on </w:t>
      </w:r>
      <w:proofErr w:type="gramStart"/>
      <w:r w:rsidRPr="008D4EDD">
        <w:t>paper based</w:t>
      </w:r>
      <w:proofErr w:type="gramEnd"/>
      <w:r w:rsidRPr="008D4EDD">
        <w:t xml:space="preserve"> information which may not be </w:t>
      </w:r>
      <w:r w:rsidR="006B0242" w:rsidRPr="008D4EDD">
        <w:t>accurate,</w:t>
      </w:r>
      <w:r w:rsidRPr="008D4EDD">
        <w:t xml:space="preserve"> and this increases the risk of biased and inconsistent decisions. Moving forward Technivara</w:t>
      </w:r>
      <w:r w:rsidR="00C329F7" w:rsidRPr="008D4EDD">
        <w:t xml:space="preserve"> </w:t>
      </w:r>
      <w:r w:rsidRPr="008D4EDD">
        <w:t xml:space="preserve">should </w:t>
      </w:r>
      <w:r w:rsidR="00D875FF" w:rsidRPr="008D4EDD">
        <w:t>s</w:t>
      </w:r>
      <w:r w:rsidRPr="008D4EDD">
        <w:t xml:space="preserve">tart keeping reliable absence data which will allow them to analyse and target the root causes of </w:t>
      </w:r>
      <w:r w:rsidR="006B0242" w:rsidRPr="008D4EDD">
        <w:t>absence and</w:t>
      </w:r>
      <w:r w:rsidRPr="008D4EDD">
        <w:t xml:space="preserve"> apply wellbeing initiatives. Using all four evidence sources would ensure more consistent, fair and effective decision making, helping Technivara build stronger work procedures for their modern, expanding organisation.</w:t>
      </w:r>
    </w:p>
    <w:p w14:paraId="1CBCB000" w14:textId="2F7DA114" w:rsidR="00DA43FE" w:rsidRPr="008D4EDD" w:rsidRDefault="005556F2" w:rsidP="00370551">
      <w:pPr>
        <w:jc w:val="center"/>
      </w:pPr>
      <w:r w:rsidRPr="008D4EDD">
        <w:rPr>
          <w:noProof/>
        </w:rPr>
        <w:drawing>
          <wp:inline distT="0" distB="0" distL="0" distR="0" wp14:anchorId="01994D1E" wp14:editId="3349AD75">
            <wp:extent cx="4450488" cy="2203450"/>
            <wp:effectExtent l="0" t="0" r="7620" b="6350"/>
            <wp:docPr id="227081736" name="Picture 1" descr="A diagram of a busin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081736" name="Picture 1" descr="A diagram of a business&#10;&#10;AI-generated content may be incorrect."/>
                    <pic:cNvPicPr/>
                  </pic:nvPicPr>
                  <pic:blipFill>
                    <a:blip r:embed="rId7"/>
                    <a:stretch>
                      <a:fillRect/>
                    </a:stretch>
                  </pic:blipFill>
                  <pic:spPr>
                    <a:xfrm>
                      <a:off x="0" y="0"/>
                      <a:ext cx="4461029" cy="2208669"/>
                    </a:xfrm>
                    <a:prstGeom prst="rect">
                      <a:avLst/>
                    </a:prstGeom>
                  </pic:spPr>
                </pic:pic>
              </a:graphicData>
            </a:graphic>
          </wp:inline>
        </w:drawing>
      </w:r>
    </w:p>
    <w:p w14:paraId="7F1C7439" w14:textId="0DCEAB96" w:rsidR="00DA43FE" w:rsidRPr="008D4EDD" w:rsidRDefault="005556F2" w:rsidP="00E15991">
      <w:pPr>
        <w:rPr>
          <w:color w:val="FF0000"/>
        </w:rPr>
      </w:pPr>
      <w:r w:rsidRPr="008D4EDD">
        <w:rPr>
          <w:color w:val="FF0000"/>
        </w:rPr>
        <w:t>(CIPD</w:t>
      </w:r>
      <w:r w:rsidR="008E442F" w:rsidRPr="008D4EDD">
        <w:rPr>
          <w:color w:val="FF0000"/>
        </w:rPr>
        <w:t>, 2025)</w:t>
      </w:r>
    </w:p>
    <w:p w14:paraId="0EFA68C1" w14:textId="77777777" w:rsidR="00D875FF" w:rsidRPr="008D4EDD" w:rsidRDefault="00D875FF">
      <w:pPr>
        <w:rPr>
          <w:b/>
          <w:bCs/>
        </w:rPr>
      </w:pPr>
    </w:p>
    <w:p w14:paraId="5E881150" w14:textId="77777777" w:rsidR="00D875FF" w:rsidRPr="008D4EDD" w:rsidRDefault="00D875FF">
      <w:pPr>
        <w:rPr>
          <w:b/>
          <w:bCs/>
        </w:rPr>
      </w:pPr>
    </w:p>
    <w:p w14:paraId="752EEE5C" w14:textId="37915C20" w:rsidR="006F6771" w:rsidRPr="008D4EDD" w:rsidRDefault="00595A30">
      <w:pPr>
        <w:rPr>
          <w:b/>
          <w:bCs/>
        </w:rPr>
      </w:pPr>
      <w:r w:rsidRPr="008D4EDD">
        <w:rPr>
          <w:b/>
          <w:bCs/>
        </w:rPr>
        <w:lastRenderedPageBreak/>
        <w:t>Q2. (AC 1.2)</w:t>
      </w:r>
    </w:p>
    <w:p w14:paraId="5AC343AC" w14:textId="3620073B" w:rsidR="00595A30" w:rsidRPr="008D4EDD" w:rsidRDefault="00621D93">
      <w:r w:rsidRPr="008D4EDD">
        <w:t xml:space="preserve">PESTLE is </w:t>
      </w:r>
      <w:r w:rsidR="004214C3" w:rsidRPr="008D4EDD">
        <w:t>an</w:t>
      </w:r>
      <w:r w:rsidRPr="008D4EDD">
        <w:t xml:space="preserve"> appropriate </w:t>
      </w:r>
      <w:r w:rsidR="004214C3" w:rsidRPr="008D4EDD">
        <w:t>analysis</w:t>
      </w:r>
      <w:r w:rsidRPr="008D4EDD">
        <w:t xml:space="preserve"> tool</w:t>
      </w:r>
      <w:r w:rsidR="004214C3" w:rsidRPr="008D4EDD">
        <w:t xml:space="preserve"> that Technivara</w:t>
      </w:r>
      <w:r w:rsidR="004F451A" w:rsidRPr="008D4EDD">
        <w:t xml:space="preserve"> could </w:t>
      </w:r>
      <w:r w:rsidR="000544ED" w:rsidRPr="008D4EDD">
        <w:t>use</w:t>
      </w:r>
      <w:r w:rsidR="004F451A" w:rsidRPr="008D4EDD">
        <w:t xml:space="preserve"> to </w:t>
      </w:r>
      <w:r w:rsidR="000544ED" w:rsidRPr="008D4EDD">
        <w:t>identify</w:t>
      </w:r>
      <w:r w:rsidR="004F451A" w:rsidRPr="008D4EDD">
        <w:t xml:space="preserve"> and diagnose issues</w:t>
      </w:r>
      <w:r w:rsidR="004E40A8" w:rsidRPr="008D4EDD">
        <w:t xml:space="preserve">, challenges, and opportunities. </w:t>
      </w:r>
    </w:p>
    <w:p w14:paraId="22A2EC7E" w14:textId="0D950F3E" w:rsidR="004E40A8" w:rsidRPr="008D4EDD" w:rsidRDefault="00F213AE">
      <w:r w:rsidRPr="008D4EDD">
        <w:rPr>
          <w:noProof/>
        </w:rPr>
        <w:drawing>
          <wp:inline distT="0" distB="0" distL="0" distR="0" wp14:anchorId="2A766FCD" wp14:editId="4B835680">
            <wp:extent cx="3543795" cy="2105319"/>
            <wp:effectExtent l="19050" t="19050" r="19050" b="28575"/>
            <wp:docPr id="2047753792"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753792" name="Picture 1" descr="A white background with black text&#10;&#10;AI-generated content may be incorrect."/>
                    <pic:cNvPicPr/>
                  </pic:nvPicPr>
                  <pic:blipFill>
                    <a:blip r:embed="rId8"/>
                    <a:stretch>
                      <a:fillRect/>
                    </a:stretch>
                  </pic:blipFill>
                  <pic:spPr>
                    <a:xfrm>
                      <a:off x="0" y="0"/>
                      <a:ext cx="3543795" cy="2105319"/>
                    </a:xfrm>
                    <a:prstGeom prst="rect">
                      <a:avLst/>
                    </a:prstGeom>
                    <a:ln>
                      <a:solidFill>
                        <a:schemeClr val="accent1"/>
                      </a:solidFill>
                    </a:ln>
                  </pic:spPr>
                </pic:pic>
              </a:graphicData>
            </a:graphic>
          </wp:inline>
        </w:drawing>
      </w:r>
    </w:p>
    <w:p w14:paraId="34A98C5A" w14:textId="3EFD084A" w:rsidR="004E40A8" w:rsidRPr="008D4EDD" w:rsidRDefault="00F213AE">
      <w:pPr>
        <w:rPr>
          <w:color w:val="FF0000"/>
        </w:rPr>
      </w:pPr>
      <w:r w:rsidRPr="008D4EDD">
        <w:rPr>
          <w:color w:val="FF0000"/>
        </w:rPr>
        <w:t xml:space="preserve">(CIPD, 2025) </w:t>
      </w:r>
    </w:p>
    <w:p w14:paraId="4672FE71" w14:textId="7070345E" w:rsidR="00812C81" w:rsidRPr="008D4EDD" w:rsidRDefault="00812C81" w:rsidP="00812C81">
      <w:pPr>
        <w:spacing w:before="120" w:after="120"/>
        <w:jc w:val="both"/>
      </w:pPr>
      <w:r w:rsidRPr="008D4EDD">
        <w:t xml:space="preserve">Politically Technivara works in sectors such as electronics, medical and automotive so it </w:t>
      </w:r>
      <w:proofErr w:type="gramStart"/>
      <w:r w:rsidRPr="008D4EDD">
        <w:t>has to</w:t>
      </w:r>
      <w:proofErr w:type="gramEnd"/>
      <w:r w:rsidRPr="008D4EDD">
        <w:t xml:space="preserve"> keep up to date with regulations on product safety, quality standards and health &amp; safety. Economically, rising production costs could impact their growth. Social aspects may also start to impact Technivara and its workers such as flexible working and wellbeing support. Technologically, Technivara will need to remain competitive by investing in new equipment and skills. Environmental factors may also </w:t>
      </w:r>
      <w:r w:rsidR="00C051EF">
        <w:t>affect</w:t>
      </w:r>
      <w:r w:rsidRPr="008D4EDD">
        <w:t xml:space="preserve"> Technivara as customers expect sustainable manufacturing processes. </w:t>
      </w:r>
    </w:p>
    <w:p w14:paraId="449806CC" w14:textId="5C7BDDF8" w:rsidR="00812C81" w:rsidRPr="008D4EDD" w:rsidRDefault="00812C81" w:rsidP="00812C81">
      <w:pPr>
        <w:spacing w:before="120" w:after="120"/>
        <w:jc w:val="both"/>
      </w:pPr>
      <w:r w:rsidRPr="008D4EDD">
        <w:t>The disadvantages of PESTLE are if you use too little information, it can mean your conclusion is weak and inaccurate. You can also capture too much information</w:t>
      </w:r>
      <w:r w:rsidR="00C051EF">
        <w:t>,</w:t>
      </w:r>
      <w:r w:rsidRPr="008D4EDD">
        <w:t xml:space="preserve"> which could lead to ‘analysis paralysis’. Some information could also be based upon assumptions which could be wrong. External environments change fast</w:t>
      </w:r>
      <w:r w:rsidR="00C051EF">
        <w:t>,</w:t>
      </w:r>
      <w:r w:rsidRPr="008D4EDD">
        <w:t xml:space="preserve"> which makes it hard to predict future trends. PESTLE will need to be updated regularly to remain </w:t>
      </w:r>
      <w:r w:rsidR="006B0242" w:rsidRPr="008D4EDD">
        <w:t>efficient.</w:t>
      </w:r>
      <w:r w:rsidR="006B0242" w:rsidRPr="008D4EDD">
        <w:rPr>
          <w:color w:val="A91E1E"/>
        </w:rPr>
        <w:t xml:space="preserve"> (</w:t>
      </w:r>
      <w:r w:rsidRPr="008D4EDD">
        <w:rPr>
          <w:color w:val="A91E1E"/>
        </w:rPr>
        <w:t xml:space="preserve">CIPD 2025) </w:t>
      </w:r>
    </w:p>
    <w:p w14:paraId="1749A078" w14:textId="77777777" w:rsidR="00812C81" w:rsidRPr="008D4EDD" w:rsidRDefault="00812C81" w:rsidP="00812C81">
      <w:pPr>
        <w:spacing w:before="120" w:after="120"/>
        <w:jc w:val="both"/>
      </w:pPr>
      <w:r w:rsidRPr="008D4EDD">
        <w:t>By undertaking employee engagement surveys, Technivara could analyse issues, issues and opportunities. Employee feedback is important for an expanding company because it gives a factual understanding of what is working well inside the business and what might delay growth.</w:t>
      </w:r>
    </w:p>
    <w:p w14:paraId="7E9DE5B2" w14:textId="24119970" w:rsidR="00812C81" w:rsidRPr="008D4EDD" w:rsidRDefault="00812C81" w:rsidP="00812C81">
      <w:pPr>
        <w:spacing w:before="120" w:after="120"/>
        <w:jc w:val="both"/>
      </w:pPr>
      <w:r w:rsidRPr="008D4EDD">
        <w:t>Employee engagement surveys would give a clear and honest picture of how staff are feeling. The company need to use more modern up to date methods to obtain reliable information about what motivates their employees and the difficulties their employees may be facing and the support needed. A well</w:t>
      </w:r>
      <w:r w:rsidRPr="008D4EDD">
        <w:noBreakHyphen/>
        <w:t>designed survey would allow Technivara to ask the right questions in a structured, consistent way, helping them understand key issues such as workload, wellbeing, leadership, teamwork and career development. The results could highlight areas that need improvement</w:t>
      </w:r>
      <w:r w:rsidR="00E4177B">
        <w:t xml:space="preserve">, </w:t>
      </w:r>
      <w:r w:rsidRPr="008D4EDD">
        <w:t>such as communication, training, or absence management</w:t>
      </w:r>
      <w:r w:rsidR="00E4177B">
        <w:t xml:space="preserve"> </w:t>
      </w:r>
      <w:r w:rsidRPr="008D4EDD">
        <w:t xml:space="preserve">and give the People Practice Team real evidence to support positive changes. This would be useful as the business plans to expand, since understanding employee participation levels will help Technivara strengthen retention, improve morale, and create a supportive and productive workplace. </w:t>
      </w:r>
      <w:r w:rsidRPr="008D4EDD">
        <w:rPr>
          <w:color w:val="A91E1E"/>
        </w:rPr>
        <w:t>(McIntosh, 2025)</w:t>
      </w:r>
    </w:p>
    <w:p w14:paraId="0A81D028" w14:textId="08C88123" w:rsidR="00812C81" w:rsidRPr="008D4EDD" w:rsidRDefault="00812C81" w:rsidP="00812C81">
      <w:pPr>
        <w:spacing w:before="120" w:after="120"/>
        <w:jc w:val="both"/>
      </w:pPr>
      <w:r w:rsidRPr="008D4EDD">
        <w:t xml:space="preserve">There are a few issues that you </w:t>
      </w:r>
      <w:proofErr w:type="gramStart"/>
      <w:r w:rsidRPr="008D4EDD">
        <w:t>have to</w:t>
      </w:r>
      <w:proofErr w:type="gramEnd"/>
      <w:r w:rsidRPr="008D4EDD">
        <w:t xml:space="preserve"> be cautious of when using staff surveys. The information you get out of the surveys will only be as good as the questions you ask. </w:t>
      </w:r>
      <w:r w:rsidR="006B0242" w:rsidRPr="008D4EDD">
        <w:t>So,</w:t>
      </w:r>
      <w:r w:rsidRPr="008D4EDD">
        <w:t xml:space="preserve"> lots of time needs to be put into the preparation of the questions. You </w:t>
      </w:r>
      <w:proofErr w:type="gramStart"/>
      <w:r w:rsidRPr="008D4EDD">
        <w:t>have to</w:t>
      </w:r>
      <w:proofErr w:type="gramEnd"/>
      <w:r w:rsidRPr="008D4EDD">
        <w:t xml:space="preserve"> ensure that the surveys aren’t too long otherwise this can lead to disengagement and </w:t>
      </w:r>
      <w:r w:rsidR="006B0242" w:rsidRPr="008D4EDD">
        <w:lastRenderedPageBreak/>
        <w:t>low-quality</w:t>
      </w:r>
      <w:r w:rsidRPr="008D4EDD">
        <w:t xml:space="preserve"> responses. Managers will also have to act on the responses or there is a threat of the employees feeling disregarded and this could reduce engagement and confidence. </w:t>
      </w:r>
    </w:p>
    <w:p w14:paraId="6B340158" w14:textId="11147A02" w:rsidR="00BF1E63" w:rsidRPr="008D4EDD" w:rsidRDefault="00BF1E63" w:rsidP="008729F4">
      <w:r w:rsidRPr="008D4EDD">
        <w:t>Q3</w:t>
      </w:r>
      <w:r w:rsidR="0011148D" w:rsidRPr="008D4EDD">
        <w:t xml:space="preserve"> (AC 1.3)</w:t>
      </w:r>
    </w:p>
    <w:p w14:paraId="6FB5A3B5" w14:textId="77777777" w:rsidR="00413853" w:rsidRPr="008D4EDD" w:rsidRDefault="00413853" w:rsidP="00413853">
      <w:pPr>
        <w:spacing w:before="120" w:after="120"/>
        <w:jc w:val="both"/>
      </w:pPr>
      <w:r w:rsidRPr="008D4EDD">
        <w:t xml:space="preserve">To think critically you must approach information in a logical, objective and reflective way so that conclusions are grounded in sound reasoning and evidence rather instead of assumptions or personal preference. </w:t>
      </w:r>
    </w:p>
    <w:p w14:paraId="26563F6E" w14:textId="039812D0" w:rsidR="00413853" w:rsidRPr="008D4EDD" w:rsidRDefault="00413853" w:rsidP="00413853">
      <w:pPr>
        <w:spacing w:before="120" w:after="120"/>
        <w:jc w:val="both"/>
      </w:pPr>
      <w:r w:rsidRPr="008D4EDD">
        <w:t xml:space="preserve">There are three crucial </w:t>
      </w:r>
      <w:r w:rsidR="00373EF5">
        <w:t xml:space="preserve">elements </w:t>
      </w:r>
      <w:r w:rsidRPr="008D4EDD">
        <w:t xml:space="preserve">to critical thinking for people professionals. The first is critiquing the ideas, opinions and arguments of others. The second is how arguments and opinions are constructed that are communicated to others. And the third is to identify when others are using critical thinking techniques that impact you. Critical Thinking calls for careful listening, questioning assumptions, and assessing whether evidence is relevant, complete, and logically connected to conclusions.  To think critically, we must identify common errors in reasoning, such as jumping to conclusions, relying on past practice without reasoning, selective use of evidence, or distracting the conversation with irrelevant points. </w:t>
      </w:r>
      <w:r w:rsidRPr="008D4EDD">
        <w:rPr>
          <w:color w:val="A91E1E"/>
        </w:rPr>
        <w:t>(CIPD, 2019)</w:t>
      </w:r>
    </w:p>
    <w:p w14:paraId="55CC2F5C" w14:textId="77777777" w:rsidR="00413853" w:rsidRPr="008D4EDD" w:rsidRDefault="00413853" w:rsidP="00413853">
      <w:pPr>
        <w:spacing w:before="120" w:after="120"/>
        <w:jc w:val="both"/>
      </w:pPr>
      <w:r w:rsidRPr="008D4EDD">
        <w:t>Being ‘critical’ does not necessarily mean disapproval or being negative, it means looking at and analysing in the evidence and information available and coming to an unbiased judgment. The judgement can be positive or negative. Critical thinking supports ethical and effective people</w:t>
      </w:r>
      <w:r w:rsidRPr="008D4EDD">
        <w:noBreakHyphen/>
        <w:t xml:space="preserve">practice decisions based on the best available evidence. </w:t>
      </w:r>
      <w:r w:rsidRPr="008D4EDD">
        <w:rPr>
          <w:color w:val="A91E1E"/>
        </w:rPr>
        <w:t>(Armstrong and Taylor, 2023, p. 593)</w:t>
      </w:r>
    </w:p>
    <w:p w14:paraId="1541B271" w14:textId="46EFF3CF" w:rsidR="00413853" w:rsidRPr="008D4EDD" w:rsidRDefault="00413853" w:rsidP="00413853">
      <w:pPr>
        <w:spacing w:before="120" w:after="120"/>
        <w:jc w:val="both"/>
      </w:pPr>
      <w:r w:rsidRPr="008D4EDD">
        <w:t xml:space="preserve">In the past Technivara may have made decisions based on past working practices and senior influence, instead of objective evidence and critical thinking. There is a risk of decisions being made based on habit, personal preferences and </w:t>
      </w:r>
      <w:proofErr w:type="gramStart"/>
      <w:r w:rsidRPr="008D4EDD">
        <w:t xml:space="preserve">past </w:t>
      </w:r>
      <w:r w:rsidR="006B0242" w:rsidRPr="008D4EDD">
        <w:t>experience</w:t>
      </w:r>
      <w:proofErr w:type="gramEnd"/>
      <w:r w:rsidR="006B0242" w:rsidRPr="008D4EDD">
        <w:t>.</w:t>
      </w:r>
      <w:r w:rsidRPr="008D4EDD">
        <w:t xml:space="preserve"> If critical thinking were to now be applied the management team could assess if present approaches are appropriate for the expanding business. This should include scrutinizing assumptions, checking the reliability of current data and recognising potential bias in the historic organisational culture. </w:t>
      </w:r>
    </w:p>
    <w:p w14:paraId="1467609C" w14:textId="77777777" w:rsidR="00413853" w:rsidRPr="008D4EDD" w:rsidRDefault="00413853" w:rsidP="00413853">
      <w:pPr>
        <w:spacing w:before="120" w:after="120"/>
        <w:jc w:val="both"/>
      </w:pPr>
      <w:r w:rsidRPr="008D4EDD">
        <w:t>By applying critical thinking and evaluating both their own ideas and those of senior leaders, comparing different evidence sources, and interpreting findings from organisational data, employee feedback, the People Team can make more balanced, unbiased and well</w:t>
      </w:r>
      <w:r w:rsidRPr="008D4EDD">
        <w:noBreakHyphen/>
        <w:t>reasoned decisions. This method will support Technivara in moving away from archaic practices and towards evidence</w:t>
      </w:r>
      <w:r w:rsidRPr="008D4EDD">
        <w:noBreakHyphen/>
        <w:t>based, ethical people</w:t>
      </w:r>
      <w:r w:rsidRPr="008D4EDD">
        <w:noBreakHyphen/>
        <w:t>practice outcomes that will work better for the modern, growing organisation.</w:t>
      </w:r>
    </w:p>
    <w:p w14:paraId="5CF2060E" w14:textId="65714CCC" w:rsidR="00413853" w:rsidRPr="008D4EDD" w:rsidRDefault="00413853" w:rsidP="00413853">
      <w:pPr>
        <w:spacing w:before="120" w:after="120"/>
        <w:jc w:val="both"/>
      </w:pPr>
      <w:r w:rsidRPr="008D4EDD">
        <w:t xml:space="preserve">In conclusion when trying </w:t>
      </w:r>
      <w:r w:rsidR="006B0242" w:rsidRPr="008D4EDD">
        <w:t>to illustrate</w:t>
      </w:r>
      <w:r w:rsidRPr="008D4EDD">
        <w:t xml:space="preserve"> critical thinking, this is a useful quote, </w:t>
      </w:r>
      <w:r w:rsidR="006B0242" w:rsidRPr="008D4EDD">
        <w:rPr>
          <w:i/>
          <w:iCs/>
        </w:rPr>
        <w:t>“am</w:t>
      </w:r>
      <w:r w:rsidRPr="008D4EDD">
        <w:rPr>
          <w:i/>
          <w:iCs/>
        </w:rPr>
        <w:t xml:space="preserve"> convinced of the urgent need for a democratic people to think clearly without the distortions due to unconscious bias and unrecognised ignorance</w:t>
      </w:r>
      <w:r w:rsidR="006B0242" w:rsidRPr="008D4EDD">
        <w:rPr>
          <w:i/>
          <w:iCs/>
        </w:rPr>
        <w:t>”.</w:t>
      </w:r>
      <w:r w:rsidR="006B0242" w:rsidRPr="008D4EDD">
        <w:rPr>
          <w:color w:val="A91E1E"/>
        </w:rPr>
        <w:t xml:space="preserve"> (</w:t>
      </w:r>
      <w:r w:rsidRPr="008D4EDD">
        <w:rPr>
          <w:color w:val="A91E1E"/>
        </w:rPr>
        <w:t>Stebbing 1939)</w:t>
      </w:r>
    </w:p>
    <w:p w14:paraId="35A13EEA" w14:textId="7CC16624" w:rsidR="00CE6013" w:rsidRPr="008D4EDD" w:rsidRDefault="00A801E5">
      <w:pPr>
        <w:rPr>
          <w:b/>
          <w:bCs/>
        </w:rPr>
      </w:pPr>
      <w:r w:rsidRPr="008D4EDD">
        <w:rPr>
          <w:b/>
          <w:bCs/>
        </w:rPr>
        <w:t xml:space="preserve">Q4. (AC 1.4) </w:t>
      </w:r>
    </w:p>
    <w:p w14:paraId="158059CE" w14:textId="77777777" w:rsidR="00C31D78" w:rsidRPr="008D4EDD" w:rsidRDefault="00C31D78" w:rsidP="00C31D78">
      <w:pPr>
        <w:spacing w:before="120" w:after="120"/>
        <w:jc w:val="both"/>
      </w:pPr>
      <w:r w:rsidRPr="008D4EDD">
        <w:t xml:space="preserve">Technivara could apply both the De Bono (six thinking hats) process and the Best Fit process to ensure that effective outcomes are achieved. </w:t>
      </w:r>
    </w:p>
    <w:p w14:paraId="7801F77E" w14:textId="77777777" w:rsidR="00C31D78" w:rsidRPr="008D4EDD" w:rsidRDefault="00C31D78" w:rsidP="00C31D78">
      <w:pPr>
        <w:spacing w:before="120" w:after="120"/>
        <w:jc w:val="both"/>
      </w:pPr>
      <w:r w:rsidRPr="008D4EDD">
        <w:t xml:space="preserve">The De Bono (Six thinking hats) decision making process provides a practical structure for improving how individuals and teams think, communicate and make decisions. Each hat promotes a different perspective, such as concentrating on facts, emotions, risks, benefits, creativity or process. By deliberately shifting between these viewpoints, teams can reduce confusion, explore ideas more fully and reach more balanced, creative and effective decisions. </w:t>
      </w:r>
      <w:r w:rsidRPr="008D4EDD">
        <w:rPr>
          <w:color w:val="A91E1E"/>
        </w:rPr>
        <w:t>(Hails, 2023)</w:t>
      </w:r>
    </w:p>
    <w:p w14:paraId="7E809DCC" w14:textId="54B69BEF" w:rsidR="00C31D78" w:rsidRPr="008D4EDD" w:rsidRDefault="00C31D78" w:rsidP="00C31D78">
      <w:pPr>
        <w:spacing w:before="120" w:after="120"/>
        <w:jc w:val="both"/>
      </w:pPr>
      <w:r w:rsidRPr="008D4EDD">
        <w:lastRenderedPageBreak/>
        <w:t>Technivara could use De Bono (Six thinking hats) decision making process when making decisions on workforce planning as the business expands. Decision</w:t>
      </w:r>
      <w:r w:rsidRPr="008D4EDD">
        <w:noBreakHyphen/>
        <w:t>making at Technivara has traditionally been influenced by Bill’s personal preferences and long</w:t>
      </w:r>
      <w:r w:rsidRPr="008D4EDD">
        <w:noBreakHyphen/>
        <w:t xml:space="preserve">established ways of working. But by using this formalised process the People Team will </w:t>
      </w:r>
      <w:proofErr w:type="gramStart"/>
      <w:r w:rsidRPr="008D4EDD">
        <w:t>take into account</w:t>
      </w:r>
      <w:proofErr w:type="gramEnd"/>
      <w:r w:rsidRPr="008D4EDD">
        <w:t xml:space="preserve"> different viewpoints. For example, the white hat would ensure decisions are based on facts and data, the red hat would allow consideration of employee concerns and morale, while the black and yellow hats would help with looking at risks and benefits. The green hat would support creative thinking around modern HR practices, and the blue </w:t>
      </w:r>
      <w:proofErr w:type="spellStart"/>
      <w:r w:rsidRPr="008D4EDD">
        <w:t>hat</w:t>
      </w:r>
      <w:proofErr w:type="spellEnd"/>
      <w:r w:rsidRPr="008D4EDD">
        <w:t xml:space="preserve"> would help frame discussions and keep decision</w:t>
      </w:r>
      <w:r w:rsidRPr="008D4EDD">
        <w:noBreakHyphen/>
        <w:t xml:space="preserve">making focused. By separating different types of thinking, Technivara could reduce bias, test assumptions and move away from </w:t>
      </w:r>
      <w:r w:rsidR="00EB6D6A">
        <w:t>instinct-led decisions, resulting in more balanced, evidence-based</w:t>
      </w:r>
      <w:r w:rsidRPr="008D4EDD">
        <w:t xml:space="preserve"> and effective outcomes that support the organisation’s growth plans.</w:t>
      </w:r>
    </w:p>
    <w:p w14:paraId="2CCE5DF1" w14:textId="2B2AF3F8" w:rsidR="00335756" w:rsidRPr="008D4EDD" w:rsidRDefault="00C31D78" w:rsidP="00C31D78">
      <w:pPr>
        <w:jc w:val="both"/>
      </w:pPr>
      <w:r w:rsidRPr="008D4EDD">
        <w:t xml:space="preserve">Technivara could also use Problem Outcome Framing as a decision-making technique to focus them on potential solutions and positive outcomes rather than the issue alone. The following steps should be following to apply this decision-making technique. </w:t>
      </w:r>
      <w:r w:rsidR="003F6E6D" w:rsidRPr="008D4EDD">
        <w:t>Firstly,</w:t>
      </w:r>
      <w:r w:rsidRPr="008D4EDD">
        <w:t xml:space="preserve"> identify the desired outcome through clearly defining what success looks like, making sure the goal is specific and outcome</w:t>
      </w:r>
      <w:r w:rsidRPr="008D4EDD">
        <w:noBreakHyphen/>
        <w:t>focused. Secondly, describe the current reality by assessing what is happening now and gathering accurate information and perspectives from those involved. Thirdly determine the gap by comparing the current situation with the desired outcome to identify what is preventing progress. Next frame the problem as an outcome, shifting the focus away from blame and towards the positive result that needs to be achieved. Then generate options by exploring a range of possible solutions that directly address the defined outcome. And finally decide and act by selecting the most appropriate solution, now with the problem and solution clearly identified.</w:t>
      </w:r>
      <w:r w:rsidR="00DA7B72" w:rsidRPr="008D4EDD">
        <w:t xml:space="preserve">  </w:t>
      </w:r>
      <w:r w:rsidR="00DA7B72" w:rsidRPr="008D4EDD">
        <w:rPr>
          <w:color w:val="FF0000"/>
        </w:rPr>
        <w:t>(Problem Framing Method in Decision-Making, 2025)</w:t>
      </w:r>
    </w:p>
    <w:p w14:paraId="733490BC" w14:textId="1D39EEBC" w:rsidR="004A7086" w:rsidRPr="008D4EDD" w:rsidRDefault="001B1979" w:rsidP="001B1979">
      <w:pPr>
        <w:jc w:val="center"/>
      </w:pPr>
      <w:r w:rsidRPr="008D4EDD">
        <w:rPr>
          <w:noProof/>
        </w:rPr>
        <w:drawing>
          <wp:inline distT="0" distB="0" distL="0" distR="0" wp14:anchorId="44400849" wp14:editId="5E6C9FA8">
            <wp:extent cx="2228479" cy="4000500"/>
            <wp:effectExtent l="0" t="0" r="635" b="0"/>
            <wp:docPr id="20320732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48384" cy="4036234"/>
                    </a:xfrm>
                    <a:prstGeom prst="rect">
                      <a:avLst/>
                    </a:prstGeom>
                    <a:noFill/>
                  </pic:spPr>
                </pic:pic>
              </a:graphicData>
            </a:graphic>
          </wp:inline>
        </w:drawing>
      </w:r>
    </w:p>
    <w:p w14:paraId="06ABDEB2" w14:textId="147F4879" w:rsidR="001B1979" w:rsidRPr="008D4EDD" w:rsidRDefault="00A86F4F" w:rsidP="00A86F4F">
      <w:pPr>
        <w:jc w:val="center"/>
        <w:rPr>
          <w:color w:val="FF0000"/>
        </w:rPr>
      </w:pPr>
      <w:r w:rsidRPr="008D4EDD">
        <w:rPr>
          <w:color w:val="FF0000"/>
        </w:rPr>
        <w:t>(</w:t>
      </w:r>
      <w:r w:rsidRPr="008D4EDD">
        <w:rPr>
          <w:i/>
          <w:iCs/>
          <w:color w:val="FF0000"/>
        </w:rPr>
        <w:t>Problem Framing Method in Decision-Making</w:t>
      </w:r>
      <w:r w:rsidRPr="008D4EDD">
        <w:rPr>
          <w:color w:val="FF0000"/>
        </w:rPr>
        <w:t>, 2025)</w:t>
      </w:r>
    </w:p>
    <w:p w14:paraId="124966D3" w14:textId="77777777" w:rsidR="001B1979" w:rsidRPr="008D4EDD" w:rsidRDefault="001B1979" w:rsidP="00224D9A">
      <w:pPr>
        <w:jc w:val="both"/>
      </w:pPr>
    </w:p>
    <w:p w14:paraId="42993B6A" w14:textId="77777777" w:rsidR="0095102D" w:rsidRPr="008D4EDD" w:rsidRDefault="0095102D" w:rsidP="0095102D">
      <w:pPr>
        <w:spacing w:before="120" w:after="120"/>
        <w:jc w:val="both"/>
      </w:pPr>
      <w:r w:rsidRPr="008D4EDD">
        <w:lastRenderedPageBreak/>
        <w:t xml:space="preserve">We know that Technivara have archaic and inadequate approaches that need to be improved, including capturing and measuring people practices that are lacking data driven evidence, which increases the risk of poor decisions. Technivara need to define what “good” looks like and the steps to get there. Using problem outcome framing, the People Practice Team can reframe the conversation from </w:t>
      </w:r>
      <w:r w:rsidRPr="008D4EDD">
        <w:rPr>
          <w:i/>
          <w:iCs/>
        </w:rPr>
        <w:t>“our HR processes are archaic”</w:t>
      </w:r>
      <w:r w:rsidRPr="008D4EDD">
        <w:t xml:space="preserve"> to </w:t>
      </w:r>
      <w:r w:rsidRPr="008D4EDD">
        <w:rPr>
          <w:i/>
          <w:iCs/>
        </w:rPr>
        <w:t>“we will implement modern systems to collect accurate, up to date people data to ensure we make fair, consistent decisions that will support our growth.”</w:t>
      </w:r>
      <w:r w:rsidRPr="008D4EDD">
        <w:t xml:space="preserve"> This keeps conversations concentrated on solutions and improvements, rather than blame or negativity. This is critical for a business where long</w:t>
      </w:r>
      <w:r w:rsidRPr="008D4EDD">
        <w:noBreakHyphen/>
        <w:t xml:space="preserve">standing working practices and senior influence may otherwise control decisions. </w:t>
      </w:r>
    </w:p>
    <w:p w14:paraId="1CABC18F" w14:textId="77777777" w:rsidR="00F86A2D" w:rsidRPr="008D4EDD" w:rsidRDefault="00F86A2D"/>
    <w:p w14:paraId="76827160" w14:textId="3D985FE1" w:rsidR="004172BD" w:rsidRPr="008D4EDD" w:rsidRDefault="00F86A2D">
      <w:pPr>
        <w:rPr>
          <w:b/>
          <w:bCs/>
        </w:rPr>
      </w:pPr>
      <w:r w:rsidRPr="008D4EDD">
        <w:rPr>
          <w:b/>
          <w:bCs/>
        </w:rPr>
        <w:t xml:space="preserve"> </w:t>
      </w:r>
      <w:r w:rsidR="009F4F6E" w:rsidRPr="008D4EDD">
        <w:rPr>
          <w:b/>
          <w:bCs/>
        </w:rPr>
        <w:t xml:space="preserve">Q5. (AC 1.5) </w:t>
      </w:r>
    </w:p>
    <w:p w14:paraId="3B4765DC" w14:textId="77777777" w:rsidR="00903D69" w:rsidRPr="008D4EDD" w:rsidRDefault="00903D69" w:rsidP="00903D69">
      <w:pPr>
        <w:spacing w:before="120" w:after="120"/>
        <w:jc w:val="both"/>
      </w:pPr>
      <w:r w:rsidRPr="008D4EDD">
        <w:t xml:space="preserve">Technivara is a business preparing for expansion. To do this they will have to tackle their outdates practices and their need for more consistent evidence-based people management with an ethical perspective. </w:t>
      </w:r>
    </w:p>
    <w:p w14:paraId="3D1B719A" w14:textId="77777777" w:rsidR="00903D69" w:rsidRPr="008D4EDD" w:rsidRDefault="00903D69" w:rsidP="00903D69">
      <w:pPr>
        <w:spacing w:before="120" w:after="120"/>
        <w:jc w:val="both"/>
      </w:pPr>
      <w:r w:rsidRPr="008D4EDD">
        <w:t>Religion can shape ethical values by providing moral principles that guide how they behave and make decisions at work.</w:t>
      </w:r>
    </w:p>
    <w:p w14:paraId="60E20220" w14:textId="77777777" w:rsidR="00903D69" w:rsidRPr="008D4EDD" w:rsidRDefault="00903D69" w:rsidP="00903D69">
      <w:pPr>
        <w:spacing w:before="120" w:after="120"/>
        <w:jc w:val="both"/>
      </w:pPr>
      <w:r w:rsidRPr="008D4EDD">
        <w:t xml:space="preserve">Ethical issues are impossible to separate from our working lives. For people professionals, ethical perspectives guide everyday decisions involving fairness, wellbeing, capability, performance, and organisational change. </w:t>
      </w:r>
      <w:r w:rsidRPr="008D4EDD">
        <w:rPr>
          <w:color w:val="A91E1E"/>
        </w:rPr>
        <w:t>(CIPD, 2023)</w:t>
      </w:r>
    </w:p>
    <w:p w14:paraId="59787604" w14:textId="4D979F65" w:rsidR="00903D69" w:rsidRPr="008D4EDD" w:rsidRDefault="00903D69" w:rsidP="00903D69">
      <w:pPr>
        <w:spacing w:before="120" w:after="120"/>
        <w:jc w:val="both"/>
      </w:pPr>
      <w:r w:rsidRPr="008D4EDD">
        <w:t xml:space="preserve">Ethical issues often arise in workplaces when managers must choose between conflicting values or competing interests. For example, a manager may discover that an employee’s performance has dropped due to personal health issues, this would be difficult to deal with when considering </w:t>
      </w:r>
      <w:r w:rsidR="003F6E6D" w:rsidRPr="008D4EDD">
        <w:t>applying policy</w:t>
      </w:r>
      <w:r w:rsidRPr="008D4EDD">
        <w:t xml:space="preserve"> consistently and showing compassion. Being supportive may improve wellbeing but there is a risk being inconsistent.</w:t>
      </w:r>
    </w:p>
    <w:p w14:paraId="7D5462F9" w14:textId="1F3F1892" w:rsidR="00903D69" w:rsidRPr="008D4EDD" w:rsidRDefault="00903D69" w:rsidP="00903D69">
      <w:pPr>
        <w:spacing w:before="120" w:after="120"/>
        <w:jc w:val="both"/>
      </w:pPr>
      <w:r w:rsidRPr="008D4EDD">
        <w:t xml:space="preserve">Utilitarianism is an ethical perspective which argues </w:t>
      </w:r>
      <w:r w:rsidR="00DA4063">
        <w:t>t</w:t>
      </w:r>
      <w:r w:rsidRPr="008D4EDD">
        <w:t xml:space="preserve">he most ethical option is the decision that </w:t>
      </w:r>
      <w:r w:rsidR="00663EF6">
        <w:t xml:space="preserve">gives </w:t>
      </w:r>
      <w:r w:rsidRPr="008D4EDD">
        <w:t xml:space="preserve">the greatest overall benefit for the greatest number of people. You could interpret this as torture is acceptable, if it prevents terrorism. The focus is not on rules or individual rights, but on outcomes and combined wellbeing. In practice this encourages managers to consider all options, assess the wider impact of a decision and then implement the one that maximises positive outcomes. </w:t>
      </w:r>
    </w:p>
    <w:p w14:paraId="2965DD66" w14:textId="77777777" w:rsidR="00903D69" w:rsidRPr="008D4EDD" w:rsidRDefault="00903D69" w:rsidP="00903D69">
      <w:pPr>
        <w:spacing w:before="120" w:after="120"/>
        <w:jc w:val="both"/>
      </w:pPr>
      <w:r w:rsidRPr="008D4EDD">
        <w:rPr>
          <w:color w:val="A91E1E"/>
        </w:rPr>
        <w:t>(Armstrong &amp; Taylor, 2023)</w:t>
      </w:r>
    </w:p>
    <w:p w14:paraId="43EB5E1B" w14:textId="77777777" w:rsidR="00903D69" w:rsidRPr="008D4EDD" w:rsidRDefault="00903D69" w:rsidP="00903D69">
      <w:pPr>
        <w:spacing w:before="120" w:after="120"/>
        <w:jc w:val="both"/>
      </w:pPr>
      <w:r w:rsidRPr="008D4EDD">
        <w:t>Technivara could use a utilitarian ethical approach as it plans its expanding workforce needs. The People Team must consider which options bring the best long</w:t>
      </w:r>
      <w:r w:rsidRPr="008D4EDD">
        <w:noBreakHyphen/>
        <w:t>term value, such as developing existing employees’ skills rather than external recruitment. This could increase retention and staff morale. Utilitarianism encourages Technivara to base decisions on evidence of impact, focusing on decisions that improve collective wellbeing, fairness and organisational sustainability.</w:t>
      </w:r>
    </w:p>
    <w:p w14:paraId="378619A9" w14:textId="785EA265" w:rsidR="00903D69" w:rsidRPr="008D4EDD" w:rsidRDefault="00903D69" w:rsidP="00903D69">
      <w:pPr>
        <w:spacing w:before="120" w:after="120"/>
        <w:jc w:val="both"/>
      </w:pPr>
      <w:r w:rsidRPr="008D4EDD">
        <w:t>Deontology (from the Greek for ‘What is right’), says that ethical decisions are grounded in duties, principles and moral rules rather than consequences. What matters is doing what is right</w:t>
      </w:r>
      <w:r w:rsidR="00547824">
        <w:t xml:space="preserve">, </w:t>
      </w:r>
      <w:r w:rsidRPr="008D4EDD">
        <w:t>even when the result may be less beneficial overall</w:t>
      </w:r>
      <w:r w:rsidRPr="008D4EDD">
        <w:rPr>
          <w:color w:val="A91E1E"/>
        </w:rPr>
        <w:t>.</w:t>
      </w:r>
      <w:r w:rsidRPr="008D4EDD">
        <w:t xml:space="preserve"> “In the works of Rawls (1973:183), ‘We must treat persons solely as ends and not in any way as means’”. </w:t>
      </w:r>
      <w:r w:rsidRPr="008D4EDD">
        <w:rPr>
          <w:color w:val="A91E1E"/>
        </w:rPr>
        <w:t xml:space="preserve">(Armstrong &amp; Taylor, 2023) </w:t>
      </w:r>
      <w:r w:rsidRPr="008D4EDD">
        <w:t xml:space="preserve">In practice this means acting with integrity, respecting individuals, and applying rules consistently. </w:t>
      </w:r>
      <w:r w:rsidRPr="008D4EDD">
        <w:rPr>
          <w:color w:val="A91E1E"/>
        </w:rPr>
        <w:t>(Armstrong &amp; Taylor, 2023)</w:t>
      </w:r>
    </w:p>
    <w:p w14:paraId="2E9338CB" w14:textId="77777777" w:rsidR="00903D69" w:rsidRPr="008D4EDD" w:rsidRDefault="00903D69" w:rsidP="00903D69">
      <w:pPr>
        <w:spacing w:before="120" w:after="120"/>
        <w:jc w:val="both"/>
      </w:pPr>
      <w:r w:rsidRPr="008D4EDD">
        <w:t xml:space="preserve">At Technivara, a deontological method would direct how the business manages change as it grows. Deontological reasoning would also demand that policies, for </w:t>
      </w:r>
      <w:r w:rsidRPr="008D4EDD">
        <w:lastRenderedPageBreak/>
        <w:t xml:space="preserve">example those relating to absence or discipline, are applied consistently, making it unacceptable for comparable cases to be treated differently based on bias or individual judgement. By grounding decisions in fairness and equal treatment, this ethical outlook would help Technivara gain trust, integrity and professionalism throughout the organisation. </w:t>
      </w:r>
    </w:p>
    <w:p w14:paraId="60F699C3" w14:textId="0DD7062A" w:rsidR="00903D69" w:rsidRPr="008D4EDD" w:rsidRDefault="00903D69" w:rsidP="00903D69">
      <w:pPr>
        <w:spacing w:before="120" w:after="120"/>
        <w:jc w:val="both"/>
      </w:pPr>
      <w:r w:rsidRPr="008D4EDD">
        <w:t>By using both perspectives together</w:t>
      </w:r>
      <w:r w:rsidR="00382CD1">
        <w:t>,</w:t>
      </w:r>
      <w:r w:rsidRPr="008D4EDD">
        <w:t xml:space="preserve"> Technivara will have a more balanced ethical framework. Utilitarianism helps choose options that support growth and wellbeing, while deontology ensures decisions are principled, fair, and respectful.</w:t>
      </w:r>
    </w:p>
    <w:p w14:paraId="1E06D9CF" w14:textId="77777777" w:rsidR="00880CF7" w:rsidRPr="008D4EDD" w:rsidRDefault="00880CF7"/>
    <w:p w14:paraId="55C33B33" w14:textId="0F444841" w:rsidR="00FA502B" w:rsidRPr="008D4EDD" w:rsidRDefault="00FA502B">
      <w:pPr>
        <w:rPr>
          <w:b/>
          <w:bCs/>
        </w:rPr>
      </w:pPr>
      <w:r w:rsidRPr="008D4EDD">
        <w:rPr>
          <w:b/>
          <w:bCs/>
        </w:rPr>
        <w:t xml:space="preserve">Q6. (AC 3.1) </w:t>
      </w:r>
    </w:p>
    <w:p w14:paraId="26FABFEC" w14:textId="77777777" w:rsidR="00CA1953" w:rsidRPr="008D4EDD" w:rsidRDefault="00CA1953" w:rsidP="00CA1953">
      <w:pPr>
        <w:spacing w:before="120" w:after="120"/>
        <w:jc w:val="both"/>
      </w:pPr>
      <w:r w:rsidRPr="008D4EDD">
        <w:t>Organisations can use a range of financial and non</w:t>
      </w:r>
      <w:r w:rsidRPr="008D4EDD">
        <w:noBreakHyphen/>
        <w:t>financial measures to understand how well they are performing and to detect areas that need improvement. Financial performance is commonly assessed using a range of key indicators that show profitability, liquidity, solvency and efficiency, all of which can be reviewed through financial statements and cash</w:t>
      </w:r>
      <w:r w:rsidRPr="008D4EDD">
        <w:noBreakHyphen/>
        <w:t xml:space="preserve">flow statements. </w:t>
      </w:r>
      <w:r w:rsidRPr="008D4EDD">
        <w:rPr>
          <w:color w:val="A91E1E"/>
        </w:rPr>
        <w:t xml:space="preserve">(Stobierski, 2020) </w:t>
      </w:r>
      <w:r w:rsidRPr="008D4EDD">
        <w:t>Non</w:t>
      </w:r>
      <w:r w:rsidRPr="008D4EDD">
        <w:noBreakHyphen/>
        <w:t>financial indicators measure aspects of performance that go outside profit, such as employee engagement, customer satisfaction, service quality and operational proficiency</w:t>
      </w:r>
    </w:p>
    <w:p w14:paraId="7CA1751B" w14:textId="77777777" w:rsidR="00CA1953" w:rsidRPr="008D4EDD" w:rsidRDefault="00CA1953" w:rsidP="00CA1953">
      <w:pPr>
        <w:spacing w:before="120" w:after="120"/>
        <w:jc w:val="both"/>
      </w:pPr>
      <w:r w:rsidRPr="008D4EDD">
        <w:t xml:space="preserve">Performance measurement differs between the private and public sectors because each operates with different targets and priorities. Private sector organisations mainly assess success through financial indicators such as profit, revenue growth, return on investment and market strength, supported by </w:t>
      </w:r>
      <w:proofErr w:type="spellStart"/>
      <w:proofErr w:type="gramStart"/>
      <w:r w:rsidRPr="008D4EDD">
        <w:t>non financial</w:t>
      </w:r>
      <w:proofErr w:type="spellEnd"/>
      <w:proofErr w:type="gramEnd"/>
      <w:r w:rsidRPr="008D4EDD">
        <w:t xml:space="preserve"> indicators like customer satisfaction and employee engagement. In contrast, public sector organisations focus less on profit and more on service quality, fairness, efficiency and social impact, using measures such as response times, service user satisfaction, compliance and community outcomes. These differences show the private sector’s emphasis on commercial success and the public sector’s responsibility to deliver value to society.</w:t>
      </w:r>
    </w:p>
    <w:p w14:paraId="59168BBC" w14:textId="19A6A812" w:rsidR="00CA1953" w:rsidRPr="008D4EDD" w:rsidRDefault="00CA1953" w:rsidP="00CA1953">
      <w:pPr>
        <w:spacing w:before="120" w:after="120"/>
        <w:jc w:val="both"/>
      </w:pPr>
      <w:r w:rsidRPr="008D4EDD">
        <w:t xml:space="preserve">Technivara could measure performance financially by looking at </w:t>
      </w:r>
      <w:r w:rsidR="000D48FC">
        <w:t>its</w:t>
      </w:r>
      <w:r w:rsidRPr="008D4EDD">
        <w:t xml:space="preserve"> cash flow. This is important as cash flow tracks the movement of money in and out of the organisation and shows whether the business </w:t>
      </w:r>
      <w:proofErr w:type="gramStart"/>
      <w:r w:rsidRPr="008D4EDD">
        <w:t>is able to</w:t>
      </w:r>
      <w:proofErr w:type="gramEnd"/>
      <w:r w:rsidRPr="008D4EDD">
        <w:t xml:space="preserve"> meet its short</w:t>
      </w:r>
      <w:r w:rsidRPr="008D4EDD">
        <w:noBreakHyphen/>
        <w:t xml:space="preserve">term obligations; even profitable companies can be unsuccessful if cash flow is fragile. This is also useful as it </w:t>
      </w:r>
      <w:r w:rsidR="003F6E6D" w:rsidRPr="008D4EDD">
        <w:t>helps</w:t>
      </w:r>
      <w:r w:rsidRPr="008D4EDD">
        <w:t xml:space="preserve"> managers identify cash flow matters early and put spending plans in place. </w:t>
      </w:r>
    </w:p>
    <w:p w14:paraId="50FBA01C" w14:textId="77777777" w:rsidR="00CA1953" w:rsidRPr="008D4EDD" w:rsidRDefault="00CA1953" w:rsidP="00CA1953">
      <w:pPr>
        <w:spacing w:before="120" w:after="120"/>
        <w:jc w:val="both"/>
      </w:pPr>
      <w:r w:rsidRPr="008D4EDD">
        <w:t>However, cash flow on its own has weaknesses, as it does not show long-range profitability or overall business efficiency, and strong cash flow can sometimes hide underlying financial difficulties.</w:t>
      </w:r>
    </w:p>
    <w:p w14:paraId="603A32D4" w14:textId="77777777" w:rsidR="00CA1953" w:rsidRPr="008D4EDD" w:rsidRDefault="00CA1953" w:rsidP="00CA1953">
      <w:pPr>
        <w:spacing w:before="120" w:after="120"/>
        <w:jc w:val="both"/>
      </w:pPr>
      <w:r w:rsidRPr="008D4EDD">
        <w:t>Technivara could use employee engagement feedback as a non</w:t>
      </w:r>
      <w:r w:rsidRPr="008D4EDD">
        <w:noBreakHyphen/>
        <w:t xml:space="preserve">financial performance measure to understand how motivated and committed staff feel during the company’s expansion. Tracking engagement feedback over time would help the People Team identify issues such as workload pressures, poor communication or low morale. This will be a good indicator of organisational health. </w:t>
      </w:r>
      <w:r w:rsidRPr="008D4EDD">
        <w:rPr>
          <w:color w:val="A91E1E"/>
        </w:rPr>
        <w:t>(CIPD, 2023)</w:t>
      </w:r>
    </w:p>
    <w:p w14:paraId="33BCD4FE" w14:textId="240F9402" w:rsidR="00CA1953" w:rsidRPr="008D4EDD" w:rsidRDefault="00CA1953" w:rsidP="00CA1953">
      <w:pPr>
        <w:spacing w:before="120" w:after="120"/>
        <w:jc w:val="both"/>
      </w:pPr>
      <w:r w:rsidRPr="008D4EDD">
        <w:t xml:space="preserve">Employee engagement feedback can be unreliable because </w:t>
      </w:r>
      <w:r w:rsidR="00A33262">
        <w:t>it</w:t>
      </w:r>
      <w:r w:rsidRPr="008D4EDD">
        <w:t xml:space="preserve"> may be affected by how questions are written or by employees giving </w:t>
      </w:r>
      <w:r w:rsidR="003F6E6D" w:rsidRPr="008D4EDD">
        <w:t>answers,</w:t>
      </w:r>
      <w:r w:rsidRPr="008D4EDD">
        <w:t xml:space="preserve"> they think the organisation wants to hear. They also provide only a short</w:t>
      </w:r>
      <w:r w:rsidRPr="008D4EDD">
        <w:noBreakHyphen/>
        <w:t>term picture and do not explain the underlying reasons behind any problems, meaning further examination is needed.</w:t>
      </w:r>
    </w:p>
    <w:p w14:paraId="56771A6E" w14:textId="470FAC1D" w:rsidR="00C865D0" w:rsidRDefault="00C865D0" w:rsidP="00C865D0">
      <w:pPr>
        <w:jc w:val="both"/>
      </w:pPr>
    </w:p>
    <w:p w14:paraId="07C2E73B" w14:textId="77777777" w:rsidR="008D4EDD" w:rsidRDefault="008D4EDD" w:rsidP="00C865D0">
      <w:pPr>
        <w:jc w:val="both"/>
      </w:pPr>
    </w:p>
    <w:p w14:paraId="7CDA1D3D" w14:textId="77777777" w:rsidR="008D4EDD" w:rsidRPr="008D4EDD" w:rsidRDefault="008D4EDD" w:rsidP="00C865D0">
      <w:pPr>
        <w:jc w:val="both"/>
      </w:pPr>
    </w:p>
    <w:p w14:paraId="6CA40DDA" w14:textId="5580086C" w:rsidR="00A64E47" w:rsidRPr="008D4EDD" w:rsidRDefault="00B82EB5" w:rsidP="007723AA">
      <w:pPr>
        <w:jc w:val="both"/>
        <w:rPr>
          <w:b/>
          <w:bCs/>
        </w:rPr>
      </w:pPr>
      <w:r w:rsidRPr="008D4EDD">
        <w:rPr>
          <w:b/>
          <w:bCs/>
        </w:rPr>
        <w:lastRenderedPageBreak/>
        <w:t>Q7. (AC 3.2)</w:t>
      </w:r>
    </w:p>
    <w:p w14:paraId="232F2A67" w14:textId="77777777" w:rsidR="002436F1" w:rsidRPr="008D4EDD" w:rsidRDefault="002436F1" w:rsidP="002436F1">
      <w:pPr>
        <w:spacing w:before="120" w:after="120"/>
        <w:jc w:val="both"/>
      </w:pPr>
      <w:r w:rsidRPr="008D4EDD">
        <w:t>Effective people practice can add value at Technivara by improving employee experience, strengthening workforce capability and supporting fair, data</w:t>
      </w:r>
      <w:r w:rsidRPr="008D4EDD">
        <w:noBreakHyphen/>
        <w:t>driven decision</w:t>
      </w:r>
      <w:r w:rsidRPr="008D4EDD">
        <w:noBreakHyphen/>
        <w:t>making, all of that are important as the business expands and replaces outdated processes.</w:t>
      </w:r>
    </w:p>
    <w:p w14:paraId="637A88DC" w14:textId="2336A9CD" w:rsidR="002436F1" w:rsidRPr="008D4EDD" w:rsidRDefault="002436F1" w:rsidP="002436F1">
      <w:pPr>
        <w:spacing w:before="120" w:after="120"/>
        <w:jc w:val="both"/>
      </w:pPr>
      <w:r w:rsidRPr="008D4EDD">
        <w:t>Impact refers to the visible changes or outcomes that result from a people</w:t>
      </w:r>
      <w:r w:rsidRPr="008D4EDD">
        <w:noBreakHyphen/>
        <w:t xml:space="preserve">practice intervention, for example, improved engagement, reduced absence, </w:t>
      </w:r>
      <w:r w:rsidR="000D48FC">
        <w:t xml:space="preserve">and </w:t>
      </w:r>
      <w:r w:rsidRPr="008D4EDD">
        <w:t>better skills. It focuses on the effect of people practice.</w:t>
      </w:r>
    </w:p>
    <w:p w14:paraId="6EE138C9" w14:textId="2714D470" w:rsidR="002436F1" w:rsidRPr="008D4EDD" w:rsidRDefault="000A2E9B" w:rsidP="002436F1">
      <w:pPr>
        <w:spacing w:before="120" w:after="120"/>
        <w:jc w:val="both"/>
      </w:pPr>
      <w:r w:rsidRPr="008D4EDD">
        <w:t>Value refers</w:t>
      </w:r>
      <w:r w:rsidR="002436F1" w:rsidRPr="008D4EDD">
        <w:t xml:space="preserve"> to the benefit the organisation gains from those outcomes. Value can be financial, such as reduced turnover costs or non</w:t>
      </w:r>
      <w:r w:rsidR="002436F1" w:rsidRPr="008D4EDD">
        <w:noBreakHyphen/>
        <w:t>financial, such as higher morale.</w:t>
      </w:r>
    </w:p>
    <w:p w14:paraId="514C6131" w14:textId="27A1A2A8" w:rsidR="002436F1" w:rsidRPr="008D4EDD" w:rsidRDefault="002436F1" w:rsidP="002436F1">
      <w:pPr>
        <w:spacing w:before="120" w:after="120"/>
        <w:jc w:val="both"/>
      </w:pPr>
      <w:r w:rsidRPr="008D4EDD">
        <w:t xml:space="preserve">To understand whether people practices are adding value, Technivara could assess changes in employee engagement results or monitor trends in absence data, both of which provide </w:t>
      </w:r>
      <w:r w:rsidR="00081DAE">
        <w:t xml:space="preserve">an </w:t>
      </w:r>
      <w:r w:rsidRPr="008D4EDD">
        <w:t xml:space="preserve">understanding </w:t>
      </w:r>
      <w:r w:rsidR="00081DAE">
        <w:t>of</w:t>
      </w:r>
      <w:r w:rsidRPr="008D4EDD">
        <w:t xml:space="preserve"> organisational health and the effectiveness of people initiatives. Regular measurement aids constant progress by identifying gaps or future workforce needs, allowing informed and calculated business decisions. </w:t>
      </w:r>
      <w:r w:rsidRPr="008D4EDD">
        <w:rPr>
          <w:color w:val="A91E1E"/>
        </w:rPr>
        <w:t>(Taylor, 2022)</w:t>
      </w:r>
    </w:p>
    <w:p w14:paraId="7A397D79" w14:textId="52EFDBC2" w:rsidR="002436F1" w:rsidRPr="008D4EDD" w:rsidRDefault="002436F1" w:rsidP="002436F1">
      <w:pPr>
        <w:spacing w:before="120" w:after="120"/>
        <w:jc w:val="both"/>
      </w:pPr>
      <w:r w:rsidRPr="008D4EDD">
        <w:t xml:space="preserve">Return on investment (ROI) is used to assess the value gained from implementing a people initiative by comparing the benefits achieved with the costs involved. It is usually applied in learning and development as a way of showing the short, medium and </w:t>
      </w:r>
      <w:r w:rsidR="00A33262">
        <w:t>long-term impact of training or development activities on</w:t>
      </w:r>
      <w:r w:rsidRPr="008D4EDD">
        <w:t xml:space="preserve"> organisational performance. ROI is calculated using the formula: ROI (%) = (value of realised benefits – investment cost) / investment cost x 100. </w:t>
      </w:r>
      <w:r w:rsidRPr="008D4EDD">
        <w:rPr>
          <w:color w:val="A91E1E"/>
        </w:rPr>
        <w:t xml:space="preserve">(CIPD, 2024) </w:t>
      </w:r>
    </w:p>
    <w:p w14:paraId="0A8F81A6" w14:textId="615CDFC6" w:rsidR="002436F1" w:rsidRPr="008D4EDD" w:rsidRDefault="002436F1" w:rsidP="002436F1">
      <w:pPr>
        <w:spacing w:before="120" w:after="120"/>
        <w:jc w:val="both"/>
      </w:pPr>
      <w:r w:rsidRPr="008D4EDD">
        <w:t xml:space="preserve">Employee turnover is the rate at which staff leave an organisation within a specific period, usually calculated annually. Turnover can be separated into different categories, such as planned departures, retirement, restructuring or performance-related exits and unplanned losses, such as moving to another employer or unexpected personal circumstances. For a defined period, </w:t>
      </w:r>
      <w:r w:rsidR="00A33262">
        <w:t xml:space="preserve">the </w:t>
      </w:r>
      <w:r w:rsidRPr="008D4EDD">
        <w:t>turnover rate can be calculated as:</w:t>
      </w:r>
    </w:p>
    <w:p w14:paraId="3E6D65FE" w14:textId="77777777" w:rsidR="002436F1" w:rsidRPr="008D4EDD" w:rsidRDefault="002436F1" w:rsidP="002436F1">
      <w:pPr>
        <w:spacing w:before="120" w:after="120"/>
        <w:jc w:val="both"/>
      </w:pPr>
      <w:r w:rsidRPr="008D4EDD">
        <w:t>Turnover rate (%) = number of employee separations / average number of employees x 100</w:t>
      </w:r>
      <w:r w:rsidRPr="008D4EDD">
        <w:rPr>
          <w:color w:val="A91E1E"/>
        </w:rPr>
        <w:t>(CIPD, 2024)</w:t>
      </w:r>
    </w:p>
    <w:p w14:paraId="076FCC91" w14:textId="77777777" w:rsidR="00FD07FA" w:rsidRPr="008D4EDD" w:rsidRDefault="00FD07FA" w:rsidP="00FD07FA">
      <w:pPr>
        <w:jc w:val="both"/>
        <w:rPr>
          <w:color w:val="FF0000"/>
        </w:rPr>
      </w:pPr>
    </w:p>
    <w:p w14:paraId="21785F44" w14:textId="77777777" w:rsidR="00A502FD" w:rsidRPr="008D4EDD" w:rsidRDefault="00A502FD" w:rsidP="00FD07FA">
      <w:pPr>
        <w:jc w:val="both"/>
        <w:rPr>
          <w:color w:val="FF0000"/>
        </w:rPr>
      </w:pPr>
    </w:p>
    <w:p w14:paraId="6376EC9E" w14:textId="77777777" w:rsidR="00A502FD" w:rsidRPr="008D4EDD" w:rsidRDefault="00A502FD" w:rsidP="00FD07FA">
      <w:pPr>
        <w:jc w:val="both"/>
        <w:rPr>
          <w:color w:val="FF0000"/>
        </w:rPr>
      </w:pPr>
    </w:p>
    <w:p w14:paraId="5CEC023A" w14:textId="77777777" w:rsidR="00A502FD" w:rsidRPr="008D4EDD" w:rsidRDefault="00A502FD" w:rsidP="00FD07FA">
      <w:pPr>
        <w:jc w:val="both"/>
        <w:rPr>
          <w:color w:val="FF0000"/>
        </w:rPr>
      </w:pPr>
    </w:p>
    <w:p w14:paraId="564EE46B" w14:textId="77777777" w:rsidR="00A502FD" w:rsidRPr="008D4EDD" w:rsidRDefault="00A502FD" w:rsidP="00FD07FA">
      <w:pPr>
        <w:jc w:val="both"/>
        <w:rPr>
          <w:color w:val="FF0000"/>
        </w:rPr>
      </w:pPr>
    </w:p>
    <w:p w14:paraId="5D126ECE" w14:textId="77777777" w:rsidR="00A502FD" w:rsidRPr="008D4EDD" w:rsidRDefault="00A502FD" w:rsidP="00FD07FA">
      <w:pPr>
        <w:jc w:val="both"/>
        <w:rPr>
          <w:color w:val="FF0000"/>
        </w:rPr>
      </w:pPr>
    </w:p>
    <w:p w14:paraId="12CD28E3" w14:textId="77777777" w:rsidR="000A2E9B" w:rsidRPr="008D4EDD" w:rsidRDefault="000A2E9B" w:rsidP="00FD07FA">
      <w:pPr>
        <w:jc w:val="both"/>
        <w:rPr>
          <w:color w:val="FF0000"/>
        </w:rPr>
      </w:pPr>
    </w:p>
    <w:p w14:paraId="7DE11BD9" w14:textId="77777777" w:rsidR="000A2E9B" w:rsidRPr="008D4EDD" w:rsidRDefault="000A2E9B" w:rsidP="00FD07FA">
      <w:pPr>
        <w:jc w:val="both"/>
        <w:rPr>
          <w:color w:val="FF0000"/>
        </w:rPr>
      </w:pPr>
    </w:p>
    <w:p w14:paraId="6495F689" w14:textId="77777777" w:rsidR="000A2E9B" w:rsidRPr="008D4EDD" w:rsidRDefault="000A2E9B" w:rsidP="00FD07FA">
      <w:pPr>
        <w:jc w:val="both"/>
        <w:rPr>
          <w:color w:val="FF0000"/>
        </w:rPr>
      </w:pPr>
    </w:p>
    <w:p w14:paraId="25B02DB7" w14:textId="77777777" w:rsidR="000A2E9B" w:rsidRPr="008D4EDD" w:rsidRDefault="000A2E9B" w:rsidP="00FD07FA">
      <w:pPr>
        <w:jc w:val="both"/>
        <w:rPr>
          <w:color w:val="FF0000"/>
        </w:rPr>
      </w:pPr>
    </w:p>
    <w:p w14:paraId="2CA8559D" w14:textId="77777777" w:rsidR="000A2E9B" w:rsidRPr="008D4EDD" w:rsidRDefault="000A2E9B" w:rsidP="00FD07FA">
      <w:pPr>
        <w:jc w:val="both"/>
        <w:rPr>
          <w:color w:val="FF0000"/>
        </w:rPr>
      </w:pPr>
    </w:p>
    <w:p w14:paraId="1B1333C8" w14:textId="77777777" w:rsidR="000A2E9B" w:rsidRPr="008D4EDD" w:rsidRDefault="000A2E9B" w:rsidP="00FD07FA">
      <w:pPr>
        <w:jc w:val="both"/>
        <w:rPr>
          <w:color w:val="FF0000"/>
        </w:rPr>
      </w:pPr>
    </w:p>
    <w:p w14:paraId="4A9533DE" w14:textId="77777777" w:rsidR="000A2E9B" w:rsidRPr="008D4EDD" w:rsidRDefault="000A2E9B" w:rsidP="00FD07FA">
      <w:pPr>
        <w:jc w:val="both"/>
        <w:rPr>
          <w:color w:val="FF0000"/>
        </w:rPr>
      </w:pPr>
    </w:p>
    <w:p w14:paraId="3BD1E072" w14:textId="40920F16" w:rsidR="00A502FD" w:rsidRPr="008D4EDD" w:rsidRDefault="00A502FD" w:rsidP="00FD07FA">
      <w:pPr>
        <w:jc w:val="both"/>
        <w:rPr>
          <w:b/>
          <w:bCs/>
          <w:u w:val="single"/>
        </w:rPr>
      </w:pPr>
      <w:r w:rsidRPr="008D4EDD">
        <w:rPr>
          <w:b/>
          <w:bCs/>
          <w:u w:val="single"/>
        </w:rPr>
        <w:t>TASK 2</w:t>
      </w:r>
    </w:p>
    <w:p w14:paraId="24C22912" w14:textId="5A2B168C" w:rsidR="00FD07FA" w:rsidRPr="008D4EDD" w:rsidRDefault="001B49EE" w:rsidP="00FD07FA">
      <w:pPr>
        <w:jc w:val="both"/>
      </w:pPr>
      <w:r w:rsidRPr="008D4EDD">
        <w:t>Q8. (AC</w:t>
      </w:r>
      <w:r w:rsidR="004F65D5" w:rsidRPr="008D4EDD">
        <w:t xml:space="preserve"> 2.1) </w:t>
      </w:r>
    </w:p>
    <w:p w14:paraId="7A3B620F" w14:textId="095E525F" w:rsidR="00CB4F1E" w:rsidRPr="008D4EDD" w:rsidRDefault="002D2F93" w:rsidP="00FD07FA">
      <w:pPr>
        <w:jc w:val="both"/>
      </w:pPr>
      <w:r w:rsidRPr="008D4EDD">
        <w:t>Example of formula used:  =</w:t>
      </w:r>
      <w:r w:rsidR="00DE48DF" w:rsidRPr="008D4EDD">
        <w:t>C1/B4 (the format cell to percentage)</w:t>
      </w:r>
    </w:p>
    <w:bookmarkStart w:id="0" w:name="_MON_1831295821"/>
    <w:bookmarkEnd w:id="0"/>
    <w:p w14:paraId="21CCE45D" w14:textId="03E240BF" w:rsidR="00CB4F1E" w:rsidRPr="008D4EDD" w:rsidRDefault="00457905" w:rsidP="00457905">
      <w:pPr>
        <w:jc w:val="center"/>
      </w:pPr>
      <w:r w:rsidRPr="008D4EDD">
        <w:object w:dxaOrig="1508" w:dyaOrig="984" w14:anchorId="77E1E38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3pt;height:73.5pt" o:ole="">
            <v:imagedata r:id="rId10" o:title=""/>
          </v:shape>
          <o:OLEObject Type="Embed" ProgID="Excel.Sheet.12" ShapeID="_x0000_i1025" DrawAspect="Icon" ObjectID="_1831558180" r:id="rId11"/>
        </w:object>
      </w:r>
    </w:p>
    <w:tbl>
      <w:tblPr>
        <w:tblW w:w="11742" w:type="dxa"/>
        <w:tblInd w:w="-1437" w:type="dxa"/>
        <w:tblLook w:val="04A0" w:firstRow="1" w:lastRow="0" w:firstColumn="1" w:lastColumn="0" w:noHBand="0" w:noVBand="1"/>
      </w:tblPr>
      <w:tblGrid>
        <w:gridCol w:w="1737"/>
        <w:gridCol w:w="1550"/>
        <w:gridCol w:w="1124"/>
        <w:gridCol w:w="1550"/>
        <w:gridCol w:w="1297"/>
        <w:gridCol w:w="1550"/>
        <w:gridCol w:w="1297"/>
        <w:gridCol w:w="1550"/>
        <w:gridCol w:w="232"/>
      </w:tblGrid>
      <w:tr w:rsidR="00DE48DF" w:rsidRPr="008D4EDD" w14:paraId="211ACC5A" w14:textId="77777777" w:rsidTr="008D4EDD">
        <w:trPr>
          <w:gridAfter w:val="1"/>
          <w:wAfter w:w="232" w:type="dxa"/>
          <w:trHeight w:val="458"/>
        </w:trPr>
        <w:tc>
          <w:tcPr>
            <w:tcW w:w="11510" w:type="dxa"/>
            <w:gridSpan w:val="8"/>
            <w:vMerge w:val="restart"/>
            <w:tcBorders>
              <w:top w:val="single" w:sz="4" w:space="0" w:color="auto"/>
              <w:left w:val="single" w:sz="4" w:space="0" w:color="auto"/>
              <w:bottom w:val="single" w:sz="4" w:space="0" w:color="auto"/>
              <w:right w:val="single" w:sz="4" w:space="0" w:color="auto"/>
            </w:tcBorders>
            <w:shd w:val="clear" w:color="000000" w:fill="B3D7DB"/>
            <w:vAlign w:val="center"/>
            <w:hideMark/>
          </w:tcPr>
          <w:p w14:paraId="37A3C71F" w14:textId="77777777" w:rsidR="00DE48DF" w:rsidRPr="008D4EDD" w:rsidRDefault="00DE48DF">
            <w:pPr>
              <w:jc w:val="center"/>
              <w:rPr>
                <w:b/>
                <w:bCs/>
                <w:color w:val="004147"/>
              </w:rPr>
            </w:pPr>
            <w:r w:rsidRPr="008D4EDD">
              <w:rPr>
                <w:b/>
                <w:bCs/>
                <w:color w:val="004147"/>
              </w:rPr>
              <w:t xml:space="preserve">Turnover and recruitment take up for Technivara 2024 </w:t>
            </w:r>
          </w:p>
        </w:tc>
      </w:tr>
      <w:tr w:rsidR="00DE48DF" w:rsidRPr="008D4EDD" w14:paraId="17F6E432" w14:textId="77777777" w:rsidTr="008D4EDD">
        <w:trPr>
          <w:trHeight w:val="213"/>
        </w:trPr>
        <w:tc>
          <w:tcPr>
            <w:tcW w:w="11510" w:type="dxa"/>
            <w:gridSpan w:val="8"/>
            <w:vMerge/>
            <w:tcBorders>
              <w:top w:val="single" w:sz="4" w:space="0" w:color="auto"/>
              <w:left w:val="single" w:sz="4" w:space="0" w:color="auto"/>
              <w:bottom w:val="single" w:sz="4" w:space="0" w:color="auto"/>
              <w:right w:val="single" w:sz="4" w:space="0" w:color="auto"/>
            </w:tcBorders>
            <w:vAlign w:val="center"/>
            <w:hideMark/>
          </w:tcPr>
          <w:p w14:paraId="1C1E553D" w14:textId="77777777" w:rsidR="00DE48DF" w:rsidRPr="008D4EDD" w:rsidRDefault="00DE48DF">
            <w:pPr>
              <w:rPr>
                <w:b/>
                <w:bCs/>
                <w:color w:val="004147"/>
              </w:rPr>
            </w:pPr>
          </w:p>
        </w:tc>
        <w:tc>
          <w:tcPr>
            <w:tcW w:w="232" w:type="dxa"/>
            <w:tcBorders>
              <w:top w:val="nil"/>
              <w:left w:val="nil"/>
              <w:bottom w:val="nil"/>
              <w:right w:val="nil"/>
            </w:tcBorders>
            <w:noWrap/>
            <w:vAlign w:val="bottom"/>
            <w:hideMark/>
          </w:tcPr>
          <w:p w14:paraId="52B8D602" w14:textId="77777777" w:rsidR="00DE48DF" w:rsidRPr="008D4EDD" w:rsidRDefault="00DE48DF">
            <w:pPr>
              <w:jc w:val="center"/>
              <w:rPr>
                <w:b/>
                <w:bCs/>
                <w:color w:val="004147"/>
              </w:rPr>
            </w:pPr>
          </w:p>
        </w:tc>
      </w:tr>
      <w:tr w:rsidR="00DE48DF" w:rsidRPr="008D4EDD" w14:paraId="26AD2C77" w14:textId="77777777" w:rsidTr="008D4EDD">
        <w:trPr>
          <w:trHeight w:val="1258"/>
        </w:trPr>
        <w:tc>
          <w:tcPr>
            <w:tcW w:w="1715" w:type="dxa"/>
            <w:tcBorders>
              <w:top w:val="nil"/>
              <w:left w:val="single" w:sz="4" w:space="0" w:color="auto"/>
              <w:bottom w:val="single" w:sz="4" w:space="0" w:color="auto"/>
              <w:right w:val="single" w:sz="4" w:space="0" w:color="auto"/>
            </w:tcBorders>
            <w:shd w:val="clear" w:color="000000" w:fill="B3D7DB"/>
            <w:noWrap/>
            <w:vAlign w:val="bottom"/>
            <w:hideMark/>
          </w:tcPr>
          <w:p w14:paraId="759D00FE" w14:textId="77777777" w:rsidR="00DE48DF" w:rsidRPr="008D4EDD" w:rsidRDefault="00DE48DF">
            <w:pPr>
              <w:rPr>
                <w:b/>
                <w:bCs/>
                <w:color w:val="004147"/>
              </w:rPr>
            </w:pPr>
            <w:r w:rsidRPr="008D4EDD">
              <w:rPr>
                <w:b/>
                <w:bCs/>
                <w:color w:val="004147"/>
              </w:rPr>
              <w:t> </w:t>
            </w:r>
          </w:p>
        </w:tc>
        <w:tc>
          <w:tcPr>
            <w:tcW w:w="1530" w:type="dxa"/>
            <w:tcBorders>
              <w:top w:val="nil"/>
              <w:left w:val="nil"/>
              <w:bottom w:val="single" w:sz="4" w:space="0" w:color="auto"/>
              <w:right w:val="single" w:sz="4" w:space="0" w:color="auto"/>
            </w:tcBorders>
            <w:shd w:val="clear" w:color="000000" w:fill="B3D7DB"/>
            <w:vAlign w:val="center"/>
            <w:hideMark/>
          </w:tcPr>
          <w:p w14:paraId="233BFE45" w14:textId="77777777" w:rsidR="00DE48DF" w:rsidRPr="008D4EDD" w:rsidRDefault="00DE48DF">
            <w:pPr>
              <w:rPr>
                <w:b/>
                <w:bCs/>
                <w:color w:val="004147"/>
              </w:rPr>
            </w:pPr>
            <w:r w:rsidRPr="008D4EDD">
              <w:rPr>
                <w:b/>
                <w:bCs/>
                <w:color w:val="004147"/>
              </w:rPr>
              <w:t>Total in Department 2024</w:t>
            </w:r>
          </w:p>
        </w:tc>
        <w:tc>
          <w:tcPr>
            <w:tcW w:w="1110" w:type="dxa"/>
            <w:tcBorders>
              <w:top w:val="nil"/>
              <w:left w:val="nil"/>
              <w:bottom w:val="single" w:sz="4" w:space="0" w:color="auto"/>
              <w:right w:val="single" w:sz="4" w:space="0" w:color="auto"/>
            </w:tcBorders>
            <w:shd w:val="clear" w:color="000000" w:fill="B3D7DB"/>
            <w:vAlign w:val="center"/>
            <w:hideMark/>
          </w:tcPr>
          <w:p w14:paraId="4F96696B" w14:textId="77777777" w:rsidR="00DE48DF" w:rsidRPr="008D4EDD" w:rsidRDefault="00DE48DF">
            <w:pPr>
              <w:rPr>
                <w:b/>
                <w:bCs/>
                <w:color w:val="004147"/>
              </w:rPr>
            </w:pPr>
            <w:r w:rsidRPr="008D4EDD">
              <w:rPr>
                <w:b/>
                <w:bCs/>
                <w:color w:val="004147"/>
              </w:rPr>
              <w:t>Leavers for 2024</w:t>
            </w:r>
          </w:p>
        </w:tc>
        <w:tc>
          <w:tcPr>
            <w:tcW w:w="1530" w:type="dxa"/>
            <w:tcBorders>
              <w:top w:val="nil"/>
              <w:left w:val="nil"/>
              <w:bottom w:val="single" w:sz="4" w:space="0" w:color="auto"/>
              <w:right w:val="single" w:sz="4" w:space="0" w:color="auto"/>
            </w:tcBorders>
            <w:shd w:val="clear" w:color="000000" w:fill="B3D7DB"/>
            <w:vAlign w:val="center"/>
            <w:hideMark/>
          </w:tcPr>
          <w:p w14:paraId="58570B3B" w14:textId="77777777" w:rsidR="00DE48DF" w:rsidRPr="008D4EDD" w:rsidRDefault="00DE48DF">
            <w:pPr>
              <w:rPr>
                <w:b/>
                <w:bCs/>
                <w:color w:val="004147"/>
              </w:rPr>
            </w:pPr>
            <w:r w:rsidRPr="008D4EDD">
              <w:rPr>
                <w:b/>
                <w:bCs/>
                <w:color w:val="004147"/>
              </w:rPr>
              <w:t>Leavers as a % against total in each Department</w:t>
            </w:r>
          </w:p>
        </w:tc>
        <w:tc>
          <w:tcPr>
            <w:tcW w:w="1280" w:type="dxa"/>
            <w:tcBorders>
              <w:top w:val="nil"/>
              <w:left w:val="nil"/>
              <w:bottom w:val="single" w:sz="4" w:space="0" w:color="auto"/>
              <w:right w:val="single" w:sz="4" w:space="0" w:color="auto"/>
            </w:tcBorders>
            <w:shd w:val="clear" w:color="000000" w:fill="B3D7DB"/>
            <w:vAlign w:val="center"/>
            <w:hideMark/>
          </w:tcPr>
          <w:p w14:paraId="1E56BCB7" w14:textId="77777777" w:rsidR="00DE48DF" w:rsidRPr="008D4EDD" w:rsidRDefault="00DE48DF">
            <w:pPr>
              <w:rPr>
                <w:b/>
                <w:bCs/>
                <w:color w:val="004147"/>
              </w:rPr>
            </w:pPr>
            <w:r w:rsidRPr="008D4EDD">
              <w:rPr>
                <w:b/>
                <w:bCs/>
                <w:color w:val="004147"/>
              </w:rPr>
              <w:t xml:space="preserve">Positions vacant </w:t>
            </w:r>
          </w:p>
        </w:tc>
        <w:tc>
          <w:tcPr>
            <w:tcW w:w="1530" w:type="dxa"/>
            <w:tcBorders>
              <w:top w:val="nil"/>
              <w:left w:val="nil"/>
              <w:bottom w:val="single" w:sz="4" w:space="0" w:color="auto"/>
              <w:right w:val="single" w:sz="4" w:space="0" w:color="auto"/>
            </w:tcBorders>
            <w:shd w:val="clear" w:color="000000" w:fill="B3D7DB"/>
            <w:vAlign w:val="center"/>
            <w:hideMark/>
          </w:tcPr>
          <w:p w14:paraId="009269A3" w14:textId="77777777" w:rsidR="00DE48DF" w:rsidRPr="008D4EDD" w:rsidRDefault="00DE48DF">
            <w:pPr>
              <w:rPr>
                <w:b/>
                <w:bCs/>
                <w:color w:val="004147"/>
              </w:rPr>
            </w:pPr>
            <w:r w:rsidRPr="008D4EDD">
              <w:rPr>
                <w:b/>
                <w:bCs/>
                <w:color w:val="004147"/>
              </w:rPr>
              <w:t>Vacancies as a % against total in each Department</w:t>
            </w:r>
          </w:p>
        </w:tc>
        <w:tc>
          <w:tcPr>
            <w:tcW w:w="1280" w:type="dxa"/>
            <w:tcBorders>
              <w:top w:val="nil"/>
              <w:left w:val="nil"/>
              <w:bottom w:val="single" w:sz="4" w:space="0" w:color="auto"/>
              <w:right w:val="single" w:sz="4" w:space="0" w:color="auto"/>
            </w:tcBorders>
            <w:shd w:val="clear" w:color="000000" w:fill="B3D7DB"/>
            <w:vAlign w:val="center"/>
            <w:hideMark/>
          </w:tcPr>
          <w:p w14:paraId="0BEB4BB0" w14:textId="77777777" w:rsidR="00DE48DF" w:rsidRPr="008D4EDD" w:rsidRDefault="00DE48DF">
            <w:pPr>
              <w:rPr>
                <w:b/>
                <w:bCs/>
                <w:color w:val="004147"/>
              </w:rPr>
            </w:pPr>
            <w:r w:rsidRPr="008D4EDD">
              <w:rPr>
                <w:b/>
                <w:bCs/>
                <w:color w:val="004147"/>
              </w:rPr>
              <w:t xml:space="preserve">Positions filled </w:t>
            </w:r>
          </w:p>
        </w:tc>
        <w:tc>
          <w:tcPr>
            <w:tcW w:w="1530" w:type="dxa"/>
            <w:tcBorders>
              <w:top w:val="nil"/>
              <w:left w:val="nil"/>
              <w:bottom w:val="single" w:sz="4" w:space="0" w:color="auto"/>
              <w:right w:val="single" w:sz="4" w:space="0" w:color="auto"/>
            </w:tcBorders>
            <w:shd w:val="clear" w:color="000000" w:fill="B3D7DB"/>
            <w:vAlign w:val="center"/>
            <w:hideMark/>
          </w:tcPr>
          <w:p w14:paraId="5CC35EA0" w14:textId="77777777" w:rsidR="00DE48DF" w:rsidRPr="008D4EDD" w:rsidRDefault="00DE48DF">
            <w:pPr>
              <w:rPr>
                <w:b/>
                <w:bCs/>
                <w:color w:val="004147"/>
              </w:rPr>
            </w:pPr>
            <w:r w:rsidRPr="008D4EDD">
              <w:rPr>
                <w:b/>
                <w:bCs/>
                <w:color w:val="004147"/>
              </w:rPr>
              <w:t>Positions filled as a % of total in each Department</w:t>
            </w:r>
          </w:p>
        </w:tc>
        <w:tc>
          <w:tcPr>
            <w:tcW w:w="232" w:type="dxa"/>
            <w:vAlign w:val="center"/>
            <w:hideMark/>
          </w:tcPr>
          <w:p w14:paraId="4E12149A" w14:textId="77777777" w:rsidR="00DE48DF" w:rsidRPr="008D4EDD" w:rsidRDefault="00DE48DF"/>
        </w:tc>
      </w:tr>
      <w:tr w:rsidR="00DE48DF" w:rsidRPr="008D4EDD" w14:paraId="738D0017" w14:textId="77777777" w:rsidTr="008D4EDD">
        <w:trPr>
          <w:trHeight w:val="426"/>
        </w:trPr>
        <w:tc>
          <w:tcPr>
            <w:tcW w:w="1715" w:type="dxa"/>
            <w:tcBorders>
              <w:top w:val="nil"/>
              <w:left w:val="single" w:sz="4" w:space="0" w:color="auto"/>
              <w:bottom w:val="single" w:sz="4" w:space="0" w:color="auto"/>
              <w:right w:val="single" w:sz="4" w:space="0" w:color="auto"/>
            </w:tcBorders>
            <w:shd w:val="clear" w:color="000000" w:fill="FFFFFF"/>
            <w:vAlign w:val="bottom"/>
            <w:hideMark/>
          </w:tcPr>
          <w:p w14:paraId="5C8FA6DF" w14:textId="77777777" w:rsidR="00DE48DF" w:rsidRPr="008D4EDD" w:rsidRDefault="00DE48DF">
            <w:pPr>
              <w:rPr>
                <w:color w:val="004147"/>
              </w:rPr>
            </w:pPr>
            <w:r w:rsidRPr="008D4EDD">
              <w:rPr>
                <w:color w:val="004147"/>
              </w:rPr>
              <w:t>Audio technical Department</w:t>
            </w:r>
          </w:p>
        </w:tc>
        <w:tc>
          <w:tcPr>
            <w:tcW w:w="1530" w:type="dxa"/>
            <w:tcBorders>
              <w:top w:val="nil"/>
              <w:left w:val="nil"/>
              <w:bottom w:val="single" w:sz="4" w:space="0" w:color="auto"/>
              <w:right w:val="single" w:sz="4" w:space="0" w:color="auto"/>
            </w:tcBorders>
            <w:shd w:val="clear" w:color="000000" w:fill="FFFFFF"/>
            <w:noWrap/>
            <w:vAlign w:val="bottom"/>
            <w:hideMark/>
          </w:tcPr>
          <w:p w14:paraId="0E01AA75" w14:textId="77777777" w:rsidR="00DE48DF" w:rsidRPr="008D4EDD" w:rsidRDefault="00DE48DF">
            <w:pPr>
              <w:jc w:val="center"/>
              <w:rPr>
                <w:color w:val="004147"/>
              </w:rPr>
            </w:pPr>
            <w:r w:rsidRPr="008D4EDD">
              <w:rPr>
                <w:color w:val="004147"/>
              </w:rPr>
              <w:t>26</w:t>
            </w:r>
          </w:p>
        </w:tc>
        <w:tc>
          <w:tcPr>
            <w:tcW w:w="1110" w:type="dxa"/>
            <w:tcBorders>
              <w:top w:val="nil"/>
              <w:left w:val="nil"/>
              <w:bottom w:val="single" w:sz="4" w:space="0" w:color="auto"/>
              <w:right w:val="single" w:sz="4" w:space="0" w:color="auto"/>
            </w:tcBorders>
            <w:shd w:val="clear" w:color="000000" w:fill="FFFFFF"/>
            <w:noWrap/>
            <w:vAlign w:val="bottom"/>
            <w:hideMark/>
          </w:tcPr>
          <w:p w14:paraId="70F4FE20" w14:textId="77777777" w:rsidR="00DE48DF" w:rsidRPr="008D4EDD" w:rsidRDefault="00DE48DF">
            <w:pPr>
              <w:jc w:val="center"/>
              <w:rPr>
                <w:color w:val="004147"/>
              </w:rPr>
            </w:pPr>
            <w:r w:rsidRPr="008D4EDD">
              <w:rPr>
                <w:color w:val="004147"/>
              </w:rPr>
              <w:t>6</w:t>
            </w:r>
          </w:p>
        </w:tc>
        <w:tc>
          <w:tcPr>
            <w:tcW w:w="1530" w:type="dxa"/>
            <w:tcBorders>
              <w:top w:val="nil"/>
              <w:left w:val="nil"/>
              <w:bottom w:val="single" w:sz="4" w:space="0" w:color="auto"/>
              <w:right w:val="single" w:sz="4" w:space="0" w:color="auto"/>
            </w:tcBorders>
            <w:shd w:val="clear" w:color="000000" w:fill="FFFFFF"/>
            <w:noWrap/>
            <w:vAlign w:val="bottom"/>
            <w:hideMark/>
          </w:tcPr>
          <w:p w14:paraId="01C6179A" w14:textId="77777777" w:rsidR="00DE48DF" w:rsidRPr="008D4EDD" w:rsidRDefault="00DE48DF">
            <w:pPr>
              <w:jc w:val="right"/>
              <w:rPr>
                <w:color w:val="004147"/>
              </w:rPr>
            </w:pPr>
            <w:r w:rsidRPr="008D4EDD">
              <w:rPr>
                <w:color w:val="004147"/>
              </w:rPr>
              <w:t>23%</w:t>
            </w:r>
          </w:p>
        </w:tc>
        <w:tc>
          <w:tcPr>
            <w:tcW w:w="1280" w:type="dxa"/>
            <w:tcBorders>
              <w:top w:val="nil"/>
              <w:left w:val="nil"/>
              <w:bottom w:val="single" w:sz="4" w:space="0" w:color="auto"/>
              <w:right w:val="single" w:sz="4" w:space="0" w:color="auto"/>
            </w:tcBorders>
            <w:shd w:val="clear" w:color="000000" w:fill="FFFFFF"/>
            <w:noWrap/>
            <w:vAlign w:val="bottom"/>
            <w:hideMark/>
          </w:tcPr>
          <w:p w14:paraId="278419BB" w14:textId="77777777" w:rsidR="00DE48DF" w:rsidRPr="008D4EDD" w:rsidRDefault="00DE48DF">
            <w:pPr>
              <w:jc w:val="center"/>
              <w:rPr>
                <w:color w:val="004147"/>
              </w:rPr>
            </w:pPr>
            <w:r w:rsidRPr="008D4EDD">
              <w:rPr>
                <w:color w:val="004147"/>
              </w:rPr>
              <w:t>8</w:t>
            </w:r>
          </w:p>
        </w:tc>
        <w:tc>
          <w:tcPr>
            <w:tcW w:w="1530" w:type="dxa"/>
            <w:tcBorders>
              <w:top w:val="nil"/>
              <w:left w:val="nil"/>
              <w:bottom w:val="single" w:sz="4" w:space="0" w:color="auto"/>
              <w:right w:val="single" w:sz="4" w:space="0" w:color="auto"/>
            </w:tcBorders>
            <w:shd w:val="clear" w:color="000000" w:fill="FFFFFF"/>
            <w:noWrap/>
            <w:vAlign w:val="bottom"/>
            <w:hideMark/>
          </w:tcPr>
          <w:p w14:paraId="11DBE9EA" w14:textId="77777777" w:rsidR="00DE48DF" w:rsidRPr="008D4EDD" w:rsidRDefault="00DE48DF">
            <w:pPr>
              <w:jc w:val="right"/>
              <w:rPr>
                <w:color w:val="004147"/>
              </w:rPr>
            </w:pPr>
            <w:r w:rsidRPr="008D4EDD">
              <w:rPr>
                <w:color w:val="004147"/>
              </w:rPr>
              <w:t>31%</w:t>
            </w:r>
          </w:p>
        </w:tc>
        <w:tc>
          <w:tcPr>
            <w:tcW w:w="1280" w:type="dxa"/>
            <w:tcBorders>
              <w:top w:val="nil"/>
              <w:left w:val="nil"/>
              <w:bottom w:val="single" w:sz="4" w:space="0" w:color="auto"/>
              <w:right w:val="single" w:sz="4" w:space="0" w:color="auto"/>
            </w:tcBorders>
            <w:shd w:val="clear" w:color="000000" w:fill="FFFFFF"/>
            <w:noWrap/>
            <w:vAlign w:val="bottom"/>
            <w:hideMark/>
          </w:tcPr>
          <w:p w14:paraId="3CA96B5B" w14:textId="77777777" w:rsidR="00DE48DF" w:rsidRPr="008D4EDD" w:rsidRDefault="00DE48DF">
            <w:pPr>
              <w:jc w:val="center"/>
              <w:rPr>
                <w:color w:val="004147"/>
              </w:rPr>
            </w:pPr>
            <w:r w:rsidRPr="008D4EDD">
              <w:rPr>
                <w:color w:val="004147"/>
              </w:rPr>
              <w:t>3</w:t>
            </w:r>
          </w:p>
        </w:tc>
        <w:tc>
          <w:tcPr>
            <w:tcW w:w="1530" w:type="dxa"/>
            <w:tcBorders>
              <w:top w:val="nil"/>
              <w:left w:val="nil"/>
              <w:bottom w:val="single" w:sz="4" w:space="0" w:color="auto"/>
              <w:right w:val="single" w:sz="4" w:space="0" w:color="auto"/>
            </w:tcBorders>
            <w:shd w:val="clear" w:color="000000" w:fill="FFFFFF"/>
            <w:noWrap/>
            <w:vAlign w:val="bottom"/>
            <w:hideMark/>
          </w:tcPr>
          <w:p w14:paraId="4A88687C" w14:textId="77777777" w:rsidR="00DE48DF" w:rsidRPr="008D4EDD" w:rsidRDefault="00DE48DF">
            <w:pPr>
              <w:jc w:val="right"/>
              <w:rPr>
                <w:color w:val="004147"/>
              </w:rPr>
            </w:pPr>
            <w:r w:rsidRPr="008D4EDD">
              <w:rPr>
                <w:color w:val="004147"/>
              </w:rPr>
              <w:t>12%</w:t>
            </w:r>
          </w:p>
        </w:tc>
        <w:tc>
          <w:tcPr>
            <w:tcW w:w="232" w:type="dxa"/>
            <w:vAlign w:val="center"/>
            <w:hideMark/>
          </w:tcPr>
          <w:p w14:paraId="6E1D427F" w14:textId="77777777" w:rsidR="00DE48DF" w:rsidRPr="008D4EDD" w:rsidRDefault="00DE48DF"/>
        </w:tc>
      </w:tr>
      <w:tr w:rsidR="00DE48DF" w:rsidRPr="008D4EDD" w14:paraId="74116065" w14:textId="77777777" w:rsidTr="008D4EDD">
        <w:trPr>
          <w:trHeight w:val="213"/>
        </w:trPr>
        <w:tc>
          <w:tcPr>
            <w:tcW w:w="1715" w:type="dxa"/>
            <w:tcBorders>
              <w:top w:val="nil"/>
              <w:left w:val="single" w:sz="4" w:space="0" w:color="auto"/>
              <w:bottom w:val="single" w:sz="4" w:space="0" w:color="auto"/>
              <w:right w:val="single" w:sz="4" w:space="0" w:color="auto"/>
            </w:tcBorders>
            <w:shd w:val="clear" w:color="000000" w:fill="FFFFFF"/>
            <w:noWrap/>
            <w:vAlign w:val="bottom"/>
            <w:hideMark/>
          </w:tcPr>
          <w:p w14:paraId="0349593C" w14:textId="77777777" w:rsidR="00DE48DF" w:rsidRPr="008D4EDD" w:rsidRDefault="00DE48DF">
            <w:pPr>
              <w:rPr>
                <w:color w:val="004147"/>
              </w:rPr>
            </w:pPr>
            <w:r w:rsidRPr="008D4EDD">
              <w:rPr>
                <w:color w:val="004147"/>
              </w:rPr>
              <w:t>Offices and Administration</w:t>
            </w:r>
          </w:p>
        </w:tc>
        <w:tc>
          <w:tcPr>
            <w:tcW w:w="1530" w:type="dxa"/>
            <w:tcBorders>
              <w:top w:val="nil"/>
              <w:left w:val="nil"/>
              <w:bottom w:val="single" w:sz="4" w:space="0" w:color="auto"/>
              <w:right w:val="single" w:sz="4" w:space="0" w:color="auto"/>
            </w:tcBorders>
            <w:shd w:val="clear" w:color="000000" w:fill="FFFFFF"/>
            <w:noWrap/>
            <w:vAlign w:val="bottom"/>
            <w:hideMark/>
          </w:tcPr>
          <w:p w14:paraId="2FF11569" w14:textId="77777777" w:rsidR="00DE48DF" w:rsidRPr="008D4EDD" w:rsidRDefault="00DE48DF">
            <w:pPr>
              <w:jc w:val="center"/>
              <w:rPr>
                <w:color w:val="004147"/>
              </w:rPr>
            </w:pPr>
            <w:r w:rsidRPr="008D4EDD">
              <w:rPr>
                <w:color w:val="004147"/>
              </w:rPr>
              <w:t>15</w:t>
            </w:r>
          </w:p>
        </w:tc>
        <w:tc>
          <w:tcPr>
            <w:tcW w:w="1110" w:type="dxa"/>
            <w:tcBorders>
              <w:top w:val="nil"/>
              <w:left w:val="nil"/>
              <w:bottom w:val="single" w:sz="4" w:space="0" w:color="auto"/>
              <w:right w:val="single" w:sz="4" w:space="0" w:color="auto"/>
            </w:tcBorders>
            <w:shd w:val="clear" w:color="000000" w:fill="FFFFFF"/>
            <w:noWrap/>
            <w:vAlign w:val="bottom"/>
            <w:hideMark/>
          </w:tcPr>
          <w:p w14:paraId="4ECF22FB" w14:textId="77777777" w:rsidR="00DE48DF" w:rsidRPr="008D4EDD" w:rsidRDefault="00DE48DF">
            <w:pPr>
              <w:jc w:val="center"/>
              <w:rPr>
                <w:color w:val="004147"/>
              </w:rPr>
            </w:pPr>
            <w:r w:rsidRPr="008D4EDD">
              <w:rPr>
                <w:color w:val="004147"/>
              </w:rPr>
              <w:t>4</w:t>
            </w:r>
          </w:p>
        </w:tc>
        <w:tc>
          <w:tcPr>
            <w:tcW w:w="1530" w:type="dxa"/>
            <w:tcBorders>
              <w:top w:val="nil"/>
              <w:left w:val="nil"/>
              <w:bottom w:val="single" w:sz="4" w:space="0" w:color="auto"/>
              <w:right w:val="single" w:sz="4" w:space="0" w:color="auto"/>
            </w:tcBorders>
            <w:shd w:val="clear" w:color="000000" w:fill="FFFFFF"/>
            <w:noWrap/>
            <w:vAlign w:val="bottom"/>
            <w:hideMark/>
          </w:tcPr>
          <w:p w14:paraId="7B7DCCC0" w14:textId="77777777" w:rsidR="00DE48DF" w:rsidRPr="008D4EDD" w:rsidRDefault="00DE48DF">
            <w:pPr>
              <w:jc w:val="right"/>
              <w:rPr>
                <w:color w:val="004147"/>
              </w:rPr>
            </w:pPr>
            <w:r w:rsidRPr="008D4EDD">
              <w:rPr>
                <w:color w:val="004147"/>
              </w:rPr>
              <w:t>27%</w:t>
            </w:r>
          </w:p>
        </w:tc>
        <w:tc>
          <w:tcPr>
            <w:tcW w:w="1280" w:type="dxa"/>
            <w:tcBorders>
              <w:top w:val="nil"/>
              <w:left w:val="nil"/>
              <w:bottom w:val="single" w:sz="4" w:space="0" w:color="auto"/>
              <w:right w:val="single" w:sz="4" w:space="0" w:color="auto"/>
            </w:tcBorders>
            <w:shd w:val="clear" w:color="000000" w:fill="FFFFFF"/>
            <w:noWrap/>
            <w:vAlign w:val="bottom"/>
            <w:hideMark/>
          </w:tcPr>
          <w:p w14:paraId="2424CC3A" w14:textId="77777777" w:rsidR="00DE48DF" w:rsidRPr="008D4EDD" w:rsidRDefault="00DE48DF">
            <w:pPr>
              <w:jc w:val="center"/>
              <w:rPr>
                <w:color w:val="004147"/>
              </w:rPr>
            </w:pPr>
            <w:r w:rsidRPr="008D4EDD">
              <w:rPr>
                <w:color w:val="004147"/>
              </w:rPr>
              <w:t>5</w:t>
            </w:r>
          </w:p>
        </w:tc>
        <w:tc>
          <w:tcPr>
            <w:tcW w:w="1530" w:type="dxa"/>
            <w:tcBorders>
              <w:top w:val="nil"/>
              <w:left w:val="nil"/>
              <w:bottom w:val="single" w:sz="4" w:space="0" w:color="auto"/>
              <w:right w:val="single" w:sz="4" w:space="0" w:color="auto"/>
            </w:tcBorders>
            <w:shd w:val="clear" w:color="000000" w:fill="FFFFFF"/>
            <w:noWrap/>
            <w:vAlign w:val="bottom"/>
            <w:hideMark/>
          </w:tcPr>
          <w:p w14:paraId="32BB84E5" w14:textId="77777777" w:rsidR="00DE48DF" w:rsidRPr="008D4EDD" w:rsidRDefault="00DE48DF">
            <w:pPr>
              <w:jc w:val="right"/>
              <w:rPr>
                <w:color w:val="004147"/>
              </w:rPr>
            </w:pPr>
            <w:r w:rsidRPr="008D4EDD">
              <w:rPr>
                <w:color w:val="004147"/>
              </w:rPr>
              <w:t>33%</w:t>
            </w:r>
          </w:p>
        </w:tc>
        <w:tc>
          <w:tcPr>
            <w:tcW w:w="1280" w:type="dxa"/>
            <w:tcBorders>
              <w:top w:val="nil"/>
              <w:left w:val="nil"/>
              <w:bottom w:val="single" w:sz="4" w:space="0" w:color="auto"/>
              <w:right w:val="single" w:sz="4" w:space="0" w:color="auto"/>
            </w:tcBorders>
            <w:shd w:val="clear" w:color="000000" w:fill="FFFFFF"/>
            <w:noWrap/>
            <w:vAlign w:val="bottom"/>
            <w:hideMark/>
          </w:tcPr>
          <w:p w14:paraId="5EE60507" w14:textId="77777777" w:rsidR="00DE48DF" w:rsidRPr="008D4EDD" w:rsidRDefault="00DE48DF">
            <w:pPr>
              <w:jc w:val="center"/>
              <w:rPr>
                <w:color w:val="004147"/>
              </w:rPr>
            </w:pPr>
            <w:r w:rsidRPr="008D4EDD">
              <w:rPr>
                <w:color w:val="004147"/>
              </w:rPr>
              <w:t>5</w:t>
            </w:r>
          </w:p>
        </w:tc>
        <w:tc>
          <w:tcPr>
            <w:tcW w:w="1530" w:type="dxa"/>
            <w:tcBorders>
              <w:top w:val="nil"/>
              <w:left w:val="nil"/>
              <w:bottom w:val="single" w:sz="4" w:space="0" w:color="auto"/>
              <w:right w:val="single" w:sz="4" w:space="0" w:color="auto"/>
            </w:tcBorders>
            <w:shd w:val="clear" w:color="000000" w:fill="FFFFFF"/>
            <w:noWrap/>
            <w:vAlign w:val="bottom"/>
            <w:hideMark/>
          </w:tcPr>
          <w:p w14:paraId="395BD474" w14:textId="77777777" w:rsidR="00DE48DF" w:rsidRPr="008D4EDD" w:rsidRDefault="00DE48DF">
            <w:pPr>
              <w:jc w:val="right"/>
              <w:rPr>
                <w:color w:val="004147"/>
              </w:rPr>
            </w:pPr>
            <w:r w:rsidRPr="008D4EDD">
              <w:rPr>
                <w:color w:val="004147"/>
              </w:rPr>
              <w:t>33%</w:t>
            </w:r>
          </w:p>
        </w:tc>
        <w:tc>
          <w:tcPr>
            <w:tcW w:w="232" w:type="dxa"/>
            <w:vAlign w:val="center"/>
            <w:hideMark/>
          </w:tcPr>
          <w:p w14:paraId="12F24A19" w14:textId="77777777" w:rsidR="00DE48DF" w:rsidRPr="008D4EDD" w:rsidRDefault="00DE48DF"/>
        </w:tc>
      </w:tr>
      <w:tr w:rsidR="00DE48DF" w:rsidRPr="008D4EDD" w14:paraId="37530BC9" w14:textId="77777777" w:rsidTr="008D4EDD">
        <w:trPr>
          <w:trHeight w:val="213"/>
        </w:trPr>
        <w:tc>
          <w:tcPr>
            <w:tcW w:w="1715" w:type="dxa"/>
            <w:tcBorders>
              <w:top w:val="nil"/>
              <w:left w:val="single" w:sz="4" w:space="0" w:color="auto"/>
              <w:bottom w:val="single" w:sz="4" w:space="0" w:color="auto"/>
              <w:right w:val="single" w:sz="4" w:space="0" w:color="auto"/>
            </w:tcBorders>
            <w:shd w:val="clear" w:color="000000" w:fill="FFFFFF"/>
            <w:noWrap/>
            <w:vAlign w:val="bottom"/>
            <w:hideMark/>
          </w:tcPr>
          <w:p w14:paraId="59ABEF30" w14:textId="77777777" w:rsidR="00DE48DF" w:rsidRPr="008D4EDD" w:rsidRDefault="00DE48DF">
            <w:pPr>
              <w:rPr>
                <w:color w:val="004147"/>
              </w:rPr>
            </w:pPr>
            <w:r w:rsidRPr="008D4EDD">
              <w:rPr>
                <w:color w:val="004147"/>
              </w:rPr>
              <w:t>Research and Development</w:t>
            </w:r>
          </w:p>
        </w:tc>
        <w:tc>
          <w:tcPr>
            <w:tcW w:w="1530" w:type="dxa"/>
            <w:tcBorders>
              <w:top w:val="nil"/>
              <w:left w:val="nil"/>
              <w:bottom w:val="single" w:sz="4" w:space="0" w:color="auto"/>
              <w:right w:val="single" w:sz="4" w:space="0" w:color="auto"/>
            </w:tcBorders>
            <w:shd w:val="clear" w:color="000000" w:fill="FFFFFF"/>
            <w:noWrap/>
            <w:vAlign w:val="bottom"/>
            <w:hideMark/>
          </w:tcPr>
          <w:p w14:paraId="3403DEE1" w14:textId="77777777" w:rsidR="00DE48DF" w:rsidRPr="008D4EDD" w:rsidRDefault="00DE48DF">
            <w:pPr>
              <w:jc w:val="center"/>
              <w:rPr>
                <w:color w:val="004147"/>
              </w:rPr>
            </w:pPr>
            <w:r w:rsidRPr="008D4EDD">
              <w:rPr>
                <w:color w:val="004147"/>
              </w:rPr>
              <w:t>8</w:t>
            </w:r>
          </w:p>
        </w:tc>
        <w:tc>
          <w:tcPr>
            <w:tcW w:w="1110" w:type="dxa"/>
            <w:tcBorders>
              <w:top w:val="nil"/>
              <w:left w:val="nil"/>
              <w:bottom w:val="single" w:sz="4" w:space="0" w:color="auto"/>
              <w:right w:val="single" w:sz="4" w:space="0" w:color="auto"/>
            </w:tcBorders>
            <w:shd w:val="clear" w:color="000000" w:fill="FFFFFF"/>
            <w:noWrap/>
            <w:vAlign w:val="bottom"/>
            <w:hideMark/>
          </w:tcPr>
          <w:p w14:paraId="138A1A6F" w14:textId="77777777" w:rsidR="00DE48DF" w:rsidRPr="008D4EDD" w:rsidRDefault="00DE48DF">
            <w:pPr>
              <w:jc w:val="center"/>
              <w:rPr>
                <w:color w:val="004147"/>
              </w:rPr>
            </w:pPr>
            <w:r w:rsidRPr="008D4EDD">
              <w:rPr>
                <w:color w:val="004147"/>
              </w:rPr>
              <w:t>1</w:t>
            </w:r>
          </w:p>
        </w:tc>
        <w:tc>
          <w:tcPr>
            <w:tcW w:w="1530" w:type="dxa"/>
            <w:tcBorders>
              <w:top w:val="nil"/>
              <w:left w:val="nil"/>
              <w:bottom w:val="single" w:sz="4" w:space="0" w:color="auto"/>
              <w:right w:val="single" w:sz="4" w:space="0" w:color="auto"/>
            </w:tcBorders>
            <w:shd w:val="clear" w:color="000000" w:fill="FFFFFF"/>
            <w:noWrap/>
            <w:vAlign w:val="bottom"/>
            <w:hideMark/>
          </w:tcPr>
          <w:p w14:paraId="3424CCBF" w14:textId="77777777" w:rsidR="00DE48DF" w:rsidRPr="008D4EDD" w:rsidRDefault="00DE48DF">
            <w:pPr>
              <w:jc w:val="right"/>
              <w:rPr>
                <w:color w:val="004147"/>
              </w:rPr>
            </w:pPr>
            <w:r w:rsidRPr="008D4EDD">
              <w:rPr>
                <w:color w:val="004147"/>
              </w:rPr>
              <w:t>13%</w:t>
            </w:r>
          </w:p>
        </w:tc>
        <w:tc>
          <w:tcPr>
            <w:tcW w:w="1280" w:type="dxa"/>
            <w:tcBorders>
              <w:top w:val="nil"/>
              <w:left w:val="nil"/>
              <w:bottom w:val="single" w:sz="4" w:space="0" w:color="auto"/>
              <w:right w:val="single" w:sz="4" w:space="0" w:color="auto"/>
            </w:tcBorders>
            <w:shd w:val="clear" w:color="000000" w:fill="FFFFFF"/>
            <w:noWrap/>
            <w:vAlign w:val="bottom"/>
            <w:hideMark/>
          </w:tcPr>
          <w:p w14:paraId="02CF8C9D" w14:textId="77777777" w:rsidR="00DE48DF" w:rsidRPr="008D4EDD" w:rsidRDefault="00DE48DF">
            <w:pPr>
              <w:jc w:val="center"/>
              <w:rPr>
                <w:color w:val="004147"/>
              </w:rPr>
            </w:pPr>
            <w:r w:rsidRPr="008D4EDD">
              <w:rPr>
                <w:color w:val="004147"/>
              </w:rPr>
              <w:t>4</w:t>
            </w:r>
          </w:p>
        </w:tc>
        <w:tc>
          <w:tcPr>
            <w:tcW w:w="1530" w:type="dxa"/>
            <w:tcBorders>
              <w:top w:val="nil"/>
              <w:left w:val="nil"/>
              <w:bottom w:val="single" w:sz="4" w:space="0" w:color="auto"/>
              <w:right w:val="single" w:sz="4" w:space="0" w:color="auto"/>
            </w:tcBorders>
            <w:shd w:val="clear" w:color="000000" w:fill="FFFFFF"/>
            <w:noWrap/>
            <w:vAlign w:val="bottom"/>
            <w:hideMark/>
          </w:tcPr>
          <w:p w14:paraId="6F52129D" w14:textId="77777777" w:rsidR="00DE48DF" w:rsidRPr="008D4EDD" w:rsidRDefault="00DE48DF">
            <w:pPr>
              <w:jc w:val="right"/>
              <w:rPr>
                <w:color w:val="004147"/>
              </w:rPr>
            </w:pPr>
            <w:r w:rsidRPr="008D4EDD">
              <w:rPr>
                <w:color w:val="004147"/>
              </w:rPr>
              <w:t>50%</w:t>
            </w:r>
          </w:p>
        </w:tc>
        <w:tc>
          <w:tcPr>
            <w:tcW w:w="1280" w:type="dxa"/>
            <w:tcBorders>
              <w:top w:val="nil"/>
              <w:left w:val="nil"/>
              <w:bottom w:val="single" w:sz="4" w:space="0" w:color="auto"/>
              <w:right w:val="single" w:sz="4" w:space="0" w:color="auto"/>
            </w:tcBorders>
            <w:shd w:val="clear" w:color="000000" w:fill="FFFFFF"/>
            <w:noWrap/>
            <w:vAlign w:val="bottom"/>
            <w:hideMark/>
          </w:tcPr>
          <w:p w14:paraId="3AA0F7FD" w14:textId="77777777" w:rsidR="00DE48DF" w:rsidRPr="008D4EDD" w:rsidRDefault="00DE48DF">
            <w:pPr>
              <w:jc w:val="center"/>
              <w:rPr>
                <w:color w:val="004147"/>
              </w:rPr>
            </w:pPr>
            <w:r w:rsidRPr="008D4EDD">
              <w:rPr>
                <w:color w:val="004147"/>
              </w:rPr>
              <w:t>4</w:t>
            </w:r>
          </w:p>
        </w:tc>
        <w:tc>
          <w:tcPr>
            <w:tcW w:w="1530" w:type="dxa"/>
            <w:tcBorders>
              <w:top w:val="nil"/>
              <w:left w:val="nil"/>
              <w:bottom w:val="single" w:sz="4" w:space="0" w:color="auto"/>
              <w:right w:val="single" w:sz="4" w:space="0" w:color="auto"/>
            </w:tcBorders>
            <w:shd w:val="clear" w:color="000000" w:fill="FFFFFF"/>
            <w:noWrap/>
            <w:vAlign w:val="bottom"/>
            <w:hideMark/>
          </w:tcPr>
          <w:p w14:paraId="4C56857E" w14:textId="77777777" w:rsidR="00DE48DF" w:rsidRPr="008D4EDD" w:rsidRDefault="00DE48DF">
            <w:pPr>
              <w:jc w:val="right"/>
              <w:rPr>
                <w:color w:val="004147"/>
              </w:rPr>
            </w:pPr>
            <w:r w:rsidRPr="008D4EDD">
              <w:rPr>
                <w:color w:val="004147"/>
              </w:rPr>
              <w:t>50%</w:t>
            </w:r>
          </w:p>
        </w:tc>
        <w:tc>
          <w:tcPr>
            <w:tcW w:w="232" w:type="dxa"/>
            <w:vAlign w:val="center"/>
            <w:hideMark/>
          </w:tcPr>
          <w:p w14:paraId="2E4C11C9" w14:textId="77777777" w:rsidR="00DE48DF" w:rsidRPr="008D4EDD" w:rsidRDefault="00DE48DF"/>
        </w:tc>
      </w:tr>
      <w:tr w:rsidR="00DE48DF" w:rsidRPr="008D4EDD" w14:paraId="6F80A7EE" w14:textId="77777777" w:rsidTr="008D4EDD">
        <w:trPr>
          <w:trHeight w:val="213"/>
        </w:trPr>
        <w:tc>
          <w:tcPr>
            <w:tcW w:w="1715" w:type="dxa"/>
            <w:tcBorders>
              <w:top w:val="nil"/>
              <w:left w:val="single" w:sz="4" w:space="0" w:color="auto"/>
              <w:bottom w:val="single" w:sz="4" w:space="0" w:color="auto"/>
              <w:right w:val="single" w:sz="4" w:space="0" w:color="auto"/>
            </w:tcBorders>
            <w:shd w:val="clear" w:color="000000" w:fill="FFFFFF"/>
            <w:noWrap/>
            <w:vAlign w:val="bottom"/>
            <w:hideMark/>
          </w:tcPr>
          <w:p w14:paraId="07F7E79A" w14:textId="77777777" w:rsidR="00DE48DF" w:rsidRPr="008D4EDD" w:rsidRDefault="00DE48DF">
            <w:pPr>
              <w:rPr>
                <w:color w:val="004147"/>
              </w:rPr>
            </w:pPr>
            <w:r w:rsidRPr="008D4EDD">
              <w:rPr>
                <w:color w:val="004147"/>
              </w:rPr>
              <w:t>Quality control</w:t>
            </w:r>
          </w:p>
        </w:tc>
        <w:tc>
          <w:tcPr>
            <w:tcW w:w="1530" w:type="dxa"/>
            <w:tcBorders>
              <w:top w:val="nil"/>
              <w:left w:val="nil"/>
              <w:bottom w:val="single" w:sz="4" w:space="0" w:color="auto"/>
              <w:right w:val="single" w:sz="4" w:space="0" w:color="auto"/>
            </w:tcBorders>
            <w:shd w:val="clear" w:color="000000" w:fill="FFFFFF"/>
            <w:noWrap/>
            <w:vAlign w:val="bottom"/>
            <w:hideMark/>
          </w:tcPr>
          <w:p w14:paraId="4C7CC0A8" w14:textId="77777777" w:rsidR="00DE48DF" w:rsidRPr="008D4EDD" w:rsidRDefault="00DE48DF">
            <w:pPr>
              <w:jc w:val="center"/>
              <w:rPr>
                <w:color w:val="004147"/>
              </w:rPr>
            </w:pPr>
            <w:r w:rsidRPr="008D4EDD">
              <w:rPr>
                <w:color w:val="004147"/>
              </w:rPr>
              <w:t>4</w:t>
            </w:r>
          </w:p>
        </w:tc>
        <w:tc>
          <w:tcPr>
            <w:tcW w:w="1110" w:type="dxa"/>
            <w:tcBorders>
              <w:top w:val="nil"/>
              <w:left w:val="nil"/>
              <w:bottom w:val="single" w:sz="4" w:space="0" w:color="auto"/>
              <w:right w:val="single" w:sz="4" w:space="0" w:color="auto"/>
            </w:tcBorders>
            <w:shd w:val="clear" w:color="000000" w:fill="FFFFFF"/>
            <w:noWrap/>
            <w:vAlign w:val="bottom"/>
            <w:hideMark/>
          </w:tcPr>
          <w:p w14:paraId="68F7D255" w14:textId="77777777" w:rsidR="00DE48DF" w:rsidRPr="008D4EDD" w:rsidRDefault="00DE48DF">
            <w:pPr>
              <w:jc w:val="center"/>
              <w:rPr>
                <w:color w:val="004147"/>
              </w:rPr>
            </w:pPr>
            <w:r w:rsidRPr="008D4EDD">
              <w:rPr>
                <w:color w:val="004147"/>
              </w:rPr>
              <w:t>2</w:t>
            </w:r>
          </w:p>
        </w:tc>
        <w:tc>
          <w:tcPr>
            <w:tcW w:w="1530" w:type="dxa"/>
            <w:tcBorders>
              <w:top w:val="nil"/>
              <w:left w:val="nil"/>
              <w:bottom w:val="single" w:sz="4" w:space="0" w:color="auto"/>
              <w:right w:val="single" w:sz="4" w:space="0" w:color="auto"/>
            </w:tcBorders>
            <w:shd w:val="clear" w:color="000000" w:fill="FFFFFF"/>
            <w:noWrap/>
            <w:vAlign w:val="bottom"/>
            <w:hideMark/>
          </w:tcPr>
          <w:p w14:paraId="064CF6E7" w14:textId="77777777" w:rsidR="00DE48DF" w:rsidRPr="008D4EDD" w:rsidRDefault="00DE48DF">
            <w:pPr>
              <w:jc w:val="right"/>
              <w:rPr>
                <w:color w:val="004147"/>
              </w:rPr>
            </w:pPr>
            <w:r w:rsidRPr="008D4EDD">
              <w:rPr>
                <w:color w:val="004147"/>
              </w:rPr>
              <w:t>50%</w:t>
            </w:r>
          </w:p>
        </w:tc>
        <w:tc>
          <w:tcPr>
            <w:tcW w:w="1280" w:type="dxa"/>
            <w:tcBorders>
              <w:top w:val="nil"/>
              <w:left w:val="nil"/>
              <w:bottom w:val="single" w:sz="4" w:space="0" w:color="auto"/>
              <w:right w:val="single" w:sz="4" w:space="0" w:color="auto"/>
            </w:tcBorders>
            <w:shd w:val="clear" w:color="000000" w:fill="FFFFFF"/>
            <w:noWrap/>
            <w:vAlign w:val="bottom"/>
            <w:hideMark/>
          </w:tcPr>
          <w:p w14:paraId="51A89E3C" w14:textId="77777777" w:rsidR="00DE48DF" w:rsidRPr="008D4EDD" w:rsidRDefault="00DE48DF">
            <w:pPr>
              <w:jc w:val="center"/>
              <w:rPr>
                <w:color w:val="004147"/>
              </w:rPr>
            </w:pPr>
            <w:r w:rsidRPr="008D4EDD">
              <w:rPr>
                <w:color w:val="004147"/>
              </w:rPr>
              <w:t>3</w:t>
            </w:r>
          </w:p>
        </w:tc>
        <w:tc>
          <w:tcPr>
            <w:tcW w:w="1530" w:type="dxa"/>
            <w:tcBorders>
              <w:top w:val="nil"/>
              <w:left w:val="nil"/>
              <w:bottom w:val="single" w:sz="4" w:space="0" w:color="auto"/>
              <w:right w:val="single" w:sz="4" w:space="0" w:color="auto"/>
            </w:tcBorders>
            <w:shd w:val="clear" w:color="000000" w:fill="FFFFFF"/>
            <w:noWrap/>
            <w:vAlign w:val="bottom"/>
            <w:hideMark/>
          </w:tcPr>
          <w:p w14:paraId="4CCB44FA" w14:textId="77777777" w:rsidR="00DE48DF" w:rsidRPr="008D4EDD" w:rsidRDefault="00DE48DF">
            <w:pPr>
              <w:jc w:val="right"/>
              <w:rPr>
                <w:color w:val="004147"/>
              </w:rPr>
            </w:pPr>
            <w:r w:rsidRPr="008D4EDD">
              <w:rPr>
                <w:color w:val="004147"/>
              </w:rPr>
              <w:t>75%</w:t>
            </w:r>
          </w:p>
        </w:tc>
        <w:tc>
          <w:tcPr>
            <w:tcW w:w="1280" w:type="dxa"/>
            <w:tcBorders>
              <w:top w:val="nil"/>
              <w:left w:val="nil"/>
              <w:bottom w:val="single" w:sz="4" w:space="0" w:color="auto"/>
              <w:right w:val="single" w:sz="4" w:space="0" w:color="auto"/>
            </w:tcBorders>
            <w:shd w:val="clear" w:color="000000" w:fill="FFFFFF"/>
            <w:noWrap/>
            <w:vAlign w:val="bottom"/>
            <w:hideMark/>
          </w:tcPr>
          <w:p w14:paraId="2D221B37" w14:textId="77777777" w:rsidR="00DE48DF" w:rsidRPr="008D4EDD" w:rsidRDefault="00DE48DF">
            <w:pPr>
              <w:jc w:val="center"/>
              <w:rPr>
                <w:color w:val="004147"/>
              </w:rPr>
            </w:pPr>
            <w:r w:rsidRPr="008D4EDD">
              <w:rPr>
                <w:color w:val="004147"/>
              </w:rPr>
              <w:t>3</w:t>
            </w:r>
          </w:p>
        </w:tc>
        <w:tc>
          <w:tcPr>
            <w:tcW w:w="1530" w:type="dxa"/>
            <w:tcBorders>
              <w:top w:val="nil"/>
              <w:left w:val="nil"/>
              <w:bottom w:val="single" w:sz="4" w:space="0" w:color="auto"/>
              <w:right w:val="single" w:sz="4" w:space="0" w:color="auto"/>
            </w:tcBorders>
            <w:shd w:val="clear" w:color="000000" w:fill="FFFFFF"/>
            <w:noWrap/>
            <w:vAlign w:val="bottom"/>
            <w:hideMark/>
          </w:tcPr>
          <w:p w14:paraId="107AD224" w14:textId="77777777" w:rsidR="00DE48DF" w:rsidRPr="008D4EDD" w:rsidRDefault="00DE48DF">
            <w:pPr>
              <w:jc w:val="right"/>
              <w:rPr>
                <w:color w:val="004147"/>
              </w:rPr>
            </w:pPr>
            <w:r w:rsidRPr="008D4EDD">
              <w:rPr>
                <w:color w:val="004147"/>
              </w:rPr>
              <w:t>75%</w:t>
            </w:r>
          </w:p>
        </w:tc>
        <w:tc>
          <w:tcPr>
            <w:tcW w:w="232" w:type="dxa"/>
            <w:vAlign w:val="center"/>
            <w:hideMark/>
          </w:tcPr>
          <w:p w14:paraId="52DC7BA7" w14:textId="77777777" w:rsidR="00DE48DF" w:rsidRPr="008D4EDD" w:rsidRDefault="00DE48DF"/>
        </w:tc>
      </w:tr>
      <w:tr w:rsidR="00DE48DF" w:rsidRPr="008D4EDD" w14:paraId="2F29E529" w14:textId="77777777" w:rsidTr="008D4EDD">
        <w:trPr>
          <w:trHeight w:val="213"/>
        </w:trPr>
        <w:tc>
          <w:tcPr>
            <w:tcW w:w="1715" w:type="dxa"/>
            <w:tcBorders>
              <w:top w:val="nil"/>
              <w:left w:val="single" w:sz="4" w:space="0" w:color="auto"/>
              <w:bottom w:val="single" w:sz="4" w:space="0" w:color="auto"/>
              <w:right w:val="single" w:sz="4" w:space="0" w:color="auto"/>
            </w:tcBorders>
            <w:shd w:val="clear" w:color="000000" w:fill="FFFFFF"/>
            <w:noWrap/>
            <w:vAlign w:val="bottom"/>
            <w:hideMark/>
          </w:tcPr>
          <w:p w14:paraId="35B755BD" w14:textId="77777777" w:rsidR="00DE48DF" w:rsidRPr="008D4EDD" w:rsidRDefault="00DE48DF">
            <w:pPr>
              <w:rPr>
                <w:color w:val="004147"/>
              </w:rPr>
            </w:pPr>
            <w:r w:rsidRPr="008D4EDD">
              <w:rPr>
                <w:color w:val="004147"/>
              </w:rPr>
              <w:t xml:space="preserve">Dispatch </w:t>
            </w:r>
          </w:p>
        </w:tc>
        <w:tc>
          <w:tcPr>
            <w:tcW w:w="1530" w:type="dxa"/>
            <w:tcBorders>
              <w:top w:val="nil"/>
              <w:left w:val="nil"/>
              <w:bottom w:val="single" w:sz="4" w:space="0" w:color="auto"/>
              <w:right w:val="single" w:sz="4" w:space="0" w:color="auto"/>
            </w:tcBorders>
            <w:shd w:val="clear" w:color="000000" w:fill="FFFFFF"/>
            <w:noWrap/>
            <w:vAlign w:val="bottom"/>
            <w:hideMark/>
          </w:tcPr>
          <w:p w14:paraId="55610C4D" w14:textId="77777777" w:rsidR="00DE48DF" w:rsidRPr="008D4EDD" w:rsidRDefault="00DE48DF">
            <w:pPr>
              <w:jc w:val="center"/>
              <w:rPr>
                <w:color w:val="004147"/>
              </w:rPr>
            </w:pPr>
            <w:r w:rsidRPr="008D4EDD">
              <w:rPr>
                <w:color w:val="004147"/>
              </w:rPr>
              <w:t>15</w:t>
            </w:r>
          </w:p>
        </w:tc>
        <w:tc>
          <w:tcPr>
            <w:tcW w:w="1110" w:type="dxa"/>
            <w:tcBorders>
              <w:top w:val="nil"/>
              <w:left w:val="nil"/>
              <w:bottom w:val="single" w:sz="4" w:space="0" w:color="auto"/>
              <w:right w:val="single" w:sz="4" w:space="0" w:color="auto"/>
            </w:tcBorders>
            <w:shd w:val="clear" w:color="000000" w:fill="FFFFFF"/>
            <w:noWrap/>
            <w:vAlign w:val="bottom"/>
            <w:hideMark/>
          </w:tcPr>
          <w:p w14:paraId="0721BB3F" w14:textId="77777777" w:rsidR="00DE48DF" w:rsidRPr="008D4EDD" w:rsidRDefault="00DE48DF">
            <w:pPr>
              <w:jc w:val="center"/>
              <w:rPr>
                <w:color w:val="004147"/>
              </w:rPr>
            </w:pPr>
            <w:r w:rsidRPr="008D4EDD">
              <w:rPr>
                <w:color w:val="004147"/>
              </w:rPr>
              <w:t>4</w:t>
            </w:r>
          </w:p>
        </w:tc>
        <w:tc>
          <w:tcPr>
            <w:tcW w:w="1530" w:type="dxa"/>
            <w:tcBorders>
              <w:top w:val="nil"/>
              <w:left w:val="nil"/>
              <w:bottom w:val="single" w:sz="4" w:space="0" w:color="auto"/>
              <w:right w:val="single" w:sz="4" w:space="0" w:color="auto"/>
            </w:tcBorders>
            <w:shd w:val="clear" w:color="000000" w:fill="FFFFFF"/>
            <w:noWrap/>
            <w:vAlign w:val="bottom"/>
            <w:hideMark/>
          </w:tcPr>
          <w:p w14:paraId="34190820" w14:textId="77777777" w:rsidR="00DE48DF" w:rsidRPr="008D4EDD" w:rsidRDefault="00DE48DF">
            <w:pPr>
              <w:jc w:val="right"/>
              <w:rPr>
                <w:color w:val="004147"/>
              </w:rPr>
            </w:pPr>
            <w:r w:rsidRPr="008D4EDD">
              <w:rPr>
                <w:color w:val="004147"/>
              </w:rPr>
              <w:t>27%</w:t>
            </w:r>
          </w:p>
        </w:tc>
        <w:tc>
          <w:tcPr>
            <w:tcW w:w="1280" w:type="dxa"/>
            <w:tcBorders>
              <w:top w:val="nil"/>
              <w:left w:val="nil"/>
              <w:bottom w:val="single" w:sz="4" w:space="0" w:color="auto"/>
              <w:right w:val="single" w:sz="4" w:space="0" w:color="auto"/>
            </w:tcBorders>
            <w:shd w:val="clear" w:color="000000" w:fill="FFFFFF"/>
            <w:noWrap/>
            <w:vAlign w:val="bottom"/>
            <w:hideMark/>
          </w:tcPr>
          <w:p w14:paraId="3F597BDB" w14:textId="77777777" w:rsidR="00DE48DF" w:rsidRPr="008D4EDD" w:rsidRDefault="00DE48DF">
            <w:pPr>
              <w:jc w:val="center"/>
              <w:rPr>
                <w:color w:val="004147"/>
              </w:rPr>
            </w:pPr>
            <w:r w:rsidRPr="008D4EDD">
              <w:rPr>
                <w:color w:val="004147"/>
              </w:rPr>
              <w:t>6</w:t>
            </w:r>
          </w:p>
        </w:tc>
        <w:tc>
          <w:tcPr>
            <w:tcW w:w="1530" w:type="dxa"/>
            <w:tcBorders>
              <w:top w:val="nil"/>
              <w:left w:val="nil"/>
              <w:bottom w:val="single" w:sz="4" w:space="0" w:color="auto"/>
              <w:right w:val="single" w:sz="4" w:space="0" w:color="auto"/>
            </w:tcBorders>
            <w:shd w:val="clear" w:color="000000" w:fill="FFFFFF"/>
            <w:noWrap/>
            <w:vAlign w:val="bottom"/>
            <w:hideMark/>
          </w:tcPr>
          <w:p w14:paraId="66F15E4B" w14:textId="77777777" w:rsidR="00DE48DF" w:rsidRPr="008D4EDD" w:rsidRDefault="00DE48DF">
            <w:pPr>
              <w:jc w:val="right"/>
              <w:rPr>
                <w:color w:val="004147"/>
              </w:rPr>
            </w:pPr>
            <w:r w:rsidRPr="008D4EDD">
              <w:rPr>
                <w:color w:val="004147"/>
              </w:rPr>
              <w:t>40%</w:t>
            </w:r>
          </w:p>
        </w:tc>
        <w:tc>
          <w:tcPr>
            <w:tcW w:w="1280" w:type="dxa"/>
            <w:tcBorders>
              <w:top w:val="nil"/>
              <w:left w:val="nil"/>
              <w:bottom w:val="single" w:sz="4" w:space="0" w:color="auto"/>
              <w:right w:val="single" w:sz="4" w:space="0" w:color="auto"/>
            </w:tcBorders>
            <w:shd w:val="clear" w:color="000000" w:fill="FFFFFF"/>
            <w:noWrap/>
            <w:vAlign w:val="bottom"/>
            <w:hideMark/>
          </w:tcPr>
          <w:p w14:paraId="54BB4600" w14:textId="77777777" w:rsidR="00DE48DF" w:rsidRPr="008D4EDD" w:rsidRDefault="00DE48DF">
            <w:pPr>
              <w:jc w:val="center"/>
              <w:rPr>
                <w:color w:val="004147"/>
              </w:rPr>
            </w:pPr>
            <w:r w:rsidRPr="008D4EDD">
              <w:rPr>
                <w:color w:val="004147"/>
              </w:rPr>
              <w:t>6</w:t>
            </w:r>
          </w:p>
        </w:tc>
        <w:tc>
          <w:tcPr>
            <w:tcW w:w="1530" w:type="dxa"/>
            <w:tcBorders>
              <w:top w:val="nil"/>
              <w:left w:val="nil"/>
              <w:bottom w:val="single" w:sz="4" w:space="0" w:color="auto"/>
              <w:right w:val="single" w:sz="4" w:space="0" w:color="auto"/>
            </w:tcBorders>
            <w:shd w:val="clear" w:color="000000" w:fill="FFFFFF"/>
            <w:noWrap/>
            <w:vAlign w:val="bottom"/>
            <w:hideMark/>
          </w:tcPr>
          <w:p w14:paraId="2F795747" w14:textId="77777777" w:rsidR="00DE48DF" w:rsidRPr="008D4EDD" w:rsidRDefault="00DE48DF">
            <w:pPr>
              <w:jc w:val="right"/>
              <w:rPr>
                <w:color w:val="004147"/>
              </w:rPr>
            </w:pPr>
            <w:r w:rsidRPr="008D4EDD">
              <w:rPr>
                <w:color w:val="004147"/>
              </w:rPr>
              <w:t>40%</w:t>
            </w:r>
          </w:p>
        </w:tc>
        <w:tc>
          <w:tcPr>
            <w:tcW w:w="232" w:type="dxa"/>
            <w:vAlign w:val="center"/>
            <w:hideMark/>
          </w:tcPr>
          <w:p w14:paraId="5D15FA22" w14:textId="77777777" w:rsidR="00DE48DF" w:rsidRPr="008D4EDD" w:rsidRDefault="00DE48DF"/>
        </w:tc>
      </w:tr>
      <w:tr w:rsidR="00DE48DF" w:rsidRPr="008D4EDD" w14:paraId="0967ED90" w14:textId="77777777" w:rsidTr="008D4EDD">
        <w:trPr>
          <w:trHeight w:val="213"/>
        </w:trPr>
        <w:tc>
          <w:tcPr>
            <w:tcW w:w="1715" w:type="dxa"/>
            <w:tcBorders>
              <w:top w:val="nil"/>
              <w:left w:val="single" w:sz="4" w:space="0" w:color="auto"/>
              <w:bottom w:val="single" w:sz="4" w:space="0" w:color="auto"/>
              <w:right w:val="single" w:sz="4" w:space="0" w:color="auto"/>
            </w:tcBorders>
            <w:shd w:val="clear" w:color="000000" w:fill="FFFFFF"/>
            <w:noWrap/>
            <w:vAlign w:val="bottom"/>
            <w:hideMark/>
          </w:tcPr>
          <w:p w14:paraId="75492491" w14:textId="77777777" w:rsidR="00DE48DF" w:rsidRPr="008D4EDD" w:rsidRDefault="00DE48DF">
            <w:pPr>
              <w:rPr>
                <w:color w:val="004147"/>
              </w:rPr>
            </w:pPr>
            <w:r w:rsidRPr="008D4EDD">
              <w:rPr>
                <w:color w:val="004147"/>
              </w:rPr>
              <w:t xml:space="preserve">Engineering </w:t>
            </w:r>
          </w:p>
        </w:tc>
        <w:tc>
          <w:tcPr>
            <w:tcW w:w="1530" w:type="dxa"/>
            <w:tcBorders>
              <w:top w:val="nil"/>
              <w:left w:val="nil"/>
              <w:bottom w:val="single" w:sz="4" w:space="0" w:color="auto"/>
              <w:right w:val="single" w:sz="4" w:space="0" w:color="auto"/>
            </w:tcBorders>
            <w:shd w:val="clear" w:color="000000" w:fill="FFFFFF"/>
            <w:noWrap/>
            <w:vAlign w:val="bottom"/>
            <w:hideMark/>
          </w:tcPr>
          <w:p w14:paraId="120CC43E" w14:textId="77777777" w:rsidR="00DE48DF" w:rsidRPr="008D4EDD" w:rsidRDefault="00DE48DF">
            <w:pPr>
              <w:jc w:val="center"/>
              <w:rPr>
                <w:color w:val="004147"/>
              </w:rPr>
            </w:pPr>
            <w:r w:rsidRPr="008D4EDD">
              <w:rPr>
                <w:color w:val="004147"/>
              </w:rPr>
              <w:t>35</w:t>
            </w:r>
          </w:p>
        </w:tc>
        <w:tc>
          <w:tcPr>
            <w:tcW w:w="1110" w:type="dxa"/>
            <w:tcBorders>
              <w:top w:val="nil"/>
              <w:left w:val="nil"/>
              <w:bottom w:val="single" w:sz="4" w:space="0" w:color="auto"/>
              <w:right w:val="single" w:sz="4" w:space="0" w:color="auto"/>
            </w:tcBorders>
            <w:shd w:val="clear" w:color="000000" w:fill="FFFFFF"/>
            <w:noWrap/>
            <w:vAlign w:val="bottom"/>
            <w:hideMark/>
          </w:tcPr>
          <w:p w14:paraId="0ED131DA" w14:textId="77777777" w:rsidR="00DE48DF" w:rsidRPr="008D4EDD" w:rsidRDefault="00DE48DF">
            <w:pPr>
              <w:jc w:val="center"/>
              <w:rPr>
                <w:color w:val="004147"/>
              </w:rPr>
            </w:pPr>
            <w:r w:rsidRPr="008D4EDD">
              <w:rPr>
                <w:color w:val="004147"/>
              </w:rPr>
              <w:t>8</w:t>
            </w:r>
          </w:p>
        </w:tc>
        <w:tc>
          <w:tcPr>
            <w:tcW w:w="1530" w:type="dxa"/>
            <w:tcBorders>
              <w:top w:val="nil"/>
              <w:left w:val="nil"/>
              <w:bottom w:val="single" w:sz="4" w:space="0" w:color="auto"/>
              <w:right w:val="single" w:sz="4" w:space="0" w:color="auto"/>
            </w:tcBorders>
            <w:shd w:val="clear" w:color="000000" w:fill="FFFFFF"/>
            <w:noWrap/>
            <w:vAlign w:val="bottom"/>
            <w:hideMark/>
          </w:tcPr>
          <w:p w14:paraId="0A723BEF" w14:textId="77777777" w:rsidR="00DE48DF" w:rsidRPr="008D4EDD" w:rsidRDefault="00DE48DF">
            <w:pPr>
              <w:jc w:val="right"/>
              <w:rPr>
                <w:color w:val="004147"/>
              </w:rPr>
            </w:pPr>
            <w:r w:rsidRPr="008D4EDD">
              <w:rPr>
                <w:color w:val="004147"/>
              </w:rPr>
              <w:t>23%</w:t>
            </w:r>
          </w:p>
        </w:tc>
        <w:tc>
          <w:tcPr>
            <w:tcW w:w="1280" w:type="dxa"/>
            <w:tcBorders>
              <w:top w:val="nil"/>
              <w:left w:val="nil"/>
              <w:bottom w:val="single" w:sz="4" w:space="0" w:color="auto"/>
              <w:right w:val="single" w:sz="4" w:space="0" w:color="auto"/>
            </w:tcBorders>
            <w:shd w:val="clear" w:color="000000" w:fill="FFFFFF"/>
            <w:noWrap/>
            <w:vAlign w:val="bottom"/>
            <w:hideMark/>
          </w:tcPr>
          <w:p w14:paraId="5B71FB17" w14:textId="77777777" w:rsidR="00DE48DF" w:rsidRPr="008D4EDD" w:rsidRDefault="00DE48DF">
            <w:pPr>
              <w:jc w:val="center"/>
              <w:rPr>
                <w:color w:val="004147"/>
              </w:rPr>
            </w:pPr>
            <w:r w:rsidRPr="008D4EDD">
              <w:rPr>
                <w:color w:val="004147"/>
              </w:rPr>
              <w:t>8</w:t>
            </w:r>
          </w:p>
        </w:tc>
        <w:tc>
          <w:tcPr>
            <w:tcW w:w="1530" w:type="dxa"/>
            <w:tcBorders>
              <w:top w:val="nil"/>
              <w:left w:val="nil"/>
              <w:bottom w:val="single" w:sz="4" w:space="0" w:color="auto"/>
              <w:right w:val="single" w:sz="4" w:space="0" w:color="auto"/>
            </w:tcBorders>
            <w:shd w:val="clear" w:color="000000" w:fill="FFFFFF"/>
            <w:noWrap/>
            <w:vAlign w:val="bottom"/>
            <w:hideMark/>
          </w:tcPr>
          <w:p w14:paraId="3EBA9532" w14:textId="77777777" w:rsidR="00DE48DF" w:rsidRPr="008D4EDD" w:rsidRDefault="00DE48DF">
            <w:pPr>
              <w:jc w:val="right"/>
              <w:rPr>
                <w:color w:val="004147"/>
              </w:rPr>
            </w:pPr>
            <w:r w:rsidRPr="008D4EDD">
              <w:rPr>
                <w:color w:val="004147"/>
              </w:rPr>
              <w:t>23%</w:t>
            </w:r>
          </w:p>
        </w:tc>
        <w:tc>
          <w:tcPr>
            <w:tcW w:w="1280" w:type="dxa"/>
            <w:tcBorders>
              <w:top w:val="nil"/>
              <w:left w:val="nil"/>
              <w:bottom w:val="single" w:sz="4" w:space="0" w:color="auto"/>
              <w:right w:val="single" w:sz="4" w:space="0" w:color="auto"/>
            </w:tcBorders>
            <w:shd w:val="clear" w:color="000000" w:fill="FFFFFF"/>
            <w:noWrap/>
            <w:vAlign w:val="bottom"/>
            <w:hideMark/>
          </w:tcPr>
          <w:p w14:paraId="16FA71F6" w14:textId="77777777" w:rsidR="00DE48DF" w:rsidRPr="008D4EDD" w:rsidRDefault="00DE48DF">
            <w:pPr>
              <w:jc w:val="center"/>
              <w:rPr>
                <w:color w:val="004147"/>
              </w:rPr>
            </w:pPr>
            <w:r w:rsidRPr="008D4EDD">
              <w:rPr>
                <w:color w:val="004147"/>
              </w:rPr>
              <w:t>3</w:t>
            </w:r>
          </w:p>
        </w:tc>
        <w:tc>
          <w:tcPr>
            <w:tcW w:w="1530" w:type="dxa"/>
            <w:tcBorders>
              <w:top w:val="nil"/>
              <w:left w:val="nil"/>
              <w:bottom w:val="single" w:sz="4" w:space="0" w:color="auto"/>
              <w:right w:val="single" w:sz="4" w:space="0" w:color="auto"/>
            </w:tcBorders>
            <w:shd w:val="clear" w:color="000000" w:fill="FFFFFF"/>
            <w:noWrap/>
            <w:vAlign w:val="bottom"/>
            <w:hideMark/>
          </w:tcPr>
          <w:p w14:paraId="20F2B932" w14:textId="77777777" w:rsidR="00DE48DF" w:rsidRPr="008D4EDD" w:rsidRDefault="00DE48DF">
            <w:pPr>
              <w:jc w:val="right"/>
              <w:rPr>
                <w:color w:val="004147"/>
              </w:rPr>
            </w:pPr>
            <w:r w:rsidRPr="008D4EDD">
              <w:rPr>
                <w:color w:val="004147"/>
              </w:rPr>
              <w:t>9%</w:t>
            </w:r>
          </w:p>
        </w:tc>
        <w:tc>
          <w:tcPr>
            <w:tcW w:w="232" w:type="dxa"/>
            <w:vAlign w:val="center"/>
            <w:hideMark/>
          </w:tcPr>
          <w:p w14:paraId="1AB769F0" w14:textId="77777777" w:rsidR="00DE48DF" w:rsidRPr="008D4EDD" w:rsidRDefault="00DE48DF"/>
        </w:tc>
      </w:tr>
      <w:tr w:rsidR="00DE48DF" w:rsidRPr="008D4EDD" w14:paraId="2CAE9F5F" w14:textId="77777777" w:rsidTr="008D4EDD">
        <w:trPr>
          <w:trHeight w:val="213"/>
        </w:trPr>
        <w:tc>
          <w:tcPr>
            <w:tcW w:w="1715" w:type="dxa"/>
            <w:tcBorders>
              <w:top w:val="nil"/>
              <w:left w:val="single" w:sz="4" w:space="0" w:color="auto"/>
              <w:bottom w:val="single" w:sz="4" w:space="0" w:color="auto"/>
              <w:right w:val="single" w:sz="4" w:space="0" w:color="auto"/>
            </w:tcBorders>
            <w:shd w:val="clear" w:color="000000" w:fill="FFFFFF"/>
            <w:noWrap/>
            <w:vAlign w:val="bottom"/>
            <w:hideMark/>
          </w:tcPr>
          <w:p w14:paraId="73116AD3" w14:textId="77777777" w:rsidR="00DE48DF" w:rsidRPr="008D4EDD" w:rsidRDefault="00DE48DF">
            <w:pPr>
              <w:rPr>
                <w:color w:val="004147"/>
              </w:rPr>
            </w:pPr>
            <w:r w:rsidRPr="008D4EDD">
              <w:rPr>
                <w:color w:val="004147"/>
              </w:rPr>
              <w:t xml:space="preserve">Casting Department </w:t>
            </w:r>
          </w:p>
        </w:tc>
        <w:tc>
          <w:tcPr>
            <w:tcW w:w="1530" w:type="dxa"/>
            <w:tcBorders>
              <w:top w:val="nil"/>
              <w:left w:val="nil"/>
              <w:bottom w:val="single" w:sz="4" w:space="0" w:color="auto"/>
              <w:right w:val="single" w:sz="4" w:space="0" w:color="auto"/>
            </w:tcBorders>
            <w:shd w:val="clear" w:color="000000" w:fill="FFFFFF"/>
            <w:noWrap/>
            <w:vAlign w:val="bottom"/>
            <w:hideMark/>
          </w:tcPr>
          <w:p w14:paraId="7E3C25B9" w14:textId="77777777" w:rsidR="00DE48DF" w:rsidRPr="008D4EDD" w:rsidRDefault="00DE48DF">
            <w:pPr>
              <w:jc w:val="center"/>
              <w:rPr>
                <w:color w:val="004147"/>
              </w:rPr>
            </w:pPr>
            <w:r w:rsidRPr="008D4EDD">
              <w:rPr>
                <w:color w:val="004147"/>
              </w:rPr>
              <w:t>6</w:t>
            </w:r>
          </w:p>
        </w:tc>
        <w:tc>
          <w:tcPr>
            <w:tcW w:w="1110" w:type="dxa"/>
            <w:tcBorders>
              <w:top w:val="nil"/>
              <w:left w:val="nil"/>
              <w:bottom w:val="single" w:sz="4" w:space="0" w:color="auto"/>
              <w:right w:val="single" w:sz="4" w:space="0" w:color="auto"/>
            </w:tcBorders>
            <w:shd w:val="clear" w:color="000000" w:fill="FFFFFF"/>
            <w:noWrap/>
            <w:vAlign w:val="bottom"/>
            <w:hideMark/>
          </w:tcPr>
          <w:p w14:paraId="64801AD3" w14:textId="77777777" w:rsidR="00DE48DF" w:rsidRPr="008D4EDD" w:rsidRDefault="00DE48DF">
            <w:pPr>
              <w:jc w:val="center"/>
              <w:rPr>
                <w:color w:val="004147"/>
              </w:rPr>
            </w:pPr>
            <w:r w:rsidRPr="008D4EDD">
              <w:rPr>
                <w:color w:val="004147"/>
              </w:rPr>
              <w:t>3</w:t>
            </w:r>
          </w:p>
        </w:tc>
        <w:tc>
          <w:tcPr>
            <w:tcW w:w="1530" w:type="dxa"/>
            <w:tcBorders>
              <w:top w:val="nil"/>
              <w:left w:val="nil"/>
              <w:bottom w:val="single" w:sz="4" w:space="0" w:color="auto"/>
              <w:right w:val="single" w:sz="4" w:space="0" w:color="auto"/>
            </w:tcBorders>
            <w:shd w:val="clear" w:color="000000" w:fill="FFFFFF"/>
            <w:noWrap/>
            <w:vAlign w:val="bottom"/>
            <w:hideMark/>
          </w:tcPr>
          <w:p w14:paraId="2191EACB" w14:textId="77777777" w:rsidR="00DE48DF" w:rsidRPr="008D4EDD" w:rsidRDefault="00DE48DF">
            <w:pPr>
              <w:jc w:val="right"/>
              <w:rPr>
                <w:color w:val="004147"/>
              </w:rPr>
            </w:pPr>
            <w:r w:rsidRPr="008D4EDD">
              <w:rPr>
                <w:color w:val="004147"/>
              </w:rPr>
              <w:t>50%</w:t>
            </w:r>
          </w:p>
        </w:tc>
        <w:tc>
          <w:tcPr>
            <w:tcW w:w="1280" w:type="dxa"/>
            <w:tcBorders>
              <w:top w:val="nil"/>
              <w:left w:val="nil"/>
              <w:bottom w:val="single" w:sz="4" w:space="0" w:color="auto"/>
              <w:right w:val="single" w:sz="4" w:space="0" w:color="auto"/>
            </w:tcBorders>
            <w:shd w:val="clear" w:color="000000" w:fill="FFFFFF"/>
            <w:noWrap/>
            <w:vAlign w:val="bottom"/>
            <w:hideMark/>
          </w:tcPr>
          <w:p w14:paraId="75E934ED" w14:textId="77777777" w:rsidR="00DE48DF" w:rsidRPr="008D4EDD" w:rsidRDefault="00DE48DF">
            <w:pPr>
              <w:jc w:val="center"/>
              <w:rPr>
                <w:color w:val="004147"/>
              </w:rPr>
            </w:pPr>
            <w:r w:rsidRPr="008D4EDD">
              <w:rPr>
                <w:color w:val="004147"/>
              </w:rPr>
              <w:t>5</w:t>
            </w:r>
          </w:p>
        </w:tc>
        <w:tc>
          <w:tcPr>
            <w:tcW w:w="1530" w:type="dxa"/>
            <w:tcBorders>
              <w:top w:val="nil"/>
              <w:left w:val="nil"/>
              <w:bottom w:val="single" w:sz="4" w:space="0" w:color="auto"/>
              <w:right w:val="single" w:sz="4" w:space="0" w:color="auto"/>
            </w:tcBorders>
            <w:shd w:val="clear" w:color="000000" w:fill="FFFFFF"/>
            <w:noWrap/>
            <w:vAlign w:val="bottom"/>
            <w:hideMark/>
          </w:tcPr>
          <w:p w14:paraId="0EA0575F" w14:textId="77777777" w:rsidR="00DE48DF" w:rsidRPr="008D4EDD" w:rsidRDefault="00DE48DF">
            <w:pPr>
              <w:jc w:val="right"/>
              <w:rPr>
                <w:color w:val="004147"/>
              </w:rPr>
            </w:pPr>
            <w:r w:rsidRPr="008D4EDD">
              <w:rPr>
                <w:color w:val="004147"/>
              </w:rPr>
              <w:t>83%</w:t>
            </w:r>
          </w:p>
        </w:tc>
        <w:tc>
          <w:tcPr>
            <w:tcW w:w="1280" w:type="dxa"/>
            <w:tcBorders>
              <w:top w:val="nil"/>
              <w:left w:val="nil"/>
              <w:bottom w:val="single" w:sz="4" w:space="0" w:color="auto"/>
              <w:right w:val="single" w:sz="4" w:space="0" w:color="auto"/>
            </w:tcBorders>
            <w:shd w:val="clear" w:color="000000" w:fill="FFFFFF"/>
            <w:noWrap/>
            <w:vAlign w:val="bottom"/>
            <w:hideMark/>
          </w:tcPr>
          <w:p w14:paraId="384480F3" w14:textId="77777777" w:rsidR="00DE48DF" w:rsidRPr="008D4EDD" w:rsidRDefault="00DE48DF">
            <w:pPr>
              <w:jc w:val="center"/>
              <w:rPr>
                <w:color w:val="004147"/>
              </w:rPr>
            </w:pPr>
            <w:r w:rsidRPr="008D4EDD">
              <w:rPr>
                <w:color w:val="004147"/>
              </w:rPr>
              <w:t>2</w:t>
            </w:r>
          </w:p>
        </w:tc>
        <w:tc>
          <w:tcPr>
            <w:tcW w:w="1530" w:type="dxa"/>
            <w:tcBorders>
              <w:top w:val="nil"/>
              <w:left w:val="nil"/>
              <w:bottom w:val="single" w:sz="4" w:space="0" w:color="auto"/>
              <w:right w:val="single" w:sz="4" w:space="0" w:color="auto"/>
            </w:tcBorders>
            <w:shd w:val="clear" w:color="000000" w:fill="FFFFFF"/>
            <w:noWrap/>
            <w:vAlign w:val="bottom"/>
            <w:hideMark/>
          </w:tcPr>
          <w:p w14:paraId="3713AEEA" w14:textId="77777777" w:rsidR="00DE48DF" w:rsidRPr="008D4EDD" w:rsidRDefault="00DE48DF">
            <w:pPr>
              <w:jc w:val="right"/>
              <w:rPr>
                <w:color w:val="004147"/>
              </w:rPr>
            </w:pPr>
            <w:r w:rsidRPr="008D4EDD">
              <w:rPr>
                <w:color w:val="004147"/>
              </w:rPr>
              <w:t>33%</w:t>
            </w:r>
          </w:p>
        </w:tc>
        <w:tc>
          <w:tcPr>
            <w:tcW w:w="232" w:type="dxa"/>
            <w:vAlign w:val="center"/>
            <w:hideMark/>
          </w:tcPr>
          <w:p w14:paraId="092A092C" w14:textId="77777777" w:rsidR="00DE48DF" w:rsidRPr="008D4EDD" w:rsidRDefault="00DE48DF"/>
        </w:tc>
      </w:tr>
      <w:tr w:rsidR="00DE48DF" w:rsidRPr="008D4EDD" w14:paraId="7C56BD74" w14:textId="77777777" w:rsidTr="008D4EDD">
        <w:trPr>
          <w:trHeight w:val="213"/>
        </w:trPr>
        <w:tc>
          <w:tcPr>
            <w:tcW w:w="1715" w:type="dxa"/>
            <w:tcBorders>
              <w:top w:val="nil"/>
              <w:left w:val="single" w:sz="4" w:space="0" w:color="auto"/>
              <w:bottom w:val="single" w:sz="4" w:space="0" w:color="auto"/>
              <w:right w:val="single" w:sz="4" w:space="0" w:color="auto"/>
            </w:tcBorders>
            <w:shd w:val="clear" w:color="000000" w:fill="FFFFFF"/>
            <w:noWrap/>
            <w:vAlign w:val="bottom"/>
            <w:hideMark/>
          </w:tcPr>
          <w:p w14:paraId="4224D6CE" w14:textId="77777777" w:rsidR="00DE48DF" w:rsidRPr="008D4EDD" w:rsidRDefault="00DE48DF">
            <w:pPr>
              <w:rPr>
                <w:color w:val="004147"/>
              </w:rPr>
            </w:pPr>
            <w:r w:rsidRPr="008D4EDD">
              <w:rPr>
                <w:color w:val="004147"/>
              </w:rPr>
              <w:t xml:space="preserve">Sales &amp; Marketing </w:t>
            </w:r>
          </w:p>
        </w:tc>
        <w:tc>
          <w:tcPr>
            <w:tcW w:w="1530" w:type="dxa"/>
            <w:tcBorders>
              <w:top w:val="nil"/>
              <w:left w:val="nil"/>
              <w:bottom w:val="single" w:sz="4" w:space="0" w:color="auto"/>
              <w:right w:val="single" w:sz="4" w:space="0" w:color="auto"/>
            </w:tcBorders>
            <w:shd w:val="clear" w:color="000000" w:fill="FFFFFF"/>
            <w:noWrap/>
            <w:vAlign w:val="bottom"/>
            <w:hideMark/>
          </w:tcPr>
          <w:p w14:paraId="1A5167C4" w14:textId="77777777" w:rsidR="00DE48DF" w:rsidRPr="008D4EDD" w:rsidRDefault="00DE48DF">
            <w:pPr>
              <w:jc w:val="center"/>
              <w:rPr>
                <w:color w:val="004147"/>
              </w:rPr>
            </w:pPr>
            <w:r w:rsidRPr="008D4EDD">
              <w:rPr>
                <w:color w:val="004147"/>
              </w:rPr>
              <w:t>12</w:t>
            </w:r>
          </w:p>
        </w:tc>
        <w:tc>
          <w:tcPr>
            <w:tcW w:w="1110" w:type="dxa"/>
            <w:tcBorders>
              <w:top w:val="nil"/>
              <w:left w:val="nil"/>
              <w:bottom w:val="single" w:sz="4" w:space="0" w:color="auto"/>
              <w:right w:val="single" w:sz="4" w:space="0" w:color="auto"/>
            </w:tcBorders>
            <w:shd w:val="clear" w:color="000000" w:fill="FFFFFF"/>
            <w:noWrap/>
            <w:vAlign w:val="bottom"/>
            <w:hideMark/>
          </w:tcPr>
          <w:p w14:paraId="40069641" w14:textId="77777777" w:rsidR="00DE48DF" w:rsidRPr="008D4EDD" w:rsidRDefault="00DE48DF">
            <w:pPr>
              <w:jc w:val="center"/>
              <w:rPr>
                <w:color w:val="004147"/>
              </w:rPr>
            </w:pPr>
            <w:r w:rsidRPr="008D4EDD">
              <w:rPr>
                <w:color w:val="004147"/>
              </w:rPr>
              <w:t>4</w:t>
            </w:r>
          </w:p>
        </w:tc>
        <w:tc>
          <w:tcPr>
            <w:tcW w:w="1530" w:type="dxa"/>
            <w:tcBorders>
              <w:top w:val="nil"/>
              <w:left w:val="nil"/>
              <w:bottom w:val="single" w:sz="4" w:space="0" w:color="auto"/>
              <w:right w:val="single" w:sz="4" w:space="0" w:color="auto"/>
            </w:tcBorders>
            <w:shd w:val="clear" w:color="000000" w:fill="FFFFFF"/>
            <w:noWrap/>
            <w:vAlign w:val="bottom"/>
            <w:hideMark/>
          </w:tcPr>
          <w:p w14:paraId="57BF2376" w14:textId="77777777" w:rsidR="00DE48DF" w:rsidRPr="008D4EDD" w:rsidRDefault="00DE48DF">
            <w:pPr>
              <w:jc w:val="right"/>
              <w:rPr>
                <w:color w:val="004147"/>
              </w:rPr>
            </w:pPr>
            <w:r w:rsidRPr="008D4EDD">
              <w:rPr>
                <w:color w:val="004147"/>
              </w:rPr>
              <w:t>33%</w:t>
            </w:r>
          </w:p>
        </w:tc>
        <w:tc>
          <w:tcPr>
            <w:tcW w:w="1280" w:type="dxa"/>
            <w:tcBorders>
              <w:top w:val="nil"/>
              <w:left w:val="nil"/>
              <w:bottom w:val="single" w:sz="4" w:space="0" w:color="auto"/>
              <w:right w:val="single" w:sz="4" w:space="0" w:color="auto"/>
            </w:tcBorders>
            <w:shd w:val="clear" w:color="000000" w:fill="FFFFFF"/>
            <w:noWrap/>
            <w:vAlign w:val="bottom"/>
            <w:hideMark/>
          </w:tcPr>
          <w:p w14:paraId="5AC05CA1" w14:textId="77777777" w:rsidR="00DE48DF" w:rsidRPr="008D4EDD" w:rsidRDefault="00DE48DF">
            <w:pPr>
              <w:jc w:val="center"/>
              <w:rPr>
                <w:color w:val="004147"/>
              </w:rPr>
            </w:pPr>
            <w:r w:rsidRPr="008D4EDD">
              <w:rPr>
                <w:color w:val="004147"/>
              </w:rPr>
              <w:t>3</w:t>
            </w:r>
          </w:p>
        </w:tc>
        <w:tc>
          <w:tcPr>
            <w:tcW w:w="1530" w:type="dxa"/>
            <w:tcBorders>
              <w:top w:val="nil"/>
              <w:left w:val="nil"/>
              <w:bottom w:val="single" w:sz="4" w:space="0" w:color="auto"/>
              <w:right w:val="single" w:sz="4" w:space="0" w:color="auto"/>
            </w:tcBorders>
            <w:shd w:val="clear" w:color="000000" w:fill="FFFFFF"/>
            <w:noWrap/>
            <w:vAlign w:val="bottom"/>
            <w:hideMark/>
          </w:tcPr>
          <w:p w14:paraId="20AE6282" w14:textId="77777777" w:rsidR="00DE48DF" w:rsidRPr="008D4EDD" w:rsidRDefault="00DE48DF">
            <w:pPr>
              <w:jc w:val="right"/>
              <w:rPr>
                <w:color w:val="004147"/>
              </w:rPr>
            </w:pPr>
            <w:r w:rsidRPr="008D4EDD">
              <w:rPr>
                <w:color w:val="004147"/>
              </w:rPr>
              <w:t>25%</w:t>
            </w:r>
          </w:p>
        </w:tc>
        <w:tc>
          <w:tcPr>
            <w:tcW w:w="1280" w:type="dxa"/>
            <w:tcBorders>
              <w:top w:val="nil"/>
              <w:left w:val="nil"/>
              <w:bottom w:val="single" w:sz="4" w:space="0" w:color="auto"/>
              <w:right w:val="single" w:sz="4" w:space="0" w:color="auto"/>
            </w:tcBorders>
            <w:shd w:val="clear" w:color="000000" w:fill="FFFFFF"/>
            <w:noWrap/>
            <w:vAlign w:val="bottom"/>
            <w:hideMark/>
          </w:tcPr>
          <w:p w14:paraId="5D05DCC8" w14:textId="77777777" w:rsidR="00DE48DF" w:rsidRPr="008D4EDD" w:rsidRDefault="00DE48DF">
            <w:pPr>
              <w:jc w:val="center"/>
              <w:rPr>
                <w:color w:val="004147"/>
              </w:rPr>
            </w:pPr>
            <w:r w:rsidRPr="008D4EDD">
              <w:rPr>
                <w:color w:val="004147"/>
              </w:rPr>
              <w:t>3</w:t>
            </w:r>
          </w:p>
        </w:tc>
        <w:tc>
          <w:tcPr>
            <w:tcW w:w="1530" w:type="dxa"/>
            <w:tcBorders>
              <w:top w:val="nil"/>
              <w:left w:val="nil"/>
              <w:bottom w:val="single" w:sz="4" w:space="0" w:color="auto"/>
              <w:right w:val="single" w:sz="4" w:space="0" w:color="auto"/>
            </w:tcBorders>
            <w:shd w:val="clear" w:color="000000" w:fill="FFFFFF"/>
            <w:noWrap/>
            <w:vAlign w:val="bottom"/>
            <w:hideMark/>
          </w:tcPr>
          <w:p w14:paraId="44F3D067" w14:textId="77777777" w:rsidR="00DE48DF" w:rsidRPr="008D4EDD" w:rsidRDefault="00DE48DF">
            <w:pPr>
              <w:jc w:val="right"/>
              <w:rPr>
                <w:color w:val="004147"/>
              </w:rPr>
            </w:pPr>
            <w:r w:rsidRPr="008D4EDD">
              <w:rPr>
                <w:color w:val="004147"/>
              </w:rPr>
              <w:t>25%</w:t>
            </w:r>
          </w:p>
        </w:tc>
        <w:tc>
          <w:tcPr>
            <w:tcW w:w="232" w:type="dxa"/>
            <w:vAlign w:val="center"/>
            <w:hideMark/>
          </w:tcPr>
          <w:p w14:paraId="588EE0E6" w14:textId="77777777" w:rsidR="00DE48DF" w:rsidRPr="008D4EDD" w:rsidRDefault="00DE48DF"/>
        </w:tc>
      </w:tr>
      <w:tr w:rsidR="00DE48DF" w:rsidRPr="008D4EDD" w14:paraId="6D34CC0C" w14:textId="77777777" w:rsidTr="008D4EDD">
        <w:trPr>
          <w:trHeight w:val="213"/>
        </w:trPr>
        <w:tc>
          <w:tcPr>
            <w:tcW w:w="1715" w:type="dxa"/>
            <w:tcBorders>
              <w:top w:val="nil"/>
              <w:left w:val="single" w:sz="4" w:space="0" w:color="auto"/>
              <w:bottom w:val="single" w:sz="4" w:space="0" w:color="auto"/>
              <w:right w:val="single" w:sz="4" w:space="0" w:color="auto"/>
            </w:tcBorders>
            <w:shd w:val="clear" w:color="000000" w:fill="FFFFFF"/>
            <w:noWrap/>
            <w:vAlign w:val="bottom"/>
            <w:hideMark/>
          </w:tcPr>
          <w:p w14:paraId="26AF0C8B" w14:textId="77777777" w:rsidR="00DE48DF" w:rsidRPr="008D4EDD" w:rsidRDefault="00DE48DF">
            <w:pPr>
              <w:rPr>
                <w:color w:val="004147"/>
              </w:rPr>
            </w:pPr>
            <w:r w:rsidRPr="008D4EDD">
              <w:rPr>
                <w:color w:val="004147"/>
              </w:rPr>
              <w:t xml:space="preserve">Human Resources </w:t>
            </w:r>
          </w:p>
        </w:tc>
        <w:tc>
          <w:tcPr>
            <w:tcW w:w="1530" w:type="dxa"/>
            <w:tcBorders>
              <w:top w:val="nil"/>
              <w:left w:val="nil"/>
              <w:bottom w:val="single" w:sz="4" w:space="0" w:color="auto"/>
              <w:right w:val="single" w:sz="4" w:space="0" w:color="auto"/>
            </w:tcBorders>
            <w:shd w:val="clear" w:color="000000" w:fill="FFFFFF"/>
            <w:noWrap/>
            <w:vAlign w:val="bottom"/>
            <w:hideMark/>
          </w:tcPr>
          <w:p w14:paraId="2480FEA6" w14:textId="77777777" w:rsidR="00DE48DF" w:rsidRPr="008D4EDD" w:rsidRDefault="00DE48DF">
            <w:pPr>
              <w:jc w:val="center"/>
              <w:rPr>
                <w:color w:val="004147"/>
              </w:rPr>
            </w:pPr>
            <w:r w:rsidRPr="008D4EDD">
              <w:rPr>
                <w:color w:val="004147"/>
              </w:rPr>
              <w:t>4</w:t>
            </w:r>
          </w:p>
        </w:tc>
        <w:tc>
          <w:tcPr>
            <w:tcW w:w="1110" w:type="dxa"/>
            <w:tcBorders>
              <w:top w:val="nil"/>
              <w:left w:val="nil"/>
              <w:bottom w:val="single" w:sz="4" w:space="0" w:color="auto"/>
              <w:right w:val="single" w:sz="4" w:space="0" w:color="auto"/>
            </w:tcBorders>
            <w:shd w:val="clear" w:color="000000" w:fill="FFFFFF"/>
            <w:noWrap/>
            <w:vAlign w:val="bottom"/>
            <w:hideMark/>
          </w:tcPr>
          <w:p w14:paraId="03B5EB18" w14:textId="77777777" w:rsidR="00DE48DF" w:rsidRPr="008D4EDD" w:rsidRDefault="00DE48DF">
            <w:pPr>
              <w:jc w:val="center"/>
              <w:rPr>
                <w:color w:val="004147"/>
              </w:rPr>
            </w:pPr>
            <w:r w:rsidRPr="008D4EDD">
              <w:rPr>
                <w:color w:val="004147"/>
              </w:rPr>
              <w:t>1</w:t>
            </w:r>
          </w:p>
        </w:tc>
        <w:tc>
          <w:tcPr>
            <w:tcW w:w="1530" w:type="dxa"/>
            <w:tcBorders>
              <w:top w:val="nil"/>
              <w:left w:val="nil"/>
              <w:bottom w:val="single" w:sz="4" w:space="0" w:color="auto"/>
              <w:right w:val="single" w:sz="4" w:space="0" w:color="auto"/>
            </w:tcBorders>
            <w:shd w:val="clear" w:color="000000" w:fill="FFFFFF"/>
            <w:noWrap/>
            <w:vAlign w:val="bottom"/>
            <w:hideMark/>
          </w:tcPr>
          <w:p w14:paraId="7508A173" w14:textId="77777777" w:rsidR="00DE48DF" w:rsidRPr="008D4EDD" w:rsidRDefault="00DE48DF">
            <w:pPr>
              <w:jc w:val="right"/>
              <w:rPr>
                <w:color w:val="004147"/>
              </w:rPr>
            </w:pPr>
            <w:r w:rsidRPr="008D4EDD">
              <w:rPr>
                <w:color w:val="004147"/>
              </w:rPr>
              <w:t>25%</w:t>
            </w:r>
          </w:p>
        </w:tc>
        <w:tc>
          <w:tcPr>
            <w:tcW w:w="1280" w:type="dxa"/>
            <w:tcBorders>
              <w:top w:val="nil"/>
              <w:left w:val="nil"/>
              <w:bottom w:val="single" w:sz="4" w:space="0" w:color="auto"/>
              <w:right w:val="single" w:sz="4" w:space="0" w:color="auto"/>
            </w:tcBorders>
            <w:shd w:val="clear" w:color="000000" w:fill="FFFFFF"/>
            <w:noWrap/>
            <w:vAlign w:val="bottom"/>
            <w:hideMark/>
          </w:tcPr>
          <w:p w14:paraId="6726BFA5" w14:textId="77777777" w:rsidR="00DE48DF" w:rsidRPr="008D4EDD" w:rsidRDefault="00DE48DF">
            <w:pPr>
              <w:jc w:val="center"/>
              <w:rPr>
                <w:color w:val="004147"/>
              </w:rPr>
            </w:pPr>
            <w:r w:rsidRPr="008D4EDD">
              <w:rPr>
                <w:color w:val="004147"/>
              </w:rPr>
              <w:t>1</w:t>
            </w:r>
          </w:p>
        </w:tc>
        <w:tc>
          <w:tcPr>
            <w:tcW w:w="1530" w:type="dxa"/>
            <w:tcBorders>
              <w:top w:val="nil"/>
              <w:left w:val="nil"/>
              <w:bottom w:val="single" w:sz="4" w:space="0" w:color="auto"/>
              <w:right w:val="single" w:sz="4" w:space="0" w:color="auto"/>
            </w:tcBorders>
            <w:shd w:val="clear" w:color="000000" w:fill="FFFFFF"/>
            <w:noWrap/>
            <w:vAlign w:val="bottom"/>
            <w:hideMark/>
          </w:tcPr>
          <w:p w14:paraId="54931B58" w14:textId="77777777" w:rsidR="00DE48DF" w:rsidRPr="008D4EDD" w:rsidRDefault="00DE48DF">
            <w:pPr>
              <w:jc w:val="right"/>
              <w:rPr>
                <w:color w:val="004147"/>
              </w:rPr>
            </w:pPr>
            <w:r w:rsidRPr="008D4EDD">
              <w:rPr>
                <w:color w:val="004147"/>
              </w:rPr>
              <w:t>25%</w:t>
            </w:r>
          </w:p>
        </w:tc>
        <w:tc>
          <w:tcPr>
            <w:tcW w:w="1280" w:type="dxa"/>
            <w:tcBorders>
              <w:top w:val="nil"/>
              <w:left w:val="nil"/>
              <w:bottom w:val="single" w:sz="4" w:space="0" w:color="auto"/>
              <w:right w:val="single" w:sz="4" w:space="0" w:color="auto"/>
            </w:tcBorders>
            <w:shd w:val="clear" w:color="000000" w:fill="FFFFFF"/>
            <w:noWrap/>
            <w:vAlign w:val="bottom"/>
            <w:hideMark/>
          </w:tcPr>
          <w:p w14:paraId="2A8CE938" w14:textId="77777777" w:rsidR="00DE48DF" w:rsidRPr="008D4EDD" w:rsidRDefault="00DE48DF">
            <w:pPr>
              <w:jc w:val="center"/>
              <w:rPr>
                <w:color w:val="004147"/>
              </w:rPr>
            </w:pPr>
            <w:r w:rsidRPr="008D4EDD">
              <w:rPr>
                <w:color w:val="004147"/>
              </w:rPr>
              <w:t>1</w:t>
            </w:r>
          </w:p>
        </w:tc>
        <w:tc>
          <w:tcPr>
            <w:tcW w:w="1530" w:type="dxa"/>
            <w:tcBorders>
              <w:top w:val="nil"/>
              <w:left w:val="nil"/>
              <w:bottom w:val="single" w:sz="4" w:space="0" w:color="auto"/>
              <w:right w:val="single" w:sz="4" w:space="0" w:color="auto"/>
            </w:tcBorders>
            <w:shd w:val="clear" w:color="000000" w:fill="FFFFFF"/>
            <w:noWrap/>
            <w:vAlign w:val="bottom"/>
            <w:hideMark/>
          </w:tcPr>
          <w:p w14:paraId="7ADBD28C" w14:textId="77777777" w:rsidR="00DE48DF" w:rsidRPr="008D4EDD" w:rsidRDefault="00DE48DF">
            <w:pPr>
              <w:jc w:val="right"/>
              <w:rPr>
                <w:color w:val="004147"/>
              </w:rPr>
            </w:pPr>
            <w:r w:rsidRPr="008D4EDD">
              <w:rPr>
                <w:color w:val="004147"/>
              </w:rPr>
              <w:t>25%</w:t>
            </w:r>
          </w:p>
        </w:tc>
        <w:tc>
          <w:tcPr>
            <w:tcW w:w="232" w:type="dxa"/>
            <w:vAlign w:val="center"/>
            <w:hideMark/>
          </w:tcPr>
          <w:p w14:paraId="5E293074" w14:textId="77777777" w:rsidR="00DE48DF" w:rsidRPr="008D4EDD" w:rsidRDefault="00DE48DF"/>
        </w:tc>
      </w:tr>
      <w:tr w:rsidR="00DE48DF" w:rsidRPr="008D4EDD" w14:paraId="6B17B002" w14:textId="77777777" w:rsidTr="008D4EDD">
        <w:trPr>
          <w:trHeight w:val="213"/>
        </w:trPr>
        <w:tc>
          <w:tcPr>
            <w:tcW w:w="1715" w:type="dxa"/>
            <w:tcBorders>
              <w:top w:val="nil"/>
              <w:left w:val="single" w:sz="4" w:space="0" w:color="auto"/>
              <w:bottom w:val="single" w:sz="4" w:space="0" w:color="auto"/>
              <w:right w:val="single" w:sz="4" w:space="0" w:color="auto"/>
            </w:tcBorders>
            <w:shd w:val="clear" w:color="000000" w:fill="FFFFFF"/>
            <w:noWrap/>
            <w:vAlign w:val="bottom"/>
            <w:hideMark/>
          </w:tcPr>
          <w:p w14:paraId="1D84D682" w14:textId="77777777" w:rsidR="00DE48DF" w:rsidRPr="008D4EDD" w:rsidRDefault="00DE48DF">
            <w:pPr>
              <w:rPr>
                <w:color w:val="004147"/>
              </w:rPr>
            </w:pPr>
            <w:r w:rsidRPr="008D4EDD">
              <w:rPr>
                <w:color w:val="004147"/>
              </w:rPr>
              <w:t xml:space="preserve">Design </w:t>
            </w:r>
          </w:p>
        </w:tc>
        <w:tc>
          <w:tcPr>
            <w:tcW w:w="1530" w:type="dxa"/>
            <w:tcBorders>
              <w:top w:val="nil"/>
              <w:left w:val="nil"/>
              <w:bottom w:val="single" w:sz="4" w:space="0" w:color="auto"/>
              <w:right w:val="single" w:sz="4" w:space="0" w:color="auto"/>
            </w:tcBorders>
            <w:shd w:val="clear" w:color="000000" w:fill="FFFFFF"/>
            <w:noWrap/>
            <w:vAlign w:val="bottom"/>
            <w:hideMark/>
          </w:tcPr>
          <w:p w14:paraId="0C25ED4E" w14:textId="77777777" w:rsidR="00DE48DF" w:rsidRPr="008D4EDD" w:rsidRDefault="00DE48DF">
            <w:pPr>
              <w:jc w:val="center"/>
              <w:rPr>
                <w:color w:val="004147"/>
              </w:rPr>
            </w:pPr>
            <w:r w:rsidRPr="008D4EDD">
              <w:rPr>
                <w:color w:val="004147"/>
              </w:rPr>
              <w:t>12</w:t>
            </w:r>
          </w:p>
        </w:tc>
        <w:tc>
          <w:tcPr>
            <w:tcW w:w="1110" w:type="dxa"/>
            <w:tcBorders>
              <w:top w:val="nil"/>
              <w:left w:val="nil"/>
              <w:bottom w:val="single" w:sz="4" w:space="0" w:color="auto"/>
              <w:right w:val="single" w:sz="4" w:space="0" w:color="auto"/>
            </w:tcBorders>
            <w:shd w:val="clear" w:color="000000" w:fill="FFFFFF"/>
            <w:noWrap/>
            <w:vAlign w:val="bottom"/>
            <w:hideMark/>
          </w:tcPr>
          <w:p w14:paraId="260D8608" w14:textId="77777777" w:rsidR="00DE48DF" w:rsidRPr="008D4EDD" w:rsidRDefault="00DE48DF">
            <w:pPr>
              <w:jc w:val="center"/>
              <w:rPr>
                <w:color w:val="004147"/>
              </w:rPr>
            </w:pPr>
            <w:r w:rsidRPr="008D4EDD">
              <w:rPr>
                <w:color w:val="004147"/>
              </w:rPr>
              <w:t>3</w:t>
            </w:r>
          </w:p>
        </w:tc>
        <w:tc>
          <w:tcPr>
            <w:tcW w:w="1530" w:type="dxa"/>
            <w:tcBorders>
              <w:top w:val="nil"/>
              <w:left w:val="nil"/>
              <w:bottom w:val="single" w:sz="4" w:space="0" w:color="auto"/>
              <w:right w:val="single" w:sz="4" w:space="0" w:color="auto"/>
            </w:tcBorders>
            <w:shd w:val="clear" w:color="000000" w:fill="FFFFFF"/>
            <w:noWrap/>
            <w:vAlign w:val="bottom"/>
            <w:hideMark/>
          </w:tcPr>
          <w:p w14:paraId="6FDB9953" w14:textId="77777777" w:rsidR="00DE48DF" w:rsidRPr="008D4EDD" w:rsidRDefault="00DE48DF">
            <w:pPr>
              <w:jc w:val="right"/>
              <w:rPr>
                <w:color w:val="004147"/>
              </w:rPr>
            </w:pPr>
            <w:r w:rsidRPr="008D4EDD">
              <w:rPr>
                <w:color w:val="004147"/>
              </w:rPr>
              <w:t>25%</w:t>
            </w:r>
          </w:p>
        </w:tc>
        <w:tc>
          <w:tcPr>
            <w:tcW w:w="1280" w:type="dxa"/>
            <w:tcBorders>
              <w:top w:val="nil"/>
              <w:left w:val="nil"/>
              <w:bottom w:val="single" w:sz="4" w:space="0" w:color="auto"/>
              <w:right w:val="single" w:sz="4" w:space="0" w:color="auto"/>
            </w:tcBorders>
            <w:shd w:val="clear" w:color="000000" w:fill="FFFFFF"/>
            <w:noWrap/>
            <w:vAlign w:val="bottom"/>
            <w:hideMark/>
          </w:tcPr>
          <w:p w14:paraId="5695FCBD" w14:textId="77777777" w:rsidR="00DE48DF" w:rsidRPr="008D4EDD" w:rsidRDefault="00DE48DF">
            <w:pPr>
              <w:jc w:val="center"/>
              <w:rPr>
                <w:color w:val="004147"/>
              </w:rPr>
            </w:pPr>
            <w:r w:rsidRPr="008D4EDD">
              <w:rPr>
                <w:color w:val="004147"/>
              </w:rPr>
              <w:t>5</w:t>
            </w:r>
          </w:p>
        </w:tc>
        <w:tc>
          <w:tcPr>
            <w:tcW w:w="1530" w:type="dxa"/>
            <w:tcBorders>
              <w:top w:val="nil"/>
              <w:left w:val="nil"/>
              <w:bottom w:val="single" w:sz="4" w:space="0" w:color="auto"/>
              <w:right w:val="single" w:sz="4" w:space="0" w:color="auto"/>
            </w:tcBorders>
            <w:shd w:val="clear" w:color="000000" w:fill="FFFFFF"/>
            <w:noWrap/>
            <w:vAlign w:val="bottom"/>
            <w:hideMark/>
          </w:tcPr>
          <w:p w14:paraId="530DB49A" w14:textId="77777777" w:rsidR="00DE48DF" w:rsidRPr="008D4EDD" w:rsidRDefault="00DE48DF">
            <w:pPr>
              <w:jc w:val="right"/>
              <w:rPr>
                <w:color w:val="004147"/>
              </w:rPr>
            </w:pPr>
            <w:r w:rsidRPr="008D4EDD">
              <w:rPr>
                <w:color w:val="004147"/>
              </w:rPr>
              <w:t>42%</w:t>
            </w:r>
          </w:p>
        </w:tc>
        <w:tc>
          <w:tcPr>
            <w:tcW w:w="1280" w:type="dxa"/>
            <w:tcBorders>
              <w:top w:val="nil"/>
              <w:left w:val="nil"/>
              <w:bottom w:val="single" w:sz="4" w:space="0" w:color="auto"/>
              <w:right w:val="single" w:sz="4" w:space="0" w:color="auto"/>
            </w:tcBorders>
            <w:shd w:val="clear" w:color="000000" w:fill="FFFFFF"/>
            <w:noWrap/>
            <w:vAlign w:val="bottom"/>
            <w:hideMark/>
          </w:tcPr>
          <w:p w14:paraId="4FD65EE5" w14:textId="77777777" w:rsidR="00DE48DF" w:rsidRPr="008D4EDD" w:rsidRDefault="00DE48DF">
            <w:pPr>
              <w:jc w:val="center"/>
              <w:rPr>
                <w:color w:val="004147"/>
              </w:rPr>
            </w:pPr>
            <w:r w:rsidRPr="008D4EDD">
              <w:rPr>
                <w:color w:val="004147"/>
              </w:rPr>
              <w:t>2</w:t>
            </w:r>
          </w:p>
        </w:tc>
        <w:tc>
          <w:tcPr>
            <w:tcW w:w="1530" w:type="dxa"/>
            <w:tcBorders>
              <w:top w:val="nil"/>
              <w:left w:val="nil"/>
              <w:bottom w:val="single" w:sz="4" w:space="0" w:color="auto"/>
              <w:right w:val="single" w:sz="4" w:space="0" w:color="auto"/>
            </w:tcBorders>
            <w:shd w:val="clear" w:color="000000" w:fill="FFFFFF"/>
            <w:noWrap/>
            <w:vAlign w:val="bottom"/>
            <w:hideMark/>
          </w:tcPr>
          <w:p w14:paraId="6E03670F" w14:textId="77777777" w:rsidR="00DE48DF" w:rsidRPr="008D4EDD" w:rsidRDefault="00DE48DF">
            <w:pPr>
              <w:jc w:val="right"/>
              <w:rPr>
                <w:color w:val="004147"/>
              </w:rPr>
            </w:pPr>
            <w:r w:rsidRPr="008D4EDD">
              <w:rPr>
                <w:color w:val="004147"/>
              </w:rPr>
              <w:t>17%</w:t>
            </w:r>
          </w:p>
        </w:tc>
        <w:tc>
          <w:tcPr>
            <w:tcW w:w="232" w:type="dxa"/>
            <w:vAlign w:val="center"/>
            <w:hideMark/>
          </w:tcPr>
          <w:p w14:paraId="13958B8F" w14:textId="77777777" w:rsidR="00DE48DF" w:rsidRPr="008D4EDD" w:rsidRDefault="00DE48DF"/>
        </w:tc>
      </w:tr>
    </w:tbl>
    <w:p w14:paraId="048E0594" w14:textId="77777777" w:rsidR="004F65D5" w:rsidRPr="008D4EDD" w:rsidRDefault="004F65D5" w:rsidP="00FD07FA">
      <w:pPr>
        <w:jc w:val="both"/>
      </w:pPr>
    </w:p>
    <w:p w14:paraId="216FD0B2" w14:textId="77777777" w:rsidR="00A502FD" w:rsidRPr="008D4EDD" w:rsidRDefault="00A502FD"/>
    <w:p w14:paraId="52475538" w14:textId="77777777" w:rsidR="00A502FD" w:rsidRPr="008D4EDD" w:rsidRDefault="00A502FD"/>
    <w:p w14:paraId="46DF09F6" w14:textId="77777777" w:rsidR="00A502FD" w:rsidRPr="008D4EDD" w:rsidRDefault="00A502FD"/>
    <w:p w14:paraId="65CBCF7F" w14:textId="77777777" w:rsidR="00A502FD" w:rsidRPr="008D4EDD" w:rsidRDefault="00A502FD"/>
    <w:p w14:paraId="0C1E91C8" w14:textId="77777777" w:rsidR="00A502FD" w:rsidRPr="008D4EDD" w:rsidRDefault="00A502FD"/>
    <w:p w14:paraId="7A590443" w14:textId="4566A8A9" w:rsidR="00A502FD" w:rsidRPr="008D4EDD" w:rsidRDefault="00CB4F1E">
      <w:r w:rsidRPr="008D4EDD">
        <w:t xml:space="preserve">Q9. (AC 2.2) </w:t>
      </w:r>
    </w:p>
    <w:bookmarkStart w:id="1" w:name="_MON_1831301011"/>
    <w:bookmarkEnd w:id="1"/>
    <w:p w14:paraId="1DCF71D3" w14:textId="4004FDC8" w:rsidR="00457905" w:rsidRPr="008D4EDD" w:rsidRDefault="00E51CCC" w:rsidP="00457905">
      <w:pPr>
        <w:jc w:val="center"/>
      </w:pPr>
      <w:r w:rsidRPr="008D4EDD">
        <w:object w:dxaOrig="1508" w:dyaOrig="984" w14:anchorId="3949BE42">
          <v:shape id="_x0000_i1026" type="#_x0000_t75" style="width:113pt;height:73.5pt" o:ole="">
            <v:imagedata r:id="rId10" o:title=""/>
          </v:shape>
          <o:OLEObject Type="Embed" ProgID="Excel.Sheet.12" ShapeID="_x0000_i1026" DrawAspect="Icon" ObjectID="_1831558181" r:id="rId12"/>
        </w:object>
      </w:r>
    </w:p>
    <w:p w14:paraId="5FCE81EB" w14:textId="2448B3DF" w:rsidR="00CB4F1E" w:rsidRPr="008D4EDD" w:rsidRDefault="00DE48DF">
      <w:r w:rsidRPr="008D4EDD">
        <w:rPr>
          <w:noProof/>
        </w:rPr>
        <w:drawing>
          <wp:inline distT="0" distB="0" distL="0" distR="0" wp14:anchorId="142942F0" wp14:editId="7A80D037">
            <wp:extent cx="6096000" cy="3886200"/>
            <wp:effectExtent l="0" t="0" r="0" b="0"/>
            <wp:docPr id="1107584807" name="Picture 1" descr="A graph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7584807" name="Picture 1" descr="A graph on a white background&#10;&#10;AI-generated content may be incorrect."/>
                    <pic:cNvPicPr/>
                  </pic:nvPicPr>
                  <pic:blipFill>
                    <a:blip r:embed="rId13"/>
                    <a:stretch>
                      <a:fillRect/>
                    </a:stretch>
                  </pic:blipFill>
                  <pic:spPr>
                    <a:xfrm>
                      <a:off x="0" y="0"/>
                      <a:ext cx="6096000" cy="3886200"/>
                    </a:xfrm>
                    <a:prstGeom prst="rect">
                      <a:avLst/>
                    </a:prstGeom>
                  </pic:spPr>
                </pic:pic>
              </a:graphicData>
            </a:graphic>
          </wp:inline>
        </w:drawing>
      </w:r>
    </w:p>
    <w:p w14:paraId="44A95156" w14:textId="77777777" w:rsidR="003A4205" w:rsidRPr="008D4EDD" w:rsidRDefault="003A4205"/>
    <w:p w14:paraId="1FC7A733" w14:textId="090B0BFF" w:rsidR="003A4205" w:rsidRPr="008D4EDD" w:rsidRDefault="00D42B77">
      <w:r w:rsidRPr="008D4EDD">
        <w:rPr>
          <w:noProof/>
        </w:rPr>
        <w:drawing>
          <wp:inline distT="0" distB="0" distL="0" distR="0" wp14:anchorId="07D7E2AC" wp14:editId="57963B19">
            <wp:extent cx="5800725" cy="3486150"/>
            <wp:effectExtent l="0" t="0" r="9525" b="0"/>
            <wp:docPr id="1025377689" name="Chart 1">
              <a:extLst xmlns:a="http://schemas.openxmlformats.org/drawingml/2006/main">
                <a:ext uri="{FF2B5EF4-FFF2-40B4-BE49-F238E27FC236}">
                  <a16:creationId xmlns:a16="http://schemas.microsoft.com/office/drawing/2014/main" id="{EAE5EF62-FFD1-0E41-B3F7-907E207E2AC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9435265" w14:textId="77777777" w:rsidR="003A4205" w:rsidRPr="008D4EDD" w:rsidRDefault="003A4205"/>
    <w:p w14:paraId="2796ED59" w14:textId="77777777" w:rsidR="003A4205" w:rsidRPr="008D4EDD" w:rsidRDefault="003A4205"/>
    <w:p w14:paraId="749F8BA9" w14:textId="09C6246E" w:rsidR="00DE48DF" w:rsidRPr="008D4EDD" w:rsidRDefault="00457905">
      <w:r w:rsidRPr="008D4EDD">
        <w:rPr>
          <w:noProof/>
        </w:rPr>
        <w:drawing>
          <wp:inline distT="0" distB="0" distL="0" distR="0" wp14:anchorId="1170569F" wp14:editId="26CECC55">
            <wp:extent cx="5762625" cy="3171825"/>
            <wp:effectExtent l="0" t="0" r="9525" b="9525"/>
            <wp:docPr id="834980943" name="Chart 1">
              <a:extLst xmlns:a="http://schemas.openxmlformats.org/drawingml/2006/main">
                <a:ext uri="{FF2B5EF4-FFF2-40B4-BE49-F238E27FC236}">
                  <a16:creationId xmlns:a16="http://schemas.microsoft.com/office/drawing/2014/main" id="{4E7EAD8B-1ED6-F989-3ECD-E157D19A729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4E6B021" w14:textId="77777777" w:rsidR="00DE48DF" w:rsidRPr="008D4EDD" w:rsidRDefault="00DE48DF"/>
    <w:p w14:paraId="3A5D4DA6" w14:textId="54319CC0" w:rsidR="00DE48DF" w:rsidRPr="008D4EDD" w:rsidRDefault="00457905" w:rsidP="00457905">
      <w:pPr>
        <w:jc w:val="center"/>
      </w:pPr>
      <w:r w:rsidRPr="008D4EDD">
        <w:rPr>
          <w:noProof/>
        </w:rPr>
        <w:drawing>
          <wp:inline distT="0" distB="0" distL="0" distR="0" wp14:anchorId="0C4E3C92" wp14:editId="365D14A5">
            <wp:extent cx="5590151" cy="3657600"/>
            <wp:effectExtent l="0" t="0" r="0" b="0"/>
            <wp:docPr id="18033322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594698" cy="3660575"/>
                    </a:xfrm>
                    <a:prstGeom prst="rect">
                      <a:avLst/>
                    </a:prstGeom>
                    <a:noFill/>
                  </pic:spPr>
                </pic:pic>
              </a:graphicData>
            </a:graphic>
          </wp:inline>
        </w:drawing>
      </w:r>
    </w:p>
    <w:p w14:paraId="3A88B816" w14:textId="77777777" w:rsidR="00DE48DF" w:rsidRPr="008D4EDD" w:rsidRDefault="00DE48DF"/>
    <w:p w14:paraId="02B5C62F" w14:textId="77777777" w:rsidR="00DE48DF" w:rsidRPr="008D4EDD" w:rsidRDefault="00DE48DF"/>
    <w:p w14:paraId="6DF5488F" w14:textId="77777777" w:rsidR="00DE48DF" w:rsidRPr="008D4EDD" w:rsidRDefault="00DE48DF"/>
    <w:p w14:paraId="32C394AA" w14:textId="77777777" w:rsidR="00DE48DF" w:rsidRPr="008D4EDD" w:rsidRDefault="00DE48DF"/>
    <w:p w14:paraId="506985F7" w14:textId="77777777" w:rsidR="00DE48DF" w:rsidRPr="008D4EDD" w:rsidRDefault="00DE48DF"/>
    <w:p w14:paraId="29CD550E" w14:textId="77777777" w:rsidR="00DE48DF" w:rsidRPr="008D4EDD" w:rsidRDefault="00DE48DF"/>
    <w:p w14:paraId="7A949303" w14:textId="77777777" w:rsidR="00DE48DF" w:rsidRPr="008D4EDD" w:rsidRDefault="00DE48DF"/>
    <w:p w14:paraId="0727A46F" w14:textId="77777777" w:rsidR="00DE48DF" w:rsidRPr="008D4EDD" w:rsidRDefault="00DE48DF"/>
    <w:p w14:paraId="46ACB27C" w14:textId="77777777" w:rsidR="00B24B6C" w:rsidRPr="008D4EDD" w:rsidRDefault="00096E4E" w:rsidP="00B24B6C">
      <w:r w:rsidRPr="008D4EDD">
        <w:t>Q10 (AC 2.3</w:t>
      </w:r>
      <w:r w:rsidR="00B24B6C" w:rsidRPr="008D4EDD">
        <w:t xml:space="preserve">) </w:t>
      </w:r>
    </w:p>
    <w:p w14:paraId="5534F9CE" w14:textId="48730CA9" w:rsidR="00CB5A31" w:rsidRPr="008D4EDD" w:rsidRDefault="00CB5A31" w:rsidP="00CB5A31">
      <w:pPr>
        <w:spacing w:before="120" w:after="120"/>
        <w:jc w:val="both"/>
      </w:pPr>
      <w:r w:rsidRPr="008D4EDD">
        <w:t xml:space="preserve">I have examined the evaluation data from the L&amp;D activity for </w:t>
      </w:r>
      <w:r w:rsidR="003F6E6D" w:rsidRPr="008D4EDD">
        <w:t>Tech</w:t>
      </w:r>
      <w:r w:rsidR="003F6E6D">
        <w:t>n</w:t>
      </w:r>
      <w:r w:rsidR="003F6E6D" w:rsidRPr="008D4EDD">
        <w:t>ivara,</w:t>
      </w:r>
      <w:r w:rsidRPr="008D4EDD">
        <w:t xml:space="preserve"> and I have identified that the overall delivery quality was strong with facilitation and materials scoring highly</w:t>
      </w:r>
      <w:r w:rsidRPr="008D4EDD">
        <w:rPr>
          <w:b/>
          <w:bCs/>
        </w:rPr>
        <w:t xml:space="preserve">. </w:t>
      </w:r>
      <w:r w:rsidRPr="008D4EDD">
        <w:t xml:space="preserve">13 fully agreed and 26 agreed that the facilitator was knowledgeable. 5 fully agreed and 34 agreed objectives were clearly set. Resource quality was also rated highly with 36 agreeing. </w:t>
      </w:r>
    </w:p>
    <w:p w14:paraId="6C604367" w14:textId="77777777" w:rsidR="00CB5A31" w:rsidRPr="008D4EDD" w:rsidRDefault="00CB5A31" w:rsidP="00CB5A31">
      <w:pPr>
        <w:spacing w:before="120" w:after="120"/>
        <w:jc w:val="both"/>
      </w:pPr>
      <w:r w:rsidRPr="008D4EDD">
        <w:t xml:space="preserve">The structure of the event was adequate with just 7 fully agreeing and 16 agreeing the learning event was appropriately structured. </w:t>
      </w:r>
    </w:p>
    <w:p w14:paraId="4406B204" w14:textId="77777777" w:rsidR="00CB5A31" w:rsidRPr="008D4EDD" w:rsidRDefault="00CB5A31" w:rsidP="00CB5A31">
      <w:pPr>
        <w:spacing w:before="120" w:after="120"/>
        <w:jc w:val="both"/>
      </w:pPr>
      <w:r w:rsidRPr="008D4EDD">
        <w:t>The lowest scoring areas were the learner experience and interaction</w:t>
      </w:r>
      <w:r w:rsidRPr="008D4EDD">
        <w:rPr>
          <w:b/>
          <w:bCs/>
        </w:rPr>
        <w:t xml:space="preserve">. </w:t>
      </w:r>
      <w:r w:rsidRPr="008D4EDD">
        <w:t xml:space="preserve">With only 2 people agreeing they were able to engage with meaningful questioning and answering on topics being discussed. And only 10 people agreeing their preferences were considered prior to the learning activity. </w:t>
      </w:r>
    </w:p>
    <w:p w14:paraId="4FE816FF" w14:textId="00ECD69B" w:rsidR="00CB5A31" w:rsidRPr="008D4EDD" w:rsidRDefault="003F6E6D" w:rsidP="00CB5A31">
      <w:pPr>
        <w:spacing w:before="120" w:after="120"/>
        <w:jc w:val="both"/>
      </w:pPr>
      <w:r w:rsidRPr="008D4EDD">
        <w:t>Also,</w:t>
      </w:r>
      <w:r w:rsidR="00CB5A31" w:rsidRPr="008D4EDD">
        <w:t xml:space="preserve"> only 6 people agreed they were able to employ the knowledge skills and behaviours into their working roles. </w:t>
      </w:r>
    </w:p>
    <w:p w14:paraId="15C722C9" w14:textId="77777777" w:rsidR="00CB5A31" w:rsidRPr="008D4EDD" w:rsidRDefault="00CB5A31" w:rsidP="00CB5A31">
      <w:pPr>
        <w:spacing w:before="120" w:after="120"/>
        <w:jc w:val="both"/>
      </w:pPr>
      <w:r w:rsidRPr="008D4EDD">
        <w:t>These scores tell us the learning and development activity was a well</w:t>
      </w:r>
      <w:r w:rsidRPr="008D4EDD">
        <w:noBreakHyphen/>
        <w:t xml:space="preserve">received event, but it did not adequately engage participation, link to performance targets, or drive transfer to working roles. </w:t>
      </w:r>
    </w:p>
    <w:p w14:paraId="138E2CF3" w14:textId="4E530CEC" w:rsidR="00CB5A31" w:rsidRPr="008D4EDD" w:rsidRDefault="00CB5A31" w:rsidP="00CB5A31">
      <w:pPr>
        <w:spacing w:before="120" w:after="120"/>
        <w:jc w:val="both"/>
      </w:pPr>
      <w:r w:rsidRPr="008D4EDD">
        <w:t>When assessing the effectiveness, transfer and engagement of L&amp;D activities I am mindful that there is a requirement for more than end</w:t>
      </w:r>
      <w:r w:rsidRPr="008D4EDD">
        <w:noBreakHyphen/>
        <w:t>of</w:t>
      </w:r>
      <w:r w:rsidRPr="008D4EDD">
        <w:noBreakHyphen/>
        <w:t xml:space="preserve">course surveys. The people team should work with employees to define what success looks like while using technology and AI to improve the quality of evaluation data. This also means challenging the value of traditional “happy sheets” and questioning whether learners should be rating facilitators or materials. Ratings don’t give us much information about real engagement or actual performance </w:t>
      </w:r>
      <w:r w:rsidR="003F6E6D" w:rsidRPr="008D4EDD">
        <w:t>improvement.</w:t>
      </w:r>
      <w:r w:rsidR="003F6E6D" w:rsidRPr="008D4EDD">
        <w:rPr>
          <w:color w:val="A91E1E"/>
        </w:rPr>
        <w:t xml:space="preserve"> (</w:t>
      </w:r>
      <w:r w:rsidRPr="008D4EDD">
        <w:rPr>
          <w:color w:val="A91E1E"/>
        </w:rPr>
        <w:t>CIPD, 2025a)</w:t>
      </w:r>
    </w:p>
    <w:p w14:paraId="505F1508" w14:textId="77777777" w:rsidR="00CB5A31" w:rsidRPr="008D4EDD" w:rsidRDefault="00CB5A31" w:rsidP="00CB5A31">
      <w:pPr>
        <w:spacing w:before="120" w:after="120"/>
        <w:jc w:val="both"/>
      </w:pPr>
      <w:r w:rsidRPr="008D4EDD">
        <w:t xml:space="preserve">Based on my above findings I recommend that Technivara now modernises and expands their learning and development programme to not only support their planned growth but to also drive it. This would involve employing a full time Learning &amp; Development Business Partner and invest in a People Analytics Dashboard. </w:t>
      </w:r>
    </w:p>
    <w:p w14:paraId="6AB6BAEE" w14:textId="77777777" w:rsidR="00CB5A31" w:rsidRPr="008D4EDD" w:rsidRDefault="00CB5A31" w:rsidP="00CB5A31">
      <w:pPr>
        <w:spacing w:before="120" w:after="120"/>
        <w:jc w:val="both"/>
      </w:pPr>
      <w:r w:rsidRPr="008D4EDD">
        <w:t>Investing in a dedicated in</w:t>
      </w:r>
      <w:r w:rsidRPr="008D4EDD">
        <w:noBreakHyphen/>
        <w:t xml:space="preserve">house Learning and Development Business Partner will fulfil a vital role in supporting organisational expansion by building the skills, capability and adaptability needed for growth. Effective L&amp;D makes sure that employee development is aligned with performance gaps and business objectives, enabling the workforce to meet new operational demands as the organisation scales </w:t>
      </w:r>
      <w:r w:rsidRPr="008D4EDD">
        <w:rPr>
          <w:color w:val="A91E1E"/>
        </w:rPr>
        <w:t xml:space="preserve">(CIPD, 2025b). </w:t>
      </w:r>
      <w:r w:rsidRPr="008D4EDD">
        <w:t xml:space="preserve">Additionally, by using modern approaches such as “learning in the flow of work” this will allow employees to acquire skills quickly and apply them directly to real tasks, increasing productivity and supporting faster organisational development </w:t>
      </w:r>
      <w:r w:rsidRPr="008D4EDD">
        <w:rPr>
          <w:color w:val="A91E1E"/>
        </w:rPr>
        <w:t xml:space="preserve">(Bersin, 2018a). </w:t>
      </w:r>
      <w:r w:rsidRPr="008D4EDD">
        <w:t>By embedding continuous learning within daily work and ensuring development activities are strategically targeted, in</w:t>
      </w:r>
      <w:r w:rsidRPr="008D4EDD">
        <w:noBreakHyphen/>
        <w:t>house L&amp;D can drive capability growth, improve efficiency and strengthen the organisation’s readiness for expansion.</w:t>
      </w:r>
    </w:p>
    <w:p w14:paraId="274931A8" w14:textId="77777777" w:rsidR="00EF2432" w:rsidRPr="008D4EDD" w:rsidRDefault="00EF2432" w:rsidP="00BC2536">
      <w:pPr>
        <w:jc w:val="both"/>
      </w:pPr>
    </w:p>
    <w:p w14:paraId="096DB2E4" w14:textId="77777777" w:rsidR="00EF2432" w:rsidRPr="008D4EDD" w:rsidRDefault="00EF2432" w:rsidP="00BC2536">
      <w:pPr>
        <w:jc w:val="both"/>
      </w:pPr>
    </w:p>
    <w:p w14:paraId="6ECE6BEA" w14:textId="2F7E344F" w:rsidR="0024132B" w:rsidRPr="008D4EDD" w:rsidRDefault="0024132B" w:rsidP="009F6FAD">
      <w:pPr>
        <w:jc w:val="both"/>
        <w:rPr>
          <w:color w:val="FF0000"/>
        </w:rPr>
      </w:pPr>
      <w:r w:rsidRPr="008D4EDD">
        <w:rPr>
          <w:noProof/>
          <w:color w:val="FF0000"/>
        </w:rPr>
        <w:lastRenderedPageBreak/>
        <w:drawing>
          <wp:inline distT="0" distB="0" distL="0" distR="0" wp14:anchorId="17A97A17" wp14:editId="4DA87425">
            <wp:extent cx="6189742" cy="3105150"/>
            <wp:effectExtent l="0" t="0" r="1905" b="0"/>
            <wp:docPr id="1904948652" name="Picture 1" descr="A chart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948652" name="Picture 1" descr="A chart with text and numbers&#10;&#10;AI-generated content may be incorrect."/>
                    <pic:cNvPicPr/>
                  </pic:nvPicPr>
                  <pic:blipFill>
                    <a:blip r:embed="rId17"/>
                    <a:stretch>
                      <a:fillRect/>
                    </a:stretch>
                  </pic:blipFill>
                  <pic:spPr>
                    <a:xfrm>
                      <a:off x="0" y="0"/>
                      <a:ext cx="6207330" cy="3113973"/>
                    </a:xfrm>
                    <a:prstGeom prst="rect">
                      <a:avLst/>
                    </a:prstGeom>
                  </pic:spPr>
                </pic:pic>
              </a:graphicData>
            </a:graphic>
          </wp:inline>
        </w:drawing>
      </w:r>
    </w:p>
    <w:p w14:paraId="57110593" w14:textId="22C03CF3" w:rsidR="0024132B" w:rsidRPr="008D4EDD" w:rsidRDefault="0024132B" w:rsidP="009F6FAD">
      <w:pPr>
        <w:jc w:val="both"/>
        <w:rPr>
          <w:color w:val="FF0000"/>
        </w:rPr>
      </w:pPr>
      <w:r w:rsidRPr="008D4EDD">
        <w:rPr>
          <w:color w:val="FF0000"/>
        </w:rPr>
        <w:t>(Bersin, 2018</w:t>
      </w:r>
      <w:r w:rsidR="00EF2432" w:rsidRPr="008D4EDD">
        <w:rPr>
          <w:color w:val="FF0000"/>
        </w:rPr>
        <w:t>b</w:t>
      </w:r>
      <w:r w:rsidRPr="008D4EDD">
        <w:rPr>
          <w:color w:val="FF0000"/>
        </w:rPr>
        <w:t xml:space="preserve">) </w:t>
      </w:r>
    </w:p>
    <w:p w14:paraId="5CB0B5FE" w14:textId="77777777" w:rsidR="009674A2" w:rsidRPr="008D4EDD" w:rsidRDefault="009674A2" w:rsidP="009F6FAD">
      <w:pPr>
        <w:jc w:val="both"/>
      </w:pPr>
    </w:p>
    <w:p w14:paraId="5238F003" w14:textId="133D6A0F" w:rsidR="00FD7B9B" w:rsidRPr="008D4EDD" w:rsidRDefault="00FD7B9B" w:rsidP="00FD7B9B">
      <w:pPr>
        <w:spacing w:before="120" w:after="120"/>
        <w:jc w:val="both"/>
      </w:pPr>
      <w:r w:rsidRPr="008D4EDD">
        <w:t>The cost of this hiring to Technivara involves far more than just paying their salary. Technivara must factor in a wide range of additional costs, including National Insurance contributions, pension payments, benefits, recruitment fees, and the overheads required to provide equipment, workspace and utilities. Technivara also need to budget for holiday pay, sick pay, parental leave and performance</w:t>
      </w:r>
      <w:r w:rsidRPr="008D4EDD">
        <w:noBreakHyphen/>
        <w:t xml:space="preserve">related rewards, alongside the productivity impact that comes with onboarding and supporting a new hire. When all these costs are combined, the true annual cost of recruitment will be 75% to 100% higher than their base salary, meaning systematic planning and awareness of statutory entitlements are essential to prevent unforeseen </w:t>
      </w:r>
      <w:r w:rsidR="003F6E6D" w:rsidRPr="008D4EDD">
        <w:t>costs.</w:t>
      </w:r>
      <w:r w:rsidR="003F6E6D" w:rsidRPr="008D4EDD">
        <w:rPr>
          <w:color w:val="A91E1E"/>
        </w:rPr>
        <w:t xml:space="preserve"> (</w:t>
      </w:r>
      <w:proofErr w:type="spellStart"/>
      <w:r w:rsidRPr="008D4EDD">
        <w:rPr>
          <w:color w:val="A91E1E"/>
        </w:rPr>
        <w:t>Personio</w:t>
      </w:r>
      <w:proofErr w:type="spellEnd"/>
      <w:r w:rsidRPr="008D4EDD">
        <w:rPr>
          <w:color w:val="A91E1E"/>
        </w:rPr>
        <w:t>, 2026)</w:t>
      </w:r>
    </w:p>
    <w:p w14:paraId="6D5C72F6" w14:textId="77777777" w:rsidR="00FD7B9B" w:rsidRPr="008D4EDD" w:rsidRDefault="00FD7B9B" w:rsidP="00FD7B9B">
      <w:pPr>
        <w:spacing w:before="120" w:after="120"/>
        <w:jc w:val="both"/>
      </w:pPr>
      <w:r w:rsidRPr="008D4EDD">
        <w:t xml:space="preserve">The average base salary for a Learning and Development Partner in the UK is £41,000.00. </w:t>
      </w:r>
      <w:r w:rsidRPr="008D4EDD">
        <w:rPr>
          <w:color w:val="A91E1E"/>
        </w:rPr>
        <w:t xml:space="preserve">(Glassdoor, 2026). </w:t>
      </w:r>
      <w:r w:rsidRPr="008D4EDD">
        <w:t xml:space="preserve">So Technivara should budget the annual cost of </w:t>
      </w:r>
      <w:r w:rsidRPr="008D4EDD">
        <w:rPr>
          <w:b/>
          <w:bCs/>
        </w:rPr>
        <w:t>£82,000.00</w:t>
      </w:r>
      <w:r w:rsidRPr="008D4EDD">
        <w:t xml:space="preserve"> for the recruitment when </w:t>
      </w:r>
      <w:proofErr w:type="gramStart"/>
      <w:r w:rsidRPr="008D4EDD">
        <w:t>taking into account</w:t>
      </w:r>
      <w:proofErr w:type="gramEnd"/>
      <w:r w:rsidRPr="008D4EDD">
        <w:t xml:space="preserve"> the additional costs as detailed above.</w:t>
      </w:r>
    </w:p>
    <w:p w14:paraId="0EB33956" w14:textId="77777777" w:rsidR="00FD7B9B" w:rsidRPr="008D4EDD" w:rsidRDefault="00FD7B9B" w:rsidP="00FD7B9B">
      <w:pPr>
        <w:spacing w:before="120" w:after="120"/>
        <w:jc w:val="both"/>
      </w:pPr>
      <w:r w:rsidRPr="008D4EDD">
        <w:t xml:space="preserve">The large cost of this hiring is one of the main risks of this recommendation, are we going to see a return on this investment. There </w:t>
      </w:r>
      <w:proofErr w:type="gramStart"/>
      <w:r w:rsidRPr="008D4EDD">
        <w:t>is</w:t>
      </w:r>
      <w:proofErr w:type="gramEnd"/>
      <w:r w:rsidRPr="008D4EDD">
        <w:t xml:space="preserve"> also the risk of cultural pushback and the risk the appointed individual having a skills mismatch and not holding the competencies needed to build the learning schemes to support expansion plans. </w:t>
      </w:r>
    </w:p>
    <w:p w14:paraId="0CAB565C" w14:textId="29B1D71B" w:rsidR="00FD7B9B" w:rsidRPr="008D4EDD" w:rsidRDefault="00FD7B9B" w:rsidP="00FD7B9B">
      <w:pPr>
        <w:spacing w:before="120" w:after="120"/>
        <w:jc w:val="both"/>
      </w:pPr>
      <w:r w:rsidRPr="008D4EDD">
        <w:t xml:space="preserve">My second recommendation is to implement a people analytics dashboard. This will significantly strengthen </w:t>
      </w:r>
      <w:proofErr w:type="spellStart"/>
      <w:r w:rsidRPr="008D4EDD">
        <w:t>Technivara’s</w:t>
      </w:r>
      <w:proofErr w:type="spellEnd"/>
      <w:r w:rsidRPr="008D4EDD">
        <w:t xml:space="preserve"> learning and development capability by providing current insights into skills gaps, training needs and behavioural outcomes. It will also provide other useful data that will add value to the business i.e. absence reduction. People analytics enable learning and development teams to highlight performance gaps, ensuring learning interventions are targeted and tactically aligned with organisational goals </w:t>
      </w:r>
      <w:r w:rsidRPr="008D4EDD">
        <w:rPr>
          <w:color w:val="A91E1E"/>
        </w:rPr>
        <w:t>(CIPD, 2024</w:t>
      </w:r>
      <w:r w:rsidR="00992096">
        <w:rPr>
          <w:color w:val="A91E1E"/>
        </w:rPr>
        <w:t>a)</w:t>
      </w:r>
      <w:r w:rsidRPr="008D4EDD">
        <w:t xml:space="preserve">. </w:t>
      </w:r>
    </w:p>
    <w:p w14:paraId="241CD127" w14:textId="3D70DCE0" w:rsidR="00FD7B9B" w:rsidRPr="008D4EDD" w:rsidRDefault="00FD7B9B" w:rsidP="00FD7B9B">
      <w:pPr>
        <w:spacing w:before="120" w:after="120"/>
        <w:jc w:val="both"/>
      </w:pPr>
      <w:r w:rsidRPr="008D4EDD">
        <w:t>Furthermore, integrating analytics with modern approaches like “learning in the flow of work” supports ongoing, embedded skill development that improves productivity during periods of expansion. Organisations with highly mature people</w:t>
      </w:r>
      <w:r w:rsidRPr="008D4EDD">
        <w:noBreakHyphen/>
        <w:t xml:space="preserve">analytics capabilities achieve markedly stronger outcomes, being three times more likely to surpass financial targets, eight times more likely to hit high workforce productivity, nine </w:t>
      </w:r>
      <w:r w:rsidRPr="008D4EDD">
        <w:lastRenderedPageBreak/>
        <w:t xml:space="preserve">times more likely to adapt effectively to change, and seven times more likely to innovate successfully. </w:t>
      </w:r>
      <w:r w:rsidRPr="008D4EDD">
        <w:rPr>
          <w:color w:val="A91E1E"/>
        </w:rPr>
        <w:t>(Bersin, 2018</w:t>
      </w:r>
      <w:r w:rsidR="00A944C5">
        <w:rPr>
          <w:color w:val="A91E1E"/>
        </w:rPr>
        <w:t>c)</w:t>
      </w:r>
      <w:r w:rsidRPr="008D4EDD">
        <w:rPr>
          <w:color w:val="A91E1E"/>
        </w:rPr>
        <w:t xml:space="preserve">. </w:t>
      </w:r>
      <w:r w:rsidRPr="008D4EDD">
        <w:t>Overall, a people analytics dashboard enables learning and development practitioners to deliver more evidence</w:t>
      </w:r>
      <w:r w:rsidRPr="008D4EDD">
        <w:noBreakHyphen/>
        <w:t>based, responsive and powerful development strategies that directly aid the growing business’s success.</w:t>
      </w:r>
    </w:p>
    <w:p w14:paraId="009094D2" w14:textId="3413B403" w:rsidR="00FD7B9B" w:rsidRPr="008D4EDD" w:rsidRDefault="00FD7B9B" w:rsidP="00FD7B9B">
      <w:pPr>
        <w:spacing w:before="120" w:after="120"/>
        <w:jc w:val="both"/>
      </w:pPr>
      <w:r w:rsidRPr="008D4EDD">
        <w:t xml:space="preserve">Some of the risks of implementing a people analytics dashboard would be the strict controls to protect sensitive employee data. Employers are required to handle employee information in HR systems in line with UK GDPR and the Data Protection Act 2018, ensuring that all data is collected, used, and stored in a lawful, transparent, and secure manner. </w:t>
      </w:r>
      <w:r w:rsidRPr="008D4EDD">
        <w:rPr>
          <w:color w:val="A91E1E"/>
        </w:rPr>
        <w:t xml:space="preserve">(ICO, 2025) </w:t>
      </w:r>
      <w:r w:rsidRPr="008D4EDD">
        <w:t>Also data quality and migration issues, change-</w:t>
      </w:r>
      <w:r w:rsidR="00D309DF" w:rsidRPr="008D4EDD">
        <w:t>management</w:t>
      </w:r>
      <w:r w:rsidRPr="008D4EDD">
        <w:t xml:space="preserve"> risk, operational disruption and under-utilising the system. Technivara will have to prepare for these risks with risk reduction strategies. </w:t>
      </w:r>
    </w:p>
    <w:p w14:paraId="45A9F2FD" w14:textId="77777777" w:rsidR="00FD7B9B" w:rsidRPr="008D4EDD" w:rsidRDefault="00FD7B9B" w:rsidP="00FD7B9B">
      <w:pPr>
        <w:spacing w:before="120" w:after="120"/>
        <w:jc w:val="both"/>
      </w:pPr>
      <w:r w:rsidRPr="008D4EDD">
        <w:t xml:space="preserve">There are many IT companies that offer many options for People Analytics Dashboards. As an example of costing if Technivara were to adopt PeopleHR’s Core package, which is priced at £5.50 per employee per month, the organisation would pay </w:t>
      </w:r>
      <w:r w:rsidRPr="008D4EDD">
        <w:rPr>
          <w:b/>
          <w:bCs/>
        </w:rPr>
        <w:t>£6,600</w:t>
      </w:r>
      <w:r w:rsidRPr="008D4EDD">
        <w:t xml:space="preserve"> per year to cover 100 employees (VAT can be reclaimed). The implementation of the system is included in this cost. I feel this option is a scalable and cost</w:t>
      </w:r>
      <w:r w:rsidRPr="008D4EDD">
        <w:noBreakHyphen/>
        <w:t xml:space="preserve">effective option as Technivara continues to expand. </w:t>
      </w:r>
      <w:r w:rsidRPr="008D4EDD">
        <w:rPr>
          <w:color w:val="A91E1E"/>
        </w:rPr>
        <w:t>(PeopleHR, 2026)</w:t>
      </w:r>
    </w:p>
    <w:p w14:paraId="23DB9E51" w14:textId="77777777" w:rsidR="00FD7B9B" w:rsidRPr="008D4EDD" w:rsidRDefault="00FD7B9B" w:rsidP="00FD7B9B">
      <w:pPr>
        <w:spacing w:before="120" w:after="120"/>
        <w:jc w:val="both"/>
      </w:pPr>
      <w:r w:rsidRPr="008D4EDD">
        <w:t xml:space="preserve">The total annual cost of my two recommendations is </w:t>
      </w:r>
      <w:r w:rsidRPr="008D4EDD">
        <w:rPr>
          <w:b/>
          <w:bCs/>
        </w:rPr>
        <w:t>£88,600</w:t>
      </w:r>
      <w:r w:rsidRPr="008D4EDD">
        <w:t xml:space="preserve">. </w:t>
      </w:r>
    </w:p>
    <w:p w14:paraId="3B555687" w14:textId="3DAECB70" w:rsidR="00FD7B9B" w:rsidRPr="008D4EDD" w:rsidRDefault="00FD7B9B" w:rsidP="00FD7B9B">
      <w:pPr>
        <w:spacing w:before="120" w:after="120"/>
        <w:jc w:val="both"/>
      </w:pPr>
      <w:r w:rsidRPr="008D4EDD">
        <w:t xml:space="preserve">When implemented together there will be </w:t>
      </w:r>
      <w:r w:rsidR="00363C2D" w:rsidRPr="008D4EDD">
        <w:t>stronger costs</w:t>
      </w:r>
      <w:r w:rsidRPr="008D4EDD">
        <w:t xml:space="preserve"> benefit and ROI. Technivara can use the below calculation to identify the value gained for the initiative. It compares the benefits achieved with the cost of delivering it. In learning and development, it is commonly used to demonstrate the short, medium and long</w:t>
      </w:r>
      <w:r w:rsidRPr="008D4EDD">
        <w:noBreakHyphen/>
        <w:t>term impact of a programme on performance and organisational outcomes.</w:t>
      </w:r>
    </w:p>
    <w:p w14:paraId="53E54F5C" w14:textId="77777777" w:rsidR="00FD7B9B" w:rsidRPr="008D4EDD" w:rsidRDefault="00FD7B9B" w:rsidP="00FD7B9B">
      <w:pPr>
        <w:spacing w:before="120" w:after="120"/>
        <w:jc w:val="both"/>
      </w:pPr>
      <w:r w:rsidRPr="008D4EDD">
        <w:rPr>
          <w:i/>
          <w:iCs/>
        </w:rPr>
        <w:t>Return on investment (%) = (value of realised benefits – investment cost) / investment cost x 100</w:t>
      </w:r>
    </w:p>
    <w:p w14:paraId="1F225FDB" w14:textId="116F9B14" w:rsidR="00FD7B9B" w:rsidRPr="008D4EDD" w:rsidRDefault="00FD7B9B" w:rsidP="00FD7B9B">
      <w:pPr>
        <w:spacing w:before="120" w:after="120"/>
      </w:pPr>
      <w:r w:rsidRPr="008D4EDD">
        <w:rPr>
          <w:color w:val="A91E1E"/>
        </w:rPr>
        <w:t>(CIPD, 2024</w:t>
      </w:r>
      <w:r w:rsidR="00A944C5">
        <w:rPr>
          <w:color w:val="A91E1E"/>
        </w:rPr>
        <w:t>b</w:t>
      </w:r>
      <w:r w:rsidRPr="008D4EDD">
        <w:rPr>
          <w:color w:val="A91E1E"/>
        </w:rPr>
        <w:t>)</w:t>
      </w:r>
    </w:p>
    <w:p w14:paraId="677394BB" w14:textId="77777777" w:rsidR="00F96525" w:rsidRPr="008D4EDD" w:rsidRDefault="00F96525" w:rsidP="00AB0139">
      <w:pPr>
        <w:jc w:val="both"/>
      </w:pPr>
    </w:p>
    <w:p w14:paraId="159E751D" w14:textId="77777777" w:rsidR="005B28A1" w:rsidRPr="008D4EDD" w:rsidRDefault="005B28A1"/>
    <w:p w14:paraId="47EB0CBB" w14:textId="77777777" w:rsidR="00D43D82" w:rsidRPr="008D4EDD" w:rsidRDefault="00D43D82"/>
    <w:p w14:paraId="7D18B183" w14:textId="77777777" w:rsidR="00D43D82" w:rsidRPr="008D4EDD" w:rsidRDefault="00D43D82"/>
    <w:p w14:paraId="50632ED6" w14:textId="77777777" w:rsidR="00D43D82" w:rsidRPr="008D4EDD" w:rsidRDefault="00D43D82"/>
    <w:p w14:paraId="4FE92EC1" w14:textId="77777777" w:rsidR="00D43D82" w:rsidRPr="008D4EDD" w:rsidRDefault="00D43D82"/>
    <w:p w14:paraId="65985AF0" w14:textId="77777777" w:rsidR="00D43D82" w:rsidRPr="008D4EDD" w:rsidRDefault="00D43D82"/>
    <w:p w14:paraId="22337A72" w14:textId="77777777" w:rsidR="00D43D82" w:rsidRPr="008D4EDD" w:rsidRDefault="00D43D82"/>
    <w:p w14:paraId="46801CB6" w14:textId="77777777" w:rsidR="00D43D82" w:rsidRPr="008D4EDD" w:rsidRDefault="00D43D82"/>
    <w:p w14:paraId="3E81801E" w14:textId="77777777" w:rsidR="00D43D82" w:rsidRPr="008D4EDD" w:rsidRDefault="00D43D82"/>
    <w:p w14:paraId="345FE910" w14:textId="77777777" w:rsidR="00D43D82" w:rsidRPr="008D4EDD" w:rsidRDefault="00D43D82"/>
    <w:p w14:paraId="2C4CAD5D" w14:textId="77777777" w:rsidR="003A4205" w:rsidRDefault="003A4205"/>
    <w:p w14:paraId="27E5D3BD" w14:textId="77777777" w:rsidR="008D4EDD" w:rsidRDefault="008D4EDD"/>
    <w:p w14:paraId="7FEB48CB" w14:textId="77777777" w:rsidR="008D4EDD" w:rsidRPr="008D4EDD" w:rsidRDefault="008D4EDD"/>
    <w:p w14:paraId="01E7E0C3" w14:textId="77777777" w:rsidR="00880CF7" w:rsidRPr="008D4EDD" w:rsidRDefault="00880CF7"/>
    <w:p w14:paraId="4FC3B02D" w14:textId="11A7ACEB" w:rsidR="006F6771" w:rsidRPr="008D4EDD" w:rsidRDefault="006F6771" w:rsidP="00E642D3">
      <w:pPr>
        <w:jc w:val="both"/>
        <w:rPr>
          <w:b/>
          <w:bCs/>
          <w:u w:val="single"/>
        </w:rPr>
      </w:pPr>
      <w:r w:rsidRPr="008D4EDD">
        <w:rPr>
          <w:b/>
          <w:bCs/>
          <w:u w:val="single"/>
        </w:rPr>
        <w:lastRenderedPageBreak/>
        <w:t xml:space="preserve">Bibliography </w:t>
      </w:r>
    </w:p>
    <w:p w14:paraId="53E581B0" w14:textId="77777777" w:rsidR="00D92010" w:rsidRPr="008D4EDD" w:rsidRDefault="00D92010" w:rsidP="00E642D3">
      <w:pPr>
        <w:jc w:val="both"/>
      </w:pPr>
    </w:p>
    <w:p w14:paraId="4DBC3696" w14:textId="77777777" w:rsidR="00BA64CA" w:rsidRPr="008D4EDD" w:rsidRDefault="00BA64CA" w:rsidP="00BA64CA">
      <w:pPr>
        <w:pStyle w:val="ListParagraph"/>
        <w:numPr>
          <w:ilvl w:val="0"/>
          <w:numId w:val="4"/>
        </w:numPr>
        <w:jc w:val="both"/>
      </w:pPr>
      <w:r w:rsidRPr="008D4EDD">
        <w:t xml:space="preserve">Armstrong, M. and Taylor, S. (2023) </w:t>
      </w:r>
      <w:r w:rsidRPr="008D4EDD">
        <w:rPr>
          <w:i/>
          <w:iCs/>
        </w:rPr>
        <w:t>Armstrong’s handbook of human resource management practice: a guide to the theory and practice of people management.</w:t>
      </w:r>
      <w:r w:rsidRPr="008D4EDD">
        <w:t xml:space="preserve"> 16th edition. London: Kogan Page. p.48.</w:t>
      </w:r>
    </w:p>
    <w:p w14:paraId="4886F9E6" w14:textId="77777777" w:rsidR="00BA64CA" w:rsidRPr="008D4EDD" w:rsidRDefault="00BA64CA" w:rsidP="00BA64CA">
      <w:pPr>
        <w:pStyle w:val="ListParagraph"/>
        <w:numPr>
          <w:ilvl w:val="0"/>
          <w:numId w:val="4"/>
        </w:numPr>
        <w:jc w:val="both"/>
      </w:pPr>
      <w:r w:rsidRPr="008D4EDD">
        <w:t xml:space="preserve">Armstrong, M. and Taylor, S. (2023) </w:t>
      </w:r>
      <w:r w:rsidRPr="008D4EDD">
        <w:rPr>
          <w:i/>
          <w:iCs/>
        </w:rPr>
        <w:t>Armstrong’s handbook of human resource management practice: a guide to the theory and practice of people management.</w:t>
      </w:r>
      <w:r w:rsidRPr="008D4EDD">
        <w:t xml:space="preserve"> 16th edition. London: Kogan Page. p.593.</w:t>
      </w:r>
    </w:p>
    <w:p w14:paraId="7D2DCB7C" w14:textId="77777777" w:rsidR="00BA64CA" w:rsidRPr="008D4EDD" w:rsidRDefault="00BA64CA" w:rsidP="00BA64CA">
      <w:pPr>
        <w:pStyle w:val="ListParagraph"/>
        <w:numPr>
          <w:ilvl w:val="0"/>
          <w:numId w:val="4"/>
        </w:numPr>
        <w:jc w:val="both"/>
      </w:pPr>
      <w:r w:rsidRPr="008D4EDD">
        <w:t xml:space="preserve">Barends, E., Rousseau, D.M. &amp; Briner, R.B. (2014) </w:t>
      </w:r>
      <w:r w:rsidRPr="008D4EDD">
        <w:rPr>
          <w:i/>
          <w:iCs/>
        </w:rPr>
        <w:t>Evidence-Based Management: The Basic Principles.</w:t>
      </w:r>
      <w:r w:rsidRPr="008D4EDD">
        <w:t xml:space="preserve"> Amsterdam: </w:t>
      </w:r>
      <w:proofErr w:type="spellStart"/>
      <w:r w:rsidRPr="008D4EDD">
        <w:t>Center</w:t>
      </w:r>
      <w:proofErr w:type="spellEnd"/>
      <w:r w:rsidRPr="008D4EDD">
        <w:t xml:space="preserve"> for Evidence-Based Management.</w:t>
      </w:r>
    </w:p>
    <w:p w14:paraId="60E45991" w14:textId="77777777" w:rsidR="00BA64CA" w:rsidRPr="008D4EDD" w:rsidRDefault="00BA64CA" w:rsidP="00BA64CA">
      <w:pPr>
        <w:pStyle w:val="ListParagraph"/>
        <w:numPr>
          <w:ilvl w:val="0"/>
          <w:numId w:val="4"/>
        </w:numPr>
        <w:jc w:val="both"/>
      </w:pPr>
      <w:r w:rsidRPr="008D4EDD">
        <w:t>Bersin, J. (</w:t>
      </w:r>
      <w:proofErr w:type="gramStart"/>
      <w:r w:rsidRPr="008D4EDD">
        <w:t>2018)a</w:t>
      </w:r>
      <w:proofErr w:type="gramEnd"/>
      <w:r w:rsidRPr="008D4EDD">
        <w:t xml:space="preserve"> </w:t>
      </w:r>
      <w:proofErr w:type="spellStart"/>
      <w:r w:rsidRPr="008D4EDD">
        <w:rPr>
          <w:i/>
          <w:iCs/>
        </w:rPr>
        <w:t>A</w:t>
      </w:r>
      <w:proofErr w:type="spellEnd"/>
      <w:r w:rsidRPr="008D4EDD">
        <w:rPr>
          <w:i/>
          <w:iCs/>
        </w:rPr>
        <w:t xml:space="preserve"> new paradigm for corporate training: learning in the flow of work.</w:t>
      </w:r>
      <w:r w:rsidRPr="008D4EDD">
        <w:t xml:space="preserve"> Available at: https://joshbersin.com/2018/06/a-new-paradigm-for-corporate-training-learning-in-the-flow-of-work/ (Accessed: 30 January 2026).</w:t>
      </w:r>
    </w:p>
    <w:p w14:paraId="334D03E4" w14:textId="77777777" w:rsidR="00BA64CA" w:rsidRPr="008D4EDD" w:rsidRDefault="00BA64CA" w:rsidP="00BA64CA">
      <w:pPr>
        <w:pStyle w:val="ListParagraph"/>
        <w:numPr>
          <w:ilvl w:val="0"/>
          <w:numId w:val="4"/>
        </w:numPr>
        <w:jc w:val="both"/>
      </w:pPr>
      <w:r w:rsidRPr="008D4EDD">
        <w:t>Bersin, J. (</w:t>
      </w:r>
      <w:proofErr w:type="gramStart"/>
      <w:r w:rsidRPr="008D4EDD">
        <w:t>2018)b</w:t>
      </w:r>
      <w:proofErr w:type="gramEnd"/>
      <w:r w:rsidRPr="008D4EDD">
        <w:t xml:space="preserve"> </w:t>
      </w:r>
      <w:r w:rsidRPr="008D4EDD">
        <w:rPr>
          <w:i/>
          <w:iCs/>
        </w:rPr>
        <w:t>A new paradigm for corporate training: learning in the flow of work.</w:t>
      </w:r>
      <w:r w:rsidRPr="008D4EDD">
        <w:t xml:space="preserve"> Available at: https://joshbersin.com/2018/06/a-new-paradigm-for-corporate-training-learning-in-the-flow-of-work/ (Accessed: 30 January 2026).</w:t>
      </w:r>
    </w:p>
    <w:p w14:paraId="2C9B111B" w14:textId="77777777" w:rsidR="00BA64CA" w:rsidRPr="008D4EDD" w:rsidRDefault="00BA64CA" w:rsidP="00BA64CA">
      <w:pPr>
        <w:pStyle w:val="ListParagraph"/>
        <w:numPr>
          <w:ilvl w:val="0"/>
          <w:numId w:val="4"/>
        </w:numPr>
        <w:jc w:val="both"/>
      </w:pPr>
      <w:r w:rsidRPr="008D4EDD">
        <w:t>Bersin, J. (</w:t>
      </w:r>
      <w:proofErr w:type="gramStart"/>
      <w:r w:rsidRPr="008D4EDD">
        <w:t>2018)c</w:t>
      </w:r>
      <w:proofErr w:type="gramEnd"/>
      <w:r w:rsidRPr="008D4EDD">
        <w:t xml:space="preserve"> </w:t>
      </w:r>
      <w:r w:rsidRPr="008D4EDD">
        <w:rPr>
          <w:i/>
          <w:iCs/>
        </w:rPr>
        <w:t>A new paradigm for corporate training: learning in the flow of work.</w:t>
      </w:r>
      <w:r w:rsidRPr="008D4EDD">
        <w:t xml:space="preserve"> Available at: https://joshbersin.com/2018/06/a-new-paradigm-for-corporate-training-learning-in-the-flow-of-work/ (Accessed: 30 January 2026).</w:t>
      </w:r>
    </w:p>
    <w:p w14:paraId="53EBF307" w14:textId="77777777" w:rsidR="00BA64CA" w:rsidRPr="008D4EDD" w:rsidRDefault="00BA64CA" w:rsidP="00BA64CA">
      <w:pPr>
        <w:pStyle w:val="ListParagraph"/>
        <w:numPr>
          <w:ilvl w:val="0"/>
          <w:numId w:val="4"/>
        </w:numPr>
        <w:jc w:val="both"/>
      </w:pPr>
      <w:r w:rsidRPr="008D4EDD">
        <w:t xml:space="preserve">Chartered Institute of Personnel and Development (CIPD) (2019) </w:t>
      </w:r>
      <w:r w:rsidRPr="008D4EDD">
        <w:rPr>
          <w:i/>
          <w:iCs/>
        </w:rPr>
        <w:t>Critical thinking.</w:t>
      </w:r>
      <w:r w:rsidRPr="008D4EDD">
        <w:t xml:space="preserve"> Available at: https://www.cipd.org/uk/knowledge/podcasts/critical-thinking/ (Accessed: 29 January 2026).</w:t>
      </w:r>
    </w:p>
    <w:p w14:paraId="1DD7328E" w14:textId="77777777" w:rsidR="00BA64CA" w:rsidRPr="008D4EDD" w:rsidRDefault="00BA64CA" w:rsidP="00BA64CA">
      <w:pPr>
        <w:pStyle w:val="ListParagraph"/>
        <w:numPr>
          <w:ilvl w:val="0"/>
          <w:numId w:val="4"/>
        </w:numPr>
        <w:jc w:val="both"/>
      </w:pPr>
      <w:r w:rsidRPr="008D4EDD">
        <w:t xml:space="preserve">CIPD (2022) </w:t>
      </w:r>
      <w:r w:rsidRPr="008D4EDD">
        <w:rPr>
          <w:i/>
          <w:iCs/>
        </w:rPr>
        <w:t>PESTLE analysis factsheet.</w:t>
      </w:r>
      <w:r w:rsidRPr="008D4EDD">
        <w:t xml:space="preserve"> Available at:</w:t>
      </w:r>
      <w:r w:rsidRPr="008D4EDD">
        <w:br/>
        <w:t>https://www.cipd.org/globalassets/media/knowledge/knowledge-hub/factsheets/pestle-analysis-factsheet_20221230T092611.pdf (Accessed: 30 January 2026).</w:t>
      </w:r>
    </w:p>
    <w:p w14:paraId="63BB3159" w14:textId="77777777" w:rsidR="00BA64CA" w:rsidRPr="008D4EDD" w:rsidRDefault="00BA64CA" w:rsidP="00BA64CA">
      <w:pPr>
        <w:pStyle w:val="ListParagraph"/>
        <w:numPr>
          <w:ilvl w:val="0"/>
          <w:numId w:val="4"/>
        </w:numPr>
        <w:jc w:val="both"/>
      </w:pPr>
      <w:r w:rsidRPr="008D4EDD">
        <w:t xml:space="preserve">CIPD (2023) </w:t>
      </w:r>
      <w:r w:rsidRPr="008D4EDD">
        <w:rPr>
          <w:i/>
          <w:iCs/>
        </w:rPr>
        <w:t>People analytics: a practitioner’s guide.</w:t>
      </w:r>
      <w:r w:rsidRPr="008D4EDD">
        <w:t xml:space="preserve"> Available at: https://www.cipd.org/uk/knowledge/guides/analytics-practitioner-guide/ (Accessed: 29 January 2026).</w:t>
      </w:r>
    </w:p>
    <w:p w14:paraId="1F611347" w14:textId="77777777" w:rsidR="00BA64CA" w:rsidRPr="008D4EDD" w:rsidRDefault="00BA64CA" w:rsidP="00BA64CA">
      <w:pPr>
        <w:pStyle w:val="ListParagraph"/>
        <w:numPr>
          <w:ilvl w:val="0"/>
          <w:numId w:val="4"/>
        </w:numPr>
        <w:jc w:val="both"/>
      </w:pPr>
      <w:r w:rsidRPr="008D4EDD">
        <w:t xml:space="preserve">CIPD (2023) </w:t>
      </w:r>
      <w:r w:rsidRPr="008D4EDD">
        <w:rPr>
          <w:i/>
          <w:iCs/>
        </w:rPr>
        <w:t>Workforce reporting: the case for employer action.</w:t>
      </w:r>
      <w:r w:rsidRPr="008D4EDD">
        <w:t xml:space="preserve"> Available at:</w:t>
      </w:r>
      <w:r w:rsidRPr="008D4EDD">
        <w:br/>
        <w:t>https://www.cipd.org/globalassets/media/knowledge/knowledge-hub/reports/workforce-reporting-1_tcm18-113899.pdf (Accessed: 29 January 2026).</w:t>
      </w:r>
    </w:p>
    <w:p w14:paraId="6A2D4C81" w14:textId="77777777" w:rsidR="00BA64CA" w:rsidRPr="008D4EDD" w:rsidRDefault="00BA64CA" w:rsidP="00BA64CA">
      <w:pPr>
        <w:pStyle w:val="ListParagraph"/>
        <w:numPr>
          <w:ilvl w:val="0"/>
          <w:numId w:val="4"/>
        </w:numPr>
        <w:jc w:val="both"/>
      </w:pPr>
      <w:r w:rsidRPr="008D4EDD">
        <w:t>CIPD (</w:t>
      </w:r>
      <w:proofErr w:type="gramStart"/>
      <w:r w:rsidRPr="008D4EDD">
        <w:t>2024)a</w:t>
      </w:r>
      <w:proofErr w:type="gramEnd"/>
      <w:r w:rsidRPr="008D4EDD">
        <w:t xml:space="preserve"> </w:t>
      </w:r>
      <w:r w:rsidRPr="008D4EDD">
        <w:rPr>
          <w:i/>
          <w:iCs/>
        </w:rPr>
        <w:t>People analytics: guide for people professionals.</w:t>
      </w:r>
      <w:r w:rsidRPr="008D4EDD">
        <w:t xml:space="preserve"> Available at: https://www.cipd.org/uk/knowledge/guides/analytics-practitioner-guide/ (Accessed: 30 January 2026).</w:t>
      </w:r>
    </w:p>
    <w:p w14:paraId="66DCD62A" w14:textId="77777777" w:rsidR="00BA64CA" w:rsidRPr="008D4EDD" w:rsidRDefault="00BA64CA" w:rsidP="00BA64CA">
      <w:pPr>
        <w:pStyle w:val="ListParagraph"/>
        <w:numPr>
          <w:ilvl w:val="0"/>
          <w:numId w:val="4"/>
        </w:numPr>
        <w:jc w:val="both"/>
      </w:pPr>
      <w:r w:rsidRPr="008D4EDD">
        <w:t>CIPD (</w:t>
      </w:r>
      <w:proofErr w:type="gramStart"/>
      <w:r w:rsidRPr="008D4EDD">
        <w:t>2024)b</w:t>
      </w:r>
      <w:proofErr w:type="gramEnd"/>
      <w:r w:rsidRPr="008D4EDD">
        <w:t xml:space="preserve"> </w:t>
      </w:r>
      <w:r w:rsidRPr="008D4EDD">
        <w:rPr>
          <w:i/>
          <w:iCs/>
        </w:rPr>
        <w:t>People analytics: guide for people professionals.</w:t>
      </w:r>
      <w:r w:rsidRPr="008D4EDD">
        <w:t xml:space="preserve"> Available at: https://www.cipd.org/uk/knowledge/guides/analytics-practitioner-guide/ (Accessed: 30 January 2026).</w:t>
      </w:r>
    </w:p>
    <w:p w14:paraId="4110F947" w14:textId="77777777" w:rsidR="00BA64CA" w:rsidRPr="008D4EDD" w:rsidRDefault="00BA64CA" w:rsidP="00BA64CA">
      <w:pPr>
        <w:pStyle w:val="ListParagraph"/>
        <w:numPr>
          <w:ilvl w:val="0"/>
          <w:numId w:val="4"/>
        </w:numPr>
        <w:jc w:val="both"/>
      </w:pPr>
      <w:r w:rsidRPr="008D4EDD">
        <w:t xml:space="preserve">CIPD (2024) </w:t>
      </w:r>
      <w:r w:rsidRPr="008D4EDD">
        <w:rPr>
          <w:i/>
          <w:iCs/>
        </w:rPr>
        <w:t>Ethical practice and the role of people professionals.</w:t>
      </w:r>
      <w:r w:rsidRPr="008D4EDD">
        <w:t xml:space="preserve"> Available at: https://www.cipd.org/uk/knowledge/factsheets/ethics-role-hr-factsheet/ (Accessed: 29 January 2026).</w:t>
      </w:r>
    </w:p>
    <w:p w14:paraId="4337E179" w14:textId="77777777" w:rsidR="00BA64CA" w:rsidRPr="008D4EDD" w:rsidRDefault="00BA64CA" w:rsidP="00BA64CA">
      <w:pPr>
        <w:pStyle w:val="ListParagraph"/>
        <w:numPr>
          <w:ilvl w:val="0"/>
          <w:numId w:val="4"/>
        </w:numPr>
        <w:jc w:val="both"/>
      </w:pPr>
      <w:r w:rsidRPr="008D4EDD">
        <w:t xml:space="preserve">CIPD (2025) </w:t>
      </w:r>
      <w:r w:rsidRPr="008D4EDD">
        <w:rPr>
          <w:i/>
          <w:iCs/>
        </w:rPr>
        <w:t>Evidence</w:t>
      </w:r>
      <w:r w:rsidRPr="008D4EDD">
        <w:rPr>
          <w:i/>
          <w:iCs/>
        </w:rPr>
        <w:noBreakHyphen/>
        <w:t>based HR: make better decisions and step up your influence.</w:t>
      </w:r>
      <w:r w:rsidRPr="008D4EDD">
        <w:t xml:space="preserve"> Available at: https://www.cipd.org/uk/knowledge/guides/evidence-based-profession/ (Accessed: 30 January 2026).</w:t>
      </w:r>
    </w:p>
    <w:p w14:paraId="51D1C023" w14:textId="77777777" w:rsidR="00BA64CA" w:rsidRPr="008D4EDD" w:rsidRDefault="00BA64CA" w:rsidP="00BA64CA">
      <w:pPr>
        <w:pStyle w:val="ListParagraph"/>
        <w:numPr>
          <w:ilvl w:val="0"/>
          <w:numId w:val="4"/>
        </w:numPr>
        <w:jc w:val="both"/>
      </w:pPr>
      <w:r w:rsidRPr="008D4EDD">
        <w:t xml:space="preserve">CIPD (2025) </w:t>
      </w:r>
      <w:r w:rsidRPr="008D4EDD">
        <w:rPr>
          <w:i/>
          <w:iCs/>
        </w:rPr>
        <w:t>Evidence</w:t>
      </w:r>
      <w:r w:rsidRPr="008D4EDD">
        <w:rPr>
          <w:i/>
          <w:iCs/>
        </w:rPr>
        <w:noBreakHyphen/>
        <w:t>based practice for effective decision</w:t>
      </w:r>
      <w:r w:rsidRPr="008D4EDD">
        <w:rPr>
          <w:i/>
          <w:iCs/>
        </w:rPr>
        <w:noBreakHyphen/>
        <w:t>making.</w:t>
      </w:r>
      <w:r w:rsidRPr="008D4EDD">
        <w:t xml:space="preserve"> Available at: https://www.cipd.org/uk/knowledge/factsheets/evidence-based-practice-factsheet/ (Accessed: 30 January 2026).</w:t>
      </w:r>
    </w:p>
    <w:p w14:paraId="76C4EF1B" w14:textId="77777777" w:rsidR="00BA64CA" w:rsidRPr="008D4EDD" w:rsidRDefault="00BA64CA" w:rsidP="00BA64CA">
      <w:pPr>
        <w:pStyle w:val="ListParagraph"/>
        <w:numPr>
          <w:ilvl w:val="0"/>
          <w:numId w:val="4"/>
        </w:numPr>
        <w:jc w:val="both"/>
      </w:pPr>
      <w:r w:rsidRPr="008D4EDD">
        <w:lastRenderedPageBreak/>
        <w:t>CIPD (</w:t>
      </w:r>
      <w:proofErr w:type="gramStart"/>
      <w:r w:rsidRPr="008D4EDD">
        <w:t>2025)a</w:t>
      </w:r>
      <w:proofErr w:type="gramEnd"/>
      <w:r w:rsidRPr="008D4EDD">
        <w:t xml:space="preserve"> </w:t>
      </w:r>
      <w:r w:rsidRPr="008D4EDD">
        <w:rPr>
          <w:i/>
          <w:iCs/>
        </w:rPr>
        <w:t>Learning evaluation, impact and transfer.</w:t>
      </w:r>
      <w:r w:rsidRPr="008D4EDD">
        <w:t xml:space="preserve"> Available at: https://www.cipd.org/uk/knowledge/factsheets/evaluating-learning-factsheet/ (Accessed: 30 January 2026).</w:t>
      </w:r>
    </w:p>
    <w:p w14:paraId="7C15CA54" w14:textId="77777777" w:rsidR="00BA64CA" w:rsidRPr="008D4EDD" w:rsidRDefault="00BA64CA" w:rsidP="00BA64CA">
      <w:pPr>
        <w:pStyle w:val="ListParagraph"/>
        <w:numPr>
          <w:ilvl w:val="0"/>
          <w:numId w:val="4"/>
        </w:numPr>
        <w:jc w:val="both"/>
      </w:pPr>
      <w:r w:rsidRPr="008D4EDD">
        <w:t>CIPD (</w:t>
      </w:r>
      <w:proofErr w:type="gramStart"/>
      <w:r w:rsidRPr="008D4EDD">
        <w:t>2025)b</w:t>
      </w:r>
      <w:proofErr w:type="gramEnd"/>
      <w:r w:rsidRPr="008D4EDD">
        <w:t xml:space="preserve"> </w:t>
      </w:r>
      <w:r w:rsidRPr="008D4EDD">
        <w:rPr>
          <w:i/>
          <w:iCs/>
        </w:rPr>
        <w:t>Learning evaluation, impact and transfer.</w:t>
      </w:r>
      <w:r w:rsidRPr="008D4EDD">
        <w:t xml:space="preserve"> Available at: https://www.cipd.org/uk/knowledge/factsheets/evaluating-learning-factsheet/ (Accessed: 30 January 2026).</w:t>
      </w:r>
    </w:p>
    <w:p w14:paraId="6AFFEB87" w14:textId="77777777" w:rsidR="00BA64CA" w:rsidRPr="008D4EDD" w:rsidRDefault="00BA64CA" w:rsidP="00BA64CA">
      <w:pPr>
        <w:pStyle w:val="ListParagraph"/>
        <w:numPr>
          <w:ilvl w:val="0"/>
          <w:numId w:val="4"/>
        </w:numPr>
        <w:jc w:val="both"/>
      </w:pPr>
      <w:r w:rsidRPr="008D4EDD">
        <w:t xml:space="preserve">Glassdoor (2026) </w:t>
      </w:r>
      <w:r w:rsidRPr="008D4EDD">
        <w:rPr>
          <w:i/>
          <w:iCs/>
        </w:rPr>
        <w:t>Learning and Development Business Partner salaries.</w:t>
      </w:r>
      <w:r w:rsidRPr="008D4EDD">
        <w:t xml:space="preserve"> Available at:</w:t>
      </w:r>
      <w:r w:rsidRPr="008D4EDD">
        <w:br/>
        <w:t>https://www.glassdoor.co.uk/Salaries/learning-and-development-business-partner-salary-SRCH_KO0,41.htm (Accessed: 30 January 2026).</w:t>
      </w:r>
    </w:p>
    <w:p w14:paraId="76FB9359" w14:textId="77777777" w:rsidR="00BA64CA" w:rsidRPr="008D4EDD" w:rsidRDefault="00BA64CA" w:rsidP="00BA64CA">
      <w:pPr>
        <w:pStyle w:val="ListParagraph"/>
        <w:numPr>
          <w:ilvl w:val="0"/>
          <w:numId w:val="4"/>
        </w:numPr>
        <w:jc w:val="both"/>
      </w:pPr>
      <w:r w:rsidRPr="008D4EDD">
        <w:t xml:space="preserve">Hails, D. (2023) </w:t>
      </w:r>
      <w:r w:rsidRPr="008D4EDD">
        <w:rPr>
          <w:i/>
          <w:iCs/>
        </w:rPr>
        <w:t>Six Thinking Hats.</w:t>
      </w:r>
      <w:r w:rsidRPr="008D4EDD">
        <w:t xml:space="preserve"> People Development Magazine, 8 November. Available at: https://peopledevelopmentmagazine.com/2023/11/08/six-thinking-hats/ (Accessed: 28 January 2026).</w:t>
      </w:r>
    </w:p>
    <w:p w14:paraId="2C50C088" w14:textId="77777777" w:rsidR="00BA64CA" w:rsidRPr="008D4EDD" w:rsidRDefault="00BA64CA" w:rsidP="00BA64CA">
      <w:pPr>
        <w:pStyle w:val="ListParagraph"/>
        <w:numPr>
          <w:ilvl w:val="0"/>
          <w:numId w:val="4"/>
        </w:numPr>
        <w:jc w:val="both"/>
      </w:pPr>
      <w:r w:rsidRPr="008D4EDD">
        <w:t xml:space="preserve">ICO (2025) </w:t>
      </w:r>
      <w:r w:rsidRPr="008D4EDD">
        <w:rPr>
          <w:i/>
          <w:iCs/>
        </w:rPr>
        <w:t>Employment information: UK GDPR guidance and resources.</w:t>
      </w:r>
      <w:r w:rsidRPr="008D4EDD">
        <w:t xml:space="preserve"> Available at:</w:t>
      </w:r>
      <w:r w:rsidRPr="008D4EDD">
        <w:br/>
        <w:t>https://ico.org.uk/for-organisations/uk-gdpr-guidance-and-resources/employment/ (Accessed: 30 January 2026).</w:t>
      </w:r>
    </w:p>
    <w:p w14:paraId="30F6FD58" w14:textId="77777777" w:rsidR="00BA64CA" w:rsidRPr="008D4EDD" w:rsidRDefault="00BA64CA" w:rsidP="00BA64CA">
      <w:pPr>
        <w:pStyle w:val="ListParagraph"/>
        <w:numPr>
          <w:ilvl w:val="0"/>
          <w:numId w:val="4"/>
        </w:numPr>
        <w:jc w:val="both"/>
      </w:pPr>
      <w:r w:rsidRPr="008D4EDD">
        <w:t xml:space="preserve">McIntosh, S. (2025) </w:t>
      </w:r>
      <w:r w:rsidRPr="008D4EDD">
        <w:rPr>
          <w:i/>
          <w:iCs/>
        </w:rPr>
        <w:t>Employee engagement survey questions to ask.</w:t>
      </w:r>
      <w:r w:rsidRPr="008D4EDD">
        <w:t xml:space="preserve"> Available at: https://www.sage.com/en-gb/blog/employee-engagement-survey-questions/ (Accessed: 30 January 2026).</w:t>
      </w:r>
    </w:p>
    <w:p w14:paraId="0E61EDF1" w14:textId="77777777" w:rsidR="00BA64CA" w:rsidRPr="008D4EDD" w:rsidRDefault="00BA64CA" w:rsidP="00BA64CA">
      <w:pPr>
        <w:pStyle w:val="ListParagraph"/>
        <w:numPr>
          <w:ilvl w:val="0"/>
          <w:numId w:val="4"/>
        </w:numPr>
        <w:jc w:val="both"/>
      </w:pPr>
      <w:r w:rsidRPr="008D4EDD">
        <w:t>Patil, B.S. and Suji Raga Priya, M.R. (2024) ‘HR data analytics and evidence</w:t>
      </w:r>
      <w:r w:rsidRPr="008D4EDD">
        <w:noBreakHyphen/>
        <w:t xml:space="preserve">based practice as a strategic business partner’, </w:t>
      </w:r>
      <w:r w:rsidRPr="008D4EDD">
        <w:rPr>
          <w:i/>
          <w:iCs/>
        </w:rPr>
        <w:t>Vilakshan (XIMB Journal of Management)</w:t>
      </w:r>
      <w:r w:rsidRPr="008D4EDD">
        <w:t>, 21(1), pp.114–125. Available at: https://doi.org/10.1108/XJM-07-2023-0148.</w:t>
      </w:r>
    </w:p>
    <w:p w14:paraId="5DF1E947" w14:textId="77777777" w:rsidR="00BA64CA" w:rsidRPr="008D4EDD" w:rsidRDefault="00BA64CA" w:rsidP="00BA64CA">
      <w:pPr>
        <w:pStyle w:val="ListParagraph"/>
        <w:numPr>
          <w:ilvl w:val="0"/>
          <w:numId w:val="4"/>
        </w:numPr>
        <w:jc w:val="both"/>
      </w:pPr>
      <w:r w:rsidRPr="008D4EDD">
        <w:t xml:space="preserve">PeopleHR (2026) </w:t>
      </w:r>
      <w:r w:rsidRPr="008D4EDD">
        <w:rPr>
          <w:i/>
          <w:iCs/>
        </w:rPr>
        <w:t>HR software pricing.</w:t>
      </w:r>
      <w:r w:rsidRPr="008D4EDD">
        <w:t xml:space="preserve"> Available at: https://www.peoplehr.com/en-gb/pricing/ (Accessed: 30 January 2026).</w:t>
      </w:r>
    </w:p>
    <w:p w14:paraId="248F2183" w14:textId="77777777" w:rsidR="00BA64CA" w:rsidRPr="008D4EDD" w:rsidRDefault="00BA64CA" w:rsidP="00BA64CA">
      <w:pPr>
        <w:pStyle w:val="ListParagraph"/>
        <w:numPr>
          <w:ilvl w:val="0"/>
          <w:numId w:val="4"/>
        </w:numPr>
        <w:jc w:val="both"/>
      </w:pPr>
      <w:proofErr w:type="spellStart"/>
      <w:r w:rsidRPr="008D4EDD">
        <w:t>Personio</w:t>
      </w:r>
      <w:proofErr w:type="spellEnd"/>
      <w:r w:rsidRPr="008D4EDD">
        <w:t xml:space="preserve"> (2026) </w:t>
      </w:r>
      <w:r w:rsidRPr="008D4EDD">
        <w:rPr>
          <w:i/>
          <w:iCs/>
        </w:rPr>
        <w:t>Costs to employ someone.</w:t>
      </w:r>
      <w:r w:rsidRPr="008D4EDD">
        <w:t xml:space="preserve"> Available at: https://www.personio.com/hr-lexicon/costs-to-employ-someone/ (Accessed: 30 January 2026).</w:t>
      </w:r>
    </w:p>
    <w:p w14:paraId="22055477" w14:textId="77777777" w:rsidR="00BA64CA" w:rsidRPr="008D4EDD" w:rsidRDefault="00BA64CA" w:rsidP="00BA64CA">
      <w:pPr>
        <w:pStyle w:val="ListParagraph"/>
        <w:numPr>
          <w:ilvl w:val="0"/>
          <w:numId w:val="4"/>
        </w:numPr>
        <w:jc w:val="both"/>
      </w:pPr>
      <w:r w:rsidRPr="008D4EDD">
        <w:t>Problem Framing Method in Decision</w:t>
      </w:r>
      <w:r w:rsidRPr="008D4EDD">
        <w:noBreakHyphen/>
        <w:t>Making (2025) Evolvingorganisation.co. Available at:</w:t>
      </w:r>
      <w:r w:rsidRPr="008D4EDD">
        <w:br/>
        <w:t>https://evolvingorganisation.co/post/problem-framing-method-in-decision-making (Accessed: 28 January 2026).</w:t>
      </w:r>
    </w:p>
    <w:p w14:paraId="418623B6" w14:textId="77777777" w:rsidR="00BA64CA" w:rsidRPr="008D4EDD" w:rsidRDefault="00BA64CA" w:rsidP="00BA64CA">
      <w:pPr>
        <w:pStyle w:val="ListParagraph"/>
        <w:numPr>
          <w:ilvl w:val="0"/>
          <w:numId w:val="4"/>
        </w:numPr>
        <w:jc w:val="both"/>
      </w:pPr>
      <w:r w:rsidRPr="008D4EDD">
        <w:t xml:space="preserve">Stebbing, L.S. (1939) </w:t>
      </w:r>
      <w:r w:rsidRPr="008D4EDD">
        <w:rPr>
          <w:i/>
          <w:iCs/>
        </w:rPr>
        <w:t>Thinking to Some Purpose.</w:t>
      </w:r>
      <w:r w:rsidRPr="008D4EDD">
        <w:t xml:space="preserve"> Harmondsworth: Penguin Books.</w:t>
      </w:r>
    </w:p>
    <w:p w14:paraId="5214C5B9" w14:textId="77777777" w:rsidR="00BA64CA" w:rsidRPr="008D4EDD" w:rsidRDefault="00BA64CA" w:rsidP="00BA64CA">
      <w:pPr>
        <w:pStyle w:val="ListParagraph"/>
        <w:numPr>
          <w:ilvl w:val="0"/>
          <w:numId w:val="4"/>
        </w:numPr>
        <w:jc w:val="both"/>
      </w:pPr>
      <w:r w:rsidRPr="008D4EDD">
        <w:t xml:space="preserve">Stobierski, T. (2020) </w:t>
      </w:r>
      <w:r w:rsidRPr="008D4EDD">
        <w:rPr>
          <w:i/>
          <w:iCs/>
        </w:rPr>
        <w:t>13 financial performance measures managers should monitor.</w:t>
      </w:r>
      <w:r w:rsidRPr="008D4EDD">
        <w:t xml:space="preserve"> Harvard Business School Online. Available at: https://online.hbs.edu/blog/post/financial-performance-measures (Accessed: 29 January 2026).</w:t>
      </w:r>
    </w:p>
    <w:p w14:paraId="01F2246D" w14:textId="77777777" w:rsidR="00BA64CA" w:rsidRPr="008D4EDD" w:rsidRDefault="00BA64CA" w:rsidP="00BA64CA">
      <w:pPr>
        <w:pStyle w:val="ListParagraph"/>
        <w:numPr>
          <w:ilvl w:val="0"/>
          <w:numId w:val="4"/>
        </w:numPr>
        <w:jc w:val="both"/>
      </w:pPr>
      <w:r w:rsidRPr="008D4EDD">
        <w:t xml:space="preserve">Taylor, S. (2022) </w:t>
      </w:r>
      <w:r w:rsidRPr="008D4EDD">
        <w:rPr>
          <w:i/>
          <w:iCs/>
        </w:rPr>
        <w:t>Studying Human Resource Management.</w:t>
      </w:r>
      <w:r w:rsidRPr="008D4EDD">
        <w:t xml:space="preserve"> London: CIPD. p.6.</w:t>
      </w:r>
    </w:p>
    <w:p w14:paraId="416C1163" w14:textId="77777777" w:rsidR="00BA64CA" w:rsidRPr="008D4EDD" w:rsidRDefault="00BA64CA" w:rsidP="00BA64CA">
      <w:pPr>
        <w:pStyle w:val="ListParagraph"/>
        <w:numPr>
          <w:ilvl w:val="0"/>
          <w:numId w:val="4"/>
        </w:numPr>
        <w:jc w:val="both"/>
      </w:pPr>
      <w:r w:rsidRPr="008D4EDD">
        <w:t xml:space="preserve">Taylor, S. (2022) </w:t>
      </w:r>
      <w:r w:rsidRPr="008D4EDD">
        <w:rPr>
          <w:i/>
          <w:iCs/>
        </w:rPr>
        <w:t>Studying Human Resource Management.</w:t>
      </w:r>
      <w:r w:rsidRPr="008D4EDD">
        <w:t xml:space="preserve"> London: CIPD. p.135.</w:t>
      </w:r>
    </w:p>
    <w:p w14:paraId="0C769824" w14:textId="77777777" w:rsidR="00BA64CA" w:rsidRPr="008D4EDD" w:rsidRDefault="00BA64CA" w:rsidP="00E642D3">
      <w:pPr>
        <w:pStyle w:val="ListParagraph"/>
        <w:jc w:val="both"/>
      </w:pPr>
    </w:p>
    <w:sectPr w:rsidR="00BA64CA" w:rsidRPr="008D4EDD" w:rsidSect="00370551">
      <w:pgSz w:w="11906" w:h="16838"/>
      <w:pgMar w:top="851" w:right="1440" w:bottom="567"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6528A"/>
    <w:multiLevelType w:val="multilevel"/>
    <w:tmpl w:val="876A5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EC0E03"/>
    <w:multiLevelType w:val="multilevel"/>
    <w:tmpl w:val="69208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4334B3"/>
    <w:multiLevelType w:val="multilevel"/>
    <w:tmpl w:val="FB0478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1F351F1"/>
    <w:multiLevelType w:val="multilevel"/>
    <w:tmpl w:val="A7AC0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F6085F"/>
    <w:multiLevelType w:val="multilevel"/>
    <w:tmpl w:val="8D800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FB22C9"/>
    <w:multiLevelType w:val="multilevel"/>
    <w:tmpl w:val="58145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1167DB"/>
    <w:multiLevelType w:val="multilevel"/>
    <w:tmpl w:val="F98E6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6D74C1"/>
    <w:multiLevelType w:val="hybridMultilevel"/>
    <w:tmpl w:val="34A28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1F4CDE"/>
    <w:multiLevelType w:val="multilevel"/>
    <w:tmpl w:val="5A087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D6528F"/>
    <w:multiLevelType w:val="multilevel"/>
    <w:tmpl w:val="DEFE7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5737226"/>
    <w:multiLevelType w:val="multilevel"/>
    <w:tmpl w:val="D8BE8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9FA2751"/>
    <w:multiLevelType w:val="multilevel"/>
    <w:tmpl w:val="2BBAC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AA653F5"/>
    <w:multiLevelType w:val="multilevel"/>
    <w:tmpl w:val="30663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BEC4A07"/>
    <w:multiLevelType w:val="multilevel"/>
    <w:tmpl w:val="53C40B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4974C3B"/>
    <w:multiLevelType w:val="multilevel"/>
    <w:tmpl w:val="6960E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7975013"/>
    <w:multiLevelType w:val="multilevel"/>
    <w:tmpl w:val="80363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C0E3439"/>
    <w:multiLevelType w:val="multilevel"/>
    <w:tmpl w:val="7C94A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CB36AFA"/>
    <w:multiLevelType w:val="multilevel"/>
    <w:tmpl w:val="B3D09E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7147DBC"/>
    <w:multiLevelType w:val="multilevel"/>
    <w:tmpl w:val="EC865E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1707654"/>
    <w:multiLevelType w:val="multilevel"/>
    <w:tmpl w:val="A6BCE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A635974"/>
    <w:multiLevelType w:val="multilevel"/>
    <w:tmpl w:val="E0187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ABE5776"/>
    <w:multiLevelType w:val="multilevel"/>
    <w:tmpl w:val="0C3A5A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B2B0C8A"/>
    <w:multiLevelType w:val="multilevel"/>
    <w:tmpl w:val="77C09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85738C"/>
    <w:multiLevelType w:val="multilevel"/>
    <w:tmpl w:val="0A6C3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29F20A0"/>
    <w:multiLevelType w:val="multilevel"/>
    <w:tmpl w:val="B576E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90D3C14"/>
    <w:multiLevelType w:val="multilevel"/>
    <w:tmpl w:val="364C8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9CB2B01"/>
    <w:multiLevelType w:val="multilevel"/>
    <w:tmpl w:val="0FEE6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45182713">
    <w:abstractNumId w:val="17"/>
  </w:num>
  <w:num w:numId="2" w16cid:durableId="2103454595">
    <w:abstractNumId w:val="11"/>
  </w:num>
  <w:num w:numId="3" w16cid:durableId="1066994898">
    <w:abstractNumId w:val="26"/>
  </w:num>
  <w:num w:numId="4" w16cid:durableId="1250115458">
    <w:abstractNumId w:val="7"/>
  </w:num>
  <w:num w:numId="5" w16cid:durableId="1186402664">
    <w:abstractNumId w:val="23"/>
  </w:num>
  <w:num w:numId="6" w16cid:durableId="800734047">
    <w:abstractNumId w:val="1"/>
  </w:num>
  <w:num w:numId="7" w16cid:durableId="290481829">
    <w:abstractNumId w:val="14"/>
  </w:num>
  <w:num w:numId="8" w16cid:durableId="2086294103">
    <w:abstractNumId w:val="21"/>
  </w:num>
  <w:num w:numId="9" w16cid:durableId="1152529205">
    <w:abstractNumId w:val="13"/>
  </w:num>
  <w:num w:numId="10" w16cid:durableId="1149789925">
    <w:abstractNumId w:val="20"/>
  </w:num>
  <w:num w:numId="11" w16cid:durableId="1277834726">
    <w:abstractNumId w:val="12"/>
  </w:num>
  <w:num w:numId="12" w16cid:durableId="1498381917">
    <w:abstractNumId w:val="24"/>
  </w:num>
  <w:num w:numId="13" w16cid:durableId="321933684">
    <w:abstractNumId w:val="0"/>
  </w:num>
  <w:num w:numId="14" w16cid:durableId="378625330">
    <w:abstractNumId w:val="2"/>
  </w:num>
  <w:num w:numId="15" w16cid:durableId="953436591">
    <w:abstractNumId w:val="9"/>
  </w:num>
  <w:num w:numId="16" w16cid:durableId="1410156506">
    <w:abstractNumId w:val="6"/>
  </w:num>
  <w:num w:numId="17" w16cid:durableId="143284692">
    <w:abstractNumId w:val="18"/>
  </w:num>
  <w:num w:numId="18" w16cid:durableId="118692929">
    <w:abstractNumId w:val="19"/>
  </w:num>
  <w:num w:numId="19" w16cid:durableId="206531564">
    <w:abstractNumId w:val="3"/>
  </w:num>
  <w:num w:numId="20" w16cid:durableId="527988701">
    <w:abstractNumId w:val="4"/>
  </w:num>
  <w:num w:numId="21" w16cid:durableId="889536630">
    <w:abstractNumId w:val="10"/>
  </w:num>
  <w:num w:numId="22" w16cid:durableId="1048262633">
    <w:abstractNumId w:val="16"/>
  </w:num>
  <w:num w:numId="23" w16cid:durableId="475950710">
    <w:abstractNumId w:val="15"/>
  </w:num>
  <w:num w:numId="24" w16cid:durableId="1211304944">
    <w:abstractNumId w:val="25"/>
  </w:num>
  <w:num w:numId="25" w16cid:durableId="1812483427">
    <w:abstractNumId w:val="5"/>
  </w:num>
  <w:num w:numId="26" w16cid:durableId="1202549783">
    <w:abstractNumId w:val="8"/>
  </w:num>
  <w:num w:numId="27" w16cid:durableId="902370899">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401B"/>
    <w:rsid w:val="0000214C"/>
    <w:rsid w:val="00002DB0"/>
    <w:rsid w:val="00013685"/>
    <w:rsid w:val="000235F9"/>
    <w:rsid w:val="00024AC6"/>
    <w:rsid w:val="000260D1"/>
    <w:rsid w:val="00032FD3"/>
    <w:rsid w:val="00034BC4"/>
    <w:rsid w:val="000376AC"/>
    <w:rsid w:val="000413BB"/>
    <w:rsid w:val="000526C8"/>
    <w:rsid w:val="000544ED"/>
    <w:rsid w:val="00061BC2"/>
    <w:rsid w:val="00075A8D"/>
    <w:rsid w:val="000766B6"/>
    <w:rsid w:val="000803FB"/>
    <w:rsid w:val="00081DAE"/>
    <w:rsid w:val="00093C87"/>
    <w:rsid w:val="00093D92"/>
    <w:rsid w:val="00096E4E"/>
    <w:rsid w:val="000A2E9B"/>
    <w:rsid w:val="000B5483"/>
    <w:rsid w:val="000C0DA1"/>
    <w:rsid w:val="000C0E1F"/>
    <w:rsid w:val="000C1081"/>
    <w:rsid w:val="000C6EFD"/>
    <w:rsid w:val="000D48FC"/>
    <w:rsid w:val="000E0A9F"/>
    <w:rsid w:val="000E1159"/>
    <w:rsid w:val="000F1C62"/>
    <w:rsid w:val="000F26E1"/>
    <w:rsid w:val="000F2BD3"/>
    <w:rsid w:val="000F39AD"/>
    <w:rsid w:val="000F636F"/>
    <w:rsid w:val="001044D7"/>
    <w:rsid w:val="0011148D"/>
    <w:rsid w:val="0011536C"/>
    <w:rsid w:val="00125611"/>
    <w:rsid w:val="00133026"/>
    <w:rsid w:val="00137AAA"/>
    <w:rsid w:val="00144E68"/>
    <w:rsid w:val="001801DB"/>
    <w:rsid w:val="001820AB"/>
    <w:rsid w:val="001A1FCE"/>
    <w:rsid w:val="001A5D22"/>
    <w:rsid w:val="001A6A30"/>
    <w:rsid w:val="001B1979"/>
    <w:rsid w:val="001B49EE"/>
    <w:rsid w:val="001C7172"/>
    <w:rsid w:val="001D49AB"/>
    <w:rsid w:val="001F056E"/>
    <w:rsid w:val="00200334"/>
    <w:rsid w:val="00201413"/>
    <w:rsid w:val="00203233"/>
    <w:rsid w:val="00205969"/>
    <w:rsid w:val="00213449"/>
    <w:rsid w:val="00224D9A"/>
    <w:rsid w:val="0023117D"/>
    <w:rsid w:val="002350DD"/>
    <w:rsid w:val="0023711A"/>
    <w:rsid w:val="0024132B"/>
    <w:rsid w:val="002436F1"/>
    <w:rsid w:val="00243D9E"/>
    <w:rsid w:val="002440F1"/>
    <w:rsid w:val="002447CF"/>
    <w:rsid w:val="0025035F"/>
    <w:rsid w:val="0025267C"/>
    <w:rsid w:val="0025553D"/>
    <w:rsid w:val="00284233"/>
    <w:rsid w:val="002929C0"/>
    <w:rsid w:val="002A4749"/>
    <w:rsid w:val="002B4DA6"/>
    <w:rsid w:val="002B5809"/>
    <w:rsid w:val="002B6065"/>
    <w:rsid w:val="002C0BB0"/>
    <w:rsid w:val="002C4EFB"/>
    <w:rsid w:val="002C5EA3"/>
    <w:rsid w:val="002D1CD1"/>
    <w:rsid w:val="002D2F93"/>
    <w:rsid w:val="002D38A7"/>
    <w:rsid w:val="002D4421"/>
    <w:rsid w:val="002F520E"/>
    <w:rsid w:val="002F54D4"/>
    <w:rsid w:val="003000B8"/>
    <w:rsid w:val="00306329"/>
    <w:rsid w:val="00335756"/>
    <w:rsid w:val="003470F6"/>
    <w:rsid w:val="00356891"/>
    <w:rsid w:val="00357157"/>
    <w:rsid w:val="00362638"/>
    <w:rsid w:val="00363C2D"/>
    <w:rsid w:val="00370551"/>
    <w:rsid w:val="0037256D"/>
    <w:rsid w:val="00372F26"/>
    <w:rsid w:val="00373EF5"/>
    <w:rsid w:val="003775B3"/>
    <w:rsid w:val="00380E61"/>
    <w:rsid w:val="00382CD1"/>
    <w:rsid w:val="00384FF3"/>
    <w:rsid w:val="003907D1"/>
    <w:rsid w:val="00390C16"/>
    <w:rsid w:val="003946AD"/>
    <w:rsid w:val="00397F04"/>
    <w:rsid w:val="003A4205"/>
    <w:rsid w:val="003B1537"/>
    <w:rsid w:val="003D30E7"/>
    <w:rsid w:val="003E7746"/>
    <w:rsid w:val="003F16C6"/>
    <w:rsid w:val="003F63B6"/>
    <w:rsid w:val="003F6E6D"/>
    <w:rsid w:val="00402322"/>
    <w:rsid w:val="00413853"/>
    <w:rsid w:val="0041551E"/>
    <w:rsid w:val="004172BD"/>
    <w:rsid w:val="004214C3"/>
    <w:rsid w:val="00424456"/>
    <w:rsid w:val="004271F8"/>
    <w:rsid w:val="004276C2"/>
    <w:rsid w:val="004314D4"/>
    <w:rsid w:val="00440DF2"/>
    <w:rsid w:val="0045643B"/>
    <w:rsid w:val="00456E97"/>
    <w:rsid w:val="00457905"/>
    <w:rsid w:val="004725D5"/>
    <w:rsid w:val="004860BB"/>
    <w:rsid w:val="004922C5"/>
    <w:rsid w:val="00492CBD"/>
    <w:rsid w:val="004A1592"/>
    <w:rsid w:val="004A7086"/>
    <w:rsid w:val="004B401B"/>
    <w:rsid w:val="004C37D1"/>
    <w:rsid w:val="004C6F81"/>
    <w:rsid w:val="004E40A8"/>
    <w:rsid w:val="004F451A"/>
    <w:rsid w:val="004F65D5"/>
    <w:rsid w:val="00500A47"/>
    <w:rsid w:val="0050108F"/>
    <w:rsid w:val="00501AC0"/>
    <w:rsid w:val="00502163"/>
    <w:rsid w:val="005027BD"/>
    <w:rsid w:val="00514648"/>
    <w:rsid w:val="00516B66"/>
    <w:rsid w:val="00516BD1"/>
    <w:rsid w:val="00521F1F"/>
    <w:rsid w:val="005434DF"/>
    <w:rsid w:val="00547824"/>
    <w:rsid w:val="00551394"/>
    <w:rsid w:val="00552298"/>
    <w:rsid w:val="00554E44"/>
    <w:rsid w:val="005556F2"/>
    <w:rsid w:val="0055657D"/>
    <w:rsid w:val="00563833"/>
    <w:rsid w:val="0057335E"/>
    <w:rsid w:val="005765F8"/>
    <w:rsid w:val="00586CED"/>
    <w:rsid w:val="0059126E"/>
    <w:rsid w:val="00594CB6"/>
    <w:rsid w:val="00595A30"/>
    <w:rsid w:val="005A1C23"/>
    <w:rsid w:val="005B14A7"/>
    <w:rsid w:val="005B1A03"/>
    <w:rsid w:val="005B1C57"/>
    <w:rsid w:val="005B28A1"/>
    <w:rsid w:val="005C2052"/>
    <w:rsid w:val="005C2A21"/>
    <w:rsid w:val="005D2D68"/>
    <w:rsid w:val="005E0A51"/>
    <w:rsid w:val="005F5025"/>
    <w:rsid w:val="00602B09"/>
    <w:rsid w:val="00603D7B"/>
    <w:rsid w:val="00606913"/>
    <w:rsid w:val="0061135E"/>
    <w:rsid w:val="00611FD1"/>
    <w:rsid w:val="00615410"/>
    <w:rsid w:val="00621D93"/>
    <w:rsid w:val="006318B5"/>
    <w:rsid w:val="00635BCE"/>
    <w:rsid w:val="006435F5"/>
    <w:rsid w:val="00662FA4"/>
    <w:rsid w:val="00663EF6"/>
    <w:rsid w:val="006663FC"/>
    <w:rsid w:val="00676E30"/>
    <w:rsid w:val="00681DCA"/>
    <w:rsid w:val="0068268E"/>
    <w:rsid w:val="00691564"/>
    <w:rsid w:val="00691777"/>
    <w:rsid w:val="006A5F2E"/>
    <w:rsid w:val="006B0242"/>
    <w:rsid w:val="006B1BBC"/>
    <w:rsid w:val="006B5E27"/>
    <w:rsid w:val="006D6FDB"/>
    <w:rsid w:val="006E562E"/>
    <w:rsid w:val="006F48E7"/>
    <w:rsid w:val="006F6771"/>
    <w:rsid w:val="00707022"/>
    <w:rsid w:val="00716937"/>
    <w:rsid w:val="00723AFD"/>
    <w:rsid w:val="00760CA9"/>
    <w:rsid w:val="00761F7B"/>
    <w:rsid w:val="007723AA"/>
    <w:rsid w:val="007744D7"/>
    <w:rsid w:val="00776A08"/>
    <w:rsid w:val="00781742"/>
    <w:rsid w:val="007A076F"/>
    <w:rsid w:val="007A38F5"/>
    <w:rsid w:val="007B01D9"/>
    <w:rsid w:val="007C699E"/>
    <w:rsid w:val="007D2F31"/>
    <w:rsid w:val="007E3506"/>
    <w:rsid w:val="007E620D"/>
    <w:rsid w:val="007F17C3"/>
    <w:rsid w:val="007F1B8C"/>
    <w:rsid w:val="00807BFB"/>
    <w:rsid w:val="00812C81"/>
    <w:rsid w:val="00812EE6"/>
    <w:rsid w:val="00817F9F"/>
    <w:rsid w:val="00826239"/>
    <w:rsid w:val="00834B7E"/>
    <w:rsid w:val="008356AB"/>
    <w:rsid w:val="00842120"/>
    <w:rsid w:val="0084292F"/>
    <w:rsid w:val="00845F3B"/>
    <w:rsid w:val="00863AF5"/>
    <w:rsid w:val="00864F93"/>
    <w:rsid w:val="008729F4"/>
    <w:rsid w:val="00880CF7"/>
    <w:rsid w:val="00883425"/>
    <w:rsid w:val="008B5EA7"/>
    <w:rsid w:val="008C27B9"/>
    <w:rsid w:val="008C3C1A"/>
    <w:rsid w:val="008C6FF1"/>
    <w:rsid w:val="008D4EDD"/>
    <w:rsid w:val="008D6BCD"/>
    <w:rsid w:val="008E1E81"/>
    <w:rsid w:val="008E3745"/>
    <w:rsid w:val="008E442F"/>
    <w:rsid w:val="008E5424"/>
    <w:rsid w:val="00903D69"/>
    <w:rsid w:val="00915DFE"/>
    <w:rsid w:val="00925CB5"/>
    <w:rsid w:val="0093158F"/>
    <w:rsid w:val="00950F06"/>
    <w:rsid w:val="0095102D"/>
    <w:rsid w:val="00957977"/>
    <w:rsid w:val="009617CC"/>
    <w:rsid w:val="00962827"/>
    <w:rsid w:val="009674A2"/>
    <w:rsid w:val="0097032D"/>
    <w:rsid w:val="00970B4B"/>
    <w:rsid w:val="00975C50"/>
    <w:rsid w:val="00982E4C"/>
    <w:rsid w:val="00992096"/>
    <w:rsid w:val="009A4C10"/>
    <w:rsid w:val="009B2D61"/>
    <w:rsid w:val="009C12A4"/>
    <w:rsid w:val="009D281C"/>
    <w:rsid w:val="009D34EC"/>
    <w:rsid w:val="009D44FA"/>
    <w:rsid w:val="009E4604"/>
    <w:rsid w:val="009F4F6E"/>
    <w:rsid w:val="009F68F4"/>
    <w:rsid w:val="009F6FAD"/>
    <w:rsid w:val="00A00AEC"/>
    <w:rsid w:val="00A1500E"/>
    <w:rsid w:val="00A17EEE"/>
    <w:rsid w:val="00A2034B"/>
    <w:rsid w:val="00A2626A"/>
    <w:rsid w:val="00A27A47"/>
    <w:rsid w:val="00A33262"/>
    <w:rsid w:val="00A366C1"/>
    <w:rsid w:val="00A47473"/>
    <w:rsid w:val="00A502FD"/>
    <w:rsid w:val="00A52057"/>
    <w:rsid w:val="00A53BDA"/>
    <w:rsid w:val="00A55573"/>
    <w:rsid w:val="00A55630"/>
    <w:rsid w:val="00A57462"/>
    <w:rsid w:val="00A5797C"/>
    <w:rsid w:val="00A6313F"/>
    <w:rsid w:val="00A64E47"/>
    <w:rsid w:val="00A801E5"/>
    <w:rsid w:val="00A86F4F"/>
    <w:rsid w:val="00A944C5"/>
    <w:rsid w:val="00A96F3A"/>
    <w:rsid w:val="00AA0821"/>
    <w:rsid w:val="00AA28ED"/>
    <w:rsid w:val="00AA6DC6"/>
    <w:rsid w:val="00AB0139"/>
    <w:rsid w:val="00AB741E"/>
    <w:rsid w:val="00AB7DAC"/>
    <w:rsid w:val="00AD4900"/>
    <w:rsid w:val="00AF56D4"/>
    <w:rsid w:val="00AF6317"/>
    <w:rsid w:val="00B04DC2"/>
    <w:rsid w:val="00B22581"/>
    <w:rsid w:val="00B24B6C"/>
    <w:rsid w:val="00B25861"/>
    <w:rsid w:val="00B468CA"/>
    <w:rsid w:val="00B47429"/>
    <w:rsid w:val="00B561D1"/>
    <w:rsid w:val="00B60E89"/>
    <w:rsid w:val="00B62833"/>
    <w:rsid w:val="00B63FD9"/>
    <w:rsid w:val="00B82EB5"/>
    <w:rsid w:val="00B96415"/>
    <w:rsid w:val="00BA4B11"/>
    <w:rsid w:val="00BA4DAB"/>
    <w:rsid w:val="00BA64CA"/>
    <w:rsid w:val="00BA72BE"/>
    <w:rsid w:val="00BB01CC"/>
    <w:rsid w:val="00BC2536"/>
    <w:rsid w:val="00BC694C"/>
    <w:rsid w:val="00BD127F"/>
    <w:rsid w:val="00BD3315"/>
    <w:rsid w:val="00BF1E63"/>
    <w:rsid w:val="00BF610D"/>
    <w:rsid w:val="00C02F04"/>
    <w:rsid w:val="00C03690"/>
    <w:rsid w:val="00C051EF"/>
    <w:rsid w:val="00C058D6"/>
    <w:rsid w:val="00C127FA"/>
    <w:rsid w:val="00C13521"/>
    <w:rsid w:val="00C1526D"/>
    <w:rsid w:val="00C265AF"/>
    <w:rsid w:val="00C31D78"/>
    <w:rsid w:val="00C329F7"/>
    <w:rsid w:val="00C36ACC"/>
    <w:rsid w:val="00C555E7"/>
    <w:rsid w:val="00C55C32"/>
    <w:rsid w:val="00C61B07"/>
    <w:rsid w:val="00C65039"/>
    <w:rsid w:val="00C67397"/>
    <w:rsid w:val="00C71019"/>
    <w:rsid w:val="00C7353B"/>
    <w:rsid w:val="00C865D0"/>
    <w:rsid w:val="00C965A6"/>
    <w:rsid w:val="00CA1953"/>
    <w:rsid w:val="00CA550E"/>
    <w:rsid w:val="00CB4F1E"/>
    <w:rsid w:val="00CB5A31"/>
    <w:rsid w:val="00CC1546"/>
    <w:rsid w:val="00CC1EDA"/>
    <w:rsid w:val="00CC28B9"/>
    <w:rsid w:val="00CC47E0"/>
    <w:rsid w:val="00CD26D7"/>
    <w:rsid w:val="00CE218A"/>
    <w:rsid w:val="00CE6013"/>
    <w:rsid w:val="00D00457"/>
    <w:rsid w:val="00D0763E"/>
    <w:rsid w:val="00D1522E"/>
    <w:rsid w:val="00D21B4A"/>
    <w:rsid w:val="00D24643"/>
    <w:rsid w:val="00D25872"/>
    <w:rsid w:val="00D309DF"/>
    <w:rsid w:val="00D40E63"/>
    <w:rsid w:val="00D42B77"/>
    <w:rsid w:val="00D43D82"/>
    <w:rsid w:val="00D44B80"/>
    <w:rsid w:val="00D50222"/>
    <w:rsid w:val="00D6027B"/>
    <w:rsid w:val="00D60DA5"/>
    <w:rsid w:val="00D60EC6"/>
    <w:rsid w:val="00D622C4"/>
    <w:rsid w:val="00D62F18"/>
    <w:rsid w:val="00D64F13"/>
    <w:rsid w:val="00D65C7B"/>
    <w:rsid w:val="00D860BA"/>
    <w:rsid w:val="00D875FF"/>
    <w:rsid w:val="00D92010"/>
    <w:rsid w:val="00DA4063"/>
    <w:rsid w:val="00DA43FE"/>
    <w:rsid w:val="00DA7B72"/>
    <w:rsid w:val="00DA7FE9"/>
    <w:rsid w:val="00DB46C3"/>
    <w:rsid w:val="00DC412F"/>
    <w:rsid w:val="00DD5A29"/>
    <w:rsid w:val="00DE48DF"/>
    <w:rsid w:val="00DF1904"/>
    <w:rsid w:val="00E15991"/>
    <w:rsid w:val="00E16C5F"/>
    <w:rsid w:val="00E20666"/>
    <w:rsid w:val="00E22088"/>
    <w:rsid w:val="00E31928"/>
    <w:rsid w:val="00E33CBD"/>
    <w:rsid w:val="00E35964"/>
    <w:rsid w:val="00E370F8"/>
    <w:rsid w:val="00E4177B"/>
    <w:rsid w:val="00E45B70"/>
    <w:rsid w:val="00E51CCC"/>
    <w:rsid w:val="00E5270E"/>
    <w:rsid w:val="00E5530D"/>
    <w:rsid w:val="00E60725"/>
    <w:rsid w:val="00E642D3"/>
    <w:rsid w:val="00E770FB"/>
    <w:rsid w:val="00EA5AF0"/>
    <w:rsid w:val="00EB6D6A"/>
    <w:rsid w:val="00EB7643"/>
    <w:rsid w:val="00EF2432"/>
    <w:rsid w:val="00EF484B"/>
    <w:rsid w:val="00EF5034"/>
    <w:rsid w:val="00EF762B"/>
    <w:rsid w:val="00F02AC0"/>
    <w:rsid w:val="00F043A6"/>
    <w:rsid w:val="00F05411"/>
    <w:rsid w:val="00F106ED"/>
    <w:rsid w:val="00F213AE"/>
    <w:rsid w:val="00F251B8"/>
    <w:rsid w:val="00F267E4"/>
    <w:rsid w:val="00F31186"/>
    <w:rsid w:val="00F332B6"/>
    <w:rsid w:val="00F43603"/>
    <w:rsid w:val="00F523FF"/>
    <w:rsid w:val="00F63BC5"/>
    <w:rsid w:val="00F66022"/>
    <w:rsid w:val="00F726A7"/>
    <w:rsid w:val="00F81D8F"/>
    <w:rsid w:val="00F82A1F"/>
    <w:rsid w:val="00F84729"/>
    <w:rsid w:val="00F86A2D"/>
    <w:rsid w:val="00F914B6"/>
    <w:rsid w:val="00F94B04"/>
    <w:rsid w:val="00F96525"/>
    <w:rsid w:val="00FA190A"/>
    <w:rsid w:val="00FA2C6C"/>
    <w:rsid w:val="00FA49C3"/>
    <w:rsid w:val="00FA502B"/>
    <w:rsid w:val="00FA786F"/>
    <w:rsid w:val="00FB0D99"/>
    <w:rsid w:val="00FB6C9C"/>
    <w:rsid w:val="00FD07FA"/>
    <w:rsid w:val="00FD4488"/>
    <w:rsid w:val="00FD7B9B"/>
    <w:rsid w:val="00FE6D4F"/>
    <w:rsid w:val="00FE73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8A9A67"/>
  <w15:chartTrackingRefBased/>
  <w15:docId w15:val="{939E2EF3-FC1D-4C2D-98AB-CB04006C31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4"/>
        <w:szCs w:val="24"/>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3D82"/>
  </w:style>
  <w:style w:type="paragraph" w:styleId="Heading1">
    <w:name w:val="heading 1"/>
    <w:basedOn w:val="Normal"/>
    <w:next w:val="Normal"/>
    <w:link w:val="Heading1Char"/>
    <w:uiPriority w:val="9"/>
    <w:qFormat/>
    <w:rsid w:val="004B40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B40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B401B"/>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401B"/>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4B401B"/>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4B401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B401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B401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B401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40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B40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B401B"/>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401B"/>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4B401B"/>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4B401B"/>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4B401B"/>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4B401B"/>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4B401B"/>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4B40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40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401B"/>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401B"/>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4B401B"/>
    <w:pPr>
      <w:spacing w:before="160"/>
      <w:jc w:val="center"/>
    </w:pPr>
    <w:rPr>
      <w:i/>
      <w:iCs/>
      <w:color w:val="404040" w:themeColor="text1" w:themeTint="BF"/>
    </w:rPr>
  </w:style>
  <w:style w:type="character" w:customStyle="1" w:styleId="QuoteChar">
    <w:name w:val="Quote Char"/>
    <w:basedOn w:val="DefaultParagraphFont"/>
    <w:link w:val="Quote"/>
    <w:uiPriority w:val="29"/>
    <w:rsid w:val="004B401B"/>
    <w:rPr>
      <w:i/>
      <w:iCs/>
      <w:color w:val="404040" w:themeColor="text1" w:themeTint="BF"/>
    </w:rPr>
  </w:style>
  <w:style w:type="paragraph" w:styleId="ListParagraph">
    <w:name w:val="List Paragraph"/>
    <w:basedOn w:val="Normal"/>
    <w:uiPriority w:val="34"/>
    <w:qFormat/>
    <w:rsid w:val="004B401B"/>
    <w:pPr>
      <w:ind w:left="720"/>
      <w:contextualSpacing/>
    </w:pPr>
  </w:style>
  <w:style w:type="character" w:styleId="IntenseEmphasis">
    <w:name w:val="Intense Emphasis"/>
    <w:basedOn w:val="DefaultParagraphFont"/>
    <w:uiPriority w:val="21"/>
    <w:qFormat/>
    <w:rsid w:val="004B401B"/>
    <w:rPr>
      <w:i/>
      <w:iCs/>
      <w:color w:val="0F4761" w:themeColor="accent1" w:themeShade="BF"/>
    </w:rPr>
  </w:style>
  <w:style w:type="paragraph" w:styleId="IntenseQuote">
    <w:name w:val="Intense Quote"/>
    <w:basedOn w:val="Normal"/>
    <w:next w:val="Normal"/>
    <w:link w:val="IntenseQuoteChar"/>
    <w:uiPriority w:val="30"/>
    <w:qFormat/>
    <w:rsid w:val="004B40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401B"/>
    <w:rPr>
      <w:i/>
      <w:iCs/>
      <w:color w:val="0F4761" w:themeColor="accent1" w:themeShade="BF"/>
    </w:rPr>
  </w:style>
  <w:style w:type="character" w:styleId="IntenseReference">
    <w:name w:val="Intense Reference"/>
    <w:basedOn w:val="DefaultParagraphFont"/>
    <w:uiPriority w:val="32"/>
    <w:qFormat/>
    <w:rsid w:val="004B401B"/>
    <w:rPr>
      <w:b/>
      <w:bCs/>
      <w:smallCaps/>
      <w:color w:val="0F4761" w:themeColor="accent1" w:themeShade="BF"/>
      <w:spacing w:val="5"/>
    </w:rPr>
  </w:style>
  <w:style w:type="character" w:styleId="Hyperlink">
    <w:name w:val="Hyperlink"/>
    <w:basedOn w:val="DefaultParagraphFont"/>
    <w:uiPriority w:val="99"/>
    <w:unhideWhenUsed/>
    <w:rsid w:val="00E22088"/>
    <w:rPr>
      <w:color w:val="467886" w:themeColor="hyperlink"/>
      <w:u w:val="single"/>
    </w:rPr>
  </w:style>
  <w:style w:type="character" w:styleId="UnresolvedMention">
    <w:name w:val="Unresolved Mention"/>
    <w:basedOn w:val="DefaultParagraphFont"/>
    <w:uiPriority w:val="99"/>
    <w:semiHidden/>
    <w:unhideWhenUsed/>
    <w:rsid w:val="00E22088"/>
    <w:rPr>
      <w:color w:val="605E5C"/>
      <w:shd w:val="clear" w:color="auto" w:fill="E1DFDD"/>
    </w:rPr>
  </w:style>
  <w:style w:type="character" w:styleId="Emphasis">
    <w:name w:val="Emphasis"/>
    <w:basedOn w:val="DefaultParagraphFont"/>
    <w:uiPriority w:val="20"/>
    <w:qFormat/>
    <w:rsid w:val="001F056E"/>
    <w:rPr>
      <w:i/>
      <w:iCs/>
    </w:rPr>
  </w:style>
  <w:style w:type="character" w:styleId="Strong">
    <w:name w:val="Strong"/>
    <w:basedOn w:val="DefaultParagraphFont"/>
    <w:uiPriority w:val="22"/>
    <w:qFormat/>
    <w:rsid w:val="00812EE6"/>
    <w:rPr>
      <w:b/>
      <w:bCs/>
    </w:rPr>
  </w:style>
  <w:style w:type="character" w:styleId="FollowedHyperlink">
    <w:name w:val="FollowedHyperlink"/>
    <w:basedOn w:val="DefaultParagraphFont"/>
    <w:uiPriority w:val="99"/>
    <w:semiHidden/>
    <w:unhideWhenUsed/>
    <w:rsid w:val="00AB013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package" Target="embeddings/Microsoft_Excel_Worksheet1.xlsx"/><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package" Target="embeddings/Microsoft_Excel_Worksheet.xlsx"/><Relationship Id="rId5" Type="http://schemas.openxmlformats.org/officeDocument/2006/relationships/webSettings" Target="webSettings.xml"/><Relationship Id="rId15" Type="http://schemas.openxmlformats.org/officeDocument/2006/relationships/chart" Target="charts/chart2.xml"/><Relationship Id="rId10" Type="http://schemas.openxmlformats.org/officeDocument/2006/relationships/image" Target="media/image5.emf"/><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ccossecure-my.sharepoint.com/personal/emmajane_williams_swansea_gov_uk/Documents/Desktop/CIPD/Assignment%202%20Evidence-based%20practice/Assignment.docx!_1831295821"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'[Worksheet in https   ccossecure-my.sharepoint.com personal emmajane_williams_swansea_gov_uk Documents Desktop CIPD Assignment%202%20Evidence-based%20practice Assignment.docx]RAW DATA'!$D$3</c:f>
              <c:strCache>
                <c:ptCount val="1"/>
                <c:pt idx="0">
                  <c:v>Leavers as a % against total in each Department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0D1-4EF0-9D4F-BA11DB5079C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0D1-4EF0-9D4F-BA11DB5079C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0D1-4EF0-9D4F-BA11DB5079C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F0D1-4EF0-9D4F-BA11DB5079C3}"/>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F0D1-4EF0-9D4F-BA11DB5079C3}"/>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F0D1-4EF0-9D4F-BA11DB5079C3}"/>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F0D1-4EF0-9D4F-BA11DB5079C3}"/>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F0D1-4EF0-9D4F-BA11DB5079C3}"/>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11-F0D1-4EF0-9D4F-BA11DB5079C3}"/>
              </c:ext>
            </c:extLst>
          </c:dPt>
          <c:dPt>
            <c:idx val="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13-F0D1-4EF0-9D4F-BA11DB5079C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'[Worksheet in https   ccossecure-my.sharepoint.com personal emmajane_williams_swansea_gov_uk Documents Desktop CIPD Assignment%202%20Evidence-based%20practice Assignment.docx]RAW DATA'!$A$4:$A$13</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cat>
          <c:val>
            <c:numRef>
              <c:f>'[Worksheet in https   ccossecure-my.sharepoint.com personal emmajane_williams_swansea_gov_uk Documents Desktop CIPD Assignment%202%20Evidence-based%20practice Assignment.docx]RAW DATA'!$D$4:$D$13</c:f>
              <c:numCache>
                <c:formatCode>0%</c:formatCode>
                <c:ptCount val="10"/>
                <c:pt idx="0">
                  <c:v>0.23076923076923078</c:v>
                </c:pt>
                <c:pt idx="1">
                  <c:v>0.26666666666666666</c:v>
                </c:pt>
                <c:pt idx="2">
                  <c:v>0.125</c:v>
                </c:pt>
                <c:pt idx="3">
                  <c:v>0.5</c:v>
                </c:pt>
                <c:pt idx="4">
                  <c:v>0.26666666666666666</c:v>
                </c:pt>
                <c:pt idx="5">
                  <c:v>0.22857142857142856</c:v>
                </c:pt>
                <c:pt idx="6">
                  <c:v>0.5</c:v>
                </c:pt>
                <c:pt idx="7">
                  <c:v>0.33333333333333331</c:v>
                </c:pt>
                <c:pt idx="8">
                  <c:v>0.25</c:v>
                </c:pt>
                <c:pt idx="9">
                  <c:v>0.25</c:v>
                </c:pt>
              </c:numCache>
            </c:numRef>
          </c:val>
          <c:extLst>
            <c:ext xmlns:c16="http://schemas.microsoft.com/office/drawing/2014/chart" uri="{C3380CC4-5D6E-409C-BE32-E72D297353CC}">
              <c16:uniqueId val="{00000014-F0D1-4EF0-9D4F-BA11DB5079C3}"/>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cked"/>
        <c:varyColors val="0"/>
        <c:ser>
          <c:idx val="0"/>
          <c:order val="0"/>
          <c:tx>
            <c:strRef>
              <c:f>'[Worksheet in https   ccossecure-my.sharepoint.com personal emmajane_williams_swansea_gov_uk Documents Desktop CIPD Assignment%202%20Evidence-based%20practice Assignment.docx]LINE CHART'!$B$1</c:f>
              <c:strCache>
                <c:ptCount val="1"/>
                <c:pt idx="0">
                  <c:v>Vacancies as a % against total in each Department</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'[Worksheet in https   ccossecure-my.sharepoint.com personal emmajane_williams_swansea_gov_uk Documents Desktop CIPD Assignment%202%20Evidence-based%20practice Assignment.docx]LINE CHART'!$A$2:$A$11</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cat>
          <c:val>
            <c:numRef>
              <c:f>'[Worksheet in https   ccossecure-my.sharepoint.com personal emmajane_williams_swansea_gov_uk Documents Desktop CIPD Assignment%202%20Evidence-based%20practice Assignment.docx]LINE CHART'!$B$2:$B$11</c:f>
              <c:numCache>
                <c:formatCode>0%</c:formatCode>
                <c:ptCount val="10"/>
                <c:pt idx="0">
                  <c:v>0.30769230769230771</c:v>
                </c:pt>
                <c:pt idx="1">
                  <c:v>0.33333333333333331</c:v>
                </c:pt>
                <c:pt idx="2">
                  <c:v>0.5</c:v>
                </c:pt>
                <c:pt idx="3">
                  <c:v>0.75</c:v>
                </c:pt>
                <c:pt idx="4">
                  <c:v>0.4</c:v>
                </c:pt>
                <c:pt idx="5">
                  <c:v>0.22857142857142856</c:v>
                </c:pt>
                <c:pt idx="6">
                  <c:v>0.83333333333333337</c:v>
                </c:pt>
                <c:pt idx="7">
                  <c:v>0.25</c:v>
                </c:pt>
                <c:pt idx="8">
                  <c:v>0.25</c:v>
                </c:pt>
                <c:pt idx="9">
                  <c:v>0.41666666666666669</c:v>
                </c:pt>
              </c:numCache>
            </c:numRef>
          </c:val>
          <c:smooth val="0"/>
          <c:extLst>
            <c:ext xmlns:c16="http://schemas.microsoft.com/office/drawing/2014/chart" uri="{C3380CC4-5D6E-409C-BE32-E72D297353CC}">
              <c16:uniqueId val="{00000000-801D-4337-8569-5EC54E830AE0}"/>
            </c:ext>
          </c:extLst>
        </c:ser>
        <c:dLbls>
          <c:showLegendKey val="0"/>
          <c:showVal val="0"/>
          <c:showCatName val="0"/>
          <c:showSerName val="0"/>
          <c:showPercent val="0"/>
          <c:showBubbleSize val="0"/>
        </c:dLbls>
        <c:marker val="1"/>
        <c:smooth val="0"/>
        <c:axId val="1320612943"/>
        <c:axId val="1320614863"/>
      </c:lineChart>
      <c:catAx>
        <c:axId val="132061294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Departmen</a:t>
                </a:r>
                <a:r>
                  <a:rPr lang="en-GB" baseline="0"/>
                  <a:t>t</a:t>
                </a:r>
                <a:endParaRPr lang="en-GB"/>
              </a:p>
            </c:rich>
          </c:tx>
          <c:layout>
            <c:manualLayout>
              <c:xMode val="edge"/>
              <c:yMode val="edge"/>
              <c:x val="0.42868657946682276"/>
              <c:y val="0.88306290542511012"/>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20614863"/>
        <c:crosses val="autoZero"/>
        <c:auto val="1"/>
        <c:lblAlgn val="ctr"/>
        <c:lblOffset val="100"/>
        <c:noMultiLvlLbl val="0"/>
      </c:catAx>
      <c:valAx>
        <c:axId val="132061486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
                </a:r>
                <a:r>
                  <a:rPr lang="en-GB" baseline="0"/>
                  <a:t> of vacancies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20612943"/>
        <c:crosses val="autoZero"/>
        <c:crossBetween val="between"/>
      </c:valAx>
      <c:spPr>
        <a:noFill/>
        <a:ln>
          <a:noFill/>
        </a:ln>
        <a:effectLst/>
      </c:spPr>
    </c:plotArea>
    <c:plotVisOnly val="1"/>
    <c:dispBlanksAs val="zero"/>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DE8F6C-ED58-4A54-B8DC-9E24129B1884}">
  <ds:schemaRefs>
    <ds:schemaRef ds:uri="http://schemas.openxmlformats.org/officeDocument/2006/bibliography"/>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52</TotalTime>
  <Pages>16</Pages>
  <Words>4651</Words>
  <Characters>28640</Characters>
  <Application>Microsoft Office Word</Application>
  <DocSecurity>0</DocSecurity>
  <Lines>660</Lines>
  <Paragraphs>201</Paragraphs>
  <ScaleCrop>false</ScaleCrop>
  <HeadingPairs>
    <vt:vector size="2" baseType="variant">
      <vt:variant>
        <vt:lpstr>Title</vt:lpstr>
      </vt:variant>
      <vt:variant>
        <vt:i4>1</vt:i4>
      </vt:variant>
    </vt:vector>
  </HeadingPairs>
  <TitlesOfParts>
    <vt:vector size="1" baseType="lpstr">
      <vt:lpstr/>
    </vt:vector>
  </TitlesOfParts>
  <Company>Swansea Council</Company>
  <LinksUpToDate>false</LinksUpToDate>
  <CharactersWithSpaces>33170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Jane Williams</dc:creator>
  <cp:keywords/>
  <dc:description/>
  <cp:lastModifiedBy>Emma Jane Williams</cp:lastModifiedBy>
  <cp:revision>40</cp:revision>
  <dcterms:created xsi:type="dcterms:W3CDTF">2026-02-01T16:26:00Z</dcterms:created>
  <dcterms:modified xsi:type="dcterms:W3CDTF">2026-02-02T17:20:00Z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ed5183c4-65b5-44e1-9bf0-2e523acf100a</vt:lpwstr>
  </property>
</Properties>
</file>