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2"/>
          <w:szCs w:val="22"/>
        </w:rPr>
      </w:pPr>
      <w:bookmarkStart w:colFirst="0" w:colLast="0" w:name="_heading=h.8vd4nvsyg926" w:id="0"/>
      <w:bookmarkEnd w:id="0"/>
      <w:r w:rsidDel="00000000" w:rsidR="00000000" w:rsidRPr="00000000">
        <w:rPr>
          <w:rtl w:val="0"/>
        </w:rPr>
      </w:r>
    </w:p>
    <w:p w:rsidR="00000000" w:rsidDel="00000000" w:rsidP="00000000" w:rsidRDefault="00000000" w:rsidRPr="00000000" w14:paraId="00000002">
      <w:pPr>
        <w:jc w:val="center"/>
        <w:rPr>
          <w:sz w:val="22"/>
          <w:szCs w:val="22"/>
        </w:rPr>
      </w:pPr>
      <w:r w:rsidDel="00000000" w:rsidR="00000000" w:rsidRPr="00000000">
        <w:rPr>
          <w:sz w:val="22"/>
          <w:szCs w:val="22"/>
        </w:rPr>
        <w:drawing>
          <wp:inline distB="0" distT="0" distL="0" distR="0">
            <wp:extent cx="1634959" cy="644316"/>
            <wp:effectExtent b="0" l="0" r="0" t="0"/>
            <wp:docPr id="4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634959" cy="644316"/>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sz w:val="22"/>
          <w:szCs w:val="22"/>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50"/>
        <w:tblGridChange w:id="0">
          <w:tblGrid>
            <w:gridCol w:w="9350"/>
          </w:tblGrid>
        </w:tblGridChange>
      </w:tblGrid>
      <w:tr>
        <w:trPr>
          <w:cantSplit w:val="0"/>
          <w:tblHeader w:val="0"/>
        </w:trPr>
        <w:tc>
          <w:tcPr>
            <w:shd w:fill="e7e6e6" w:val="clear"/>
          </w:tcPr>
          <w:p w:rsidR="00000000" w:rsidDel="00000000" w:rsidP="00000000" w:rsidRDefault="00000000" w:rsidRPr="00000000" w14:paraId="00000004">
            <w:pPr>
              <w:jc w:val="center"/>
              <w:rPr>
                <w:b w:val="1"/>
                <w:bCs w:val="1"/>
              </w:rPr>
            </w:pPr>
            <w:r w:rsidDel="00000000" w:rsidR="00000000" w:rsidRPr="00000000">
              <w:rPr>
                <w:rtl w:val="0"/>
              </w:rPr>
            </w:r>
          </w:p>
          <w:p w:rsidR="00000000" w:rsidDel="00000000" w:rsidP="00000000" w:rsidRDefault="00000000" w:rsidRPr="00000000" w14:paraId="00000005">
            <w:pPr>
              <w:jc w:val="center"/>
              <w:rPr>
                <w:b w:val="1"/>
                <w:bCs w:val="1"/>
              </w:rPr>
            </w:pPr>
            <w:r w:rsidDel="00000000" w:rsidR="00000000" w:rsidRPr="00000000">
              <w:rPr>
                <w:b w:val="1"/>
                <w:bCs w:val="1"/>
                <w:rtl w:val="0"/>
              </w:rPr>
              <w:t xml:space="preserve">UNDERGRADUATE DISSERTATION</w:t>
            </w:r>
          </w:p>
          <w:p w:rsidR="00000000" w:rsidDel="00000000" w:rsidP="00000000" w:rsidRDefault="00000000" w:rsidRPr="00000000" w14:paraId="00000006">
            <w:pPr>
              <w:jc w:val="center"/>
              <w:rPr>
                <w:b w:val="1"/>
                <w:bCs w:val="1"/>
              </w:rPr>
            </w:pPr>
            <w:r w:rsidDel="00000000" w:rsidR="00000000" w:rsidRPr="00000000">
              <w:rPr>
                <w:b w:val="1"/>
                <w:bCs w:val="1"/>
                <w:rtl w:val="0"/>
              </w:rPr>
              <w:t xml:space="preserve">RESEARCH PROPOSAL FORM</w:t>
            </w:r>
          </w:p>
          <w:p w:rsidR="00000000" w:rsidDel="00000000" w:rsidP="00000000" w:rsidRDefault="00000000" w:rsidRPr="00000000" w14:paraId="00000007">
            <w:pPr>
              <w:jc w:val="center"/>
              <w:rPr>
                <w:sz w:val="22"/>
                <w:szCs w:val="22"/>
              </w:rPr>
            </w:pPr>
            <w:r w:rsidDel="00000000" w:rsidR="00000000" w:rsidRPr="00000000">
              <w:rPr>
                <w:rtl w:val="0"/>
              </w:rPr>
            </w:r>
          </w:p>
        </w:tc>
      </w:tr>
    </w:tbl>
    <w:p w:rsidR="00000000" w:rsidDel="00000000" w:rsidP="00000000" w:rsidRDefault="00000000" w:rsidRPr="00000000" w14:paraId="00000008">
      <w:pPr>
        <w:ind w:right="-199"/>
        <w:rPr>
          <w:sz w:val="22"/>
          <w:szCs w:val="22"/>
        </w:rPr>
      </w:pPr>
      <w:r w:rsidDel="00000000" w:rsidR="00000000" w:rsidRPr="00000000">
        <w:rPr>
          <w:b w:val="1"/>
          <w:bCs w:val="1"/>
          <w:sz w:val="22"/>
          <w:szCs w:val="22"/>
          <w:rtl w:val="0"/>
        </w:rPr>
        <w:t xml:space="preserve"> </w:t>
      </w:r>
      <w:r w:rsidDel="00000000" w:rsidR="00000000" w:rsidRPr="00000000">
        <w:rPr>
          <w:rtl w:val="0"/>
        </w:rPr>
      </w:r>
    </w:p>
    <w:p w:rsidR="00000000" w:rsidDel="00000000" w:rsidP="00000000" w:rsidRDefault="00000000" w:rsidRPr="00000000" w14:paraId="00000009">
      <w:pPr>
        <w:rPr>
          <w:sz w:val="22"/>
          <w:szCs w:val="22"/>
        </w:rPr>
      </w:pPr>
      <w:r w:rsidDel="00000000" w:rsidR="00000000" w:rsidRPr="00000000">
        <w:rPr>
          <w:sz w:val="22"/>
          <w:szCs w:val="22"/>
          <w:rtl w:val="0"/>
        </w:rPr>
        <w:t xml:space="preserve">Please complete the following research proposal and email to </w:t>
      </w:r>
      <w:hyperlink r:id="rId8">
        <w:r w:rsidDel="00000000" w:rsidR="00000000" w:rsidRPr="00000000">
          <w:rPr>
            <w:color w:val="0000ff"/>
            <w:sz w:val="22"/>
            <w:szCs w:val="22"/>
            <w:u w:val="single"/>
            <w:rtl w:val="0"/>
          </w:rPr>
          <w:t xml:space="preserve">mike.durke@uwtsd.ac.uk</w:t>
        </w:r>
      </w:hyperlink>
      <w:r w:rsidDel="00000000" w:rsidR="00000000" w:rsidRPr="00000000">
        <w:rPr>
          <w:sz w:val="22"/>
          <w:szCs w:val="22"/>
          <w:rtl w:val="0"/>
        </w:rPr>
        <w:t xml:space="preserve"> </w:t>
      </w:r>
    </w:p>
    <w:p w:rsidR="00000000" w:rsidDel="00000000" w:rsidP="00000000" w:rsidRDefault="00000000" w:rsidRPr="00000000" w14:paraId="0000000A">
      <w:pPr>
        <w:jc w:val="both"/>
        <w:rPr>
          <w:sz w:val="22"/>
          <w:szCs w:val="22"/>
        </w:rPr>
      </w:pPr>
      <w:r w:rsidDel="00000000" w:rsidR="00000000" w:rsidRPr="00000000">
        <w:rPr>
          <w:rtl w:val="0"/>
        </w:rPr>
      </w:r>
    </w:p>
    <w:tbl>
      <w:tblPr>
        <w:tblStyle w:val="Table2"/>
        <w:tblW w:w="9077.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42"/>
        <w:gridCol w:w="2835"/>
        <w:tblGridChange w:id="0">
          <w:tblGrid>
            <w:gridCol w:w="6242"/>
            <w:gridCol w:w="2835"/>
          </w:tblGrid>
        </w:tblGridChange>
      </w:tblGrid>
      <w:tr>
        <w:trPr>
          <w:cantSplit w:val="0"/>
          <w:tblHeader w:val="0"/>
        </w:trPr>
        <w:tc>
          <w:tcPr>
            <w:tcMar>
              <w:top w:w="0.0" w:type="dxa"/>
              <w:left w:w="108.0" w:type="dxa"/>
              <w:bottom w:w="0.0" w:type="dxa"/>
              <w:right w:w="108.0" w:type="dxa"/>
            </w:tcMar>
          </w:tcPr>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b w:val="1"/>
                <w:bCs w:val="1"/>
                <w:i w:val="0"/>
                <w:iCs w:val="0"/>
                <w:smallCaps w:val="0"/>
                <w:strike w:val="0"/>
                <w:color w:val="000000"/>
                <w:sz w:val="22"/>
                <w:szCs w:val="22"/>
                <w:u w:val="none"/>
                <w:shd w:fill="auto" w:val="clear"/>
                <w:vertAlign w:val="baseline"/>
              </w:rPr>
            </w:pPr>
            <w:r w:rsidDel="00000000" w:rsidR="00000000" w:rsidRPr="00000000">
              <w:rPr>
                <w:b w:val="1"/>
                <w:bCs w:val="1"/>
                <w:i w:val="0"/>
                <w:iCs w:val="0"/>
                <w:smallCaps w:val="0"/>
                <w:strike w:val="0"/>
                <w:color w:val="000000"/>
                <w:sz w:val="22"/>
                <w:szCs w:val="22"/>
                <w:u w:val="none"/>
                <w:shd w:fill="auto" w:val="clear"/>
                <w:vertAlign w:val="baseline"/>
                <w:rtl w:val="0"/>
              </w:rPr>
              <w:t xml:space="preserve">NAME: Shannon </w:t>
            </w:r>
            <w:r w:rsidDel="00000000" w:rsidR="00000000" w:rsidRPr="00000000">
              <w:rPr>
                <w:b w:val="1"/>
                <w:bCs w:val="1"/>
                <w:sz w:val="22"/>
                <w:szCs w:val="22"/>
                <w:rtl w:val="0"/>
              </w:rPr>
              <w:t xml:space="preserve">Evans</w:t>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b w:val="1"/>
                <w:bCs w:val="1"/>
                <w:i w:val="0"/>
                <w:iCs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0D">
            <w:pPr>
              <w:jc w:val="both"/>
              <w:rPr>
                <w:sz w:val="22"/>
                <w:szCs w:val="22"/>
              </w:rPr>
            </w:pPr>
            <w:r w:rsidDel="00000000" w:rsidR="00000000" w:rsidRPr="00000000">
              <w:rPr>
                <w:b w:val="1"/>
                <w:bCs w:val="1"/>
                <w:sz w:val="22"/>
                <w:szCs w:val="22"/>
                <w:rtl w:val="0"/>
              </w:rPr>
              <w:t xml:space="preserve"> ID No.: 2301489</w:t>
            </w:r>
            <w:r w:rsidDel="00000000" w:rsidR="00000000" w:rsidRPr="00000000">
              <w:rPr>
                <w:rtl w:val="0"/>
              </w:rPr>
            </w:r>
          </w:p>
        </w:tc>
      </w:tr>
      <w:tr>
        <w:trPr>
          <w:cantSplit w:val="0"/>
          <w:tblHeader w:val="0"/>
        </w:trPr>
        <w:tc>
          <w:tcPr>
            <w:gridSpan w:val="2"/>
            <w:shd w:fill="ffffff" w:val="clear"/>
            <w:tcMar>
              <w:top w:w="0.0" w:type="dxa"/>
              <w:left w:w="108.0" w:type="dxa"/>
              <w:bottom w:w="0.0" w:type="dxa"/>
              <w:right w:w="108.0" w:type="dxa"/>
            </w:tcMar>
          </w:tcPr>
          <w:p w:rsidR="00000000" w:rsidDel="00000000" w:rsidP="00000000" w:rsidRDefault="00000000" w:rsidRPr="00000000" w14:paraId="0000000E">
            <w:pPr>
              <w:jc w:val="both"/>
              <w:rPr>
                <w:sz w:val="22"/>
                <w:szCs w:val="22"/>
              </w:rPr>
            </w:pPr>
            <w:r w:rsidDel="00000000" w:rsidR="00000000" w:rsidRPr="00000000">
              <w:rPr>
                <w:b w:val="1"/>
                <w:bCs w:val="1"/>
                <w:sz w:val="22"/>
                <w:szCs w:val="22"/>
                <w:rtl w:val="0"/>
              </w:rPr>
              <w:t xml:space="preserve">DRAFT RESEARCH TITLE QUESTION: </w:t>
            </w:r>
            <w:r w:rsidDel="00000000" w:rsidR="00000000" w:rsidRPr="00000000">
              <w:rPr>
                <w:sz w:val="22"/>
                <w:szCs w:val="22"/>
                <w:highlight w:val="yellow"/>
                <w:rtl w:val="0"/>
              </w:rPr>
              <w:t xml:space="preserve"> To critically explore the importance of professional support for children who have experienced Adverse Childhood Experiences (ACE’s) to mitigate against any future involvement in criminal activity.</w:t>
            </w:r>
            <w:r w:rsidDel="00000000" w:rsidR="00000000" w:rsidRPr="00000000">
              <w:rPr>
                <w:rtl w:val="0"/>
              </w:rPr>
            </w:r>
          </w:p>
          <w:p w:rsidR="00000000" w:rsidDel="00000000" w:rsidP="00000000" w:rsidRDefault="00000000" w:rsidRPr="00000000" w14:paraId="0000000F">
            <w:pPr>
              <w:jc w:val="both"/>
              <w:rPr>
                <w:sz w:val="22"/>
                <w:szCs w:val="22"/>
                <w:highlight w:val="yellow"/>
              </w:rPr>
            </w:pPr>
            <w:r w:rsidDel="00000000" w:rsidR="00000000" w:rsidRPr="00000000">
              <w:rPr>
                <w:sz w:val="22"/>
                <w:szCs w:val="22"/>
                <w:rtl w:val="0"/>
              </w:rPr>
              <w:t xml:space="preserve">Why this topic?  Why is it worthy of consideration for an undergraduate dissertation? </w:t>
            </w:r>
            <w:r w:rsidDel="00000000" w:rsidR="00000000" w:rsidRPr="00000000">
              <w:rPr>
                <w:rtl w:val="0"/>
              </w:rPr>
            </w:r>
          </w:p>
          <w:p w:rsidR="00000000" w:rsidDel="00000000" w:rsidP="00000000" w:rsidRDefault="00000000" w:rsidRPr="00000000" w14:paraId="00000010">
            <w:pPr>
              <w:spacing w:after="240" w:before="240" w:line="259" w:lineRule="auto"/>
              <w:jc w:val="both"/>
              <w:rPr>
                <w:sz w:val="22"/>
                <w:szCs w:val="22"/>
              </w:rPr>
            </w:pPr>
            <w:r w:rsidDel="00000000" w:rsidR="00000000" w:rsidRPr="00000000">
              <w:rPr>
                <w:sz w:val="22"/>
                <w:szCs w:val="22"/>
                <w:rtl w:val="0"/>
              </w:rPr>
              <w:t xml:space="preserve">The causes of criminality as a whole is widely researched and remains a well theorised topic throughout criminological settings, of which is a great interest of many criminologists such as Cesare Lombroso and William Sheldon (Fuller, 2026). Environmental factors (ACE’s) affect social functioning and the wider community far more than is understood (Trinidad, 2021) and it holds weight in a societal way. Speaking on a potential issue that society should be far more aware of is a main goal within academic writing. The development of children with ACE’s and a need for more critical intervention is already coming to light (Lacey and Minnis, 2020). Researching contemporary topics can aid in changes to policy, procedure and practice. It is important that there is research on these topics to potentially help the individuals that face these challenges. (Welsh Government, 2021). </w:t>
            </w:r>
          </w:p>
          <w:p w:rsidR="00000000" w:rsidDel="00000000" w:rsidP="00000000" w:rsidRDefault="00000000" w:rsidRPr="00000000" w14:paraId="00000011">
            <w:pPr>
              <w:spacing w:after="240" w:before="240" w:line="259" w:lineRule="auto"/>
              <w:jc w:val="both"/>
              <w:rPr>
                <w:sz w:val="22"/>
                <w:szCs w:val="22"/>
              </w:rPr>
            </w:pPr>
            <w:bookmarkStart w:colFirst="0" w:colLast="0" w:name="_heading=h.f9ai5th6egbe" w:id="1"/>
            <w:bookmarkEnd w:id="1"/>
            <w:r w:rsidDel="00000000" w:rsidR="00000000" w:rsidRPr="00000000">
              <w:rPr>
                <w:sz w:val="22"/>
                <w:szCs w:val="22"/>
                <w:rtl w:val="0"/>
              </w:rPr>
              <w:t xml:space="preserve">Additionally, this topic is worthy of undergraduate research due to the increasing recognition of Adverse Childhood Experiences (ACE’s) within criminology, policing, and safeguarding. Research has shown that children exposed to abuse, neglect, domestic violence, or parental substance misuse are at a greater risk of later involvement in offending behaviour and mental health difficulties (NHS Wales, 2026). Despite this, there are continuing concerns surrounding whether enough early support and intervention is available before vulnerable individuals come into contact with the criminal justice system. Services were seen to misunderstand the importance of addressing the cause, and rather saw action by treating the symptoms (Roderick, 2018). Though, according to the Welsh Government (2025), there has been significant frameworks introduced that aim to tackle youth offending, taking a ‘child-first’ approach that specifically includes the recognition of ACE’s.</w:t>
            </w:r>
          </w:p>
          <w:p w:rsidR="00000000" w:rsidDel="00000000" w:rsidP="00000000" w:rsidRDefault="00000000" w:rsidRPr="00000000" w14:paraId="00000012">
            <w:pPr>
              <w:spacing w:after="240" w:before="240" w:line="259" w:lineRule="auto"/>
              <w:jc w:val="both"/>
              <w:rPr>
                <w:sz w:val="22"/>
                <w:szCs w:val="22"/>
              </w:rPr>
            </w:pPr>
            <w:r w:rsidDel="00000000" w:rsidR="00000000" w:rsidRPr="00000000">
              <w:rPr>
                <w:sz w:val="22"/>
                <w:szCs w:val="22"/>
                <w:rtl w:val="0"/>
              </w:rPr>
              <w:t xml:space="preserve">This topic also links closely to modern policing and safeguarding approaches, particularly trauma-informed practice and multi-agency working between police, social services, schools, and mental health services. Exploring how these agencies can better support vulnerable children may help reduce future criminality and prevent further victimisation (Welsh Government, 2025).</w:t>
            </w:r>
          </w:p>
          <w:p w:rsidR="00000000" w:rsidDel="00000000" w:rsidP="00000000" w:rsidRDefault="00000000" w:rsidRPr="00000000" w14:paraId="00000013">
            <w:pPr>
              <w:spacing w:after="240" w:before="240" w:line="259" w:lineRule="auto"/>
              <w:jc w:val="both"/>
              <w:rPr>
                <w:sz w:val="22"/>
                <w:szCs w:val="22"/>
              </w:rPr>
            </w:pPr>
            <w:r w:rsidDel="00000000" w:rsidR="00000000" w:rsidRPr="00000000">
              <w:rPr>
                <w:sz w:val="22"/>
                <w:szCs w:val="22"/>
                <w:rtl w:val="0"/>
              </w:rPr>
              <w:t xml:space="preserve">Furthermore, the dissertation will explore the connection between victimisation and offending. This makes the topic socially relevant, while also combining criminological theory, policing practice, and safeguarding within a contemporary issue.</w:t>
            </w:r>
          </w:p>
          <w:p w:rsidR="00000000" w:rsidDel="00000000" w:rsidP="00000000" w:rsidRDefault="00000000" w:rsidRPr="00000000" w14:paraId="00000014">
            <w:pPr>
              <w:tabs>
                <w:tab w:val="left" w:leader="none" w:pos="1860"/>
              </w:tabs>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16">
            <w:pPr>
              <w:jc w:val="both"/>
              <w:rPr>
                <w:b w:val="1"/>
                <w:bCs w:val="1"/>
                <w:sz w:val="22"/>
                <w:szCs w:val="22"/>
              </w:rPr>
            </w:pPr>
            <w:r w:rsidDel="00000000" w:rsidR="00000000" w:rsidRPr="00000000">
              <w:rPr>
                <w:b w:val="1"/>
                <w:bCs w:val="1"/>
                <w:sz w:val="22"/>
                <w:szCs w:val="22"/>
                <w:rtl w:val="0"/>
              </w:rPr>
              <w:t xml:space="preserve">SUMMARY OF RESEARCH AIM &amp; OBJECTIVES: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both"/>
              <w:rPr>
                <w:sz w:val="22"/>
                <w:szCs w:val="22"/>
                <w:shd w:fill="c6c6c6" w:val="clear"/>
              </w:rPr>
            </w:pPr>
            <w:r w:rsidDel="00000000" w:rsidR="00000000" w:rsidRPr="00000000">
              <w:rPr>
                <w:sz w:val="22"/>
                <w:szCs w:val="22"/>
                <w:rtl w:val="0"/>
              </w:rPr>
              <w:t xml:space="preserve">Aim: To critically evaluate the effectiveness of professional support available to individuals who have experienced Adverse Childhood Experiences (ACEs), with consideration of its role in addressing factors associated with future criminal involvement.</w:t>
            </w:r>
            <w:r w:rsidDel="00000000" w:rsidR="00000000" w:rsidRPr="00000000">
              <w:rPr>
                <w:sz w:val="22"/>
                <w:szCs w:val="22"/>
                <w:shd w:fill="c6c6c6" w:val="clear"/>
                <w:rtl w:val="0"/>
              </w:rPr>
              <w:t xml:space="preserve">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jc w:val="both"/>
              <w:rPr>
                <w:sz w:val="22"/>
                <w:szCs w:val="22"/>
                <w:shd w:fill="c6c6c6" w:val="clear"/>
              </w:rPr>
            </w:pPr>
            <w:r w:rsidDel="00000000" w:rsidR="00000000" w:rsidRPr="00000000">
              <w:rPr>
                <w:sz w:val="22"/>
                <w:szCs w:val="22"/>
                <w:rtl w:val="0"/>
              </w:rPr>
              <w:t xml:space="preserve">O1: To examine existing research on the relationship between Adverse Childhood Experiences (ACEs) and subsequent involvement in criminal activity, through existing literature and my primary research.</w:t>
            </w:r>
            <w:r w:rsidDel="00000000" w:rsidR="00000000" w:rsidRPr="00000000">
              <w:rPr>
                <w:rtl w:val="0"/>
              </w:rPr>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jc w:val="both"/>
              <w:rPr>
                <w:sz w:val="22"/>
                <w:szCs w:val="22"/>
                <w:shd w:fill="c6c6c6" w:val="clear"/>
              </w:rPr>
            </w:pPr>
            <w:r w:rsidDel="00000000" w:rsidR="00000000" w:rsidRPr="00000000">
              <w:rPr>
                <w:sz w:val="22"/>
                <w:szCs w:val="22"/>
                <w:rtl w:val="0"/>
              </w:rPr>
              <w:t xml:space="preserve">O2: To examine the role of professional support services in responding to individuals who have experienced ACEs through use of existing research and convenience sampling via a Microsoft forms link shared through my existing social media platforms.</w:t>
            </w:r>
            <w:r w:rsidDel="00000000" w:rsidR="00000000" w:rsidRPr="00000000">
              <w:rPr>
                <w:sz w:val="22"/>
                <w:szCs w:val="22"/>
                <w:shd w:fill="c6c6c6" w:val="clear"/>
                <w:rtl w:val="0"/>
              </w:rPr>
              <w:t xml:space="preserve">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jc w:val="both"/>
              <w:rPr>
                <w:sz w:val="22"/>
                <w:szCs w:val="22"/>
                <w:shd w:fill="c6c6c6" w:val="clear"/>
              </w:rPr>
            </w:pPr>
            <w:r w:rsidDel="00000000" w:rsidR="00000000" w:rsidRPr="00000000">
              <w:rPr>
                <w:sz w:val="22"/>
                <w:szCs w:val="22"/>
                <w:rtl w:val="0"/>
              </w:rPr>
              <w:t xml:space="preserve">O3: To explore the reported effectiveness and accessibility of professional support in addressing the potential consequences of ACEs using existing research.</w:t>
            </w: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jc w:val="both"/>
              <w:rPr>
                <w:sz w:val="22"/>
                <w:szCs w:val="22"/>
                <w:shd w:fill="c6c6c6" w:val="clear"/>
              </w:rPr>
            </w:pPr>
            <w:r w:rsidDel="00000000" w:rsidR="00000000" w:rsidRPr="00000000">
              <w:rPr>
                <w:sz w:val="22"/>
                <w:szCs w:val="22"/>
                <w:rtl w:val="0"/>
              </w:rPr>
              <w:t xml:space="preserve">O4: To identify potential gaps in professional support and consider how multi-agency approaches could be improved to support individuals who have experienced ACEs through use of existing research in collaboration with my primary research if data allows for it.</w:t>
            </w:r>
            <w:r w:rsidDel="00000000" w:rsidR="00000000" w:rsidRPr="00000000">
              <w:rPr>
                <w:sz w:val="22"/>
                <w:szCs w:val="22"/>
                <w:shd w:fill="c6c6c6" w:val="clear"/>
                <w:rtl w:val="0"/>
              </w:rPr>
              <w:t xml:space="preserve"> </w:t>
            </w:r>
          </w:p>
          <w:p w:rsidR="00000000" w:rsidDel="00000000" w:rsidP="00000000" w:rsidRDefault="00000000" w:rsidRPr="00000000" w14:paraId="0000001C">
            <w:pPr>
              <w:rPr>
                <w:sz w:val="22"/>
                <w:szCs w:val="22"/>
              </w:rPr>
            </w:pPr>
            <w:r w:rsidDel="00000000" w:rsidR="00000000" w:rsidRPr="00000000">
              <w:rPr>
                <w:rtl w:val="0"/>
              </w:rPr>
            </w:r>
          </w:p>
          <w:p w:rsidR="00000000" w:rsidDel="00000000" w:rsidP="00000000" w:rsidRDefault="00000000" w:rsidRPr="00000000" w14:paraId="0000001D">
            <w:pPr>
              <w:jc w:val="both"/>
              <w:rPr>
                <w:sz w:val="22"/>
                <w:szCs w:val="22"/>
              </w:rPr>
            </w:pPr>
            <w:r w:rsidDel="00000000" w:rsidR="00000000" w:rsidRPr="00000000">
              <w:rPr>
                <w:rtl w:val="0"/>
              </w:rPr>
            </w:r>
          </w:p>
          <w:p w:rsidR="00000000" w:rsidDel="00000000" w:rsidP="00000000" w:rsidRDefault="00000000" w:rsidRPr="00000000" w14:paraId="0000001E">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20">
            <w:pPr>
              <w:rPr>
                <w:b w:val="1"/>
                <w:bCs w:val="1"/>
                <w:sz w:val="22"/>
                <w:szCs w:val="22"/>
              </w:rPr>
            </w:pPr>
            <w:r w:rsidDel="00000000" w:rsidR="00000000" w:rsidRPr="00000000">
              <w:rPr>
                <w:b w:val="1"/>
                <w:bCs w:val="1"/>
                <w:sz w:val="22"/>
                <w:szCs w:val="22"/>
                <w:rtl w:val="0"/>
              </w:rPr>
              <w:t xml:space="preserve">THEORETICAL CONTEXT:</w:t>
            </w:r>
          </w:p>
          <w:p w:rsidR="00000000" w:rsidDel="00000000" w:rsidP="00000000" w:rsidRDefault="00000000" w:rsidRPr="00000000" w14:paraId="00000021">
            <w:pPr>
              <w:spacing w:after="240" w:before="240" w:line="259" w:lineRule="auto"/>
              <w:jc w:val="both"/>
              <w:rPr>
                <w:sz w:val="22"/>
                <w:szCs w:val="22"/>
              </w:rPr>
            </w:pPr>
            <w:r w:rsidDel="00000000" w:rsidR="00000000" w:rsidRPr="00000000">
              <w:rPr>
                <w:sz w:val="22"/>
                <w:szCs w:val="22"/>
                <w:rtl w:val="0"/>
              </w:rPr>
              <w:t xml:space="preserve">This research focuses on the relationship between Adverse Childhood Experiences (ACE’s), criminal behaviour, victimisation, and the role of professional support services in reducing future offending. Existing literature across criminology, psychology, policing, and safeguarding has increasingly identified childhood trauma as an important factor linked to later behavioural and social outcomes. The theoretical context for this dissertation will therefore draw upon literature surrounding ACE’s, criminological theory, trauma, victimisation, safeguarding, and multi-agency intervention.</w:t>
            </w:r>
          </w:p>
          <w:p w:rsidR="00000000" w:rsidDel="00000000" w:rsidP="00000000" w:rsidRDefault="00000000" w:rsidRPr="00000000" w14:paraId="00000022">
            <w:pPr>
              <w:spacing w:after="240" w:before="240" w:line="259" w:lineRule="auto"/>
              <w:jc w:val="both"/>
              <w:rPr>
                <w:sz w:val="22"/>
                <w:szCs w:val="22"/>
              </w:rPr>
            </w:pPr>
            <w:r w:rsidDel="00000000" w:rsidR="00000000" w:rsidRPr="00000000">
              <w:rPr>
                <w:sz w:val="22"/>
                <w:szCs w:val="22"/>
                <w:rtl w:val="0"/>
              </w:rPr>
              <w:t xml:space="preserve">One key area of literature relevant to this research is the relationship between childhood adversity and later offending behaviour. Felitti et al. (1998) carried out one of the earliest major studies into ACE’s and found strong links between childhood trauma and harmful behavioural outcomes in adulthood, including violence, substance misuse, and mental health difficulties. Further research has continued to show that exposure to abuse, neglect, domestic violence, and household dysfunction can negatively affect emotional development and increase vulnerability to offending behaviour (Anda et al., 2006). To strengthen, more recent literature has re-iterated that there is a relationship between ACE’s and the likelihood of coming into contact with the criminal Justice system. It was found that as the prevalence of ACE’s increased, as did the likelihood of incarceration </w:t>
            </w:r>
            <w:r w:rsidDel="00000000" w:rsidR="00000000" w:rsidRPr="00000000">
              <w:rPr>
                <w:sz w:val="22"/>
                <w:szCs w:val="22"/>
                <w:rtl w:val="0"/>
              </w:rPr>
              <w:t xml:space="preserve">(Quigg </w:t>
            </w:r>
            <w:r w:rsidDel="00000000" w:rsidR="00000000" w:rsidRPr="00000000">
              <w:rPr>
                <w:i w:val="1"/>
                <w:iCs w:val="1"/>
                <w:sz w:val="22"/>
                <w:szCs w:val="22"/>
                <w:rtl w:val="0"/>
              </w:rPr>
              <w:t xml:space="preserve">et al.</w:t>
            </w:r>
            <w:r w:rsidDel="00000000" w:rsidR="00000000" w:rsidRPr="00000000">
              <w:rPr>
                <w:sz w:val="22"/>
                <w:szCs w:val="22"/>
                <w:rtl w:val="0"/>
              </w:rPr>
              <w:t xml:space="preserve">, </w:t>
            </w:r>
            <w:r w:rsidDel="00000000" w:rsidR="00000000" w:rsidRPr="00000000">
              <w:rPr>
                <w:sz w:val="22"/>
                <w:szCs w:val="22"/>
                <w:rtl w:val="0"/>
              </w:rPr>
              <w:t xml:space="preserve">2025).This lit</w:t>
            </w:r>
            <w:r w:rsidDel="00000000" w:rsidR="00000000" w:rsidRPr="00000000">
              <w:rPr>
                <w:sz w:val="22"/>
                <w:szCs w:val="22"/>
                <w:rtl w:val="0"/>
              </w:rPr>
              <w:t xml:space="preserve">erature is important as it supports the argument that criminal behaviour may often be linked to early trauma and environmental experiences.</w:t>
            </w:r>
          </w:p>
          <w:p w:rsidR="00000000" w:rsidDel="00000000" w:rsidP="00000000" w:rsidRDefault="00000000" w:rsidRPr="00000000" w14:paraId="00000023">
            <w:pPr>
              <w:spacing w:after="240" w:before="240" w:line="259" w:lineRule="auto"/>
              <w:jc w:val="both"/>
              <w:rPr>
                <w:sz w:val="22"/>
                <w:szCs w:val="22"/>
              </w:rPr>
            </w:pPr>
            <w:r w:rsidDel="00000000" w:rsidR="00000000" w:rsidRPr="00000000">
              <w:rPr>
                <w:sz w:val="22"/>
                <w:szCs w:val="22"/>
                <w:rtl w:val="0"/>
              </w:rPr>
              <w:t xml:space="preserve">The dissertation will also use criminological theories linked to the causes of criminality. Hirschi’s (1969) social control theory argues that individuals with weaker attachments to family, school, and society are more likely to engage in deviant or criminal behaviour. This is relevant to ACE research because children experiencing trauma may experience disrupted family relationships, school exclusion, or poor support networks. Agnew’s (1992) general strain theory is also relevant, as it suggests that stress, trauma, and negative emotions may lead individuals towards criminal coping behaviours. This theory helps explain how childhood adversity may contribute towards violence, antisocial behaviour, or substance misuse later in life.</w:t>
            </w:r>
          </w:p>
          <w:p w:rsidR="00000000" w:rsidDel="00000000" w:rsidP="00000000" w:rsidRDefault="00000000" w:rsidRPr="00000000" w14:paraId="00000024">
            <w:pPr>
              <w:spacing w:after="240" w:before="240" w:line="259" w:lineRule="auto"/>
              <w:jc w:val="both"/>
              <w:rPr>
                <w:sz w:val="22"/>
                <w:szCs w:val="22"/>
              </w:rPr>
            </w:pPr>
            <w:r w:rsidDel="00000000" w:rsidR="00000000" w:rsidRPr="00000000">
              <w:rPr>
                <w:sz w:val="22"/>
                <w:szCs w:val="22"/>
                <w:rtl w:val="0"/>
              </w:rPr>
              <w:t xml:space="preserve">Another important area of literature focuses on the relationship between victimisation and offending. Research has identified that many offenders have previously experienced abuse, neglect, or trauma themselves. Fagan (1995) argued that childhood victimisation can increase the likelihood of later violent offending due to the long-term emotional and behavioural effects of trauma. Ford et al. (2012) also found that traumatic childhood experiences were highly common among justice-involved youth populations. This literature supports the idea of a “victim-to-offender cycle”, which is central to this dissertation topic. It also highlights the importance of early support and intervention before criminal behaviour develops further.</w:t>
            </w:r>
          </w:p>
          <w:p w:rsidR="00000000" w:rsidDel="00000000" w:rsidP="00000000" w:rsidRDefault="00000000" w:rsidRPr="00000000" w14:paraId="00000025">
            <w:pPr>
              <w:spacing w:after="240" w:before="240" w:line="259" w:lineRule="auto"/>
              <w:jc w:val="both"/>
              <w:rPr>
                <w:sz w:val="22"/>
                <w:szCs w:val="22"/>
              </w:rPr>
            </w:pPr>
            <w:r w:rsidDel="00000000" w:rsidR="00000000" w:rsidRPr="00000000">
              <w:rPr>
                <w:sz w:val="22"/>
                <w:szCs w:val="22"/>
                <w:rtl w:val="0"/>
              </w:rPr>
              <w:t xml:space="preserve">The role of professional support services is another key area within the literature. Existing research highlights the importance of safeguarding, early intervention, and trauma-informed approaches within policing and social care settings. The Early Intervention Foundation (2020) states that identifying childhood vulnerability early can reduce long-term negative outcomes including offending behaviour, poor mental health, and substance misuse. This supports the idea that effective intervention from mental health services, social services, schools, and policing agencies may help reduce the long-term effects of ACE’s. Literature surrounding trauma-informed practice also suggests that understanding trauma can improve professional responses to vulnerable individuals and reduce re-traumatisation (Substance Abuse and Mental Health Services Administration, 2014).</w:t>
            </w:r>
          </w:p>
          <w:p w:rsidR="00000000" w:rsidDel="00000000" w:rsidP="00000000" w:rsidRDefault="00000000" w:rsidRPr="00000000" w14:paraId="00000026">
            <w:pPr>
              <w:spacing w:after="240" w:before="240" w:line="259" w:lineRule="auto"/>
              <w:jc w:val="both"/>
              <w:rPr>
                <w:sz w:val="22"/>
                <w:szCs w:val="22"/>
              </w:rPr>
            </w:pPr>
            <w:r w:rsidDel="00000000" w:rsidR="00000000" w:rsidRPr="00000000">
              <w:rPr>
                <w:sz w:val="22"/>
                <w:szCs w:val="22"/>
                <w:rtl w:val="0"/>
              </w:rPr>
              <w:t xml:space="preserve">Multi-agency working is another significant theme within the literature. Safeguarding vulnerable children often requires cooperation between social services, healthcare professionals, schools, and police services. Frost and Robinson (2007) argue that multi-agency working improves information sharing and allows professionals to respond more effectively to vulnerable individuals. However, existing research also identifies issues such as poor communication, different organisational priorities, and limited resources, which can reduce the effectiveness of safeguarding arrangements (Atkinson, Jones and Lamont, 2007). This literature is relevant as the research aims to explore whether stronger support systems and better coordinated intervention could reduce future criminal involvement among individuals affected by ACE’s.</w:t>
            </w:r>
          </w:p>
          <w:p w:rsidR="00000000" w:rsidDel="00000000" w:rsidP="00000000" w:rsidRDefault="00000000" w:rsidRPr="00000000" w14:paraId="00000027">
            <w:pPr>
              <w:spacing w:after="240" w:before="240" w:line="259" w:lineRule="auto"/>
              <w:jc w:val="both"/>
              <w:rPr>
                <w:sz w:val="22"/>
                <w:szCs w:val="22"/>
              </w:rPr>
            </w:pPr>
            <w:r w:rsidDel="00000000" w:rsidR="00000000" w:rsidRPr="00000000">
              <w:rPr>
                <w:sz w:val="22"/>
                <w:szCs w:val="22"/>
                <w:rtl w:val="0"/>
              </w:rPr>
              <w:t xml:space="preserve">Mental health literature is also important to the research topic. Childhood trauma has been strongly linked to depression, anxiety, PTSD, self-harm, and substance misuse (Kessler et al., 2010). Untreated mental health difficulties may increase vulnerability to criminal justice involvement, particularly where support services are limited or difficult to access. Hughes et al. (2017) found that individuals with multiple ACE’s were significantly more likely to engage in harmful behaviours and experience poor health outcomes throughout adulthood. This further supports the importance of accessible mental health support and early intervention for vulnerable children and young people.</w:t>
            </w:r>
          </w:p>
          <w:p w:rsidR="00000000" w:rsidDel="00000000" w:rsidP="00000000" w:rsidRDefault="00000000" w:rsidRPr="00000000" w14:paraId="00000028">
            <w:pPr>
              <w:spacing w:after="240" w:before="240" w:line="259" w:lineRule="auto"/>
              <w:jc w:val="both"/>
              <w:rPr>
                <w:sz w:val="22"/>
                <w:szCs w:val="22"/>
              </w:rPr>
            </w:pPr>
            <w:r w:rsidDel="00000000" w:rsidR="00000000" w:rsidRPr="00000000">
              <w:rPr>
                <w:sz w:val="22"/>
                <w:szCs w:val="22"/>
                <w:rtl w:val="0"/>
              </w:rPr>
              <w:t xml:space="preserve">Overall, the literature used throughout this dissertation will help explore whether professional support and early intervention can reduce the criminogenic effects of ACE’s. The research combines criminological theory, safeguarding literature, trauma research, and policing studies to examine whether improved support systems may reduce future offending and victimisation among vulnerable individuals.</w:t>
            </w:r>
          </w:p>
          <w:p w:rsidR="00000000" w:rsidDel="00000000" w:rsidP="00000000" w:rsidRDefault="00000000" w:rsidRPr="00000000" w14:paraId="00000029">
            <w:pPr>
              <w:jc w:val="both"/>
              <w:rPr>
                <w:b w:val="1"/>
                <w:bCs w:val="1"/>
                <w:sz w:val="22"/>
                <w:szCs w:val="22"/>
              </w:rPr>
            </w:pPr>
            <w:r w:rsidDel="00000000" w:rsidR="00000000" w:rsidRPr="00000000">
              <w:rPr>
                <w:rtl w:val="0"/>
              </w:rPr>
            </w:r>
          </w:p>
          <w:p w:rsidR="00000000" w:rsidDel="00000000" w:rsidP="00000000" w:rsidRDefault="00000000" w:rsidRPr="00000000" w14:paraId="0000002A">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2C">
            <w:pPr>
              <w:rPr>
                <w:b w:val="1"/>
                <w:bCs w:val="1"/>
                <w:sz w:val="22"/>
                <w:szCs w:val="22"/>
              </w:rPr>
            </w:pPr>
            <w:r w:rsidDel="00000000" w:rsidR="00000000" w:rsidRPr="00000000">
              <w:rPr>
                <w:b w:val="1"/>
                <w:bCs w:val="1"/>
                <w:sz w:val="22"/>
                <w:szCs w:val="22"/>
                <w:rtl w:val="0"/>
              </w:rPr>
              <w:t xml:space="preserve">SUMMARY OF RESEARCH –SURVEY METHOD: </w:t>
            </w:r>
          </w:p>
          <w:p w:rsidR="00000000" w:rsidDel="00000000" w:rsidP="00000000" w:rsidRDefault="00000000" w:rsidRPr="00000000" w14:paraId="0000002D">
            <w:pPr>
              <w:spacing w:after="240" w:before="240" w:line="259" w:lineRule="auto"/>
              <w:rPr>
                <w:sz w:val="22"/>
                <w:szCs w:val="22"/>
              </w:rPr>
            </w:pPr>
            <w:r w:rsidDel="00000000" w:rsidR="00000000" w:rsidRPr="00000000">
              <w:rPr>
                <w:sz w:val="22"/>
                <w:szCs w:val="22"/>
                <w:rtl w:val="0"/>
              </w:rPr>
              <w:t xml:space="preserve">This research will use a quantitative survey/questionnaire method using Microsoft forms accessed via a link shared through existing personal social media accounts  to explore the relationship between Adverse Childhood Experiences (ACE’s), criminal behaviour, and professional support services. The questionnaire will be anonymous and aimed at individuals who have experienced ACE’s, or had involvement with support services such as NHS mental health support, social services or the police.  Participants will be asked questions regarding the level of support they received from services such as mental health services, social services, and the police. To mitigate any ethical concerns, participants will not be asked to disclose detailed ACE’s and will read a disclosure prior to submissions that explain what ACE’s entail, participants can then decide if they want to continue through the questionnaire.</w:t>
            </w:r>
          </w:p>
          <w:p w:rsidR="00000000" w:rsidDel="00000000" w:rsidP="00000000" w:rsidRDefault="00000000" w:rsidRPr="00000000" w14:paraId="0000002E">
            <w:pPr>
              <w:spacing w:after="240" w:before="240" w:line="259" w:lineRule="auto"/>
              <w:rPr>
                <w:sz w:val="22"/>
                <w:szCs w:val="22"/>
              </w:rPr>
            </w:pPr>
            <w:r w:rsidDel="00000000" w:rsidR="00000000" w:rsidRPr="00000000">
              <w:rPr>
                <w:sz w:val="22"/>
                <w:szCs w:val="22"/>
                <w:rtl w:val="0"/>
              </w:rPr>
              <w:t xml:space="preserve">The survey will use a mixture of closed questions and scaled responses to identify patterns and trends between ACE exposure, offending behaviour, and the effectiveness of professional support. The use of an anonymous questionnaire is intended to encourage honest responses due to the nature of the topic.</w:t>
            </w:r>
          </w:p>
          <w:p w:rsidR="00000000" w:rsidDel="00000000" w:rsidP="00000000" w:rsidRDefault="00000000" w:rsidRPr="00000000" w14:paraId="0000002F">
            <w:pPr>
              <w:rPr>
                <w:sz w:val="22"/>
                <w:szCs w:val="22"/>
              </w:rPr>
            </w:pPr>
            <w:r w:rsidDel="00000000" w:rsidR="00000000" w:rsidRPr="00000000">
              <w:rPr>
                <w:sz w:val="22"/>
                <w:szCs w:val="22"/>
                <w:rtl w:val="0"/>
              </w:rPr>
              <w:t xml:space="preserve"> </w:t>
            </w:r>
          </w:p>
          <w:p w:rsidR="00000000" w:rsidDel="00000000" w:rsidP="00000000" w:rsidRDefault="00000000" w:rsidRPr="00000000" w14:paraId="00000030">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2">
            <w:pPr>
              <w:rPr>
                <w:sz w:val="22"/>
                <w:szCs w:val="22"/>
              </w:rPr>
            </w:pPr>
            <w:r w:rsidDel="00000000" w:rsidR="00000000" w:rsidRPr="00000000">
              <w:rPr>
                <w:b w:val="1"/>
                <w:bCs w:val="1"/>
                <w:sz w:val="22"/>
                <w:szCs w:val="22"/>
                <w:rtl w:val="0"/>
              </w:rPr>
              <w:t xml:space="preserve">SUMMARY OF SAMPLING FRAMEWORK:</w:t>
            </w:r>
            <w:r w:rsidDel="00000000" w:rsidR="00000000" w:rsidRPr="00000000">
              <w:rPr>
                <w:sz w:val="22"/>
                <w:szCs w:val="22"/>
                <w:rtl w:val="0"/>
              </w:rPr>
              <w:t xml:space="preserve"> </w:t>
            </w:r>
          </w:p>
          <w:p w:rsidR="00000000" w:rsidDel="00000000" w:rsidP="00000000" w:rsidRDefault="00000000" w:rsidRPr="00000000" w14:paraId="00000033">
            <w:pPr>
              <w:spacing w:after="240" w:before="240" w:line="259" w:lineRule="auto"/>
              <w:jc w:val="both"/>
              <w:rPr>
                <w:sz w:val="22"/>
                <w:szCs w:val="22"/>
              </w:rPr>
            </w:pPr>
            <w:r w:rsidDel="00000000" w:rsidR="00000000" w:rsidRPr="00000000">
              <w:rPr>
                <w:sz w:val="22"/>
                <w:szCs w:val="22"/>
                <w:rtl w:val="0"/>
              </w:rPr>
              <w:t xml:space="preserve">The target sample for this research will consist of adults aged 18 and over who are members of the general public. Participants will be invited to complete an anonymous questionnaire exploring awareness and understanding of Adverse Childhood Experiences (ACEs), experiences of professional support and views on the role of early intervention and multi-agency support. Participants will not be required to disclose specific traumatic experiences or criminal offences. The questionnaire will instead allow participants to provide general information about their experiences of, or views towards, support services and the potential role of early intervention following childhood adversity.</w:t>
            </w:r>
          </w:p>
          <w:p w:rsidR="00000000" w:rsidDel="00000000" w:rsidP="00000000" w:rsidRDefault="00000000" w:rsidRPr="00000000" w14:paraId="00000034">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6">
            <w:pPr>
              <w:jc w:val="both"/>
              <w:rPr>
                <w:b w:val="1"/>
                <w:bCs w:val="1"/>
                <w:sz w:val="22"/>
                <w:szCs w:val="22"/>
              </w:rPr>
            </w:pPr>
            <w:r w:rsidDel="00000000" w:rsidR="00000000" w:rsidRPr="00000000">
              <w:rPr>
                <w:b w:val="1"/>
                <w:bCs w:val="1"/>
                <w:sz w:val="22"/>
                <w:szCs w:val="22"/>
                <w:rtl w:val="0"/>
              </w:rPr>
              <w:t xml:space="preserve">INITIAL REFERENCE LIST:</w:t>
            </w:r>
          </w:p>
          <w:p w:rsidR="00000000" w:rsidDel="00000000" w:rsidP="00000000" w:rsidRDefault="00000000" w:rsidRPr="00000000" w14:paraId="00000037">
            <w:pPr>
              <w:spacing w:after="240" w:before="240" w:line="259" w:lineRule="auto"/>
              <w:jc w:val="both"/>
              <w:rPr>
                <w:sz w:val="22"/>
                <w:szCs w:val="22"/>
              </w:rPr>
            </w:pPr>
            <w:r w:rsidDel="00000000" w:rsidR="00000000" w:rsidRPr="00000000">
              <w:rPr>
                <w:sz w:val="22"/>
                <w:szCs w:val="22"/>
                <w:rtl w:val="0"/>
              </w:rPr>
              <w:t xml:space="preserve">Agnew, R. (1992) ‘Foundation for a general strain theory of crime and delinquency’, </w:t>
            </w:r>
            <w:r w:rsidDel="00000000" w:rsidR="00000000" w:rsidRPr="00000000">
              <w:rPr>
                <w:i w:val="1"/>
                <w:iCs w:val="1"/>
                <w:sz w:val="22"/>
                <w:szCs w:val="22"/>
                <w:rtl w:val="0"/>
              </w:rPr>
              <w:t xml:space="preserve">Criminology</w:t>
            </w:r>
            <w:r w:rsidDel="00000000" w:rsidR="00000000" w:rsidRPr="00000000">
              <w:rPr>
                <w:sz w:val="22"/>
                <w:szCs w:val="22"/>
                <w:rtl w:val="0"/>
              </w:rPr>
              <w:t xml:space="preserve">, 30(1), pp. 47–87 (Accessed: 2 April 2026).</w:t>
            </w:r>
          </w:p>
          <w:p w:rsidR="00000000" w:rsidDel="00000000" w:rsidP="00000000" w:rsidRDefault="00000000" w:rsidRPr="00000000" w14:paraId="00000038">
            <w:pPr>
              <w:spacing w:after="240" w:before="240" w:line="259" w:lineRule="auto"/>
              <w:jc w:val="both"/>
              <w:rPr>
                <w:sz w:val="22"/>
                <w:szCs w:val="22"/>
              </w:rPr>
            </w:pPr>
            <w:r w:rsidDel="00000000" w:rsidR="00000000" w:rsidRPr="00000000">
              <w:rPr>
                <w:sz w:val="22"/>
                <w:szCs w:val="22"/>
                <w:rtl w:val="0"/>
              </w:rPr>
              <w:t xml:space="preserve">Anda, R.F., Felitti, V.J., Bremner, J.D., Walker, J.D., Whitfield, C., Perry, B.D., Dube, S.R. and Giles, W.H. (2006) ‘The enduring effects of abuse and related adverse experiences in childhood’, </w:t>
            </w:r>
            <w:r w:rsidDel="00000000" w:rsidR="00000000" w:rsidRPr="00000000">
              <w:rPr>
                <w:i w:val="1"/>
                <w:iCs w:val="1"/>
                <w:sz w:val="22"/>
                <w:szCs w:val="22"/>
                <w:rtl w:val="0"/>
              </w:rPr>
              <w:t xml:space="preserve">European Archives of Psychiatry and Clinical Neuroscience</w:t>
            </w:r>
            <w:r w:rsidDel="00000000" w:rsidR="00000000" w:rsidRPr="00000000">
              <w:rPr>
                <w:sz w:val="22"/>
                <w:szCs w:val="22"/>
                <w:rtl w:val="0"/>
              </w:rPr>
              <w:t xml:space="preserve">, 256(3), pp. 174–186 (Accessed: 8 April 2026).</w:t>
            </w:r>
          </w:p>
          <w:p w:rsidR="00000000" w:rsidDel="00000000" w:rsidP="00000000" w:rsidRDefault="00000000" w:rsidRPr="00000000" w14:paraId="00000039">
            <w:pPr>
              <w:spacing w:after="240" w:before="240" w:line="259" w:lineRule="auto"/>
              <w:jc w:val="both"/>
              <w:rPr>
                <w:sz w:val="22"/>
                <w:szCs w:val="22"/>
              </w:rPr>
            </w:pPr>
            <w:r w:rsidDel="00000000" w:rsidR="00000000" w:rsidRPr="00000000">
              <w:rPr>
                <w:sz w:val="22"/>
                <w:szCs w:val="22"/>
                <w:rtl w:val="0"/>
              </w:rPr>
              <w:t xml:space="preserve">Atkinson, M., Jones, M. and Lamont, E. (2007) </w:t>
            </w:r>
            <w:r w:rsidDel="00000000" w:rsidR="00000000" w:rsidRPr="00000000">
              <w:rPr>
                <w:i w:val="1"/>
                <w:iCs w:val="1"/>
                <w:sz w:val="22"/>
                <w:szCs w:val="22"/>
                <w:rtl w:val="0"/>
              </w:rPr>
              <w:t xml:space="preserve">Multi-Agency Working and Its Implications for Practice: A Review of the Literature</w:t>
            </w:r>
            <w:r w:rsidDel="00000000" w:rsidR="00000000" w:rsidRPr="00000000">
              <w:rPr>
                <w:sz w:val="22"/>
                <w:szCs w:val="22"/>
                <w:rtl w:val="0"/>
              </w:rPr>
              <w:t xml:space="preserve">. Slough: National Foundation for Educational Research (Accessed: 14 April 2026).</w:t>
            </w:r>
          </w:p>
          <w:p w:rsidR="00000000" w:rsidDel="00000000" w:rsidP="00000000" w:rsidRDefault="00000000" w:rsidRPr="00000000" w14:paraId="0000003A">
            <w:pPr>
              <w:spacing w:after="240" w:before="240" w:line="259" w:lineRule="auto"/>
              <w:jc w:val="both"/>
              <w:rPr>
                <w:sz w:val="22"/>
                <w:szCs w:val="22"/>
              </w:rPr>
            </w:pPr>
            <w:r w:rsidDel="00000000" w:rsidR="00000000" w:rsidRPr="00000000">
              <w:rPr>
                <w:sz w:val="22"/>
                <w:szCs w:val="22"/>
                <w:rtl w:val="0"/>
              </w:rPr>
              <w:t xml:space="preserve">Early Intervention Foundation (2020) </w:t>
            </w:r>
            <w:r w:rsidDel="00000000" w:rsidR="00000000" w:rsidRPr="00000000">
              <w:rPr>
                <w:i w:val="1"/>
                <w:iCs w:val="1"/>
                <w:sz w:val="22"/>
                <w:szCs w:val="22"/>
                <w:rtl w:val="0"/>
              </w:rPr>
              <w:t xml:space="preserve">Adverse Childhood Experiences: What We Know, What We Don’t Know, and What Should Happen Next</w:t>
            </w:r>
            <w:r w:rsidDel="00000000" w:rsidR="00000000" w:rsidRPr="00000000">
              <w:rPr>
                <w:sz w:val="22"/>
                <w:szCs w:val="22"/>
                <w:rtl w:val="0"/>
              </w:rPr>
              <w:t xml:space="preserve">. London: Early Intervention Foundation (Accessed: 22 April 2026).</w:t>
            </w:r>
          </w:p>
          <w:p w:rsidR="00000000" w:rsidDel="00000000" w:rsidP="00000000" w:rsidRDefault="00000000" w:rsidRPr="00000000" w14:paraId="0000003B">
            <w:pPr>
              <w:spacing w:after="240" w:before="240" w:line="259" w:lineRule="auto"/>
              <w:jc w:val="both"/>
              <w:rPr>
                <w:sz w:val="22"/>
                <w:szCs w:val="22"/>
              </w:rPr>
            </w:pPr>
            <w:r w:rsidDel="00000000" w:rsidR="00000000" w:rsidRPr="00000000">
              <w:rPr>
                <w:sz w:val="22"/>
                <w:szCs w:val="22"/>
                <w:rtl w:val="0"/>
              </w:rPr>
              <w:t xml:space="preserve">Fagan, J. (1995) ‘The relationship between adolescent physical abuse and criminal offending’, </w:t>
            </w:r>
            <w:r w:rsidDel="00000000" w:rsidR="00000000" w:rsidRPr="00000000">
              <w:rPr>
                <w:i w:val="1"/>
                <w:iCs w:val="1"/>
                <w:sz w:val="22"/>
                <w:szCs w:val="22"/>
                <w:rtl w:val="0"/>
              </w:rPr>
              <w:t xml:space="preserve">Criminology</w:t>
            </w:r>
            <w:r w:rsidDel="00000000" w:rsidR="00000000" w:rsidRPr="00000000">
              <w:rPr>
                <w:sz w:val="22"/>
                <w:szCs w:val="22"/>
                <w:rtl w:val="0"/>
              </w:rPr>
              <w:t xml:space="preserve">, 33(3), pp. 421–438 (Accessed: 11 April 2026).</w:t>
            </w:r>
          </w:p>
          <w:p w:rsidR="00000000" w:rsidDel="00000000" w:rsidP="00000000" w:rsidRDefault="00000000" w:rsidRPr="00000000" w14:paraId="0000003C">
            <w:pPr>
              <w:spacing w:after="240" w:before="240" w:line="259" w:lineRule="auto"/>
              <w:jc w:val="both"/>
              <w:rPr>
                <w:sz w:val="22"/>
                <w:szCs w:val="22"/>
              </w:rPr>
            </w:pPr>
            <w:r w:rsidDel="00000000" w:rsidR="00000000" w:rsidRPr="00000000">
              <w:rPr>
                <w:sz w:val="22"/>
                <w:szCs w:val="22"/>
                <w:rtl w:val="0"/>
              </w:rPr>
              <w:t xml:space="preserve">Felitti, V.J., Anda, R.F., Nordenberg, D., Williamson, D.F., Spitz, A.M., Edwards, V., Koss, M.P. and Marks, J.S. (1998) ‘Relationship of childhood abuse and household dysfunction to many of the leading causes of death in adults’, </w:t>
            </w:r>
            <w:r w:rsidDel="00000000" w:rsidR="00000000" w:rsidRPr="00000000">
              <w:rPr>
                <w:i w:val="1"/>
                <w:iCs w:val="1"/>
                <w:sz w:val="22"/>
                <w:szCs w:val="22"/>
                <w:rtl w:val="0"/>
              </w:rPr>
              <w:t xml:space="preserve">American Journal of Preventive Medicine</w:t>
            </w:r>
            <w:r w:rsidDel="00000000" w:rsidR="00000000" w:rsidRPr="00000000">
              <w:rPr>
                <w:sz w:val="22"/>
                <w:szCs w:val="22"/>
                <w:rtl w:val="0"/>
              </w:rPr>
              <w:t xml:space="preserve">, 14(4), pp. 245–258 (Accessed: 5 April 2026).</w:t>
            </w:r>
          </w:p>
          <w:p w:rsidR="00000000" w:rsidDel="00000000" w:rsidP="00000000" w:rsidRDefault="00000000" w:rsidRPr="00000000" w14:paraId="0000003D">
            <w:pPr>
              <w:spacing w:after="240" w:before="240" w:line="259" w:lineRule="auto"/>
              <w:jc w:val="both"/>
              <w:rPr>
                <w:sz w:val="22"/>
                <w:szCs w:val="22"/>
              </w:rPr>
            </w:pPr>
            <w:r w:rsidDel="00000000" w:rsidR="00000000" w:rsidRPr="00000000">
              <w:rPr>
                <w:sz w:val="22"/>
                <w:szCs w:val="22"/>
                <w:rtl w:val="0"/>
              </w:rPr>
              <w:t xml:space="preserve">Ford, J.D., Chapman, J.F., Mack, J.M. and Pearson, G. (2012) ‘Pathways from traumatic child victimization to delinquency: Implications for juvenile and permanently delinquent court proceedings and decisions’, </w:t>
            </w:r>
            <w:r w:rsidDel="00000000" w:rsidR="00000000" w:rsidRPr="00000000">
              <w:rPr>
                <w:i w:val="1"/>
                <w:iCs w:val="1"/>
                <w:sz w:val="22"/>
                <w:szCs w:val="22"/>
                <w:rtl w:val="0"/>
              </w:rPr>
              <w:t xml:space="preserve">Juvenile Justice Bulletin</w:t>
            </w:r>
            <w:r w:rsidDel="00000000" w:rsidR="00000000" w:rsidRPr="00000000">
              <w:rPr>
                <w:sz w:val="22"/>
                <w:szCs w:val="22"/>
                <w:rtl w:val="0"/>
              </w:rPr>
              <w:t xml:space="preserve">, pp. 1–12 (Accessed: 19 April 2026).</w:t>
            </w:r>
          </w:p>
          <w:p w:rsidR="00000000" w:rsidDel="00000000" w:rsidP="00000000" w:rsidRDefault="00000000" w:rsidRPr="00000000" w14:paraId="0000003E">
            <w:pPr>
              <w:spacing w:after="240" w:before="240" w:line="259" w:lineRule="auto"/>
              <w:jc w:val="both"/>
              <w:rPr>
                <w:sz w:val="22"/>
                <w:szCs w:val="22"/>
              </w:rPr>
            </w:pPr>
            <w:r w:rsidDel="00000000" w:rsidR="00000000" w:rsidRPr="00000000">
              <w:rPr>
                <w:sz w:val="22"/>
                <w:szCs w:val="22"/>
                <w:rtl w:val="0"/>
              </w:rPr>
              <w:t xml:space="preserve">Frost, N. and Robinson, M. (2007) ‘Joining up children’s services: Safeguarding children in multi-disciplinary teams’, </w:t>
            </w:r>
            <w:r w:rsidDel="00000000" w:rsidR="00000000" w:rsidRPr="00000000">
              <w:rPr>
                <w:i w:val="1"/>
                <w:iCs w:val="1"/>
                <w:sz w:val="22"/>
                <w:szCs w:val="22"/>
                <w:rtl w:val="0"/>
              </w:rPr>
              <w:t xml:space="preserve">Child Abuse Review</w:t>
            </w:r>
            <w:r w:rsidDel="00000000" w:rsidR="00000000" w:rsidRPr="00000000">
              <w:rPr>
                <w:sz w:val="22"/>
                <w:szCs w:val="22"/>
                <w:rtl w:val="0"/>
              </w:rPr>
              <w:t xml:space="preserve">, 16(3), pp. 184–199 (Accessed: 25 April 2026).</w:t>
            </w:r>
          </w:p>
          <w:p w:rsidR="00000000" w:rsidDel="00000000" w:rsidP="00000000" w:rsidRDefault="00000000" w:rsidRPr="00000000" w14:paraId="0000003F">
            <w:pPr>
              <w:spacing w:after="240" w:before="240" w:line="259" w:lineRule="auto"/>
              <w:jc w:val="both"/>
              <w:rPr>
                <w:sz w:val="22"/>
                <w:szCs w:val="22"/>
              </w:rPr>
            </w:pPr>
            <w:r w:rsidDel="00000000" w:rsidR="00000000" w:rsidRPr="00000000">
              <w:rPr>
                <w:sz w:val="22"/>
                <w:szCs w:val="22"/>
                <w:rtl w:val="0"/>
              </w:rPr>
              <w:t xml:space="preserve">Fuller, J.R. (2026) ‘Chapter 5: Biological and Psychological Theories’, </w:t>
            </w:r>
            <w:r w:rsidDel="00000000" w:rsidR="00000000" w:rsidRPr="00000000">
              <w:rPr>
                <w:i w:val="1"/>
                <w:iCs w:val="1"/>
                <w:sz w:val="22"/>
                <w:szCs w:val="22"/>
                <w:rtl w:val="0"/>
              </w:rPr>
              <w:t xml:space="preserve">Introduction to Criminology: A Brief Edition Student Resources</w:t>
            </w:r>
            <w:r w:rsidDel="00000000" w:rsidR="00000000" w:rsidRPr="00000000">
              <w:rPr>
                <w:sz w:val="22"/>
                <w:szCs w:val="22"/>
                <w:rtl w:val="0"/>
              </w:rPr>
              <w:t xml:space="preserve">. Oxford University Press. Available at:</w:t>
            </w:r>
            <w:hyperlink r:id="rId9">
              <w:r w:rsidDel="00000000" w:rsidR="00000000" w:rsidRPr="00000000">
                <w:rPr>
                  <w:sz w:val="22"/>
                  <w:szCs w:val="22"/>
                  <w:rtl w:val="0"/>
                </w:rPr>
                <w:t xml:space="preserve"> </w:t>
              </w:r>
            </w:hyperlink>
            <w:hyperlink r:id="rId10">
              <w:r w:rsidDel="00000000" w:rsidR="00000000" w:rsidRPr="00000000">
                <w:rPr>
                  <w:color w:val="1155cc"/>
                  <w:sz w:val="22"/>
                  <w:szCs w:val="22"/>
                  <w:u w:val="single"/>
                  <w:rtl w:val="0"/>
                </w:rPr>
                <w:t xml:space="preserve">https://learninglink.oup.com/access/content/fuller-intro-crim-brief-student-resources/fuller-intro-crim-brief-chapter-5-chapter-summary</w:t>
              </w:r>
            </w:hyperlink>
            <w:r w:rsidDel="00000000" w:rsidR="00000000" w:rsidRPr="00000000">
              <w:rPr>
                <w:sz w:val="22"/>
                <w:szCs w:val="22"/>
                <w:rtl w:val="0"/>
              </w:rPr>
              <w:t xml:space="preserve"> (Accessed: 2 October 2026).</w:t>
            </w:r>
          </w:p>
          <w:p w:rsidR="00000000" w:rsidDel="00000000" w:rsidP="00000000" w:rsidRDefault="00000000" w:rsidRPr="00000000" w14:paraId="00000040">
            <w:pPr>
              <w:spacing w:after="240" w:before="240" w:line="259" w:lineRule="auto"/>
              <w:jc w:val="both"/>
              <w:rPr>
                <w:sz w:val="22"/>
                <w:szCs w:val="22"/>
              </w:rPr>
            </w:pPr>
            <w:r w:rsidDel="00000000" w:rsidR="00000000" w:rsidRPr="00000000">
              <w:rPr>
                <w:sz w:val="22"/>
                <w:szCs w:val="22"/>
                <w:rtl w:val="0"/>
              </w:rPr>
              <w:t xml:space="preserve">Hirschi, T. (1969) </w:t>
            </w:r>
            <w:r w:rsidDel="00000000" w:rsidR="00000000" w:rsidRPr="00000000">
              <w:rPr>
                <w:i w:val="1"/>
                <w:iCs w:val="1"/>
                <w:sz w:val="22"/>
                <w:szCs w:val="22"/>
                <w:rtl w:val="0"/>
              </w:rPr>
              <w:t xml:space="preserve">Causes of Delinquency</w:t>
            </w:r>
            <w:r w:rsidDel="00000000" w:rsidR="00000000" w:rsidRPr="00000000">
              <w:rPr>
                <w:sz w:val="22"/>
                <w:szCs w:val="22"/>
                <w:rtl w:val="0"/>
              </w:rPr>
              <w:t xml:space="preserve">. Berkeley: University of California Press (Accessed: 31 March 2026).</w:t>
            </w:r>
          </w:p>
          <w:p w:rsidR="00000000" w:rsidDel="00000000" w:rsidP="00000000" w:rsidRDefault="00000000" w:rsidRPr="00000000" w14:paraId="00000041">
            <w:pPr>
              <w:spacing w:after="240" w:before="240" w:line="259" w:lineRule="auto"/>
              <w:jc w:val="both"/>
              <w:rPr>
                <w:sz w:val="22"/>
                <w:szCs w:val="22"/>
              </w:rPr>
            </w:pPr>
            <w:r w:rsidDel="00000000" w:rsidR="00000000" w:rsidRPr="00000000">
              <w:rPr>
                <w:sz w:val="22"/>
                <w:szCs w:val="22"/>
                <w:rtl w:val="0"/>
              </w:rPr>
              <w:t xml:space="preserve">Hughes, K., Bellis, M.A., Hardcastle, K.A., Sethi, D., Butchart, A., Mikton, C., Jones, L. and Dunne, M.P. (2017) ‘The effect of multiple adverse childhood experiences on health: A systematic review and meta-analysis’, </w:t>
            </w:r>
            <w:r w:rsidDel="00000000" w:rsidR="00000000" w:rsidRPr="00000000">
              <w:rPr>
                <w:i w:val="1"/>
                <w:iCs w:val="1"/>
                <w:sz w:val="22"/>
                <w:szCs w:val="22"/>
                <w:rtl w:val="0"/>
              </w:rPr>
              <w:t xml:space="preserve">The Lancet Public Health</w:t>
            </w:r>
            <w:r w:rsidDel="00000000" w:rsidR="00000000" w:rsidRPr="00000000">
              <w:rPr>
                <w:sz w:val="22"/>
                <w:szCs w:val="22"/>
                <w:rtl w:val="0"/>
              </w:rPr>
              <w:t xml:space="preserve">, 2(8), pp. e356–e366 (Accessed: 28 April 2026).</w:t>
            </w:r>
          </w:p>
          <w:p w:rsidR="00000000" w:rsidDel="00000000" w:rsidP="00000000" w:rsidRDefault="00000000" w:rsidRPr="00000000" w14:paraId="00000042">
            <w:pPr>
              <w:spacing w:after="240" w:before="240" w:line="259" w:lineRule="auto"/>
              <w:jc w:val="both"/>
              <w:rPr>
                <w:sz w:val="22"/>
                <w:szCs w:val="22"/>
              </w:rPr>
            </w:pPr>
            <w:r w:rsidDel="00000000" w:rsidR="00000000" w:rsidRPr="00000000">
              <w:rPr>
                <w:sz w:val="22"/>
                <w:szCs w:val="22"/>
                <w:rtl w:val="0"/>
              </w:rPr>
              <w:t xml:space="preserve">Kessler, R.C., McLaughlin, K.A., Green, J.G., Gruber, M.J., Sampson, N.A. and Zaslavsky, A.M. (2010) ‘Childhood adversities and adult psychopathology in the WHO World Mental Health Surveys’, </w:t>
            </w:r>
            <w:r w:rsidDel="00000000" w:rsidR="00000000" w:rsidRPr="00000000">
              <w:rPr>
                <w:i w:val="1"/>
                <w:iCs w:val="1"/>
                <w:sz w:val="22"/>
                <w:szCs w:val="22"/>
                <w:rtl w:val="0"/>
              </w:rPr>
              <w:t xml:space="preserve">British Journal of Psychiatry</w:t>
            </w:r>
            <w:r w:rsidDel="00000000" w:rsidR="00000000" w:rsidRPr="00000000">
              <w:rPr>
                <w:sz w:val="22"/>
                <w:szCs w:val="22"/>
                <w:rtl w:val="0"/>
              </w:rPr>
              <w:t xml:space="preserve">, 197(5), pp. 378–385 (Accessed: 16 April 2026).</w:t>
            </w:r>
          </w:p>
          <w:p w:rsidR="00000000" w:rsidDel="00000000" w:rsidP="00000000" w:rsidRDefault="00000000" w:rsidRPr="00000000" w14:paraId="00000043">
            <w:pPr>
              <w:spacing w:after="240" w:before="240" w:line="259" w:lineRule="auto"/>
              <w:jc w:val="both"/>
              <w:rPr>
                <w:sz w:val="22"/>
                <w:szCs w:val="22"/>
              </w:rPr>
            </w:pPr>
            <w:r w:rsidDel="00000000" w:rsidR="00000000" w:rsidRPr="00000000">
              <w:rPr>
                <w:sz w:val="22"/>
                <w:szCs w:val="22"/>
                <w:rtl w:val="0"/>
              </w:rPr>
              <w:t xml:space="preserve">Lacey, R.E. and Minnis, H. (2020) ‘Practitioner Review: Twenty years of research with adverse childhood experience scores – Advantages, disadvantages and applications to practice’, </w:t>
            </w:r>
            <w:r w:rsidDel="00000000" w:rsidR="00000000" w:rsidRPr="00000000">
              <w:rPr>
                <w:i w:val="1"/>
                <w:iCs w:val="1"/>
                <w:sz w:val="22"/>
                <w:szCs w:val="22"/>
                <w:rtl w:val="0"/>
              </w:rPr>
              <w:t xml:space="preserve">Journal of Child Psychology and Psychiatry</w:t>
            </w:r>
            <w:r w:rsidDel="00000000" w:rsidR="00000000" w:rsidRPr="00000000">
              <w:rPr>
                <w:sz w:val="22"/>
                <w:szCs w:val="22"/>
                <w:rtl w:val="0"/>
              </w:rPr>
              <w:t xml:space="preserve">, 61(2), pp. 116–130. Available at:</w:t>
            </w:r>
            <w:hyperlink r:id="rId11">
              <w:r w:rsidDel="00000000" w:rsidR="00000000" w:rsidRPr="00000000">
                <w:rPr>
                  <w:sz w:val="22"/>
                  <w:szCs w:val="22"/>
                  <w:rtl w:val="0"/>
                </w:rPr>
                <w:t xml:space="preserve"> </w:t>
              </w:r>
            </w:hyperlink>
            <w:hyperlink r:id="rId12">
              <w:r w:rsidDel="00000000" w:rsidR="00000000" w:rsidRPr="00000000">
                <w:rPr>
                  <w:color w:val="1155cc"/>
                  <w:sz w:val="22"/>
                  <w:szCs w:val="22"/>
                  <w:u w:val="single"/>
                  <w:rtl w:val="0"/>
                </w:rPr>
                <w:t xml:space="preserve">https://pubmed.ncbi.nlm.nih.gov/31609471/</w:t>
              </w:r>
            </w:hyperlink>
            <w:r w:rsidDel="00000000" w:rsidR="00000000" w:rsidRPr="00000000">
              <w:rPr>
                <w:sz w:val="22"/>
                <w:szCs w:val="22"/>
                <w:rtl w:val="0"/>
              </w:rPr>
              <w:t xml:space="preserve"> (Accessed: 2 October 2026).</w:t>
            </w:r>
          </w:p>
          <w:p w:rsidR="00000000" w:rsidDel="00000000" w:rsidP="00000000" w:rsidRDefault="00000000" w:rsidRPr="00000000" w14:paraId="00000044">
            <w:pPr>
              <w:spacing w:after="240" w:before="240" w:line="259" w:lineRule="auto"/>
              <w:jc w:val="both"/>
              <w:rPr>
                <w:sz w:val="22"/>
                <w:szCs w:val="22"/>
              </w:rPr>
            </w:pPr>
            <w:r w:rsidDel="00000000" w:rsidR="00000000" w:rsidRPr="00000000">
              <w:rPr>
                <w:sz w:val="22"/>
                <w:szCs w:val="22"/>
                <w:rtl w:val="0"/>
              </w:rPr>
              <w:t xml:space="preserve">Public Health Wales (n.d.) </w:t>
            </w:r>
            <w:r w:rsidDel="00000000" w:rsidR="00000000" w:rsidRPr="00000000">
              <w:rPr>
                <w:i w:val="1"/>
                <w:iCs w:val="1"/>
                <w:sz w:val="22"/>
                <w:szCs w:val="22"/>
                <w:rtl w:val="0"/>
              </w:rPr>
              <w:t xml:space="preserve">Adverse childhood experiences</w:t>
            </w:r>
            <w:r w:rsidDel="00000000" w:rsidR="00000000" w:rsidRPr="00000000">
              <w:rPr>
                <w:sz w:val="22"/>
                <w:szCs w:val="22"/>
                <w:rtl w:val="0"/>
              </w:rPr>
              <w:t xml:space="preserve">. Public Health Wales. Available at:</w:t>
            </w:r>
            <w:hyperlink r:id="rId13">
              <w:r w:rsidDel="00000000" w:rsidR="00000000" w:rsidRPr="00000000">
                <w:rPr>
                  <w:sz w:val="22"/>
                  <w:szCs w:val="22"/>
                  <w:rtl w:val="0"/>
                </w:rPr>
                <w:t xml:space="preserve"> </w:t>
              </w:r>
            </w:hyperlink>
            <w:hyperlink r:id="rId14">
              <w:r w:rsidDel="00000000" w:rsidR="00000000" w:rsidRPr="00000000">
                <w:rPr>
                  <w:color w:val="1155cc"/>
                  <w:sz w:val="22"/>
                  <w:szCs w:val="22"/>
                  <w:u w:val="single"/>
                  <w:rtl w:val="0"/>
                </w:rPr>
                <w:t xml:space="preserve">https://phw.nhs.wales/topic/adverse-childhood-experiences/</w:t>
              </w:r>
            </w:hyperlink>
            <w:r w:rsidDel="00000000" w:rsidR="00000000" w:rsidRPr="00000000">
              <w:rPr>
                <w:sz w:val="22"/>
                <w:szCs w:val="22"/>
                <w:rtl w:val="0"/>
              </w:rPr>
              <w:t xml:space="preserve"> (Accessed: 2 October 2026).</w:t>
            </w:r>
          </w:p>
          <w:p w:rsidR="00000000" w:rsidDel="00000000" w:rsidP="00000000" w:rsidRDefault="00000000" w:rsidRPr="00000000" w14:paraId="00000045">
            <w:pPr>
              <w:spacing w:after="240" w:before="240" w:line="259" w:lineRule="auto"/>
              <w:jc w:val="both"/>
              <w:rPr>
                <w:sz w:val="22"/>
                <w:szCs w:val="22"/>
              </w:rPr>
            </w:pPr>
            <w:r w:rsidDel="00000000" w:rsidR="00000000" w:rsidRPr="00000000">
              <w:rPr>
                <w:sz w:val="22"/>
                <w:szCs w:val="22"/>
                <w:rtl w:val="0"/>
              </w:rPr>
              <w:t xml:space="preserve">Quigg, Z., Bellis, M.A., Butler, N., Wilson, C., Harris, J., Hearne, E. and Millings, M. (2025) ‘Adverse childhood experiences, and violence and criminal justice outcomes in adulthood—the moderating role of protective and compensatory childhood experiences’, </w:t>
            </w:r>
            <w:r w:rsidDel="00000000" w:rsidR="00000000" w:rsidRPr="00000000">
              <w:rPr>
                <w:i w:val="1"/>
                <w:iCs w:val="1"/>
                <w:sz w:val="22"/>
                <w:szCs w:val="22"/>
                <w:rtl w:val="0"/>
              </w:rPr>
              <w:t xml:space="preserve">BMC Medicine</w:t>
            </w:r>
            <w:r w:rsidDel="00000000" w:rsidR="00000000" w:rsidRPr="00000000">
              <w:rPr>
                <w:sz w:val="22"/>
                <w:szCs w:val="22"/>
                <w:rtl w:val="0"/>
              </w:rPr>
              <w:t xml:space="preserve">, 23, 632. Available at:</w:t>
            </w:r>
            <w:hyperlink r:id="rId15">
              <w:r w:rsidDel="00000000" w:rsidR="00000000" w:rsidRPr="00000000">
                <w:rPr>
                  <w:sz w:val="22"/>
                  <w:szCs w:val="22"/>
                  <w:rtl w:val="0"/>
                </w:rPr>
                <w:t xml:space="preserve"> </w:t>
              </w:r>
            </w:hyperlink>
            <w:hyperlink r:id="rId16">
              <w:r w:rsidDel="00000000" w:rsidR="00000000" w:rsidRPr="00000000">
                <w:rPr>
                  <w:color w:val="1155cc"/>
                  <w:sz w:val="22"/>
                  <w:szCs w:val="22"/>
                  <w:u w:val="single"/>
                  <w:rtl w:val="0"/>
                </w:rPr>
                <w:t xml:space="preserve">https://link.springer.com/article/10.1186/s12916-025-04459-3</w:t>
              </w:r>
            </w:hyperlink>
            <w:r w:rsidDel="00000000" w:rsidR="00000000" w:rsidRPr="00000000">
              <w:rPr>
                <w:sz w:val="22"/>
                <w:szCs w:val="22"/>
                <w:rtl w:val="0"/>
              </w:rPr>
              <w:t xml:space="preserve"> (Accessed: 2 October 2026).</w:t>
            </w:r>
          </w:p>
          <w:p w:rsidR="00000000" w:rsidDel="00000000" w:rsidP="00000000" w:rsidRDefault="00000000" w:rsidRPr="00000000" w14:paraId="00000046">
            <w:pPr>
              <w:spacing w:after="240" w:before="240" w:line="259" w:lineRule="auto"/>
              <w:jc w:val="both"/>
              <w:rPr>
                <w:sz w:val="22"/>
                <w:szCs w:val="22"/>
              </w:rPr>
            </w:pPr>
            <w:r w:rsidDel="00000000" w:rsidR="00000000" w:rsidRPr="00000000">
              <w:rPr>
                <w:sz w:val="22"/>
                <w:szCs w:val="22"/>
                <w:rtl w:val="0"/>
              </w:rPr>
              <w:t xml:space="preserve">Roderick, J. (2018) </w:t>
            </w:r>
            <w:r w:rsidDel="00000000" w:rsidR="00000000" w:rsidRPr="00000000">
              <w:rPr>
                <w:i w:val="1"/>
                <w:iCs w:val="1"/>
                <w:sz w:val="22"/>
                <w:szCs w:val="22"/>
                <w:rtl w:val="0"/>
              </w:rPr>
              <w:t xml:space="preserve">Submission from the Early Action Together Programme</w:t>
            </w:r>
            <w:r w:rsidDel="00000000" w:rsidR="00000000" w:rsidRPr="00000000">
              <w:rPr>
                <w:sz w:val="22"/>
                <w:szCs w:val="22"/>
                <w:rtl w:val="0"/>
              </w:rPr>
              <w:t xml:space="preserve">. Cardiff: Early Action Together Programme. Available at:</w:t>
            </w:r>
            <w:hyperlink r:id="rId17">
              <w:r w:rsidDel="00000000" w:rsidR="00000000" w:rsidRPr="00000000">
                <w:rPr>
                  <w:sz w:val="22"/>
                  <w:szCs w:val="22"/>
                  <w:rtl w:val="0"/>
                </w:rPr>
                <w:t xml:space="preserve"> </w:t>
              </w:r>
            </w:hyperlink>
            <w:hyperlink r:id="rId18">
              <w:r w:rsidDel="00000000" w:rsidR="00000000" w:rsidRPr="00000000">
                <w:rPr>
                  <w:color w:val="1155cc"/>
                  <w:sz w:val="22"/>
                  <w:szCs w:val="22"/>
                  <w:u w:val="single"/>
                  <w:rtl w:val="0"/>
                </w:rPr>
                <w:t xml:space="preserve">https://www.gov.wales/sites/default/files/publications/2018-08/Submission-from-the-early-action-together-programme.pdf</w:t>
              </w:r>
            </w:hyperlink>
            <w:r w:rsidDel="00000000" w:rsidR="00000000" w:rsidRPr="00000000">
              <w:rPr>
                <w:sz w:val="22"/>
                <w:szCs w:val="22"/>
                <w:rtl w:val="0"/>
              </w:rPr>
              <w:t xml:space="preserve"> (Accessed: 2 October 2026).</w:t>
            </w:r>
          </w:p>
          <w:p w:rsidR="00000000" w:rsidDel="00000000" w:rsidP="00000000" w:rsidRDefault="00000000" w:rsidRPr="00000000" w14:paraId="00000047">
            <w:pPr>
              <w:spacing w:after="240" w:before="240" w:line="259" w:lineRule="auto"/>
              <w:jc w:val="both"/>
              <w:rPr>
                <w:sz w:val="22"/>
                <w:szCs w:val="22"/>
              </w:rPr>
            </w:pPr>
            <w:r w:rsidDel="00000000" w:rsidR="00000000" w:rsidRPr="00000000">
              <w:rPr>
                <w:sz w:val="22"/>
                <w:szCs w:val="22"/>
                <w:rtl w:val="0"/>
              </w:rPr>
              <w:t xml:space="preserve">Substance Abuse and Mental Health Services Administration (2014) </w:t>
            </w:r>
            <w:r w:rsidDel="00000000" w:rsidR="00000000" w:rsidRPr="00000000">
              <w:rPr>
                <w:i w:val="1"/>
                <w:iCs w:val="1"/>
                <w:sz w:val="22"/>
                <w:szCs w:val="22"/>
                <w:rtl w:val="0"/>
              </w:rPr>
              <w:t xml:space="preserve">SAMHSA’s Concept of Trauma and Guidance for a Trauma-Informed Approach</w:t>
            </w:r>
            <w:r w:rsidDel="00000000" w:rsidR="00000000" w:rsidRPr="00000000">
              <w:rPr>
                <w:sz w:val="22"/>
                <w:szCs w:val="22"/>
                <w:rtl w:val="0"/>
              </w:rPr>
              <w:t xml:space="preserve">. Rockville: SAMHSA (Accessed: 27 April 2026).</w:t>
            </w:r>
          </w:p>
          <w:p w:rsidR="00000000" w:rsidDel="00000000" w:rsidP="00000000" w:rsidRDefault="00000000" w:rsidRPr="00000000" w14:paraId="00000048">
            <w:pPr>
              <w:spacing w:after="240" w:before="240" w:line="259" w:lineRule="auto"/>
              <w:jc w:val="both"/>
              <w:rPr>
                <w:sz w:val="22"/>
                <w:szCs w:val="22"/>
              </w:rPr>
            </w:pPr>
            <w:r w:rsidDel="00000000" w:rsidR="00000000" w:rsidRPr="00000000">
              <w:rPr>
                <w:sz w:val="22"/>
                <w:szCs w:val="22"/>
                <w:rtl w:val="0"/>
              </w:rPr>
              <w:t xml:space="preserve">Trinidad, J.E. (2021) ‘Social consequences and contexts of adverse childhood experiences’, </w:t>
            </w:r>
            <w:r w:rsidDel="00000000" w:rsidR="00000000" w:rsidRPr="00000000">
              <w:rPr>
                <w:i w:val="1"/>
                <w:iCs w:val="1"/>
                <w:sz w:val="22"/>
                <w:szCs w:val="22"/>
                <w:rtl w:val="0"/>
              </w:rPr>
              <w:t xml:space="preserve">Social Science &amp; Medicine</w:t>
            </w:r>
            <w:r w:rsidDel="00000000" w:rsidR="00000000" w:rsidRPr="00000000">
              <w:rPr>
                <w:sz w:val="22"/>
                <w:szCs w:val="22"/>
                <w:rtl w:val="0"/>
              </w:rPr>
              <w:t xml:space="preserve">, 277, 113897. Available at:</w:t>
            </w:r>
            <w:hyperlink r:id="rId19">
              <w:r w:rsidDel="00000000" w:rsidR="00000000" w:rsidRPr="00000000">
                <w:rPr>
                  <w:sz w:val="22"/>
                  <w:szCs w:val="22"/>
                  <w:rtl w:val="0"/>
                </w:rPr>
                <w:t xml:space="preserve"> </w:t>
              </w:r>
            </w:hyperlink>
            <w:hyperlink r:id="rId20">
              <w:r w:rsidDel="00000000" w:rsidR="00000000" w:rsidRPr="00000000">
                <w:rPr>
                  <w:color w:val="1155cc"/>
                  <w:sz w:val="22"/>
                  <w:szCs w:val="22"/>
                  <w:u w:val="single"/>
                  <w:rtl w:val="0"/>
                </w:rPr>
                <w:t xml:space="preserve">https://pubmed.ncbi.nlm.nih.gov/33848719/</w:t>
              </w:r>
            </w:hyperlink>
            <w:r w:rsidDel="00000000" w:rsidR="00000000" w:rsidRPr="00000000">
              <w:rPr>
                <w:sz w:val="22"/>
                <w:szCs w:val="22"/>
                <w:rtl w:val="0"/>
              </w:rPr>
              <w:t xml:space="preserve"> (Accessed: 2 October 2026).</w:t>
            </w:r>
          </w:p>
          <w:p w:rsidR="00000000" w:rsidDel="00000000" w:rsidP="00000000" w:rsidRDefault="00000000" w:rsidRPr="00000000" w14:paraId="00000049">
            <w:pPr>
              <w:spacing w:after="240" w:before="240" w:line="259" w:lineRule="auto"/>
              <w:jc w:val="both"/>
              <w:rPr>
                <w:sz w:val="22"/>
                <w:szCs w:val="22"/>
              </w:rPr>
            </w:pPr>
            <w:r w:rsidDel="00000000" w:rsidR="00000000" w:rsidRPr="00000000">
              <w:rPr>
                <w:sz w:val="22"/>
                <w:szCs w:val="22"/>
                <w:rtl w:val="0"/>
              </w:rPr>
              <w:t xml:space="preserve">Welsh Government (2021) </w:t>
            </w:r>
            <w:r w:rsidDel="00000000" w:rsidR="00000000" w:rsidRPr="00000000">
              <w:rPr>
                <w:i w:val="1"/>
                <w:iCs w:val="1"/>
                <w:sz w:val="22"/>
                <w:szCs w:val="22"/>
                <w:rtl w:val="0"/>
              </w:rPr>
              <w:t xml:space="preserve">Review of Adverse Childhood Experiences (ACE) policy: report</w:t>
            </w:r>
            <w:r w:rsidDel="00000000" w:rsidR="00000000" w:rsidRPr="00000000">
              <w:rPr>
                <w:sz w:val="22"/>
                <w:szCs w:val="22"/>
                <w:rtl w:val="0"/>
              </w:rPr>
              <w:t xml:space="preserve">. Cardiff: Welsh Government. Available at:</w:t>
            </w:r>
            <w:hyperlink r:id="rId21">
              <w:r w:rsidDel="00000000" w:rsidR="00000000" w:rsidRPr="00000000">
                <w:rPr>
                  <w:sz w:val="22"/>
                  <w:szCs w:val="22"/>
                  <w:rtl w:val="0"/>
                </w:rPr>
                <w:t xml:space="preserve"> </w:t>
              </w:r>
            </w:hyperlink>
            <w:hyperlink r:id="rId22">
              <w:r w:rsidDel="00000000" w:rsidR="00000000" w:rsidRPr="00000000">
                <w:rPr>
                  <w:color w:val="1155cc"/>
                  <w:sz w:val="22"/>
                  <w:szCs w:val="22"/>
                  <w:u w:val="single"/>
                  <w:rtl w:val="0"/>
                </w:rPr>
                <w:t xml:space="preserve">https://www.gov.wales/review-adverse-childhood-experiences-ace-policy-report-html</w:t>
              </w:r>
            </w:hyperlink>
            <w:r w:rsidDel="00000000" w:rsidR="00000000" w:rsidRPr="00000000">
              <w:rPr>
                <w:sz w:val="22"/>
                <w:szCs w:val="22"/>
                <w:rtl w:val="0"/>
              </w:rPr>
              <w:t xml:space="preserve"> (Accessed: 2 October 2026).</w:t>
            </w:r>
          </w:p>
          <w:p w:rsidR="00000000" w:rsidDel="00000000" w:rsidP="00000000" w:rsidRDefault="00000000" w:rsidRPr="00000000" w14:paraId="0000004A">
            <w:pPr>
              <w:spacing w:after="240" w:before="240" w:line="259" w:lineRule="auto"/>
              <w:jc w:val="both"/>
              <w:rPr>
                <w:sz w:val="22"/>
                <w:szCs w:val="22"/>
              </w:rPr>
            </w:pPr>
            <w:r w:rsidDel="00000000" w:rsidR="00000000" w:rsidRPr="00000000">
              <w:rPr>
                <w:sz w:val="22"/>
                <w:szCs w:val="22"/>
                <w:rtl w:val="0"/>
              </w:rPr>
              <w:t xml:space="preserve">Welsh Government (2025) </w:t>
            </w:r>
            <w:r w:rsidDel="00000000" w:rsidR="00000000" w:rsidRPr="00000000">
              <w:rPr>
                <w:i w:val="1"/>
                <w:iCs w:val="1"/>
                <w:sz w:val="22"/>
                <w:szCs w:val="22"/>
                <w:rtl w:val="0"/>
              </w:rPr>
              <w:t xml:space="preserve">Supporting youth justice services to prevent offending: prevention framework</w:t>
            </w:r>
            <w:r w:rsidDel="00000000" w:rsidR="00000000" w:rsidRPr="00000000">
              <w:rPr>
                <w:sz w:val="22"/>
                <w:szCs w:val="22"/>
                <w:rtl w:val="0"/>
              </w:rPr>
              <w:t xml:space="preserve">. Cardiff: Welsh Government. Available at:</w:t>
            </w:r>
            <w:hyperlink r:id="rId23">
              <w:r w:rsidDel="00000000" w:rsidR="00000000" w:rsidRPr="00000000">
                <w:rPr>
                  <w:sz w:val="22"/>
                  <w:szCs w:val="22"/>
                  <w:rtl w:val="0"/>
                </w:rPr>
                <w:t xml:space="preserve"> </w:t>
              </w:r>
            </w:hyperlink>
            <w:hyperlink r:id="rId24">
              <w:r w:rsidDel="00000000" w:rsidR="00000000" w:rsidRPr="00000000">
                <w:rPr>
                  <w:color w:val="1155cc"/>
                  <w:sz w:val="22"/>
                  <w:szCs w:val="22"/>
                  <w:u w:val="single"/>
                  <w:rtl w:val="0"/>
                </w:rPr>
                <w:t xml:space="preserve">https://www.gov.wales/supporting-youth-justice-services-prevent-offending-prevention-framework-html</w:t>
              </w:r>
            </w:hyperlink>
            <w:r w:rsidDel="00000000" w:rsidR="00000000" w:rsidRPr="00000000">
              <w:rPr>
                <w:sz w:val="22"/>
                <w:szCs w:val="22"/>
                <w:rtl w:val="0"/>
              </w:rPr>
              <w:t xml:space="preserve"> (Accessed: 2 October 2026).</w:t>
            </w:r>
          </w:p>
          <w:p w:rsidR="00000000" w:rsidDel="00000000" w:rsidP="00000000" w:rsidRDefault="00000000" w:rsidRPr="00000000" w14:paraId="0000004B">
            <w:pPr>
              <w:spacing w:after="240" w:before="240" w:line="259" w:lineRule="auto"/>
              <w:jc w:val="both"/>
              <w:rPr>
                <w:sz w:val="22"/>
                <w:szCs w:val="22"/>
              </w:rPr>
            </w:pPr>
            <w:r w:rsidDel="00000000" w:rsidR="00000000" w:rsidRPr="00000000">
              <w:rPr>
                <w:rtl w:val="0"/>
              </w:rPr>
            </w:r>
          </w:p>
          <w:p w:rsidR="00000000" w:rsidDel="00000000" w:rsidP="00000000" w:rsidRDefault="00000000" w:rsidRPr="00000000" w14:paraId="0000004C">
            <w:pPr>
              <w:jc w:val="both"/>
              <w:rPr>
                <w:i w:val="1"/>
                <w:iCs w:val="1"/>
                <w:sz w:val="22"/>
                <w:szCs w:val="22"/>
              </w:rPr>
            </w:pPr>
            <w:r w:rsidDel="00000000" w:rsidR="00000000" w:rsidRPr="00000000">
              <w:rPr>
                <w:rtl w:val="0"/>
              </w:rPr>
            </w:r>
          </w:p>
          <w:p w:rsidR="00000000" w:rsidDel="00000000" w:rsidP="00000000" w:rsidRDefault="00000000" w:rsidRPr="00000000" w14:paraId="0000004D">
            <w:pPr>
              <w:jc w:val="both"/>
              <w:rPr>
                <w:sz w:val="22"/>
                <w:szCs w:val="22"/>
              </w:rPr>
            </w:pPr>
            <w:r w:rsidDel="00000000" w:rsidR="00000000" w:rsidRPr="00000000">
              <w:rPr>
                <w:rtl w:val="0"/>
              </w:rPr>
            </w:r>
          </w:p>
        </w:tc>
      </w:tr>
    </w:tbl>
    <w:p w:rsidR="00000000" w:rsidDel="00000000" w:rsidP="00000000" w:rsidRDefault="00000000" w:rsidRPr="00000000" w14:paraId="0000004F">
      <w:pPr>
        <w:jc w:val="both"/>
        <w:rPr>
          <w:b w:val="1"/>
          <w:bCs w:val="1"/>
          <w:sz w:val="22"/>
          <w:szCs w:val="22"/>
        </w:rPr>
      </w:pPr>
      <w:r w:rsidDel="00000000" w:rsidR="00000000" w:rsidRPr="00000000">
        <w:rPr>
          <w:rtl w:val="0"/>
        </w:rPr>
      </w:r>
    </w:p>
    <w:sectPr>
      <w:footerReference r:id="rId25" w:type="firs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819"/>
        <w:tab w:val="right" w:leader="none" w:pos="9071"/>
      </w:tabs>
      <w:spacing w:after="0" w:before="0" w:line="240" w:lineRule="auto"/>
      <w:ind w:left="0" w:right="0" w:firstLine="0"/>
      <w:jc w:val="center"/>
      <w:rPr>
        <w:rFonts w:ascii="Arial" w:cs="Arial" w:eastAsia="Arial" w:hAnsi="Arial"/>
        <w:b w:val="0"/>
        <w:bCs w:val="0"/>
        <w:i w:val="0"/>
        <w:iCs w:val="0"/>
        <w:smallCaps w:val="0"/>
        <w:strike w:val="0"/>
        <w:color w:val="000000"/>
        <w:sz w:val="10"/>
        <w:szCs w:val="1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10"/>
        <w:szCs w:val="10"/>
        <w:u w:val="none"/>
        <w:shd w:fill="auto" w:val="clear"/>
        <w:vertAlign w:val="baseline"/>
        <w:rtl w:val="0"/>
      </w:rPr>
      <w:tab/>
      <w:tab/>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spacing w:after="60" w:before="240" w:lineRule="auto"/>
    </w:pPr>
    <w:rPr>
      <w:b w:val="1"/>
      <w:bCs w:val="1"/>
      <w:sz w:val="32"/>
      <w:szCs w:val="32"/>
    </w:rPr>
  </w:style>
  <w:style w:type="paragraph" w:styleId="Heading2">
    <w:name w:val="heading 2"/>
    <w:basedOn w:val="Normal"/>
    <w:next w:val="Normal"/>
    <w:pPr>
      <w:keepNext w:val="1"/>
      <w:spacing w:after="60" w:before="240" w:lineRule="auto"/>
    </w:pPr>
    <w:rPr>
      <w:b w:val="1"/>
      <w:bCs w:val="1"/>
      <w:sz w:val="28"/>
      <w:szCs w:val="28"/>
    </w:rPr>
  </w:style>
  <w:style w:type="paragraph" w:styleId="Heading3">
    <w:name w:val="heading 3"/>
    <w:basedOn w:val="Normal"/>
    <w:next w:val="Normal"/>
    <w:pPr>
      <w:keepNext w:val="1"/>
      <w:keepLines w:val="1"/>
      <w:spacing w:before="200" w:lineRule="auto"/>
    </w:pPr>
    <w:rPr>
      <w:rFonts w:ascii="Cambria" w:cs="Cambria" w:eastAsia="Cambria" w:hAnsi="Cambria"/>
      <w:b w:val="1"/>
      <w:bCs w:val="1"/>
      <w:color w:val="4f81bd"/>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630" w:right="-616"/>
    </w:pPr>
    <w:rPr>
      <w:b w:val="1"/>
      <w:bCs w:val="1"/>
      <w:i w:val="1"/>
      <w:iCs w:val="1"/>
      <w:sz w:val="28"/>
      <w:szCs w:val="28"/>
      <w:u w:val="single"/>
    </w:rPr>
  </w:style>
  <w:style w:type="paragraph" w:styleId="Heading6">
    <w:name w:val="heading 6"/>
    <w:basedOn w:val="Normal"/>
    <w:next w:val="Normal"/>
    <w:pPr>
      <w:spacing w:after="60" w:before="240" w:lineRule="auto"/>
    </w:pPr>
    <w:rPr>
      <w:b w:val="1"/>
      <w:bCs w:val="1"/>
      <w:sz w:val="22"/>
      <w:szCs w:val="22"/>
    </w:rPr>
  </w:style>
  <w:style w:type="paragraph" w:styleId="Title">
    <w:name w:val="Title"/>
    <w:basedOn w:val="Normal"/>
    <w:next w:val="Normal"/>
    <w:pPr>
      <w:jc w:val="center"/>
    </w:pPr>
    <w:rPr>
      <w:b w:val="1"/>
      <w:bCs w:val="1"/>
    </w:rPr>
  </w:style>
  <w:style w:type="paragraph" w:styleId="Heading7">
    <w:name w:val="heading 7"/>
    <w:aliases w:val="Sub heading"/>
    <w:basedOn w:val="Normal"/>
    <w:next w:val="Normal"/>
    <w:link w:val="Heading7Char"/>
    <w:uiPriority w:val="99"/>
    <w:qFormat w:val="1"/>
    <w:rsid w:val="00940A08"/>
    <w:pPr>
      <w:numPr>
        <w:ilvl w:val="1"/>
        <w:numId w:val="10"/>
      </w:numPr>
      <w:spacing w:before="240"/>
      <w:outlineLvl w:val="6"/>
    </w:pPr>
    <w:rPr>
      <w:rFonts w:cs="Arial"/>
      <w:b w:val="1"/>
      <w:bCs w:val="1"/>
      <w:sz w:val="22"/>
      <w:szCs w:val="22"/>
      <w:lang w:eastAsia="en-GB"/>
    </w:rPr>
  </w:style>
  <w:style w:type="paragraph" w:styleId="Heading8">
    <w:name w:val="heading 8"/>
    <w:basedOn w:val="Normal"/>
    <w:next w:val="Normal"/>
    <w:link w:val="Heading8Char"/>
    <w:uiPriority w:val="9"/>
    <w:qFormat w:val="1"/>
    <w:rsid w:val="00A01FCE"/>
    <w:pPr>
      <w:keepNext w:val="1"/>
      <w:jc w:val="center"/>
      <w:outlineLvl w:val="7"/>
    </w:pPr>
    <w:rPr>
      <w:b w:val="1"/>
      <w:sz w:val="4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8E4A17"/>
    <w:rPr>
      <w:rFonts w:ascii="Cambria" w:cs="Times New Roman" w:eastAsia="Times New Roman" w:hAnsi="Cambria"/>
      <w:b w:val="1"/>
      <w:bCs w:val="1"/>
      <w:kern w:val="32"/>
      <w:sz w:val="32"/>
      <w:szCs w:val="32"/>
      <w:lang w:eastAsia="en-US"/>
    </w:rPr>
  </w:style>
  <w:style w:type="character" w:styleId="Heading2Char" w:customStyle="1">
    <w:name w:val="Heading 2 Char"/>
    <w:link w:val="Heading2"/>
    <w:uiPriority w:val="9"/>
    <w:rsid w:val="00680B0E"/>
    <w:rPr>
      <w:rFonts w:ascii="Arial" w:cs="Arial" w:hAnsi="Arial"/>
      <w:b w:val="1"/>
      <w:bCs w:val="1"/>
      <w:iCs w:val="1"/>
      <w:sz w:val="28"/>
      <w:szCs w:val="28"/>
      <w:lang w:eastAsia="en-US"/>
    </w:rPr>
  </w:style>
  <w:style w:type="character" w:styleId="Heading4Char" w:customStyle="1">
    <w:name w:val="Heading 4 Char"/>
    <w:link w:val="Heading4"/>
    <w:uiPriority w:val="99"/>
    <w:semiHidden w:val="1"/>
    <w:rsid w:val="008E4A17"/>
    <w:rPr>
      <w:rFonts w:ascii="Calibri" w:cs="Times New Roman" w:eastAsia="Times New Roman" w:hAnsi="Calibri"/>
      <w:b w:val="1"/>
      <w:bCs w:val="1"/>
      <w:sz w:val="28"/>
      <w:szCs w:val="28"/>
      <w:lang w:eastAsia="en-US"/>
    </w:rPr>
  </w:style>
  <w:style w:type="character" w:styleId="Heading5Char" w:customStyle="1">
    <w:name w:val="Heading 5 Char"/>
    <w:link w:val="Heading5"/>
    <w:uiPriority w:val="9"/>
    <w:semiHidden w:val="1"/>
    <w:rsid w:val="008E4A17"/>
    <w:rPr>
      <w:rFonts w:ascii="Calibri" w:cs="Times New Roman" w:eastAsia="Times New Roman" w:hAnsi="Calibri"/>
      <w:b w:val="1"/>
      <w:bCs w:val="1"/>
      <w:i w:val="1"/>
      <w:iCs w:val="1"/>
      <w:sz w:val="26"/>
      <w:szCs w:val="26"/>
      <w:lang w:eastAsia="en-US"/>
    </w:rPr>
  </w:style>
  <w:style w:type="character" w:styleId="Heading6Char" w:customStyle="1">
    <w:name w:val="Heading 6 Char"/>
    <w:link w:val="Heading6"/>
    <w:uiPriority w:val="9"/>
    <w:semiHidden w:val="1"/>
    <w:rsid w:val="008E4A17"/>
    <w:rPr>
      <w:rFonts w:ascii="Calibri" w:cs="Times New Roman" w:eastAsia="Times New Roman" w:hAnsi="Calibri"/>
      <w:b w:val="1"/>
      <w:bCs w:val="1"/>
      <w:sz w:val="22"/>
      <w:szCs w:val="22"/>
      <w:lang w:eastAsia="en-US"/>
    </w:rPr>
  </w:style>
  <w:style w:type="character" w:styleId="Heading8Char" w:customStyle="1">
    <w:name w:val="Heading 8 Char"/>
    <w:link w:val="Heading8"/>
    <w:uiPriority w:val="9"/>
    <w:semiHidden w:val="1"/>
    <w:rsid w:val="008E4A17"/>
    <w:rPr>
      <w:rFonts w:ascii="Calibri" w:cs="Times New Roman" w:eastAsia="Times New Roman" w:hAnsi="Calibri"/>
      <w:i w:val="1"/>
      <w:iCs w:val="1"/>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styleId="FooterChar" w:customStyle="1">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styleId="HeaderChar" w:customStyle="1">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styleId="BodyTextChar" w:customStyle="1">
    <w:name w:val="Body Text Char"/>
    <w:link w:val="BodyText"/>
    <w:uiPriority w:val="99"/>
    <w:rsid w:val="008E4A17"/>
    <w:rPr>
      <w:sz w:val="24"/>
      <w:lang w:eastAsia="en-US"/>
    </w:rPr>
  </w:style>
  <w:style w:type="paragraph" w:styleId="t3" w:customStyle="1">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styleId="BodyText2Char" w:customStyle="1">
    <w:name w:val="Body Text 2 Char"/>
    <w:link w:val="BodyText2"/>
    <w:uiPriority w:val="99"/>
    <w:semiHidden w:val="1"/>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odyText3">
    <w:name w:val="Body Text 3"/>
    <w:basedOn w:val="Normal"/>
    <w:link w:val="BodyText3Char"/>
    <w:uiPriority w:val="99"/>
    <w:rsid w:val="00E939AC"/>
    <w:pPr>
      <w:spacing w:after="120"/>
    </w:pPr>
    <w:rPr>
      <w:sz w:val="16"/>
      <w:szCs w:val="16"/>
    </w:rPr>
  </w:style>
  <w:style w:type="character" w:styleId="BodyText3Char" w:customStyle="1">
    <w:name w:val="Body Text 3 Char"/>
    <w:link w:val="BodyText3"/>
    <w:uiPriority w:val="99"/>
    <w:semiHidden w:val="1"/>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styleId="BodyTextIndent2Char" w:customStyle="1">
    <w:name w:val="Body Text Indent 2 Char"/>
    <w:link w:val="BodyTextIndent2"/>
    <w:uiPriority w:val="99"/>
    <w:semiHidden w:val="1"/>
    <w:rsid w:val="008E4A17"/>
    <w:rPr>
      <w:sz w:val="24"/>
      <w:lang w:eastAsia="en-US"/>
    </w:rPr>
  </w:style>
  <w:style w:type="paragraph" w:styleId="Default" w:customStyle="1">
    <w:name w:val="Default"/>
    <w:rsid w:val="00EE32BC"/>
    <w:pPr>
      <w:widowControl w:val="0"/>
      <w:autoSpaceDE w:val="0"/>
      <w:autoSpaceDN w:val="0"/>
      <w:adjustRightInd w:val="0"/>
    </w:pPr>
    <w:rPr>
      <w:color w:val="000000"/>
      <w:sz w:val="24"/>
      <w:szCs w:val="24"/>
      <w:lang w:eastAsia="en-US" w:val="en-US"/>
    </w:rPr>
  </w:style>
  <w:style w:type="paragraph" w:styleId="NormalWeb">
    <w:name w:val="Normal (Web)"/>
    <w:basedOn w:val="Default"/>
    <w:next w:val="Default"/>
    <w:uiPriority w:val="99"/>
    <w:rsid w:val="00AF05ED"/>
    <w:pPr>
      <w:spacing w:after="100" w:before="100"/>
    </w:pPr>
    <w:rPr>
      <w:color w:val="auto"/>
    </w:rPr>
  </w:style>
  <w:style w:type="paragraph" w:styleId="BodyTextIndent">
    <w:name w:val="Body Text Indent"/>
    <w:basedOn w:val="Normal"/>
    <w:link w:val="BodyTextIndentChar"/>
    <w:uiPriority w:val="99"/>
    <w:unhideWhenUsed w:val="1"/>
    <w:rsid w:val="006F69A1"/>
    <w:pPr>
      <w:widowControl w:val="0"/>
      <w:autoSpaceDE w:val="0"/>
      <w:autoSpaceDN w:val="0"/>
      <w:adjustRightInd w:val="0"/>
      <w:spacing w:after="120"/>
      <w:ind w:left="283"/>
    </w:pPr>
    <w:rPr>
      <w:szCs w:val="24"/>
    </w:rPr>
  </w:style>
  <w:style w:type="character" w:styleId="BodyTextIndentChar" w:customStyle="1">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cs="Tahoma" w:hAnsi="Tahoma"/>
      <w:sz w:val="16"/>
      <w:szCs w:val="16"/>
    </w:rPr>
  </w:style>
  <w:style w:type="character" w:styleId="BalloonTextChar" w:customStyle="1">
    <w:name w:val="Balloon Text Char"/>
    <w:link w:val="BalloonText"/>
    <w:uiPriority w:val="99"/>
    <w:rsid w:val="006221DF"/>
    <w:rPr>
      <w:rFonts w:ascii="Tahoma" w:cs="Tahoma" w:hAnsi="Tahoma"/>
      <w:sz w:val="16"/>
      <w:szCs w:val="16"/>
      <w:lang w:eastAsia="en-US"/>
    </w:rPr>
  </w:style>
  <w:style w:type="paragraph" w:styleId="ListParagraph">
    <w:name w:val="List Paragraph"/>
    <w:basedOn w:val="Normal"/>
    <w:link w:val="ListParagraphChar"/>
    <w:uiPriority w:val="34"/>
    <w:qFormat w:val="1"/>
    <w:rsid w:val="00680B0E"/>
    <w:pPr>
      <w:ind w:left="720"/>
      <w:contextualSpacing w:val="1"/>
    </w:pPr>
  </w:style>
  <w:style w:type="paragraph" w:styleId="TOC1">
    <w:name w:val="toc 1"/>
    <w:basedOn w:val="Normal"/>
    <w:next w:val="Normal"/>
    <w:autoRedefine w:val="1"/>
    <w:uiPriority w:val="39"/>
    <w:rsid w:val="003B45E8"/>
    <w:pPr>
      <w:spacing w:after="120" w:before="120"/>
    </w:pPr>
    <w:rPr>
      <w:rFonts w:ascii="Calibri" w:hAnsi="Calibri"/>
      <w:b w:val="1"/>
      <w:bCs w:val="1"/>
      <w:caps w:val="1"/>
      <w:sz w:val="20"/>
    </w:rPr>
  </w:style>
  <w:style w:type="paragraph" w:styleId="TOC2">
    <w:name w:val="toc 2"/>
    <w:basedOn w:val="Normal"/>
    <w:next w:val="Normal"/>
    <w:autoRedefine w:val="1"/>
    <w:uiPriority w:val="39"/>
    <w:rsid w:val="003B45E8"/>
    <w:pPr>
      <w:ind w:left="240"/>
    </w:pPr>
    <w:rPr>
      <w:rFonts w:ascii="Calibri" w:hAnsi="Calibri"/>
      <w:smallCaps w:val="1"/>
      <w:sz w:val="20"/>
    </w:rPr>
  </w:style>
  <w:style w:type="paragraph" w:styleId="TOC3">
    <w:name w:val="toc 3"/>
    <w:basedOn w:val="Normal"/>
    <w:next w:val="Normal"/>
    <w:autoRedefine w:val="1"/>
    <w:uiPriority w:val="39"/>
    <w:rsid w:val="003B45E8"/>
    <w:pPr>
      <w:ind w:left="480"/>
    </w:pPr>
    <w:rPr>
      <w:rFonts w:ascii="Calibri" w:hAnsi="Calibri"/>
      <w:i w:val="1"/>
      <w:iCs w:val="1"/>
      <w:sz w:val="20"/>
    </w:rPr>
  </w:style>
  <w:style w:type="paragraph" w:styleId="TOC4">
    <w:name w:val="toc 4"/>
    <w:basedOn w:val="Normal"/>
    <w:next w:val="Normal"/>
    <w:autoRedefine w:val="1"/>
    <w:uiPriority w:val="39"/>
    <w:rsid w:val="003B45E8"/>
    <w:pPr>
      <w:ind w:left="720"/>
    </w:pPr>
    <w:rPr>
      <w:rFonts w:ascii="Calibri" w:hAnsi="Calibri"/>
      <w:sz w:val="18"/>
      <w:szCs w:val="18"/>
    </w:rPr>
  </w:style>
  <w:style w:type="paragraph" w:styleId="TOC5">
    <w:name w:val="toc 5"/>
    <w:basedOn w:val="Normal"/>
    <w:next w:val="Normal"/>
    <w:autoRedefine w:val="1"/>
    <w:uiPriority w:val="39"/>
    <w:rsid w:val="003B45E8"/>
    <w:pPr>
      <w:ind w:left="960"/>
    </w:pPr>
    <w:rPr>
      <w:rFonts w:ascii="Calibri" w:hAnsi="Calibri"/>
      <w:sz w:val="18"/>
      <w:szCs w:val="18"/>
    </w:rPr>
  </w:style>
  <w:style w:type="paragraph" w:styleId="TOC6">
    <w:name w:val="toc 6"/>
    <w:basedOn w:val="Normal"/>
    <w:next w:val="Normal"/>
    <w:autoRedefine w:val="1"/>
    <w:uiPriority w:val="39"/>
    <w:rsid w:val="003B45E8"/>
    <w:pPr>
      <w:ind w:left="1200"/>
    </w:pPr>
    <w:rPr>
      <w:rFonts w:ascii="Calibri" w:hAnsi="Calibri"/>
      <w:sz w:val="18"/>
      <w:szCs w:val="18"/>
    </w:rPr>
  </w:style>
  <w:style w:type="paragraph" w:styleId="TOC7">
    <w:name w:val="toc 7"/>
    <w:basedOn w:val="Normal"/>
    <w:next w:val="Normal"/>
    <w:autoRedefine w:val="1"/>
    <w:uiPriority w:val="39"/>
    <w:rsid w:val="003B45E8"/>
    <w:pPr>
      <w:ind w:left="1440"/>
    </w:pPr>
    <w:rPr>
      <w:rFonts w:ascii="Calibri" w:hAnsi="Calibri"/>
      <w:sz w:val="18"/>
      <w:szCs w:val="18"/>
    </w:rPr>
  </w:style>
  <w:style w:type="paragraph" w:styleId="TOC8">
    <w:name w:val="toc 8"/>
    <w:basedOn w:val="Normal"/>
    <w:next w:val="Normal"/>
    <w:autoRedefine w:val="1"/>
    <w:uiPriority w:val="39"/>
    <w:rsid w:val="003B45E8"/>
    <w:pPr>
      <w:ind w:left="1680"/>
    </w:pPr>
    <w:rPr>
      <w:rFonts w:ascii="Calibri" w:hAnsi="Calibri"/>
      <w:sz w:val="18"/>
      <w:szCs w:val="18"/>
    </w:rPr>
  </w:style>
  <w:style w:type="paragraph" w:styleId="TOC9">
    <w:name w:val="toc 9"/>
    <w:basedOn w:val="Normal"/>
    <w:next w:val="Normal"/>
    <w:autoRedefine w:val="1"/>
    <w:uiPriority w:val="39"/>
    <w:rsid w:val="003B45E8"/>
    <w:pPr>
      <w:ind w:left="1920"/>
    </w:pPr>
    <w:rPr>
      <w:rFonts w:ascii="Calibri" w:hAnsi="Calibri"/>
      <w:sz w:val="18"/>
      <w:szCs w:val="18"/>
    </w:rPr>
  </w:style>
  <w:style w:type="paragraph" w:styleId="SMUNORMALARIAL" w:customStyle="1">
    <w:name w:val="SMU NORMAL ARIAL"/>
    <w:basedOn w:val="Normal"/>
    <w:rsid w:val="00BF2A01"/>
    <w:rPr>
      <w:sz w:val="22"/>
      <w:szCs w:val="24"/>
      <w:lang w:eastAsia="en-GB"/>
    </w:rPr>
  </w:style>
  <w:style w:type="paragraph" w:styleId="SMUARIAL14BOLD" w:customStyle="1">
    <w:name w:val="SMU ARIAL 14 BOLD"/>
    <w:rsid w:val="00BF2A01"/>
    <w:pPr>
      <w:spacing w:before="240"/>
    </w:pPr>
    <w:rPr>
      <w:rFonts w:ascii="Arial" w:cs="Arial" w:hAnsi="Arial"/>
      <w:b w:val="1"/>
      <w:bCs w:val="1"/>
      <w:caps w:val="1"/>
      <w:kern w:val="32"/>
      <w:sz w:val="28"/>
      <w:szCs w:val="32"/>
    </w:rPr>
  </w:style>
  <w:style w:type="character" w:styleId="Heading3Char" w:customStyle="1">
    <w:name w:val="Heading 3 Char"/>
    <w:link w:val="Heading3"/>
    <w:semiHidden w:val="1"/>
    <w:rsid w:val="008B2529"/>
    <w:rPr>
      <w:rFonts w:ascii="Cambria" w:cs="Times New Roman" w:eastAsia="Times New Roman" w:hAnsi="Cambria"/>
      <w:b w:val="1"/>
      <w:bCs w:val="1"/>
      <w:color w:val="4f81bd"/>
      <w:sz w:val="24"/>
      <w:lang w:eastAsia="en-US"/>
    </w:rPr>
  </w:style>
  <w:style w:type="character" w:styleId="Strong">
    <w:name w:val="Strong"/>
    <w:uiPriority w:val="22"/>
    <w:qFormat w:val="1"/>
    <w:rsid w:val="008B2529"/>
    <w:rPr>
      <w:b w:val="1"/>
      <w:bCs w:val="1"/>
    </w:rPr>
  </w:style>
  <w:style w:type="character" w:styleId="TitleChar" w:customStyle="1">
    <w:name w:val="Title Char"/>
    <w:link w:val="Title"/>
    <w:uiPriority w:val="99"/>
    <w:rsid w:val="008B2529"/>
    <w:rPr>
      <w:b w:val="1"/>
      <w:bCs w:val="1"/>
      <w:sz w:val="24"/>
      <w:lang w:eastAsia="en-US" w:val="en-US"/>
    </w:rPr>
  </w:style>
  <w:style w:type="paragraph" w:styleId="BodyText1" w:customStyle="1">
    <w:name w:val="Body Text1"/>
    <w:basedOn w:val="Normal"/>
    <w:rsid w:val="000971B7"/>
    <w:pPr>
      <w:tabs>
        <w:tab w:val="left" w:pos="720"/>
        <w:tab w:val="left" w:pos="1440"/>
      </w:tabs>
    </w:pPr>
    <w:rPr>
      <w:rFonts w:ascii="CG Times (WN)" w:hAnsi="CG Times (WN)"/>
    </w:rPr>
  </w:style>
  <w:style w:type="character" w:styleId="Emphasis">
    <w:name w:val="Emphasis"/>
    <w:qFormat w:val="1"/>
    <w:rsid w:val="00212E76"/>
    <w:rPr>
      <w:i w:val="1"/>
      <w:iCs w:val="1"/>
    </w:rPr>
  </w:style>
  <w:style w:type="character" w:styleId="apple-style-span" w:customStyle="1">
    <w:name w:val="apple-style-span"/>
    <w:rsid w:val="00557E08"/>
  </w:style>
  <w:style w:type="paragraph" w:styleId="NormalWeb1" w:customStyle="1">
    <w:name w:val="Normal (Web)1"/>
    <w:basedOn w:val="Normal"/>
    <w:uiPriority w:val="99"/>
    <w:rsid w:val="00557E08"/>
    <w:rPr>
      <w:rFonts w:eastAsia="Calibri"/>
      <w:szCs w:val="24"/>
      <w:lang w:eastAsia="en-GB"/>
    </w:rPr>
  </w:style>
  <w:style w:type="character" w:styleId="nw1" w:customStyle="1">
    <w:name w:val="nw1"/>
    <w:uiPriority w:val="99"/>
    <w:rsid w:val="00557E08"/>
  </w:style>
  <w:style w:type="character" w:styleId="hps" w:customStyle="1">
    <w:name w:val="hps"/>
    <w:rsid w:val="00557E08"/>
  </w:style>
  <w:style w:type="character" w:styleId="FollowedHyperlink">
    <w:name w:val="FollowedHyperlink"/>
    <w:uiPriority w:val="99"/>
    <w:rsid w:val="00037D7A"/>
    <w:rPr>
      <w:color w:val="800080"/>
      <w:u w:val="single"/>
    </w:rPr>
  </w:style>
  <w:style w:type="paragraph" w:styleId="heading" w:customStyle="1">
    <w:name w:val="heading"/>
    <w:basedOn w:val="Normal"/>
    <w:link w:val="headingChar"/>
    <w:rsid w:val="006C5084"/>
    <w:pPr>
      <w:tabs>
        <w:tab w:val="left" w:pos="720"/>
        <w:tab w:val="left" w:pos="1440"/>
        <w:tab w:val="left" w:pos="2160"/>
        <w:tab w:val="left" w:pos="2880"/>
      </w:tabs>
      <w:overflowPunct w:val="0"/>
      <w:autoSpaceDE w:val="0"/>
      <w:autoSpaceDN w:val="0"/>
      <w:adjustRightInd w:val="0"/>
      <w:spacing w:after="120" w:before="240"/>
      <w:ind w:left="3600" w:hanging="3600"/>
      <w:textAlignment w:val="baseline"/>
    </w:pPr>
    <w:rPr>
      <w:b w:val="1"/>
      <w:lang w:eastAsia="en-GB"/>
    </w:rPr>
  </w:style>
  <w:style w:type="character" w:styleId="headingChar" w:customStyle="1">
    <w:name w:val="heading Char"/>
    <w:link w:val="heading"/>
    <w:rsid w:val="006C5084"/>
    <w:rPr>
      <w:b w:val="1"/>
      <w:sz w:val="24"/>
    </w:rPr>
  </w:style>
  <w:style w:type="character" w:styleId="Heading7Char" w:customStyle="1">
    <w:name w:val="Heading 7 Char"/>
    <w:aliases w:val="Sub heading Char"/>
    <w:link w:val="Heading7"/>
    <w:uiPriority w:val="99"/>
    <w:rsid w:val="00940A08"/>
    <w:rPr>
      <w:rFonts w:ascii="Arial" w:cs="Arial" w:hAnsi="Arial"/>
      <w:b w:val="1"/>
      <w:bCs w:val="1"/>
      <w:sz w:val="22"/>
      <w:szCs w:val="22"/>
    </w:rPr>
  </w:style>
  <w:style w:type="character" w:styleId="lookup-resultcontent" w:customStyle="1">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color="7ba0cd" w:space="0" w:sz="8" w:val="single"/>
        <w:left w:color="7ba0cd" w:space="0" w:sz="8" w:val="single"/>
        <w:bottom w:color="7ba0cd" w:space="0" w:sz="8" w:val="single"/>
        <w:right w:color="7ba0cd" w:space="0" w:sz="8" w:val="single"/>
        <w:insideH w:color="7ba0cd" w:space="0" w:sz="8" w:val="single"/>
        <w:insideV w:color="7ba0cd" w:space="0" w:sz="8" w:val="single"/>
      </w:tblBorders>
    </w:tblPr>
    <w:tcPr>
      <w:shd w:color="auto" w:fill="d3dfee" w:val="clear"/>
    </w:tcPr>
    <w:tblStylePr w:type="firstRow">
      <w:rPr>
        <w:b w:val="1"/>
        <w:bCs w:val="1"/>
      </w:rPr>
    </w:tblStylePr>
    <w:tblStylePr w:type="lastRow">
      <w:rPr>
        <w:b w:val="1"/>
        <w:bCs w:val="1"/>
      </w:rPr>
      <w:tblPr/>
      <w:tcPr>
        <w:tcBorders>
          <w:top w:color="7ba0cd" w:space="0" w:sz="18" w:val="single"/>
        </w:tcBorders>
      </w:tcPr>
    </w:tblStylePr>
    <w:tblStylePr w:type="firstCol">
      <w:rPr>
        <w:b w:val="1"/>
        <w:bCs w:val="1"/>
      </w:rPr>
    </w:tblStylePr>
    <w:tblStylePr w:type="lastCol">
      <w:rPr>
        <w:b w:val="1"/>
        <w:bCs w:val="1"/>
      </w:rPr>
    </w:tblStylePr>
    <w:tblStylePr w:type="band1Vert">
      <w:tblPr/>
      <w:tcPr>
        <w:shd w:color="auto" w:fill="a7bfde" w:val="clear"/>
      </w:tcPr>
    </w:tblStylePr>
    <w:tblStylePr w:type="band1Horz">
      <w:tblPr/>
      <w:tcPr>
        <w:shd w:color="auto" w:fill="a7bfde" w:val="clear"/>
      </w:tcPr>
    </w:tblStylePr>
  </w:style>
  <w:style w:type="paragraph" w:styleId="deannah1" w:customStyle="1">
    <w:name w:val="deannah1"/>
    <w:basedOn w:val="Normal"/>
    <w:uiPriority w:val="99"/>
    <w:rsid w:val="00336342"/>
    <w:pPr>
      <w:keepNext w:val="1"/>
      <w:spacing w:after="240"/>
    </w:pPr>
    <w:rPr>
      <w:b w:val="1"/>
      <w:bCs w:val="1"/>
      <w:szCs w:val="24"/>
    </w:rPr>
  </w:style>
  <w:style w:type="character" w:styleId="Hyperlink1" w:customStyle="1">
    <w:name w:val="Hyperlink1"/>
    <w:uiPriority w:val="99"/>
    <w:rsid w:val="00336342"/>
    <w:rPr>
      <w:color w:val="535353"/>
      <w:u w:val="single"/>
      <w:effect w:val="none"/>
    </w:rPr>
  </w:style>
  <w:style w:type="character" w:styleId="CommentReference">
    <w:name w:val="annotation reference"/>
    <w:uiPriority w:val="99"/>
    <w:unhideWhenUsed w:val="1"/>
    <w:rsid w:val="00336342"/>
    <w:rPr>
      <w:sz w:val="16"/>
      <w:szCs w:val="16"/>
    </w:rPr>
  </w:style>
  <w:style w:type="paragraph" w:styleId="CommentText">
    <w:name w:val="annotation text"/>
    <w:basedOn w:val="Normal"/>
    <w:link w:val="CommentTextChar"/>
    <w:uiPriority w:val="99"/>
    <w:unhideWhenUsed w:val="1"/>
    <w:rsid w:val="00336342"/>
    <w:rPr>
      <w:sz w:val="20"/>
    </w:rPr>
  </w:style>
  <w:style w:type="character" w:styleId="CommentTextChar" w:customStyle="1">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val="1"/>
    <w:rsid w:val="00336342"/>
    <w:rPr>
      <w:b w:val="1"/>
      <w:bCs w:val="1"/>
    </w:rPr>
  </w:style>
  <w:style w:type="character" w:styleId="CommentSubjectChar" w:customStyle="1">
    <w:name w:val="Comment Subject Char"/>
    <w:link w:val="CommentSubject"/>
    <w:uiPriority w:val="99"/>
    <w:rsid w:val="00336342"/>
    <w:rPr>
      <w:b w:val="1"/>
      <w:bCs w:val="1"/>
      <w:lang w:eastAsia="en-US"/>
    </w:rPr>
  </w:style>
  <w:style w:type="table" w:styleId="GridTable1Light-Accent21" w:customStyle="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0" w:type="nil"/>
      <w:tblBorders>
        <w:top w:color="f7caac" w:space="0" w:sz="4" w:val="single"/>
        <w:left w:color="f7caac" w:space="0" w:sz="4" w:val="single"/>
        <w:bottom w:color="f7caac" w:space="0" w:sz="4" w:val="single"/>
        <w:right w:color="f7caac" w:space="0" w:sz="4" w:val="single"/>
        <w:insideH w:color="f7caac" w:space="0" w:sz="4" w:val="single"/>
        <w:insideV w:color="f7caac" w:space="0" w:sz="4" w:val="single"/>
      </w:tblBorders>
    </w:tblPr>
    <w:tblStylePr w:type="firstRow">
      <w:rPr>
        <w:b w:val="1"/>
        <w:bCs w:val="1"/>
      </w:rPr>
      <w:tblPr/>
      <w:tcPr>
        <w:tcBorders>
          <w:bottom w:color="f4b083" w:space="0" w:sz="12" w:val="single"/>
        </w:tcBorders>
      </w:tcPr>
    </w:tblStylePr>
    <w:tblStylePr w:type="lastRow">
      <w:rPr>
        <w:b w:val="1"/>
        <w:bCs w:val="1"/>
      </w:rPr>
      <w:tblPr/>
      <w:tcPr>
        <w:tcBorders>
          <w:top w:color="f4b083" w:space="0" w:sz="2" w:val="double"/>
        </w:tcBorders>
      </w:tcPr>
    </w:tblStylePr>
    <w:tblStylePr w:type="firstCol">
      <w:rPr>
        <w:b w:val="1"/>
        <w:bCs w:val="1"/>
      </w:rPr>
    </w:tblStylePr>
    <w:tblStylePr w:type="lastCol">
      <w:rPr>
        <w:b w:val="1"/>
        <w:bCs w:val="1"/>
      </w:rPr>
    </w:tblStylePr>
  </w:style>
  <w:style w:type="table" w:styleId="GridTable1Light-Accent2">
    <w:name w:val="Grid Table 1 Light Accent 2"/>
    <w:basedOn w:val="TableNormal"/>
    <w:uiPriority w:val="46"/>
    <w:rsid w:val="00C5678B"/>
    <w:tblPr>
      <w:tblStyleRowBandSize w:val="1"/>
      <w:tblStyleColBandSize w:val="1"/>
      <w:tblBorders>
        <w:top w:color="f7caac" w:space="0" w:sz="4" w:val="single"/>
        <w:left w:color="f7caac" w:space="0" w:sz="4" w:val="single"/>
        <w:bottom w:color="f7caac" w:space="0" w:sz="4" w:val="single"/>
        <w:right w:color="f7caac" w:space="0" w:sz="4" w:val="single"/>
        <w:insideH w:color="f7caac" w:space="0" w:sz="4" w:val="single"/>
        <w:insideV w:color="f7caac" w:space="0" w:sz="4" w:val="single"/>
      </w:tblBorders>
    </w:tblPr>
    <w:tblStylePr w:type="firstRow">
      <w:rPr>
        <w:b w:val="1"/>
        <w:bCs w:val="1"/>
      </w:rPr>
      <w:tblPr/>
      <w:tcPr>
        <w:tcBorders>
          <w:bottom w:color="f4b083" w:space="0" w:sz="12" w:val="single"/>
        </w:tcBorders>
      </w:tcPr>
    </w:tblStylePr>
    <w:tblStylePr w:type="lastRow">
      <w:rPr>
        <w:b w:val="1"/>
        <w:bCs w:val="1"/>
      </w:rPr>
      <w:tblPr/>
      <w:tcPr>
        <w:tcBorders>
          <w:top w:color="f4b083" w:space="0" w:sz="2" w:val="double"/>
        </w:tcBorders>
      </w:tcPr>
    </w:tblStylePr>
    <w:tblStylePr w:type="firstCol">
      <w:rPr>
        <w:b w:val="1"/>
        <w:bCs w:val="1"/>
      </w:rPr>
    </w:tblStylePr>
    <w:tblStylePr w:type="lastCol">
      <w:rPr>
        <w:b w:val="1"/>
        <w:bCs w:val="1"/>
      </w:rPr>
    </w:tblStylePr>
  </w:style>
  <w:style w:type="table" w:styleId="TableGrid2">
    <w:name w:val="Table Grid 2"/>
    <w:basedOn w:val="TableNormal"/>
    <w:rsid w:val="00180E5F"/>
    <w:tblPr>
      <w:tblBorders>
        <w:insideH w:color="000000" w:space="0" w:sz="6" w:val="single"/>
        <w:insideV w:color="000000" w:space="0" w:sz="6" w:val="single"/>
      </w:tblBorders>
    </w:tblPr>
    <w:tcPr>
      <w:shd w:color="auto" w:fill="auto" w:val="clear"/>
    </w:tcPr>
    <w:tblStylePr w:type="firstRow">
      <w:rPr>
        <w:b w:val="1"/>
        <w:bCs w:val="1"/>
      </w:rPr>
      <w:tblPr/>
      <w:tcPr>
        <w:tcBorders>
          <w:tl2br w:color="auto" w:space="0" w:sz="0" w:val="none"/>
          <w:tr2bl w:color="auto" w:space="0" w:sz="0" w:val="none"/>
        </w:tcBorders>
      </w:tcPr>
    </w:tblStylePr>
    <w:tblStylePr w:type="lastRow">
      <w:rPr>
        <w:b w:val="1"/>
        <w:bCs w:val="1"/>
      </w:rPr>
      <w:tblPr/>
      <w:tcPr>
        <w:tcBorders>
          <w:top w:color="000000" w:space="0" w:sz="6" w:val="single"/>
          <w:tl2br w:color="auto" w:space="0" w:sz="0" w:val="none"/>
          <w:tr2bl w:color="auto" w:space="0" w:sz="0" w:val="none"/>
        </w:tcBorders>
      </w:tcPr>
    </w:tblStylePr>
    <w:tblStylePr w:type="firstCol">
      <w:rPr>
        <w:b w:val="1"/>
        <w:bCs w:val="1"/>
      </w:rPr>
      <w:tblPr/>
      <w:tcPr>
        <w:tcBorders>
          <w:tl2br w:color="auto" w:space="0" w:sz="0" w:val="none"/>
          <w:tr2bl w:color="auto" w:space="0" w:sz="0" w:val="none"/>
        </w:tcBorders>
      </w:tcPr>
    </w:tblStylePr>
    <w:tblStylePr w:type="lastCol">
      <w:rPr>
        <w:b w:val="1"/>
        <w:bCs w:val="1"/>
      </w:rPr>
      <w:tblPr/>
      <w:tcPr>
        <w:tcBorders>
          <w:tl2br w:color="auto" w:space="0" w:sz="0" w:val="none"/>
          <w:tr2bl w:color="auto" w:space="0" w:sz="0" w:val="none"/>
        </w:tcBorders>
      </w:tcPr>
    </w:tblStylePr>
  </w:style>
  <w:style w:type="table" w:styleId="GridTable5Dark-Accent4">
    <w:name w:val="Grid Table 5 Dark Accent 4"/>
    <w:basedOn w:val="TableNormal"/>
    <w:uiPriority w:val="50"/>
    <w:rsid w:val="00180E5F"/>
    <w:tblPr>
      <w:tblStyleRowBandSize w:val="1"/>
      <w:tblStyleColBandSize w:val="1"/>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Pr>
    <w:tcPr>
      <w:shd w:color="auto" w:fill="fff2cc" w:val="clear"/>
    </w:tcPr>
    <w:tblStylePr w:type="firstRow">
      <w:rPr>
        <w:b w:val="1"/>
        <w:bCs w:val="1"/>
        <w:color w:val="ffffff"/>
      </w:rPr>
      <w:tblPr/>
      <w:tcPr>
        <w:tcBorders>
          <w:top w:color="ffffff" w:space="0" w:sz="4" w:val="single"/>
          <w:left w:color="ffffff" w:space="0" w:sz="4" w:val="single"/>
          <w:right w:color="ffffff" w:space="0" w:sz="4" w:val="single"/>
          <w:insideH w:space="0" w:sz="0" w:val="nil"/>
          <w:insideV w:space="0" w:sz="0" w:val="nil"/>
        </w:tcBorders>
        <w:shd w:color="auto" w:fill="ffc000" w:val="clear"/>
      </w:tcPr>
    </w:tblStylePr>
    <w:tblStylePr w:type="lastRow">
      <w:rPr>
        <w:b w:val="1"/>
        <w:bCs w:val="1"/>
        <w:color w:val="ffffff"/>
      </w:rPr>
      <w:tblPr/>
      <w:tcPr>
        <w:tcBorders>
          <w:left w:color="ffffff" w:space="0" w:sz="4" w:val="single"/>
          <w:bottom w:color="ffffff" w:space="0" w:sz="4" w:val="single"/>
          <w:right w:color="ffffff" w:space="0" w:sz="4" w:val="single"/>
          <w:insideH w:space="0" w:sz="0" w:val="nil"/>
          <w:insideV w:space="0" w:sz="0" w:val="nil"/>
        </w:tcBorders>
        <w:shd w:color="auto" w:fill="ffc000" w:val="clear"/>
      </w:tcPr>
    </w:tblStylePr>
    <w:tblStylePr w:type="firstCol">
      <w:rPr>
        <w:b w:val="1"/>
        <w:bCs w:val="1"/>
        <w:color w:val="ffffff"/>
      </w:rPr>
      <w:tblPr/>
      <w:tcPr>
        <w:tcBorders>
          <w:top w:color="ffffff" w:space="0" w:sz="4" w:val="single"/>
          <w:left w:color="ffffff" w:space="0" w:sz="4" w:val="single"/>
          <w:bottom w:color="ffffff" w:space="0" w:sz="4" w:val="single"/>
          <w:insideV w:space="0" w:sz="0" w:val="nil"/>
        </w:tcBorders>
        <w:shd w:color="auto" w:fill="ffc000" w:val="clear"/>
      </w:tcPr>
    </w:tblStylePr>
    <w:tblStylePr w:type="lastCol">
      <w:rPr>
        <w:b w:val="1"/>
        <w:bCs w:val="1"/>
        <w:color w:val="ffffff"/>
      </w:rPr>
      <w:tblPr/>
      <w:tcPr>
        <w:tcBorders>
          <w:top w:color="ffffff" w:space="0" w:sz="4" w:val="single"/>
          <w:bottom w:color="ffffff" w:space="0" w:sz="4" w:val="single"/>
          <w:right w:color="ffffff" w:space="0" w:sz="4" w:val="single"/>
          <w:insideV w:space="0" w:sz="0" w:val="nil"/>
        </w:tcBorders>
        <w:shd w:color="auto" w:fill="ffc000" w:val="clear"/>
      </w:tcPr>
    </w:tblStylePr>
    <w:tblStylePr w:type="band1Vert">
      <w:tblPr/>
      <w:tcPr>
        <w:shd w:color="auto" w:fill="ffe599" w:val="clear"/>
      </w:tcPr>
    </w:tblStylePr>
    <w:tblStylePr w:type="band1Horz">
      <w:tblPr/>
      <w:tcPr>
        <w:shd w:color="auto" w:fill="ffe599" w:val="clear"/>
      </w:tcPr>
    </w:tblStylePr>
  </w:style>
  <w:style w:type="table" w:styleId="MediumGrid3-Accent4">
    <w:name w:val="Medium Grid 3 Accent 4"/>
    <w:basedOn w:val="TableNormal"/>
    <w:uiPriority w:val="69"/>
    <w:rsid w:val="00180E5F"/>
    <w:tblPr>
      <w:tblStyleRowBandSize w:val="1"/>
      <w:tblStyleColBandSize w:val="1"/>
      <w:tblBorders>
        <w:top w:color="ffffff" w:space="0" w:sz="8" w:val="single"/>
        <w:left w:color="ffffff" w:space="0" w:sz="8" w:val="single"/>
        <w:bottom w:color="ffffff" w:space="0" w:sz="8" w:val="single"/>
        <w:right w:color="ffffff" w:space="0" w:sz="8" w:val="single"/>
        <w:insideH w:color="ffffff" w:space="0" w:sz="6" w:val="single"/>
        <w:insideV w:color="ffffff" w:space="0" w:sz="6" w:val="single"/>
      </w:tblBorders>
    </w:tblPr>
    <w:tcPr>
      <w:shd w:color="auto" w:fill="ffefc0" w:val="clear"/>
    </w:tcPr>
    <w:tblStylePr w:type="firstRow">
      <w:rPr>
        <w:b w:val="1"/>
        <w:bCs w:val="1"/>
        <w:i w:val="0"/>
        <w:iCs w:val="0"/>
        <w:color w:val="ffffff"/>
      </w:rPr>
      <w:tblPr/>
      <w:tcPr>
        <w:tcBorders>
          <w:top w:color="ffffff" w:space="0" w:sz="8" w:val="single"/>
          <w:left w:color="ffffff" w:space="0" w:sz="8" w:val="single"/>
          <w:bottom w:color="ffffff" w:space="0" w:sz="24" w:val="single"/>
          <w:right w:color="ffffff" w:space="0" w:sz="8" w:val="single"/>
          <w:insideH w:space="0" w:sz="0" w:val="nil"/>
          <w:insideV w:color="ffffff" w:space="0" w:sz="8" w:val="single"/>
        </w:tcBorders>
        <w:shd w:color="auto" w:fill="ffc000" w:val="clear"/>
      </w:tcPr>
    </w:tblStylePr>
    <w:tblStylePr w:type="lastRow">
      <w:rPr>
        <w:b w:val="1"/>
        <w:bCs w:val="1"/>
        <w:i w:val="0"/>
        <w:iCs w:val="0"/>
        <w:color w:val="ffffff"/>
      </w:rPr>
      <w:tblPr/>
      <w:tcPr>
        <w:tcBorders>
          <w:top w:color="ffffff" w:space="0" w:sz="24" w:val="single"/>
          <w:left w:color="ffffff" w:space="0" w:sz="8" w:val="single"/>
          <w:bottom w:color="ffffff" w:space="0" w:sz="8" w:val="single"/>
          <w:right w:color="ffffff" w:space="0" w:sz="8" w:val="single"/>
          <w:insideH w:space="0" w:sz="0" w:val="nil"/>
          <w:insideV w:color="ffffff" w:space="0" w:sz="8" w:val="single"/>
        </w:tcBorders>
        <w:shd w:color="auto" w:fill="ffc000" w:val="clear"/>
      </w:tcPr>
    </w:tblStylePr>
    <w:tblStylePr w:type="firstCol">
      <w:rPr>
        <w:b w:val="1"/>
        <w:bCs w:val="1"/>
        <w:i w:val="0"/>
        <w:iCs w:val="0"/>
        <w:color w:val="ffffff"/>
      </w:rPr>
      <w:tblPr/>
      <w:tcPr>
        <w:tcBorders>
          <w:left w:color="ffffff" w:space="0" w:sz="8" w:val="single"/>
          <w:right w:color="ffffff" w:space="0" w:sz="24" w:val="single"/>
          <w:insideH w:space="0" w:sz="0" w:val="nil"/>
          <w:insideV w:space="0" w:sz="0" w:val="nil"/>
        </w:tcBorders>
        <w:shd w:color="auto" w:fill="ffc000" w:val="clear"/>
      </w:tcPr>
    </w:tblStylePr>
    <w:tblStylePr w:type="lastCol">
      <w:rPr>
        <w:b w:val="1"/>
        <w:bCs w:val="1"/>
        <w:i w:val="0"/>
        <w:iCs w:val="0"/>
        <w:color w:val="ffffff"/>
      </w:rPr>
      <w:tblPr/>
      <w:tcPr>
        <w:tcBorders>
          <w:top w:space="0" w:sz="0" w:val="nil"/>
          <w:left w:color="ffffff" w:space="0" w:sz="24" w:val="single"/>
          <w:bottom w:space="0" w:sz="0" w:val="nil"/>
          <w:right w:space="0" w:sz="0" w:val="nil"/>
          <w:insideH w:space="0" w:sz="0" w:val="nil"/>
          <w:insideV w:space="0" w:sz="0" w:val="nil"/>
        </w:tcBorders>
        <w:shd w:color="auto" w:fill="ffc000" w:val="clear"/>
      </w:tcPr>
    </w:tblStylePr>
    <w:tblStylePr w:type="band1Vert">
      <w:tblPr/>
      <w:tcPr>
        <w:tcBorders>
          <w:top w:color="ffffff" w:space="0" w:sz="8" w:val="single"/>
          <w:left w:color="ffffff" w:space="0" w:sz="8" w:val="single"/>
          <w:bottom w:color="ffffff" w:space="0" w:sz="8" w:val="single"/>
          <w:right w:color="ffffff" w:space="0" w:sz="8" w:val="single"/>
          <w:insideH w:space="0" w:sz="0" w:val="nil"/>
          <w:insideV w:space="0" w:sz="0" w:val="nil"/>
        </w:tcBorders>
        <w:shd w:color="auto" w:fill="ffdf80" w:val="clear"/>
      </w:tcPr>
    </w:tblStylePr>
    <w:tblStylePr w:type="band1Horz">
      <w:tblPr/>
      <w:tcPr>
        <w:tcBorders>
          <w:top w:color="ffffff" w:space="0" w:sz="8" w:val="single"/>
          <w:left w:color="ffffff" w:space="0" w:sz="8" w:val="single"/>
          <w:bottom w:color="ffffff" w:space="0" w:sz="8" w:val="single"/>
          <w:right w:color="ffffff" w:space="0" w:sz="8" w:val="single"/>
          <w:insideH w:color="ffffff" w:space="0" w:sz="8" w:val="single"/>
          <w:insideV w:color="ffffff" w:space="0" w:sz="8" w:val="single"/>
        </w:tcBorders>
        <w:shd w:color="auto" w:fill="ffdf80" w:val="clear"/>
      </w:tcPr>
    </w:tblStylePr>
  </w:style>
  <w:style w:type="paragraph" w:styleId="fixed" w:customStyle="1">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val="1"/>
      <w:sz w:val="24"/>
    </w:rPr>
  </w:style>
  <w:style w:type="paragraph" w:styleId="bullet" w:customStyle="1">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styleId="fixedChar" w:customStyle="1">
    <w:name w:val="fixed Char"/>
    <w:link w:val="fixed"/>
    <w:rsid w:val="00180E5F"/>
    <w:rPr>
      <w:b w:val="1"/>
      <w:sz w:val="24"/>
    </w:rPr>
  </w:style>
  <w:style w:type="character" w:styleId="bulletChar" w:customStyle="1">
    <w:name w:val="bullet Char"/>
    <w:link w:val="bullet"/>
    <w:rsid w:val="00180E5F"/>
    <w:rPr>
      <w:sz w:val="24"/>
    </w:rPr>
  </w:style>
  <w:style w:type="character" w:styleId="ListParagraphChar" w:customStyle="1">
    <w:name w:val="List Paragraph Char"/>
    <w:link w:val="ListParagraph"/>
    <w:uiPriority w:val="34"/>
    <w:locked w:val="1"/>
    <w:rsid w:val="00180E5F"/>
    <w:rPr>
      <w:sz w:val="24"/>
      <w:lang w:eastAsia="en-US"/>
    </w:rPr>
  </w:style>
  <w:style w:type="paragraph" w:styleId="StyleCJ1" w:customStyle="1">
    <w:name w:val="StyleCJ1"/>
    <w:basedOn w:val="Heading1"/>
    <w:link w:val="StyleCJ1Char"/>
    <w:qFormat w:val="1"/>
    <w:rsid w:val="009903DA"/>
    <w:rPr>
      <w:rFonts w:ascii="Calibri" w:cs="Calibri" w:hAnsi="Calibri"/>
      <w:sz w:val="28"/>
      <w:szCs w:val="22"/>
    </w:rPr>
  </w:style>
  <w:style w:type="paragraph" w:styleId="Style1CJ2" w:customStyle="1">
    <w:name w:val="Style1CJ2"/>
    <w:basedOn w:val="Heading1"/>
    <w:link w:val="Style1CJ2Char"/>
    <w:qFormat w:val="1"/>
    <w:rsid w:val="009903DA"/>
    <w:rPr>
      <w:rFonts w:ascii="Calibri" w:cs="Calibri" w:hAnsi="Calibri"/>
      <w:sz w:val="22"/>
      <w:szCs w:val="22"/>
      <w:lang w:eastAsia="en-GB"/>
    </w:rPr>
  </w:style>
  <w:style w:type="character" w:styleId="StyleCJ1Char" w:customStyle="1">
    <w:name w:val="StyleCJ1 Char"/>
    <w:link w:val="StyleCJ1"/>
    <w:rsid w:val="009903DA"/>
    <w:rPr>
      <w:rFonts w:ascii="Calibri" w:cs="Calibri" w:eastAsia="Times New Roman" w:hAnsi="Calibri"/>
      <w:b w:val="1"/>
      <w:bCs w:val="1"/>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color="f4b083" w:space="0" w:sz="4" w:val="single"/>
        <w:left w:color="f4b083" w:space="0" w:sz="4" w:val="single"/>
        <w:bottom w:color="f4b083" w:space="0" w:sz="4" w:val="single"/>
        <w:right w:color="f4b083" w:space="0" w:sz="4" w:val="single"/>
        <w:insideH w:color="f4b083" w:space="0" w:sz="4" w:val="single"/>
        <w:insideV w:color="f4b083" w:space="0" w:sz="4" w:val="single"/>
      </w:tblBorders>
    </w:tblPr>
    <w:tblStylePr w:type="firstRow">
      <w:rPr>
        <w:b w:val="1"/>
        <w:bCs w:val="1"/>
        <w:color w:val="ffffff"/>
      </w:rPr>
      <w:tblPr/>
      <w:tcPr>
        <w:tcBorders>
          <w:top w:color="ed7d31" w:space="0" w:sz="4" w:val="single"/>
          <w:left w:color="ed7d31" w:space="0" w:sz="4" w:val="single"/>
          <w:bottom w:color="ed7d31" w:space="0" w:sz="4" w:val="single"/>
          <w:right w:color="ed7d31" w:space="0" w:sz="4" w:val="single"/>
          <w:insideH w:space="0" w:sz="0" w:val="nil"/>
          <w:insideV w:space="0" w:sz="0" w:val="nil"/>
        </w:tcBorders>
        <w:shd w:color="auto" w:fill="ed7d31" w:val="clear"/>
      </w:tcPr>
    </w:tblStylePr>
    <w:tblStylePr w:type="lastRow">
      <w:rPr>
        <w:b w:val="1"/>
        <w:bCs w:val="1"/>
      </w:rPr>
      <w:tblPr/>
      <w:tcPr>
        <w:tcBorders>
          <w:top w:color="ed7d31" w:space="0" w:sz="4" w:val="double"/>
        </w:tcBorders>
      </w:tcPr>
    </w:tblStylePr>
    <w:tblStylePr w:type="firstCol">
      <w:rPr>
        <w:b w:val="1"/>
        <w:bCs w:val="1"/>
      </w:rPr>
    </w:tblStylePr>
    <w:tblStylePr w:type="lastCol">
      <w:rPr>
        <w:b w:val="1"/>
        <w:bCs w:val="1"/>
      </w:rPr>
    </w:tblStylePr>
    <w:tblStylePr w:type="band1Vert">
      <w:tblPr/>
      <w:tcPr>
        <w:shd w:color="auto" w:fill="fbe4d5" w:val="clear"/>
      </w:tcPr>
    </w:tblStylePr>
    <w:tblStylePr w:type="band1Horz">
      <w:tblPr/>
      <w:tcPr>
        <w:shd w:color="auto" w:fill="fbe4d5" w:val="clear"/>
      </w:tcPr>
    </w:tblStylePr>
  </w:style>
  <w:style w:type="character" w:styleId="Style1CJ2Char" w:customStyle="1">
    <w:name w:val="Style1CJ2 Char"/>
    <w:link w:val="Style1CJ2"/>
    <w:rsid w:val="009903DA"/>
    <w:rPr>
      <w:rFonts w:ascii="Calibri" w:cs="Calibri" w:eastAsia="Times New Roman" w:hAnsi="Calibri"/>
      <w:b w:val="1"/>
      <w:bCs w:val="1"/>
      <w:kern w:val="32"/>
      <w:sz w:val="22"/>
      <w:szCs w:val="22"/>
      <w:lang w:eastAsia="en-US"/>
    </w:rPr>
  </w:style>
  <w:style w:type="character" w:styleId="UnresolvedMention">
    <w:name w:val="Unresolved Mention"/>
    <w:uiPriority w:val="99"/>
    <w:semiHidden w:val="1"/>
    <w:unhideWhenUsed w:val="1"/>
    <w:rsid w:val="0079068F"/>
    <w:rPr>
      <w:color w:val="605e5c"/>
      <w:shd w:color="auto" w:fill="e1dfdd" w:val="clear"/>
    </w:rPr>
  </w:style>
  <w:style w:type="paragraph" w:styleId="TOCHeading">
    <w:name w:val="TOC Heading"/>
    <w:basedOn w:val="Heading1"/>
    <w:next w:val="Normal"/>
    <w:uiPriority w:val="39"/>
    <w:unhideWhenUsed w:val="1"/>
    <w:qFormat w:val="1"/>
    <w:rsid w:val="00D977FF"/>
    <w:pPr>
      <w:keepLines w:val="1"/>
      <w:spacing w:after="0" w:line="259" w:lineRule="auto"/>
      <w:outlineLvl w:val="9"/>
    </w:pPr>
    <w:rPr>
      <w:rFonts w:ascii="Calibri Light" w:cs="Times New Roman" w:hAnsi="Calibri Light"/>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color="ffd966" w:space="0" w:sz="4" w:val="single"/>
        <w:left w:color="ffd966" w:space="0" w:sz="4" w:val="single"/>
        <w:bottom w:color="ffd966" w:space="0" w:sz="4" w:val="single"/>
        <w:right w:color="ffd966" w:space="0" w:sz="4" w:val="single"/>
        <w:insideH w:color="ffd966" w:space="0" w:sz="4" w:val="single"/>
        <w:insideV w:color="ffd966" w:space="0" w:sz="4" w:val="single"/>
      </w:tblBorders>
    </w:tblPr>
    <w:tblStylePr w:type="firstRow">
      <w:rPr>
        <w:b w:val="1"/>
        <w:bCs w:val="1"/>
      </w:rPr>
      <w:tblPr/>
      <w:tcPr>
        <w:tcBorders>
          <w:bottom w:color="ffd966" w:space="0" w:sz="12" w:val="single"/>
        </w:tcBorders>
      </w:tcPr>
    </w:tblStylePr>
    <w:tblStylePr w:type="lastRow">
      <w:rPr>
        <w:b w:val="1"/>
        <w:bCs w:val="1"/>
      </w:rPr>
      <w:tblPr/>
      <w:tcPr>
        <w:tcBorders>
          <w:top w:color="ffd966" w:space="0" w:sz="4" w:val="double"/>
        </w:tcBorders>
      </w:tcPr>
    </w:tblStylePr>
    <w:tblStylePr w:type="firstCol">
      <w:rPr>
        <w:b w:val="1"/>
        <w:bCs w:val="1"/>
      </w:rPr>
    </w:tblStylePr>
    <w:tblStylePr w:type="lastCol">
      <w:rPr>
        <w:b w:val="1"/>
        <w:bCs w:val="1"/>
      </w:rPr>
    </w:tblStylePr>
    <w:tblStylePr w:type="band1Vert">
      <w:tblPr/>
      <w:tcPr>
        <w:shd w:color="auto" w:fill="fff2cc" w:val="clear"/>
      </w:tcPr>
    </w:tblStylePr>
    <w:tblStylePr w:type="band1Horz">
      <w:tblPr/>
      <w:tcPr>
        <w:shd w:color="auto" w:fill="fff2cc" w:val="clear"/>
      </w:tcPr>
    </w:tblStylePr>
  </w:style>
  <w:style w:type="table" w:styleId="MediumGrid1-Accent4">
    <w:name w:val="Medium Grid 1 Accent 4"/>
    <w:basedOn w:val="TableNormal"/>
    <w:uiPriority w:val="67"/>
    <w:rsid w:val="00D977FF"/>
    <w:tblPr>
      <w:tblStyleRowBandSize w:val="1"/>
      <w:tblStyleColBandSize w:val="1"/>
      <w:tblBorders>
        <w:top w:color="ffcf40" w:space="0" w:sz="8" w:val="single"/>
        <w:left w:color="ffcf40" w:space="0" w:sz="8" w:val="single"/>
        <w:bottom w:color="ffcf40" w:space="0" w:sz="8" w:val="single"/>
        <w:right w:color="ffcf40" w:space="0" w:sz="8" w:val="single"/>
        <w:insideH w:color="ffcf40" w:space="0" w:sz="8" w:val="single"/>
        <w:insideV w:color="ffcf40" w:space="0" w:sz="8" w:val="single"/>
      </w:tblBorders>
    </w:tblPr>
    <w:tcPr>
      <w:shd w:color="auto" w:fill="ffefc0" w:val="clear"/>
    </w:tcPr>
    <w:tblStylePr w:type="firstRow">
      <w:rPr>
        <w:b w:val="1"/>
        <w:bCs w:val="1"/>
      </w:rPr>
    </w:tblStylePr>
    <w:tblStylePr w:type="lastRow">
      <w:rPr>
        <w:b w:val="1"/>
        <w:bCs w:val="1"/>
      </w:rPr>
      <w:tblPr/>
      <w:tcPr>
        <w:tcBorders>
          <w:top w:color="ffcf40" w:space="0" w:sz="18" w:val="single"/>
        </w:tcBorders>
      </w:tcPr>
    </w:tblStylePr>
    <w:tblStylePr w:type="firstCol">
      <w:rPr>
        <w:b w:val="1"/>
        <w:bCs w:val="1"/>
      </w:rPr>
    </w:tblStylePr>
    <w:tblStylePr w:type="lastCol">
      <w:rPr>
        <w:b w:val="1"/>
        <w:bCs w:val="1"/>
      </w:rPr>
    </w:tblStylePr>
    <w:tblStylePr w:type="band1Vert">
      <w:tblPr/>
      <w:tcPr>
        <w:shd w:color="auto" w:fill="ffdf80" w:val="clear"/>
      </w:tcPr>
    </w:tblStylePr>
    <w:tblStylePr w:type="band1Horz">
      <w:tblPr/>
      <w:tcPr>
        <w:shd w:color="auto" w:fill="ffdf80" w:val="clear"/>
      </w:tcPr>
    </w:tblStylePr>
  </w:style>
  <w:style w:type="table" w:styleId="GridTable5Dark-Accent5">
    <w:name w:val="Grid Table 5 Dark Accent 5"/>
    <w:basedOn w:val="TableNormal"/>
    <w:uiPriority w:val="50"/>
    <w:rsid w:val="00D82F4E"/>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eeaf6" w:themeFill="accent5"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5b9bd5" w:themeFill="accent5"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5b9bd5" w:themeFill="accent5" w:val="clear"/>
      </w:tcPr>
    </w:tblStylePr>
    <w:tblStylePr w:type="band1Vert">
      <w:tblPr/>
      <w:tcPr>
        <w:shd w:color="auto" w:fill="bdd6ee" w:themeFill="accent5" w:themeFillTint="000066" w:val="clear"/>
      </w:tcPr>
    </w:tblStylePr>
    <w:tblStylePr w:type="band1Horz">
      <w:tblPr/>
      <w:tcPr>
        <w:shd w:color="auto" w:fill="bdd6ee" w:themeFill="accent5" w:themeFillTint="000066" w:val="clear"/>
      </w:tcPr>
    </w:tblStylePr>
  </w:style>
  <w:style w:type="paragraph" w:styleId="Subheadingcj" w:customStyle="1">
    <w:name w:val="Subheadingcj"/>
    <w:basedOn w:val="Normal"/>
    <w:link w:val="SubheadingcjChar"/>
    <w:qFormat w:val="1"/>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cstheme="minorHAnsi" w:hAnsiTheme="minorHAnsi"/>
    </w:rPr>
  </w:style>
  <w:style w:type="character" w:styleId="SubheadingcjChar" w:customStyle="1">
    <w:name w:val="Subheadingcj Char"/>
    <w:basedOn w:val="DefaultParagraphFont"/>
    <w:link w:val="Subheadingcj"/>
    <w:rsid w:val="00165440"/>
    <w:rPr>
      <w:rFonts w:asciiTheme="minorHAnsi" w:cstheme="minorHAnsi" w:hAnsiTheme="minorHAnsi"/>
      <w:sz w:val="24"/>
      <w:lang w:eastAsia="en-US"/>
    </w:rPr>
  </w:style>
  <w:style w:type="table" w:styleId="TableGrid39" w:customStyle="1">
    <w:name w:val="Table Grid39"/>
    <w:basedOn w:val="TableNormal"/>
    <w:next w:val="TableGrid"/>
    <w:uiPriority w:val="59"/>
    <w:rsid w:val="00F65000"/>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pubmed.ncbi.nlm.nih.gov/33848719/" TargetMode="External"/><Relationship Id="rId22" Type="http://schemas.openxmlformats.org/officeDocument/2006/relationships/hyperlink" Target="https://www.gov.wales/review-adverse-childhood-experiences-ace-policy-report-html" TargetMode="External"/><Relationship Id="rId21" Type="http://schemas.openxmlformats.org/officeDocument/2006/relationships/hyperlink" Target="https://www.gov.wales/review-adverse-childhood-experiences-ace-policy-report-html" TargetMode="External"/><Relationship Id="rId24" Type="http://schemas.openxmlformats.org/officeDocument/2006/relationships/hyperlink" Target="https://www.gov.wales/supporting-youth-justice-services-prevent-offending-prevention-framework-html" TargetMode="External"/><Relationship Id="rId23" Type="http://schemas.openxmlformats.org/officeDocument/2006/relationships/hyperlink" Target="https://www.gov.wales/supporting-youth-justice-services-prevent-offending-prevention-framework-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earninglink.oup.com/access/content/fuller-intro-crim-brief-student-resources/fuller-intro-crim-brief-chapter-5-chapter-summary" TargetMode="Externa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mailto:mike.durke@uwtsd.ac.uk" TargetMode="External"/><Relationship Id="rId11" Type="http://schemas.openxmlformats.org/officeDocument/2006/relationships/hyperlink" Target="https://pubmed.ncbi.nlm.nih.gov/31609471/" TargetMode="External"/><Relationship Id="rId10" Type="http://schemas.openxmlformats.org/officeDocument/2006/relationships/hyperlink" Target="https://learninglink.oup.com/access/content/fuller-intro-crim-brief-student-resources/fuller-intro-crim-brief-chapter-5-chapter-summary" TargetMode="External"/><Relationship Id="rId13" Type="http://schemas.openxmlformats.org/officeDocument/2006/relationships/hyperlink" Target="https://phw.nhs.wales/topic/adverse-childhood-experiences/" TargetMode="External"/><Relationship Id="rId12" Type="http://schemas.openxmlformats.org/officeDocument/2006/relationships/hyperlink" Target="https://pubmed.ncbi.nlm.nih.gov/31609471/" TargetMode="External"/><Relationship Id="rId15" Type="http://schemas.openxmlformats.org/officeDocument/2006/relationships/hyperlink" Target="https://link.springer.com/article/10.1186/s12916-025-04459-3?utm_source=chatgpt.com" TargetMode="External"/><Relationship Id="rId14" Type="http://schemas.openxmlformats.org/officeDocument/2006/relationships/hyperlink" Target="https://phw.nhs.wales/topic/adverse-childhood-experiences/" TargetMode="External"/><Relationship Id="rId17" Type="http://schemas.openxmlformats.org/officeDocument/2006/relationships/hyperlink" Target="https://www.gov.wales/sites/default/files/publications/2018-08/Submission-from-the-early-action-together-programme.pdf" TargetMode="External"/><Relationship Id="rId16" Type="http://schemas.openxmlformats.org/officeDocument/2006/relationships/hyperlink" Target="https://link.springer.com/article/10.1186/s12916-025-04459-3?utm_source=chatgpt.com" TargetMode="External"/><Relationship Id="rId19" Type="http://schemas.openxmlformats.org/officeDocument/2006/relationships/hyperlink" Target="https://pubmed.ncbi.nlm.nih.gov/33848719/" TargetMode="External"/><Relationship Id="rId18" Type="http://schemas.openxmlformats.org/officeDocument/2006/relationships/hyperlink" Target="https://www.gov.wales/sites/default/files/publications/2018-08/Submission-from-the-early-action-together-programm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Ruaov5tFL/Ng4kcQ1rMFUxhQeg==">CgMxLjAyDmguOHZkNG52c3lnOTI2Mg5oLmY5YWk1dGg2ZWdiZTgAciExTWVCUHlkelJhZ0JCV3ppbUJhSWpwU1ViT1JKek9DQ3E=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2021-10-08T16:31:00Z</dcterms:created>
  <dc:creator>bus-sh</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