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286A3" w14:textId="77777777" w:rsidR="0034564A" w:rsidRDefault="0034564A" w:rsidP="0034564A">
      <w:pPr>
        <w:pStyle w:val="NormalWeb"/>
        <w:rPr>
          <w:color w:val="000000"/>
          <w:sz w:val="27"/>
          <w:szCs w:val="27"/>
        </w:rPr>
      </w:pPr>
      <w:r>
        <w:rPr>
          <w:color w:val="000000"/>
          <w:sz w:val="27"/>
          <w:szCs w:val="27"/>
        </w:rPr>
        <w:t>DECLARATION</w:t>
      </w:r>
    </w:p>
    <w:p w14:paraId="35D4028B" w14:textId="77777777" w:rsidR="0034564A" w:rsidRDefault="0034564A" w:rsidP="0034564A">
      <w:pPr>
        <w:pStyle w:val="NormalWeb"/>
        <w:rPr>
          <w:color w:val="000000"/>
          <w:sz w:val="27"/>
          <w:szCs w:val="27"/>
        </w:rPr>
      </w:pPr>
      <w:r>
        <w:rPr>
          <w:color w:val="000000"/>
          <w:sz w:val="27"/>
          <w:szCs w:val="27"/>
        </w:rPr>
        <w:t>This work has not previously been accepted in substance for any degree and is not being concurrently submitted in candidature for any degree</w:t>
      </w:r>
    </w:p>
    <w:p w14:paraId="2172547B" w14:textId="01B85F76" w:rsidR="0034564A" w:rsidRDefault="0034564A" w:rsidP="0034564A">
      <w:pPr>
        <w:pStyle w:val="NormalWeb"/>
        <w:rPr>
          <w:color w:val="000000"/>
          <w:sz w:val="27"/>
          <w:szCs w:val="27"/>
        </w:rPr>
      </w:pPr>
      <w:r>
        <w:rPr>
          <w:color w:val="000000"/>
          <w:sz w:val="27"/>
          <w:szCs w:val="27"/>
        </w:rPr>
        <w:t>Signed…</w:t>
      </w:r>
      <w:r w:rsidR="00F11B44">
        <w:rPr>
          <w:color w:val="000000"/>
          <w:sz w:val="27"/>
          <w:szCs w:val="27"/>
        </w:rPr>
        <w:t>N.AKHTAR</w:t>
      </w:r>
      <w:r>
        <w:rPr>
          <w:color w:val="000000"/>
          <w:sz w:val="27"/>
          <w:szCs w:val="27"/>
        </w:rPr>
        <w:t>…………………………………………</w:t>
      </w:r>
    </w:p>
    <w:p w14:paraId="3A1FBF30" w14:textId="684736A9" w:rsidR="0034564A" w:rsidRDefault="0034564A" w:rsidP="0034564A">
      <w:pPr>
        <w:pStyle w:val="NormalWeb"/>
        <w:rPr>
          <w:color w:val="000000"/>
          <w:sz w:val="27"/>
          <w:szCs w:val="27"/>
        </w:rPr>
      </w:pPr>
      <w:r>
        <w:rPr>
          <w:color w:val="000000"/>
          <w:sz w:val="27"/>
          <w:szCs w:val="27"/>
        </w:rPr>
        <w:t>Date……</w:t>
      </w:r>
      <w:r w:rsidR="00BE3183">
        <w:rPr>
          <w:color w:val="000000"/>
          <w:sz w:val="27"/>
          <w:szCs w:val="27"/>
        </w:rPr>
        <w:t>N.AKHTAR</w:t>
      </w:r>
      <w:r>
        <w:rPr>
          <w:color w:val="000000"/>
          <w:sz w:val="27"/>
          <w:szCs w:val="27"/>
        </w:rPr>
        <w:t>…………………………………………</w:t>
      </w:r>
    </w:p>
    <w:p w14:paraId="6EF6595E" w14:textId="77777777" w:rsidR="0034564A" w:rsidRDefault="0034564A" w:rsidP="0034564A">
      <w:pPr>
        <w:pStyle w:val="NormalWeb"/>
        <w:rPr>
          <w:color w:val="000000"/>
          <w:sz w:val="27"/>
          <w:szCs w:val="27"/>
        </w:rPr>
      </w:pPr>
      <w:r>
        <w:rPr>
          <w:color w:val="000000"/>
          <w:sz w:val="27"/>
          <w:szCs w:val="27"/>
        </w:rPr>
        <w:t>STATEMENT 1</w:t>
      </w:r>
    </w:p>
    <w:p w14:paraId="7BCF6F8B" w14:textId="77777777" w:rsidR="0034564A" w:rsidRDefault="0034564A" w:rsidP="0034564A">
      <w:pPr>
        <w:pStyle w:val="NormalWeb"/>
        <w:rPr>
          <w:color w:val="000000"/>
          <w:sz w:val="27"/>
          <w:szCs w:val="27"/>
        </w:rPr>
      </w:pPr>
      <w:r>
        <w:rPr>
          <w:color w:val="000000"/>
          <w:sz w:val="27"/>
          <w:szCs w:val="27"/>
        </w:rPr>
        <w:t>This dissertation is being submitted in partial fulfilment of the requirements for the degree of BSc.</w:t>
      </w:r>
    </w:p>
    <w:p w14:paraId="5FF72633" w14:textId="5056B1AE" w:rsidR="0034564A" w:rsidRDefault="0034564A" w:rsidP="0034564A">
      <w:pPr>
        <w:pStyle w:val="NormalWeb"/>
        <w:rPr>
          <w:color w:val="000000"/>
          <w:sz w:val="27"/>
          <w:szCs w:val="27"/>
        </w:rPr>
      </w:pPr>
      <w:r>
        <w:rPr>
          <w:color w:val="000000"/>
          <w:sz w:val="27"/>
          <w:szCs w:val="27"/>
        </w:rPr>
        <w:t>Signed…</w:t>
      </w:r>
      <w:r w:rsidR="00BE3183">
        <w:rPr>
          <w:color w:val="000000"/>
          <w:sz w:val="27"/>
          <w:szCs w:val="27"/>
        </w:rPr>
        <w:t>N.AKHTAR</w:t>
      </w:r>
      <w:r>
        <w:rPr>
          <w:color w:val="000000"/>
          <w:sz w:val="27"/>
          <w:szCs w:val="27"/>
        </w:rPr>
        <w:t>………………………………………….</w:t>
      </w:r>
    </w:p>
    <w:p w14:paraId="2781525D" w14:textId="77777777" w:rsidR="0034564A" w:rsidRDefault="0034564A" w:rsidP="0034564A">
      <w:pPr>
        <w:pStyle w:val="NormalWeb"/>
        <w:rPr>
          <w:color w:val="000000"/>
          <w:sz w:val="27"/>
          <w:szCs w:val="27"/>
        </w:rPr>
      </w:pPr>
      <w:r>
        <w:rPr>
          <w:color w:val="000000"/>
          <w:sz w:val="27"/>
          <w:szCs w:val="27"/>
        </w:rPr>
        <w:t>Date………………………………………………</w:t>
      </w:r>
    </w:p>
    <w:p w14:paraId="2741797A" w14:textId="77777777" w:rsidR="0034564A" w:rsidRDefault="0034564A" w:rsidP="0034564A">
      <w:pPr>
        <w:pStyle w:val="NormalWeb"/>
        <w:rPr>
          <w:color w:val="000000"/>
          <w:sz w:val="27"/>
          <w:szCs w:val="27"/>
        </w:rPr>
      </w:pPr>
      <w:r>
        <w:rPr>
          <w:color w:val="000000"/>
          <w:sz w:val="27"/>
          <w:szCs w:val="27"/>
        </w:rPr>
        <w:t>STATEMENT 2</w:t>
      </w:r>
    </w:p>
    <w:p w14:paraId="15DDFFEF" w14:textId="77777777" w:rsidR="0034564A" w:rsidRDefault="0034564A" w:rsidP="0034564A">
      <w:pPr>
        <w:pStyle w:val="NormalWeb"/>
        <w:rPr>
          <w:color w:val="000000"/>
          <w:sz w:val="27"/>
          <w:szCs w:val="27"/>
        </w:rPr>
      </w:pPr>
      <w:r>
        <w:rPr>
          <w:color w:val="000000"/>
          <w:sz w:val="27"/>
          <w:szCs w:val="27"/>
        </w:rPr>
        <w:t>This dissertation is the result of my own independent work/investigation, except where otherwise stated. Other sources are acknowledged by footnotes giving explicit references. A bibliography is appended.</w:t>
      </w:r>
    </w:p>
    <w:p w14:paraId="00B039A9" w14:textId="7A2B75FB" w:rsidR="0034564A" w:rsidRDefault="0034564A" w:rsidP="0034564A">
      <w:pPr>
        <w:pStyle w:val="NormalWeb"/>
        <w:rPr>
          <w:color w:val="000000"/>
          <w:sz w:val="27"/>
          <w:szCs w:val="27"/>
        </w:rPr>
      </w:pPr>
      <w:r>
        <w:rPr>
          <w:color w:val="000000"/>
          <w:sz w:val="27"/>
          <w:szCs w:val="27"/>
        </w:rPr>
        <w:t>Signed…</w:t>
      </w:r>
      <w:r w:rsidR="00BE3183">
        <w:rPr>
          <w:color w:val="000000"/>
          <w:sz w:val="27"/>
          <w:szCs w:val="27"/>
        </w:rPr>
        <w:t>N.AKHTAR</w:t>
      </w:r>
      <w:r>
        <w:rPr>
          <w:color w:val="000000"/>
          <w:sz w:val="27"/>
          <w:szCs w:val="27"/>
        </w:rPr>
        <w:t>…………………………………………</w:t>
      </w:r>
    </w:p>
    <w:p w14:paraId="03A0C6F7" w14:textId="77777777" w:rsidR="0034564A" w:rsidRDefault="0034564A" w:rsidP="0034564A">
      <w:pPr>
        <w:pStyle w:val="NormalWeb"/>
        <w:rPr>
          <w:color w:val="000000"/>
          <w:sz w:val="27"/>
          <w:szCs w:val="27"/>
        </w:rPr>
      </w:pPr>
      <w:r>
        <w:rPr>
          <w:color w:val="000000"/>
          <w:sz w:val="27"/>
          <w:szCs w:val="27"/>
        </w:rPr>
        <w:t>Date………………………………………………</w:t>
      </w:r>
    </w:p>
    <w:p w14:paraId="49FD988B" w14:textId="77777777" w:rsidR="0034564A" w:rsidRDefault="0034564A" w:rsidP="0034564A">
      <w:pPr>
        <w:pStyle w:val="NormalWeb"/>
        <w:rPr>
          <w:color w:val="000000"/>
          <w:sz w:val="27"/>
          <w:szCs w:val="27"/>
        </w:rPr>
      </w:pPr>
      <w:r>
        <w:rPr>
          <w:color w:val="000000"/>
          <w:sz w:val="27"/>
          <w:szCs w:val="27"/>
        </w:rPr>
        <w:t>STATEMENT 3</w:t>
      </w:r>
    </w:p>
    <w:p w14:paraId="20D1F548" w14:textId="77777777" w:rsidR="0034564A" w:rsidRDefault="0034564A" w:rsidP="0034564A">
      <w:pPr>
        <w:pStyle w:val="NormalWeb"/>
        <w:rPr>
          <w:color w:val="000000"/>
          <w:sz w:val="27"/>
          <w:szCs w:val="27"/>
        </w:rPr>
      </w:pPr>
      <w:r>
        <w:rPr>
          <w:color w:val="000000"/>
          <w:sz w:val="27"/>
          <w:szCs w:val="27"/>
        </w:rPr>
        <w:t>I hereby give consent for my dissertation, if accepted, to be available for photocopying and for interlibrary loan, and for the title and summary to be made available to outside organisations.</w:t>
      </w:r>
    </w:p>
    <w:p w14:paraId="31BB8B25" w14:textId="1C32A1BE" w:rsidR="0034564A" w:rsidRDefault="0034564A" w:rsidP="0034564A">
      <w:pPr>
        <w:pStyle w:val="NormalWeb"/>
        <w:rPr>
          <w:color w:val="000000"/>
          <w:sz w:val="27"/>
          <w:szCs w:val="27"/>
        </w:rPr>
      </w:pPr>
      <w:r>
        <w:rPr>
          <w:color w:val="000000"/>
          <w:sz w:val="27"/>
          <w:szCs w:val="27"/>
        </w:rPr>
        <w:t>Signed…</w:t>
      </w:r>
      <w:r w:rsidR="00BE3183">
        <w:rPr>
          <w:color w:val="000000"/>
          <w:sz w:val="27"/>
          <w:szCs w:val="27"/>
        </w:rPr>
        <w:t>N.AKHTAR</w:t>
      </w:r>
      <w:r>
        <w:rPr>
          <w:color w:val="000000"/>
          <w:sz w:val="27"/>
          <w:szCs w:val="27"/>
        </w:rPr>
        <w:t>……………………………………………</w:t>
      </w:r>
    </w:p>
    <w:p w14:paraId="02D5E8EE" w14:textId="77777777" w:rsidR="0034564A" w:rsidRDefault="0034564A" w:rsidP="0034564A">
      <w:pPr>
        <w:pStyle w:val="NormalWeb"/>
        <w:rPr>
          <w:color w:val="000000"/>
          <w:sz w:val="27"/>
          <w:szCs w:val="27"/>
        </w:rPr>
      </w:pPr>
      <w:r>
        <w:rPr>
          <w:color w:val="000000"/>
          <w:sz w:val="27"/>
          <w:szCs w:val="27"/>
        </w:rPr>
        <w:t>Date…………………………………………………</w:t>
      </w:r>
    </w:p>
    <w:p w14:paraId="6355A7CF" w14:textId="77777777" w:rsidR="0034564A" w:rsidRDefault="0034564A" w:rsidP="0034564A">
      <w:pPr>
        <w:pStyle w:val="NormalWeb"/>
        <w:rPr>
          <w:color w:val="000000"/>
          <w:sz w:val="27"/>
          <w:szCs w:val="27"/>
        </w:rPr>
      </w:pPr>
      <w:r>
        <w:rPr>
          <w:color w:val="000000"/>
          <w:sz w:val="27"/>
          <w:szCs w:val="27"/>
        </w:rPr>
        <w:t>STATEMENT 4</w:t>
      </w:r>
    </w:p>
    <w:p w14:paraId="681396A0" w14:textId="77777777" w:rsidR="0034564A" w:rsidRDefault="0034564A" w:rsidP="0034564A">
      <w:pPr>
        <w:pStyle w:val="NormalWeb"/>
        <w:rPr>
          <w:color w:val="000000"/>
          <w:sz w:val="27"/>
          <w:szCs w:val="27"/>
        </w:rPr>
      </w:pPr>
      <w:r>
        <w:rPr>
          <w:color w:val="000000"/>
          <w:sz w:val="27"/>
          <w:szCs w:val="27"/>
        </w:rPr>
        <w:t>I hereby give consent for my dissertation, if accepted, to be available on the university’s IT system to those who have consent to use the system.</w:t>
      </w:r>
    </w:p>
    <w:p w14:paraId="52867495" w14:textId="1C44E7B5" w:rsidR="0034564A" w:rsidRDefault="0034564A" w:rsidP="0034564A">
      <w:pPr>
        <w:pStyle w:val="NormalWeb"/>
        <w:rPr>
          <w:color w:val="000000"/>
          <w:sz w:val="27"/>
          <w:szCs w:val="27"/>
        </w:rPr>
      </w:pPr>
      <w:r>
        <w:rPr>
          <w:color w:val="000000"/>
          <w:sz w:val="27"/>
          <w:szCs w:val="27"/>
        </w:rPr>
        <w:t>Signed…</w:t>
      </w:r>
      <w:r w:rsidR="00B9791D">
        <w:rPr>
          <w:color w:val="000000"/>
          <w:sz w:val="27"/>
          <w:szCs w:val="27"/>
        </w:rPr>
        <w:t>N</w:t>
      </w:r>
      <w:r w:rsidR="000A0965">
        <w:rPr>
          <w:color w:val="000000"/>
          <w:sz w:val="27"/>
          <w:szCs w:val="27"/>
        </w:rPr>
        <w:t>.AKHTAR</w:t>
      </w:r>
      <w:r>
        <w:rPr>
          <w:color w:val="000000"/>
          <w:sz w:val="27"/>
          <w:szCs w:val="27"/>
        </w:rPr>
        <w:t>……………………………………………</w:t>
      </w:r>
    </w:p>
    <w:p w14:paraId="0B3346A8" w14:textId="77777777" w:rsidR="0034564A" w:rsidRDefault="0034564A" w:rsidP="0034564A">
      <w:pPr>
        <w:pStyle w:val="NormalWeb"/>
        <w:rPr>
          <w:color w:val="000000"/>
          <w:sz w:val="27"/>
          <w:szCs w:val="27"/>
        </w:rPr>
      </w:pPr>
      <w:r>
        <w:rPr>
          <w:color w:val="000000"/>
          <w:sz w:val="27"/>
          <w:szCs w:val="27"/>
        </w:rPr>
        <w:t>Date…………………………………………………</w:t>
      </w:r>
    </w:p>
    <w:p w14:paraId="22F828C1" w14:textId="77777777" w:rsidR="00EA3CD7" w:rsidRDefault="00EA3CD7" w:rsidP="0034564A">
      <w:pPr>
        <w:pStyle w:val="NormalWeb"/>
        <w:rPr>
          <w:rFonts w:ascii="Arial" w:eastAsia="Calibri" w:hAnsi="Arial" w:cs="Arial"/>
          <w:b/>
          <w:bCs/>
          <w:sz w:val="44"/>
          <w:szCs w:val="44"/>
        </w:rPr>
      </w:pPr>
    </w:p>
    <w:p w14:paraId="2D352FBF" w14:textId="77777777" w:rsidR="00EA3CD7" w:rsidRDefault="00EA3CD7" w:rsidP="0034564A">
      <w:pPr>
        <w:pStyle w:val="NormalWeb"/>
        <w:rPr>
          <w:rFonts w:ascii="Arial" w:eastAsia="Calibri" w:hAnsi="Arial" w:cs="Arial"/>
          <w:b/>
          <w:bCs/>
          <w:sz w:val="44"/>
          <w:szCs w:val="44"/>
        </w:rPr>
      </w:pPr>
    </w:p>
    <w:p w14:paraId="37B2F197" w14:textId="2540421E" w:rsidR="00445FCF" w:rsidRDefault="00445FCF" w:rsidP="0034564A">
      <w:pPr>
        <w:pStyle w:val="NormalWeb"/>
        <w:rPr>
          <w:rFonts w:ascii="Arial" w:eastAsia="Calibri" w:hAnsi="Arial" w:cs="Arial"/>
          <w:b/>
          <w:bCs/>
          <w:sz w:val="44"/>
          <w:szCs w:val="44"/>
        </w:rPr>
      </w:pPr>
      <w:r w:rsidRPr="00445FCF">
        <w:rPr>
          <w:rFonts w:ascii="Arial" w:eastAsia="Calibri" w:hAnsi="Arial" w:cs="Arial"/>
          <w:b/>
          <w:bCs/>
          <w:sz w:val="44"/>
          <w:szCs w:val="44"/>
        </w:rPr>
        <w:t>The COVID-19 Pandemic's Impact on the Mental Health and Coping Mechanisms of Healthcare Workers</w:t>
      </w:r>
    </w:p>
    <w:p w14:paraId="4F226F50" w14:textId="6F3105A0" w:rsidR="00817F0C" w:rsidRDefault="00817F0C" w:rsidP="0034564A">
      <w:pPr>
        <w:pStyle w:val="NormalWeb"/>
        <w:rPr>
          <w:rFonts w:ascii="Arial" w:eastAsia="Calibri" w:hAnsi="Arial" w:cs="Arial"/>
          <w:b/>
          <w:bCs/>
          <w:sz w:val="44"/>
          <w:szCs w:val="44"/>
        </w:rPr>
      </w:pPr>
      <w:r>
        <w:rPr>
          <w:rFonts w:ascii="Arial" w:eastAsia="Calibri" w:hAnsi="Arial" w:cs="Arial"/>
          <w:b/>
          <w:bCs/>
          <w:sz w:val="44"/>
          <w:szCs w:val="44"/>
        </w:rPr>
        <w:t xml:space="preserve">Nasreen Akhtar </w:t>
      </w:r>
      <w:r w:rsidR="002E2CF2">
        <w:rPr>
          <w:rFonts w:ascii="Arial" w:eastAsia="Calibri" w:hAnsi="Arial" w:cs="Arial"/>
          <w:b/>
          <w:bCs/>
          <w:sz w:val="44"/>
          <w:szCs w:val="44"/>
        </w:rPr>
        <w:t>/ 2132945</w:t>
      </w:r>
    </w:p>
    <w:p w14:paraId="2D36EE3F" w14:textId="375C92F0" w:rsidR="002E2CF2" w:rsidRDefault="001E290D" w:rsidP="0034564A">
      <w:pPr>
        <w:pStyle w:val="NormalWeb"/>
        <w:rPr>
          <w:color w:val="000000"/>
          <w:sz w:val="27"/>
          <w:szCs w:val="27"/>
        </w:rPr>
      </w:pPr>
      <w:r>
        <w:rPr>
          <w:color w:val="000000"/>
          <w:sz w:val="27"/>
          <w:szCs w:val="27"/>
        </w:rPr>
        <w:t>Dissertation submitted as part of the requirements for the award BSc (Hons) Health and Social Care</w:t>
      </w:r>
    </w:p>
    <w:p w14:paraId="010F037E" w14:textId="77777777" w:rsidR="00EA3CD7" w:rsidRDefault="00EA3CD7" w:rsidP="0034564A">
      <w:pPr>
        <w:pStyle w:val="NormalWeb"/>
        <w:rPr>
          <w:b/>
          <w:bCs/>
          <w:color w:val="000000"/>
          <w:sz w:val="44"/>
          <w:szCs w:val="44"/>
        </w:rPr>
      </w:pPr>
    </w:p>
    <w:p w14:paraId="4B3B159B" w14:textId="77777777" w:rsidR="00EA3CD7" w:rsidRDefault="00EA3CD7" w:rsidP="0034564A">
      <w:pPr>
        <w:pStyle w:val="NormalWeb"/>
        <w:rPr>
          <w:b/>
          <w:bCs/>
          <w:color w:val="000000"/>
          <w:sz w:val="44"/>
          <w:szCs w:val="44"/>
        </w:rPr>
      </w:pPr>
    </w:p>
    <w:p w14:paraId="2DDEFAE8" w14:textId="77777777" w:rsidR="00EA3CD7" w:rsidRDefault="00EA3CD7" w:rsidP="0034564A">
      <w:pPr>
        <w:pStyle w:val="NormalWeb"/>
        <w:rPr>
          <w:b/>
          <w:bCs/>
          <w:color w:val="000000"/>
          <w:sz w:val="44"/>
          <w:szCs w:val="44"/>
        </w:rPr>
      </w:pPr>
    </w:p>
    <w:p w14:paraId="35AFA459" w14:textId="77777777" w:rsidR="00EA3CD7" w:rsidRDefault="00EA3CD7" w:rsidP="0034564A">
      <w:pPr>
        <w:pStyle w:val="NormalWeb"/>
        <w:rPr>
          <w:b/>
          <w:bCs/>
          <w:color w:val="000000"/>
          <w:sz w:val="44"/>
          <w:szCs w:val="44"/>
        </w:rPr>
      </w:pPr>
    </w:p>
    <w:p w14:paraId="04C6E844" w14:textId="77777777" w:rsidR="00EA3CD7" w:rsidRDefault="00EA3CD7" w:rsidP="0034564A">
      <w:pPr>
        <w:pStyle w:val="NormalWeb"/>
        <w:rPr>
          <w:b/>
          <w:bCs/>
          <w:color w:val="000000"/>
          <w:sz w:val="44"/>
          <w:szCs w:val="44"/>
        </w:rPr>
      </w:pPr>
    </w:p>
    <w:p w14:paraId="0885BFD6" w14:textId="77777777" w:rsidR="00EA3CD7" w:rsidRDefault="00EA3CD7" w:rsidP="0034564A">
      <w:pPr>
        <w:pStyle w:val="NormalWeb"/>
        <w:rPr>
          <w:b/>
          <w:bCs/>
          <w:color w:val="000000"/>
          <w:sz w:val="44"/>
          <w:szCs w:val="44"/>
        </w:rPr>
      </w:pPr>
    </w:p>
    <w:p w14:paraId="1088736A" w14:textId="77777777" w:rsidR="00EA3CD7" w:rsidRDefault="00EA3CD7" w:rsidP="0034564A">
      <w:pPr>
        <w:pStyle w:val="NormalWeb"/>
        <w:rPr>
          <w:b/>
          <w:bCs/>
          <w:color w:val="000000"/>
          <w:sz w:val="44"/>
          <w:szCs w:val="44"/>
        </w:rPr>
      </w:pPr>
    </w:p>
    <w:p w14:paraId="38C47552" w14:textId="77777777" w:rsidR="00EA3CD7" w:rsidRDefault="00EA3CD7" w:rsidP="0034564A">
      <w:pPr>
        <w:pStyle w:val="NormalWeb"/>
        <w:rPr>
          <w:b/>
          <w:bCs/>
          <w:color w:val="000000"/>
          <w:sz w:val="44"/>
          <w:szCs w:val="44"/>
        </w:rPr>
      </w:pPr>
    </w:p>
    <w:p w14:paraId="16B4BF2E" w14:textId="77777777" w:rsidR="00EA3CD7" w:rsidRDefault="00EA3CD7" w:rsidP="0034564A">
      <w:pPr>
        <w:pStyle w:val="NormalWeb"/>
        <w:rPr>
          <w:b/>
          <w:bCs/>
          <w:color w:val="000000"/>
          <w:sz w:val="44"/>
          <w:szCs w:val="44"/>
        </w:rPr>
      </w:pPr>
    </w:p>
    <w:p w14:paraId="20C325B2" w14:textId="77777777" w:rsidR="00EA3CD7" w:rsidRDefault="00EA3CD7" w:rsidP="0034564A">
      <w:pPr>
        <w:pStyle w:val="NormalWeb"/>
        <w:rPr>
          <w:b/>
          <w:bCs/>
          <w:color w:val="000000"/>
          <w:sz w:val="44"/>
          <w:szCs w:val="44"/>
        </w:rPr>
      </w:pPr>
    </w:p>
    <w:p w14:paraId="0F688DC1" w14:textId="77777777" w:rsidR="00EA3CD7" w:rsidRDefault="00EA3CD7" w:rsidP="0034564A">
      <w:pPr>
        <w:pStyle w:val="NormalWeb"/>
        <w:rPr>
          <w:b/>
          <w:bCs/>
          <w:color w:val="000000"/>
          <w:sz w:val="44"/>
          <w:szCs w:val="44"/>
        </w:rPr>
      </w:pPr>
    </w:p>
    <w:p w14:paraId="1B880DF6" w14:textId="020831BB" w:rsidR="00737FE9" w:rsidRPr="00445FCF" w:rsidRDefault="009955D4" w:rsidP="0034564A">
      <w:pPr>
        <w:pStyle w:val="NormalWeb"/>
        <w:rPr>
          <w:b/>
          <w:bCs/>
          <w:color w:val="000000"/>
          <w:sz w:val="44"/>
          <w:szCs w:val="44"/>
        </w:rPr>
      </w:pPr>
      <w:r>
        <w:rPr>
          <w:b/>
          <w:bCs/>
          <w:color w:val="000000"/>
          <w:sz w:val="44"/>
          <w:szCs w:val="44"/>
        </w:rPr>
        <w:lastRenderedPageBreak/>
        <w:t>A</w:t>
      </w:r>
      <w:r w:rsidR="00D370F2">
        <w:rPr>
          <w:b/>
          <w:bCs/>
          <w:color w:val="000000"/>
          <w:sz w:val="44"/>
          <w:szCs w:val="44"/>
        </w:rPr>
        <w:t>bstract</w:t>
      </w:r>
    </w:p>
    <w:p w14:paraId="58625706" w14:textId="77777777" w:rsidR="00EA3CD7" w:rsidRPr="00EA3CD7" w:rsidRDefault="00EA3CD7"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The COVID</w:t>
      </w:r>
      <w:r w:rsidRPr="00EA3CD7">
        <w:rPr>
          <w:rFonts w:ascii="Arial" w:eastAsia="Times New Roman" w:hAnsi="Arial" w:cs="Arial"/>
          <w:kern w:val="0"/>
          <w:sz w:val="22"/>
          <w:szCs w:val="22"/>
          <w:lang w:eastAsia="en-GB"/>
          <w14:ligatures w14:val="none"/>
        </w:rPr>
        <w:noBreakHyphen/>
        <w:t>19 pandemic, declared by the World Health Organisation in March 2020, placed immense pressure on global healthcare systems. Healthcare workers (HCWs)—including doctors, nurses, and support staff—found themselves at the centre of this crisis, dealing not only with the medical treatment of COVID</w:t>
      </w:r>
      <w:r w:rsidRPr="00EA3CD7">
        <w:rPr>
          <w:rFonts w:ascii="Arial" w:eastAsia="Times New Roman" w:hAnsi="Arial" w:cs="Arial"/>
          <w:kern w:val="0"/>
          <w:sz w:val="22"/>
          <w:szCs w:val="22"/>
          <w:lang w:eastAsia="en-GB"/>
          <w14:ligatures w14:val="none"/>
        </w:rPr>
        <w:noBreakHyphen/>
        <w:t>19 patients but also with significant psychological stress. This dissertation examines how the pandemic has impacted the mental health of HCWs, explores the coping strategies they employed, and evaluates the role of institutional support in ameliorating or exacerbating psychological strain.</w:t>
      </w:r>
    </w:p>
    <w:p w14:paraId="4FB159BF" w14:textId="77777777" w:rsidR="00EA3CD7" w:rsidRPr="00EA3CD7" w:rsidRDefault="00EA3CD7"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The study draws on a systematic review of international literature, identifying major mental health challenges including elevated levels of anxiety, depression, burnout, and post</w:t>
      </w:r>
      <w:r w:rsidRPr="00EA3CD7">
        <w:rPr>
          <w:rFonts w:ascii="Arial" w:eastAsia="Times New Roman" w:hAnsi="Arial" w:cs="Arial"/>
          <w:kern w:val="0"/>
          <w:sz w:val="22"/>
          <w:szCs w:val="22"/>
          <w:lang w:eastAsia="en-GB"/>
          <w14:ligatures w14:val="none"/>
        </w:rPr>
        <w:noBreakHyphen/>
        <w:t>traumatic stress disorder (PTSD). It locates key contributing factors: fear of infection (for self and family), inadequate personal protective equipment (PPE), exposure to frequent patient deaths, moral injury arising from difficult ethical decisions, long working hours, staff shortages, and lack of psychological recovery time.</w:t>
      </w:r>
    </w:p>
    <w:p w14:paraId="61CCC2AF" w14:textId="77777777" w:rsidR="00EA3CD7" w:rsidRPr="00EA3CD7" w:rsidRDefault="00EA3CD7"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Coping mechanisms are reviewed, distinguishing adaptive strategies such as peer support, resilience, mindfulness, structured routines, and access to mental health services, from maladaptive ones including avoidance, emotional withdrawal, substance use, and denial. Institutional support is shown to be crucial: where clear communication, psychological services, leadership commitment, and material resources were available, outcomes for HCWs were substantially better. However, numerous barriers—such as stigma around mental health, resource limitations, poor awareness of support, and time constraints—impeded access to help.</w:t>
      </w:r>
    </w:p>
    <w:p w14:paraId="0755ACAA" w14:textId="77777777" w:rsidR="00EA3CD7" w:rsidRPr="00EA3CD7" w:rsidRDefault="00EA3CD7"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The dissertation concludes by asserting that addressing HCWs’ mental health is essential for workforce sustainability and high</w:t>
      </w:r>
      <w:r w:rsidRPr="00EA3CD7">
        <w:rPr>
          <w:rFonts w:ascii="Arial" w:eastAsia="Times New Roman" w:hAnsi="Arial" w:cs="Arial"/>
          <w:kern w:val="0"/>
          <w:sz w:val="22"/>
          <w:szCs w:val="22"/>
          <w:lang w:eastAsia="en-GB"/>
          <w14:ligatures w14:val="none"/>
        </w:rPr>
        <w:noBreakHyphen/>
        <w:t>quality patient care. It offers recommendations for policy and practice: ensuring sufficient PPE, integrating mental health support into organisational protocols, improving communication, promoting resilience</w:t>
      </w:r>
      <w:r w:rsidRPr="00EA3CD7">
        <w:rPr>
          <w:rFonts w:ascii="Arial" w:eastAsia="Times New Roman" w:hAnsi="Arial" w:cs="Arial"/>
          <w:kern w:val="0"/>
          <w:sz w:val="22"/>
          <w:szCs w:val="22"/>
          <w:lang w:eastAsia="en-GB"/>
          <w14:ligatures w14:val="none"/>
        </w:rPr>
        <w:noBreakHyphen/>
        <w:t>building, and developing proactive and systemic interventions.</w:t>
      </w:r>
    </w:p>
    <w:p w14:paraId="7CCD973F"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2"/>
        <w:rPr>
          <w:rFonts w:ascii="Arial" w:eastAsia="Times New Roman" w:hAnsi="Arial" w:cs="Arial"/>
          <w:b/>
          <w:bCs/>
          <w:kern w:val="0"/>
          <w:sz w:val="22"/>
          <w:szCs w:val="22"/>
          <w:lang w:eastAsia="en-GB"/>
          <w14:ligatures w14:val="none"/>
        </w:rPr>
      </w:pPr>
    </w:p>
    <w:p w14:paraId="76305381"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2"/>
        <w:rPr>
          <w:rFonts w:ascii="Arial" w:eastAsia="Times New Roman" w:hAnsi="Arial" w:cs="Arial"/>
          <w:b/>
          <w:bCs/>
          <w:kern w:val="0"/>
          <w:sz w:val="22"/>
          <w:szCs w:val="22"/>
          <w:lang w:eastAsia="en-GB"/>
          <w14:ligatures w14:val="none"/>
        </w:rPr>
      </w:pPr>
    </w:p>
    <w:p w14:paraId="3892A629" w14:textId="77777777" w:rsidR="0034564A" w:rsidRPr="00EA3CD7" w:rsidRDefault="0034564A" w:rsidP="00EA3CD7">
      <w:pPr>
        <w:tabs>
          <w:tab w:val="left" w:pos="426"/>
          <w:tab w:val="left" w:pos="851"/>
        </w:tabs>
        <w:spacing w:before="100" w:beforeAutospacing="1" w:after="100" w:afterAutospacing="1" w:line="360" w:lineRule="auto"/>
        <w:ind w:left="851" w:hanging="851"/>
        <w:outlineLvl w:val="2"/>
        <w:rPr>
          <w:rFonts w:ascii="Arial" w:eastAsia="Times New Roman" w:hAnsi="Arial" w:cs="Arial"/>
          <w:b/>
          <w:bCs/>
          <w:kern w:val="0"/>
          <w:sz w:val="22"/>
          <w:szCs w:val="22"/>
          <w:lang w:eastAsia="en-GB"/>
          <w14:ligatures w14:val="none"/>
        </w:rPr>
      </w:pPr>
    </w:p>
    <w:p w14:paraId="00CBA46A"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2"/>
        <w:rPr>
          <w:rFonts w:ascii="Arial" w:eastAsia="Times New Roman" w:hAnsi="Arial" w:cs="Arial"/>
          <w:b/>
          <w:bCs/>
          <w:kern w:val="0"/>
          <w:sz w:val="22"/>
          <w:szCs w:val="22"/>
          <w:lang w:eastAsia="en-GB"/>
          <w14:ligatures w14:val="none"/>
        </w:rPr>
      </w:pPr>
    </w:p>
    <w:p w14:paraId="090EBEAD"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2"/>
        <w:rPr>
          <w:rFonts w:ascii="Arial" w:eastAsia="Times New Roman" w:hAnsi="Arial" w:cs="Arial"/>
          <w:b/>
          <w:bCs/>
          <w:kern w:val="0"/>
          <w:sz w:val="22"/>
          <w:szCs w:val="22"/>
          <w:lang w:eastAsia="en-GB"/>
          <w14:ligatures w14:val="none"/>
        </w:rPr>
      </w:pPr>
    </w:p>
    <w:p w14:paraId="7711E4DB"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2"/>
        <w:rPr>
          <w:rFonts w:ascii="Arial" w:eastAsia="Times New Roman" w:hAnsi="Arial" w:cs="Arial"/>
          <w:b/>
          <w:bCs/>
          <w:kern w:val="0"/>
          <w:sz w:val="22"/>
          <w:szCs w:val="22"/>
          <w:lang w:eastAsia="en-GB"/>
          <w14:ligatures w14:val="none"/>
        </w:rPr>
      </w:pPr>
    </w:p>
    <w:p w14:paraId="16BAA58A"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2"/>
        <w:rPr>
          <w:rFonts w:ascii="Arial" w:eastAsia="Times New Roman" w:hAnsi="Arial" w:cs="Arial"/>
          <w:b/>
          <w:bCs/>
          <w:kern w:val="0"/>
          <w:sz w:val="22"/>
          <w:szCs w:val="22"/>
          <w:lang w:eastAsia="en-GB"/>
          <w14:ligatures w14:val="none"/>
        </w:rPr>
      </w:pPr>
    </w:p>
    <w:p w14:paraId="266D3A9B"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2"/>
        <w:rPr>
          <w:rFonts w:ascii="Arial" w:eastAsia="Times New Roman" w:hAnsi="Arial" w:cs="Arial"/>
          <w:b/>
          <w:bCs/>
          <w:kern w:val="0"/>
          <w:sz w:val="22"/>
          <w:szCs w:val="22"/>
          <w:lang w:eastAsia="en-GB"/>
          <w14:ligatures w14:val="none"/>
        </w:rPr>
      </w:pPr>
    </w:p>
    <w:p w14:paraId="537238E3" w14:textId="3912EF25" w:rsidR="0000573A" w:rsidRPr="00EA3CD7" w:rsidRDefault="0000573A" w:rsidP="00EA3CD7">
      <w:pPr>
        <w:tabs>
          <w:tab w:val="left" w:pos="426"/>
          <w:tab w:val="left" w:pos="851"/>
        </w:tabs>
        <w:spacing w:before="100" w:beforeAutospacing="1" w:after="100" w:afterAutospacing="1" w:line="360" w:lineRule="auto"/>
        <w:ind w:left="851" w:hanging="851"/>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Table of Contents</w:t>
      </w:r>
    </w:p>
    <w:p w14:paraId="5FFD4E47" w14:textId="77777777" w:rsidR="0000573A" w:rsidRPr="00EA3CD7" w:rsidRDefault="0000573A" w:rsidP="00EA3CD7">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Title Page</w:t>
      </w:r>
    </w:p>
    <w:p w14:paraId="13B0F6A0" w14:textId="77777777" w:rsidR="0000573A" w:rsidRPr="00EA3CD7" w:rsidRDefault="0000573A" w:rsidP="00EA3CD7">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Acknowledgements</w:t>
      </w:r>
      <w:r w:rsidRPr="00EA3CD7">
        <w:rPr>
          <w:rFonts w:ascii="Arial" w:eastAsia="Times New Roman" w:hAnsi="Arial" w:cs="Arial"/>
          <w:kern w:val="0"/>
          <w:sz w:val="22"/>
          <w:szCs w:val="22"/>
          <w:lang w:eastAsia="en-GB"/>
          <w14:ligatures w14:val="none"/>
        </w:rPr>
        <w:t xml:space="preserve"> </w:t>
      </w:r>
      <w:r w:rsidRPr="00EA3CD7">
        <w:rPr>
          <w:rFonts w:ascii="Arial" w:eastAsia="Times New Roman" w:hAnsi="Arial" w:cs="Arial"/>
          <w:i/>
          <w:iCs/>
          <w:kern w:val="0"/>
          <w:sz w:val="22"/>
          <w:szCs w:val="22"/>
          <w:lang w:eastAsia="en-GB"/>
          <w14:ligatures w14:val="none"/>
        </w:rPr>
        <w:t>(Optional)</w:t>
      </w:r>
    </w:p>
    <w:p w14:paraId="06F22322" w14:textId="77777777" w:rsidR="0000573A" w:rsidRPr="00EA3CD7" w:rsidRDefault="0000573A" w:rsidP="00EA3CD7">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Abstract</w:t>
      </w:r>
    </w:p>
    <w:p w14:paraId="123A7C03" w14:textId="77777777" w:rsidR="0000573A" w:rsidRPr="00EA3CD7" w:rsidRDefault="0000573A" w:rsidP="00EA3CD7">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Table of Contents</w:t>
      </w:r>
    </w:p>
    <w:p w14:paraId="68B43C74" w14:textId="77777777" w:rsidR="0000573A" w:rsidRPr="00EA3CD7" w:rsidRDefault="0000573A" w:rsidP="00EA3CD7">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Chapter 1: Introduction</w:t>
      </w:r>
      <w:r w:rsidRPr="00EA3CD7">
        <w:rPr>
          <w:rFonts w:ascii="Arial" w:eastAsia="Times New Roman" w:hAnsi="Arial" w:cs="Arial"/>
          <w:kern w:val="0"/>
          <w:sz w:val="22"/>
          <w:szCs w:val="22"/>
          <w:lang w:eastAsia="en-GB"/>
          <w14:ligatures w14:val="none"/>
        </w:rPr>
        <w:br/>
        <w:t>1.1. Background</w:t>
      </w:r>
      <w:r w:rsidRPr="00EA3CD7">
        <w:rPr>
          <w:rFonts w:ascii="Arial" w:eastAsia="Times New Roman" w:hAnsi="Arial" w:cs="Arial"/>
          <w:kern w:val="0"/>
          <w:sz w:val="22"/>
          <w:szCs w:val="22"/>
          <w:lang w:eastAsia="en-GB"/>
          <w14:ligatures w14:val="none"/>
        </w:rPr>
        <w:br/>
        <w:t>1.2. Problem Statement</w:t>
      </w:r>
      <w:r w:rsidRPr="00EA3CD7">
        <w:rPr>
          <w:rFonts w:ascii="Arial" w:eastAsia="Times New Roman" w:hAnsi="Arial" w:cs="Arial"/>
          <w:kern w:val="0"/>
          <w:sz w:val="22"/>
          <w:szCs w:val="22"/>
          <w:lang w:eastAsia="en-GB"/>
          <w14:ligatures w14:val="none"/>
        </w:rPr>
        <w:br/>
        <w:t>1.3. Research Aims and Objectives</w:t>
      </w:r>
      <w:r w:rsidRPr="00EA3CD7">
        <w:rPr>
          <w:rFonts w:ascii="Arial" w:eastAsia="Times New Roman" w:hAnsi="Arial" w:cs="Arial"/>
          <w:kern w:val="0"/>
          <w:sz w:val="22"/>
          <w:szCs w:val="22"/>
          <w:lang w:eastAsia="en-GB"/>
          <w14:ligatures w14:val="none"/>
        </w:rPr>
        <w:br/>
        <w:t>1.4. Research Questions</w:t>
      </w:r>
    </w:p>
    <w:p w14:paraId="65802546" w14:textId="77777777" w:rsidR="0000573A" w:rsidRPr="00EA3CD7" w:rsidRDefault="0000573A" w:rsidP="00EA3CD7">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Chapter 2: Literature Review</w:t>
      </w:r>
      <w:r w:rsidRPr="00EA3CD7">
        <w:rPr>
          <w:rFonts w:ascii="Arial" w:eastAsia="Times New Roman" w:hAnsi="Arial" w:cs="Arial"/>
          <w:kern w:val="0"/>
          <w:sz w:val="22"/>
          <w:szCs w:val="22"/>
          <w:lang w:eastAsia="en-GB"/>
          <w14:ligatures w14:val="none"/>
        </w:rPr>
        <w:br/>
        <w:t>2.1. Impact of Pandemics on Healthcare Workers’ Mental Health</w:t>
      </w:r>
      <w:r w:rsidRPr="00EA3CD7">
        <w:rPr>
          <w:rFonts w:ascii="Arial" w:eastAsia="Times New Roman" w:hAnsi="Arial" w:cs="Arial"/>
          <w:kern w:val="0"/>
          <w:sz w:val="22"/>
          <w:szCs w:val="22"/>
          <w:lang w:eastAsia="en-GB"/>
          <w14:ligatures w14:val="none"/>
        </w:rPr>
        <w:br/>
        <w:t>2.2. Factors Contributing to Mental Health Strain</w:t>
      </w:r>
      <w:r w:rsidRPr="00EA3CD7">
        <w:rPr>
          <w:rFonts w:ascii="Arial" w:eastAsia="Times New Roman" w:hAnsi="Arial" w:cs="Arial"/>
          <w:kern w:val="0"/>
          <w:sz w:val="22"/>
          <w:szCs w:val="22"/>
          <w:lang w:eastAsia="en-GB"/>
          <w14:ligatures w14:val="none"/>
        </w:rPr>
        <w:br/>
        <w:t>2.3. Coping Mechanisms</w:t>
      </w:r>
      <w:r w:rsidRPr="00EA3CD7">
        <w:rPr>
          <w:rFonts w:ascii="Arial" w:eastAsia="Times New Roman" w:hAnsi="Arial" w:cs="Arial"/>
          <w:kern w:val="0"/>
          <w:sz w:val="22"/>
          <w:szCs w:val="22"/>
          <w:lang w:eastAsia="en-GB"/>
          <w14:ligatures w14:val="none"/>
        </w:rPr>
        <w:br/>
        <w:t>2.4. Institutional Support and Its Role</w:t>
      </w:r>
    </w:p>
    <w:p w14:paraId="0022E74B" w14:textId="77777777" w:rsidR="0000573A" w:rsidRPr="00EA3CD7" w:rsidRDefault="0000573A" w:rsidP="00EA3CD7">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Chapter 3: Methodology</w:t>
      </w:r>
      <w:r w:rsidRPr="00EA3CD7">
        <w:rPr>
          <w:rFonts w:ascii="Arial" w:eastAsia="Times New Roman" w:hAnsi="Arial" w:cs="Arial"/>
          <w:kern w:val="0"/>
          <w:sz w:val="22"/>
          <w:szCs w:val="22"/>
          <w:lang w:eastAsia="en-GB"/>
          <w14:ligatures w14:val="none"/>
        </w:rPr>
        <w:br/>
        <w:t>3.1. Research Design</w:t>
      </w:r>
      <w:r w:rsidRPr="00EA3CD7">
        <w:rPr>
          <w:rFonts w:ascii="Arial" w:eastAsia="Times New Roman" w:hAnsi="Arial" w:cs="Arial"/>
          <w:kern w:val="0"/>
          <w:sz w:val="22"/>
          <w:szCs w:val="22"/>
          <w:lang w:eastAsia="en-GB"/>
          <w14:ligatures w14:val="none"/>
        </w:rPr>
        <w:br/>
        <w:t>3.2. Data Collection Techniques</w:t>
      </w:r>
      <w:r w:rsidRPr="00EA3CD7">
        <w:rPr>
          <w:rFonts w:ascii="Arial" w:eastAsia="Times New Roman" w:hAnsi="Arial" w:cs="Arial"/>
          <w:kern w:val="0"/>
          <w:sz w:val="22"/>
          <w:szCs w:val="22"/>
          <w:lang w:eastAsia="en-GB"/>
          <w14:ligatures w14:val="none"/>
        </w:rPr>
        <w:br/>
        <w:t>3.3. Sample Selection</w:t>
      </w:r>
      <w:r w:rsidRPr="00EA3CD7">
        <w:rPr>
          <w:rFonts w:ascii="Arial" w:eastAsia="Times New Roman" w:hAnsi="Arial" w:cs="Arial"/>
          <w:kern w:val="0"/>
          <w:sz w:val="22"/>
          <w:szCs w:val="22"/>
          <w:lang w:eastAsia="en-GB"/>
          <w14:ligatures w14:val="none"/>
        </w:rPr>
        <w:br/>
        <w:t>3.4. Ethical Considerations</w:t>
      </w:r>
    </w:p>
    <w:p w14:paraId="560FDB32" w14:textId="77777777" w:rsidR="0000573A" w:rsidRPr="00EA3CD7" w:rsidRDefault="0000573A" w:rsidP="00EA3CD7">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Chapter 4: Results</w:t>
      </w:r>
    </w:p>
    <w:p w14:paraId="3958FAC9" w14:textId="77777777" w:rsidR="0000573A" w:rsidRPr="00EA3CD7" w:rsidRDefault="0000573A" w:rsidP="00EA3CD7">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Chapter 5: Discussion</w:t>
      </w:r>
    </w:p>
    <w:p w14:paraId="2599CF48" w14:textId="77777777" w:rsidR="0000573A" w:rsidRPr="00EA3CD7" w:rsidRDefault="0000573A" w:rsidP="00EA3CD7">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Chapter 6: Conclusion</w:t>
      </w:r>
    </w:p>
    <w:p w14:paraId="18B1C3F7" w14:textId="77777777" w:rsidR="0000573A" w:rsidRPr="00EA3CD7" w:rsidRDefault="0000573A" w:rsidP="00EA3CD7">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References</w:t>
      </w:r>
    </w:p>
    <w:p w14:paraId="76B7A728" w14:textId="77777777" w:rsidR="0000573A" w:rsidRPr="00EA3CD7" w:rsidRDefault="0000573A" w:rsidP="00EA3CD7">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Appendices</w:t>
      </w:r>
      <w:r w:rsidRPr="00EA3CD7">
        <w:rPr>
          <w:rFonts w:ascii="Arial" w:eastAsia="Times New Roman" w:hAnsi="Arial" w:cs="Arial"/>
          <w:kern w:val="0"/>
          <w:sz w:val="22"/>
          <w:szCs w:val="22"/>
          <w:lang w:eastAsia="en-GB"/>
          <w14:ligatures w14:val="none"/>
        </w:rPr>
        <w:t xml:space="preserve"> </w:t>
      </w:r>
    </w:p>
    <w:p w14:paraId="6461B804" w14:textId="77777777" w:rsidR="00EA3CD7" w:rsidRPr="00EA3CD7" w:rsidRDefault="00CC4425"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p>
    <w:p w14:paraId="2B9E4DEB"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p>
    <w:p w14:paraId="2F234C11"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p>
    <w:p w14:paraId="7C7FBD6F"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p>
    <w:p w14:paraId="6DD93F5F"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p>
    <w:p w14:paraId="2238AABF"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p>
    <w:p w14:paraId="7E948DDB" w14:textId="42611A3F" w:rsidR="0000573A" w:rsidRPr="00EA3CD7" w:rsidRDefault="00CC4425"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00573A" w:rsidRPr="00EA3CD7">
        <w:rPr>
          <w:rFonts w:ascii="Arial" w:eastAsia="Times New Roman" w:hAnsi="Arial" w:cs="Arial"/>
          <w:b/>
          <w:bCs/>
          <w:kern w:val="0"/>
          <w:sz w:val="22"/>
          <w:szCs w:val="22"/>
          <w:lang w:eastAsia="en-GB"/>
          <w14:ligatures w14:val="none"/>
        </w:rPr>
        <w:t>Background</w:t>
      </w:r>
    </w:p>
    <w:p w14:paraId="24131328" w14:textId="4041FCF9" w:rsidR="0000573A" w:rsidRPr="00EA3CD7" w:rsidRDefault="00CC4425" w:rsidP="00EA3CD7">
      <w:pPr>
        <w:tabs>
          <w:tab w:val="left" w:pos="426"/>
          <w:tab w:val="left" w:pos="851"/>
        </w:tabs>
        <w:spacing w:before="100" w:beforeAutospacing="1" w:after="100" w:afterAutospacing="1" w:line="360" w:lineRule="auto"/>
        <w:ind w:left="851" w:hanging="851"/>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00573A" w:rsidRPr="00EA3CD7">
        <w:rPr>
          <w:rFonts w:ascii="Arial" w:eastAsia="Times New Roman" w:hAnsi="Arial" w:cs="Arial"/>
          <w:kern w:val="0"/>
          <w:sz w:val="22"/>
          <w:szCs w:val="22"/>
          <w:lang w:eastAsia="en-GB"/>
          <w14:ligatures w14:val="none"/>
        </w:rPr>
        <w:t xml:space="preserve">The COVID-19 pandemic began in March 2020 and has greatly affected healthcare systems around the world. Healthcare workers (HCWs), such as doctors and nurses, have mainly responded to this crisis. They not only had to treat patients with COVID-19 but also deal with a lot of stress and pressure in their jobs (World Health </w:t>
      </w:r>
      <w:r w:rsidR="00AC7B7E" w:rsidRPr="00EA3CD7">
        <w:rPr>
          <w:rFonts w:ascii="Arial" w:eastAsia="Times New Roman" w:hAnsi="Arial" w:cs="Arial"/>
          <w:kern w:val="0"/>
          <w:sz w:val="22"/>
          <w:szCs w:val="22"/>
          <w:lang w:eastAsia="en-GB"/>
          <w14:ligatures w14:val="none"/>
        </w:rPr>
        <w:t>Organisation</w:t>
      </w:r>
      <w:r w:rsidR="0000573A" w:rsidRPr="00EA3CD7">
        <w:rPr>
          <w:rFonts w:ascii="Arial" w:eastAsia="Times New Roman" w:hAnsi="Arial" w:cs="Arial"/>
          <w:kern w:val="0"/>
          <w:sz w:val="22"/>
          <w:szCs w:val="22"/>
          <w:lang w:eastAsia="en-GB"/>
          <w14:ligatures w14:val="none"/>
        </w:rPr>
        <w:t>, 2020). The pandemic highlighted serious problems in healthcare, such as not having enough personal protective equipment (PPE), staff burnout, and fear of getting infected. The mental health of healthcare workers has become a major concern during this time (Greenberg et al., 2020).</w:t>
      </w:r>
      <w:r w:rsidR="0000573A" w:rsidRPr="00EA3CD7">
        <w:rPr>
          <w:rFonts w:ascii="Arial" w:eastAsia="Times New Roman" w:hAnsi="Arial" w:cs="Arial"/>
          <w:b/>
          <w:bCs/>
          <w:kern w:val="0"/>
          <w:sz w:val="22"/>
          <w:szCs w:val="22"/>
          <w:lang w:eastAsia="en-GB"/>
          <w14:ligatures w14:val="none"/>
        </w:rPr>
        <w:t xml:space="preserve"> </w:t>
      </w:r>
    </w:p>
    <w:p w14:paraId="0AD29E1B" w14:textId="12AF2EA8" w:rsidR="0000573A" w:rsidRPr="00EA3CD7" w:rsidRDefault="00CC4425" w:rsidP="00EA3CD7">
      <w:pPr>
        <w:tabs>
          <w:tab w:val="left" w:pos="426"/>
          <w:tab w:val="left" w:pos="851"/>
        </w:tabs>
        <w:spacing w:before="100" w:beforeAutospacing="1" w:after="100" w:afterAutospacing="1" w:line="360" w:lineRule="auto"/>
        <w:ind w:left="851" w:hanging="851"/>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00573A" w:rsidRPr="00EA3CD7">
        <w:rPr>
          <w:rFonts w:ascii="Arial" w:eastAsia="Times New Roman" w:hAnsi="Arial" w:cs="Arial"/>
          <w:b/>
          <w:bCs/>
          <w:kern w:val="0"/>
          <w:sz w:val="22"/>
          <w:szCs w:val="22"/>
          <w:lang w:eastAsia="en-GB"/>
          <w14:ligatures w14:val="none"/>
        </w:rPr>
        <w:t>Chapter 1: Introduction</w:t>
      </w:r>
    </w:p>
    <w:p w14:paraId="4D082A9B" w14:textId="48C549B5" w:rsidR="0000573A" w:rsidRPr="00EA3CD7" w:rsidRDefault="00CC4425" w:rsidP="00EA3CD7">
      <w:pPr>
        <w:pStyle w:val="NormalWeb"/>
        <w:tabs>
          <w:tab w:val="left" w:pos="426"/>
          <w:tab w:val="left" w:pos="851"/>
        </w:tabs>
        <w:spacing w:line="360" w:lineRule="auto"/>
        <w:ind w:left="851" w:hanging="851"/>
        <w:rPr>
          <w:rFonts w:ascii="Arial" w:hAnsi="Arial" w:cs="Arial"/>
          <w:sz w:val="22"/>
          <w:szCs w:val="22"/>
        </w:rPr>
      </w:pPr>
      <w:r w:rsidRPr="00EA3CD7">
        <w:rPr>
          <w:rFonts w:ascii="Arial" w:hAnsi="Arial" w:cs="Arial"/>
          <w:sz w:val="22"/>
          <w:szCs w:val="22"/>
        </w:rPr>
        <w:t xml:space="preserve">             </w:t>
      </w:r>
      <w:r w:rsidR="0000573A" w:rsidRPr="00EA3CD7">
        <w:rPr>
          <w:rFonts w:ascii="Arial" w:hAnsi="Arial" w:cs="Arial"/>
          <w:sz w:val="22"/>
          <w:szCs w:val="22"/>
        </w:rPr>
        <w:t>The COVID-19 pandemic has changed the world in many ways, and one of the most significant effects has been on the mental health of healthcare workers. These workers are the people on the front lines, providing care to those infected with the virus. They have faced enormous challenges, including long hours, increased workloads, fear of getting sick, and the emotional toll of caring for critically ill patients (Lai et al., 2020; Spoorthy et al., 2020).</w:t>
      </w:r>
    </w:p>
    <w:p w14:paraId="4D574A02" w14:textId="5306F68D" w:rsidR="0000573A" w:rsidRPr="00EA3CD7" w:rsidRDefault="00CC4425" w:rsidP="00EA3CD7">
      <w:pPr>
        <w:pStyle w:val="NormalWeb"/>
        <w:tabs>
          <w:tab w:val="left" w:pos="426"/>
          <w:tab w:val="left" w:pos="851"/>
        </w:tabs>
        <w:spacing w:line="360" w:lineRule="auto"/>
        <w:ind w:left="851" w:hanging="851"/>
        <w:rPr>
          <w:rFonts w:ascii="Arial" w:hAnsi="Arial" w:cs="Arial"/>
          <w:sz w:val="22"/>
          <w:szCs w:val="22"/>
        </w:rPr>
      </w:pPr>
      <w:r w:rsidRPr="00EA3CD7">
        <w:rPr>
          <w:rFonts w:ascii="Arial" w:hAnsi="Arial" w:cs="Arial"/>
          <w:sz w:val="22"/>
          <w:szCs w:val="22"/>
        </w:rPr>
        <w:t xml:space="preserve">              </w:t>
      </w:r>
      <w:r w:rsidR="0000573A" w:rsidRPr="00EA3CD7">
        <w:rPr>
          <w:rFonts w:ascii="Arial" w:hAnsi="Arial" w:cs="Arial"/>
          <w:sz w:val="22"/>
          <w:szCs w:val="22"/>
        </w:rPr>
        <w:t xml:space="preserve">As a result, many healthcare workers have experienced high levels of stress, anxiety, depression, and burnout (Zhang et al., 2020; Greenberg et al., 2020). This situation has raised important questions about how to support these workers during such a difficult time. Understanding their mental health needs and the strategies they use to cope with stress is essential for improving their well-being and providing better patient care (Buchanan et al., 2020; </w:t>
      </w:r>
      <w:proofErr w:type="spellStart"/>
      <w:r w:rsidR="0000573A" w:rsidRPr="00EA3CD7">
        <w:rPr>
          <w:rFonts w:ascii="Arial" w:hAnsi="Arial" w:cs="Arial"/>
          <w:sz w:val="22"/>
          <w:szCs w:val="22"/>
        </w:rPr>
        <w:t>Chekroud</w:t>
      </w:r>
      <w:proofErr w:type="spellEnd"/>
      <w:r w:rsidR="0000573A" w:rsidRPr="00EA3CD7">
        <w:rPr>
          <w:rFonts w:ascii="Arial" w:hAnsi="Arial" w:cs="Arial"/>
          <w:sz w:val="22"/>
          <w:szCs w:val="22"/>
        </w:rPr>
        <w:t xml:space="preserve"> et al., 2018).</w:t>
      </w:r>
    </w:p>
    <w:p w14:paraId="28BF166E" w14:textId="283F40D5" w:rsidR="0000573A" w:rsidRPr="00EA3CD7" w:rsidRDefault="00CC4425" w:rsidP="00EA3CD7">
      <w:pPr>
        <w:pStyle w:val="NormalWeb"/>
        <w:tabs>
          <w:tab w:val="left" w:pos="426"/>
          <w:tab w:val="left" w:pos="851"/>
        </w:tabs>
        <w:spacing w:line="360" w:lineRule="auto"/>
        <w:ind w:left="851" w:hanging="851"/>
        <w:rPr>
          <w:rFonts w:ascii="Arial" w:hAnsi="Arial" w:cs="Arial"/>
          <w:sz w:val="22"/>
          <w:szCs w:val="22"/>
        </w:rPr>
      </w:pPr>
      <w:r w:rsidRPr="00EA3CD7">
        <w:rPr>
          <w:rFonts w:ascii="Arial" w:hAnsi="Arial" w:cs="Arial"/>
          <w:sz w:val="22"/>
          <w:szCs w:val="22"/>
        </w:rPr>
        <w:t xml:space="preserve">              </w:t>
      </w:r>
      <w:r w:rsidR="0000573A" w:rsidRPr="00EA3CD7">
        <w:rPr>
          <w:rFonts w:ascii="Arial" w:hAnsi="Arial" w:cs="Arial"/>
          <w:sz w:val="22"/>
          <w:szCs w:val="22"/>
        </w:rPr>
        <w:t xml:space="preserve">In this dissertation, we will explore the impact of the COVID-19 pandemic on the mental health of healthcare workers. We will look at the challenges they faced and </w:t>
      </w:r>
      <w:r w:rsidR="0000573A" w:rsidRPr="00EA3CD7">
        <w:rPr>
          <w:rFonts w:ascii="Arial" w:hAnsi="Arial" w:cs="Arial"/>
          <w:sz w:val="22"/>
          <w:szCs w:val="22"/>
        </w:rPr>
        <w:lastRenderedPageBreak/>
        <w:t xml:space="preserve">the coping mechanisms they used to manage their stress. We will also examine the role of institutional support, which includes the resources and services provided by healthcare </w:t>
      </w:r>
      <w:r w:rsidRPr="00EA3CD7">
        <w:rPr>
          <w:rFonts w:ascii="Arial" w:hAnsi="Arial" w:cs="Arial"/>
          <w:sz w:val="22"/>
          <w:szCs w:val="22"/>
        </w:rPr>
        <w:t>organisations</w:t>
      </w:r>
      <w:r w:rsidR="0000573A" w:rsidRPr="00EA3CD7">
        <w:rPr>
          <w:rFonts w:ascii="Arial" w:hAnsi="Arial" w:cs="Arial"/>
          <w:sz w:val="22"/>
          <w:szCs w:val="22"/>
        </w:rPr>
        <w:t xml:space="preserve"> to help their employees (Cabarkapa et al., 2020; Wu et al., 2020).</w:t>
      </w:r>
    </w:p>
    <w:p w14:paraId="45CC3C6C" w14:textId="5C73DBCA" w:rsidR="0000573A" w:rsidRPr="00EA3CD7" w:rsidRDefault="00CC4425" w:rsidP="00EA3CD7">
      <w:pPr>
        <w:pStyle w:val="NormalWeb"/>
        <w:tabs>
          <w:tab w:val="left" w:pos="426"/>
          <w:tab w:val="left" w:pos="851"/>
        </w:tabs>
        <w:spacing w:line="360" w:lineRule="auto"/>
        <w:ind w:left="851" w:hanging="851"/>
        <w:rPr>
          <w:rFonts w:ascii="Arial" w:hAnsi="Arial" w:cs="Arial"/>
          <w:sz w:val="22"/>
          <w:szCs w:val="22"/>
        </w:rPr>
      </w:pPr>
      <w:r w:rsidRPr="00EA3CD7">
        <w:rPr>
          <w:rFonts w:ascii="Arial" w:hAnsi="Arial" w:cs="Arial"/>
          <w:sz w:val="22"/>
          <w:szCs w:val="22"/>
        </w:rPr>
        <w:t xml:space="preserve">             </w:t>
      </w:r>
      <w:r w:rsidR="0000573A" w:rsidRPr="00EA3CD7">
        <w:rPr>
          <w:rFonts w:ascii="Arial" w:hAnsi="Arial" w:cs="Arial"/>
          <w:sz w:val="22"/>
          <w:szCs w:val="22"/>
        </w:rPr>
        <w:t>The first chapter will discuss the background of the COVID-19 pandemic and its effects on healthcare systems worldwide. The second chapter will review the existing literature on mental health issues among healthcare workers during the pandemic and the coping strategies they employed. The third chapter will focus on the institutional support available to healthcare workers, highlighting its importance in promoting mental well-being (Shaukat et al., 2020; Spoorthy et al., 2020).</w:t>
      </w:r>
    </w:p>
    <w:p w14:paraId="4736D97E" w14:textId="38998027" w:rsidR="0000573A" w:rsidRPr="00EA3CD7" w:rsidRDefault="00CC4425" w:rsidP="00EA3CD7">
      <w:pPr>
        <w:pStyle w:val="NormalWeb"/>
        <w:tabs>
          <w:tab w:val="left" w:pos="426"/>
          <w:tab w:val="left" w:pos="851"/>
        </w:tabs>
        <w:spacing w:line="360" w:lineRule="auto"/>
        <w:ind w:left="851" w:hanging="851"/>
        <w:rPr>
          <w:rFonts w:ascii="Arial" w:hAnsi="Arial" w:cs="Arial"/>
          <w:sz w:val="22"/>
          <w:szCs w:val="22"/>
        </w:rPr>
      </w:pPr>
      <w:r w:rsidRPr="00EA3CD7">
        <w:rPr>
          <w:rFonts w:ascii="Arial" w:hAnsi="Arial" w:cs="Arial"/>
          <w:sz w:val="22"/>
          <w:szCs w:val="22"/>
        </w:rPr>
        <w:t xml:space="preserve">              </w:t>
      </w:r>
      <w:r w:rsidR="0000573A" w:rsidRPr="00EA3CD7">
        <w:rPr>
          <w:rFonts w:ascii="Arial" w:hAnsi="Arial" w:cs="Arial"/>
          <w:sz w:val="22"/>
          <w:szCs w:val="22"/>
        </w:rPr>
        <w:t>By the end of this dissertation, we hope to provide valuable insights into the mental health challenges faced by healthcare workers during the pandemic and the effective coping mechanisms and institutional support that can help them. This knowledge is crucial for developing strategies to better support healthcare workers in the future, ensuring they can continue to provide essential care without compromising their mental health.</w:t>
      </w:r>
    </w:p>
    <w:p w14:paraId="1E42A3F2" w14:textId="325A8FF8" w:rsidR="0000573A" w:rsidRPr="00EA3CD7" w:rsidRDefault="00CC4425"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00573A" w:rsidRPr="00EA3CD7">
        <w:rPr>
          <w:rFonts w:ascii="Arial" w:eastAsia="Times New Roman" w:hAnsi="Arial" w:cs="Arial"/>
          <w:b/>
          <w:bCs/>
          <w:kern w:val="0"/>
          <w:sz w:val="22"/>
          <w:szCs w:val="22"/>
          <w:lang w:eastAsia="en-GB"/>
          <w14:ligatures w14:val="none"/>
        </w:rPr>
        <w:t>Problem Statement</w:t>
      </w:r>
    </w:p>
    <w:p w14:paraId="7D984756" w14:textId="6F103CA5" w:rsidR="0000573A" w:rsidRPr="00EA3CD7" w:rsidRDefault="00CC4425"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00573A" w:rsidRPr="00EA3CD7">
        <w:rPr>
          <w:rFonts w:ascii="Arial" w:eastAsia="Times New Roman" w:hAnsi="Arial" w:cs="Arial"/>
          <w:kern w:val="0"/>
          <w:sz w:val="22"/>
          <w:szCs w:val="22"/>
          <w:lang w:eastAsia="en-GB"/>
          <w14:ligatures w14:val="none"/>
        </w:rPr>
        <w:t>Healthcare workers are especially at risk for mental health issues due to their work, particularly during crises like the COVID-19 pandemic. The pandemic has made existing mental health problems worse, leading to more cases of anxiety, depression, post-traumatic stress disorder (PTSD), and burnout (Lai et al., 2020). It is important to understand how the pandemic has affected the mental health of healthcare workers so that better support systems can be created for future emergencies (Cabarkapa et al., 2020).</w:t>
      </w:r>
    </w:p>
    <w:p w14:paraId="55F5B8EF" w14:textId="2F4E6A62" w:rsidR="0000573A" w:rsidRPr="00EA3CD7" w:rsidRDefault="00CC4425"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00573A" w:rsidRPr="00EA3CD7">
        <w:rPr>
          <w:rFonts w:ascii="Arial" w:eastAsia="Times New Roman" w:hAnsi="Arial" w:cs="Arial"/>
          <w:b/>
          <w:bCs/>
          <w:kern w:val="0"/>
          <w:sz w:val="22"/>
          <w:szCs w:val="22"/>
          <w:lang w:eastAsia="en-GB"/>
          <w14:ligatures w14:val="none"/>
        </w:rPr>
        <w:t>Research Aims and Objectives</w:t>
      </w:r>
    </w:p>
    <w:p w14:paraId="4EC48B0E" w14:textId="23B259EC" w:rsidR="0000573A" w:rsidRPr="00EA3CD7" w:rsidRDefault="00CC4425"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00573A" w:rsidRPr="00EA3CD7">
        <w:rPr>
          <w:rFonts w:ascii="Arial" w:eastAsia="Times New Roman" w:hAnsi="Arial" w:cs="Arial"/>
          <w:kern w:val="0"/>
          <w:sz w:val="22"/>
          <w:szCs w:val="22"/>
          <w:lang w:eastAsia="en-GB"/>
          <w14:ligatures w14:val="none"/>
        </w:rPr>
        <w:t>This research aims to look at how the COVID-19 pandemic affected the mental health of healthcare workers and to explore the coping strategies they used during this time. Specifically, the goals are:</w:t>
      </w:r>
    </w:p>
    <w:p w14:paraId="651776F1" w14:textId="0D0F2988" w:rsidR="0000573A" w:rsidRPr="00EA3CD7" w:rsidRDefault="00262AC2"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00573A" w:rsidRPr="00EA3CD7">
        <w:rPr>
          <w:rFonts w:ascii="Arial" w:eastAsia="Times New Roman" w:hAnsi="Arial" w:cs="Arial"/>
          <w:kern w:val="0"/>
          <w:sz w:val="22"/>
          <w:szCs w:val="22"/>
          <w:lang w:eastAsia="en-GB"/>
          <w14:ligatures w14:val="none"/>
        </w:rPr>
        <w:t>To identify common mental health issues faced by healthcare workers during the pandemic.</w:t>
      </w:r>
    </w:p>
    <w:p w14:paraId="503AFA1B" w14:textId="27EB18E9" w:rsidR="0000573A" w:rsidRPr="00EA3CD7" w:rsidRDefault="00262AC2"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00573A" w:rsidRPr="00EA3CD7">
        <w:rPr>
          <w:rFonts w:ascii="Arial" w:eastAsia="Times New Roman" w:hAnsi="Arial" w:cs="Arial"/>
          <w:kern w:val="0"/>
          <w:sz w:val="22"/>
          <w:szCs w:val="22"/>
          <w:lang w:eastAsia="en-GB"/>
          <w14:ligatures w14:val="none"/>
        </w:rPr>
        <w:t xml:space="preserve">To examine the coping </w:t>
      </w:r>
      <w:proofErr w:type="gramStart"/>
      <w:r w:rsidR="0000573A" w:rsidRPr="00EA3CD7">
        <w:rPr>
          <w:rFonts w:ascii="Arial" w:eastAsia="Times New Roman" w:hAnsi="Arial" w:cs="Arial"/>
          <w:kern w:val="0"/>
          <w:sz w:val="22"/>
          <w:szCs w:val="22"/>
          <w:lang w:eastAsia="en-GB"/>
          <w14:ligatures w14:val="none"/>
        </w:rPr>
        <w:t>strategies</w:t>
      </w:r>
      <w:proofErr w:type="gramEnd"/>
      <w:r w:rsidR="0000573A" w:rsidRPr="00EA3CD7">
        <w:rPr>
          <w:rFonts w:ascii="Arial" w:eastAsia="Times New Roman" w:hAnsi="Arial" w:cs="Arial"/>
          <w:kern w:val="0"/>
          <w:sz w:val="22"/>
          <w:szCs w:val="22"/>
          <w:lang w:eastAsia="en-GB"/>
          <w14:ligatures w14:val="none"/>
        </w:rPr>
        <w:t xml:space="preserve"> they used.</w:t>
      </w:r>
    </w:p>
    <w:p w14:paraId="168197FF" w14:textId="19F22A90" w:rsidR="00947B35" w:rsidRPr="00EA3CD7" w:rsidRDefault="00B66F93" w:rsidP="00EA3CD7">
      <w:pPr>
        <w:tabs>
          <w:tab w:val="left" w:pos="426"/>
          <w:tab w:val="left" w:pos="851"/>
        </w:tabs>
        <w:spacing w:line="360" w:lineRule="auto"/>
        <w:ind w:left="851" w:hanging="851"/>
        <w:rPr>
          <w:rFonts w:ascii="Arial" w:eastAsia="Hiragino Sans CNS W3" w:hAnsi="Arial" w:cs="Arial"/>
          <w:sz w:val="22"/>
          <w:szCs w:val="22"/>
        </w:rPr>
      </w:pPr>
      <w:r w:rsidRPr="00EA3CD7">
        <w:rPr>
          <w:rFonts w:ascii="Arial" w:eastAsia="Times New Roman" w:hAnsi="Arial" w:cs="Arial"/>
          <w:b/>
          <w:bCs/>
          <w:kern w:val="0"/>
          <w:sz w:val="22"/>
          <w:szCs w:val="22"/>
          <w:lang w:eastAsia="en-GB"/>
          <w14:ligatures w14:val="none"/>
        </w:rPr>
        <w:lastRenderedPageBreak/>
        <w:t xml:space="preserve">               </w:t>
      </w:r>
      <w:r w:rsidR="00C6677A" w:rsidRPr="00EA3CD7">
        <w:rPr>
          <w:rFonts w:ascii="Arial" w:eastAsia="Times New Roman" w:hAnsi="Arial" w:cs="Arial"/>
          <w:b/>
          <w:bCs/>
          <w:kern w:val="0"/>
          <w:sz w:val="22"/>
          <w:szCs w:val="22"/>
          <w:lang w:eastAsia="en-GB"/>
          <w14:ligatures w14:val="none"/>
        </w:rPr>
        <w:t>Aims</w:t>
      </w:r>
      <w:r w:rsidR="00781537" w:rsidRPr="00EA3CD7">
        <w:rPr>
          <w:rFonts w:ascii="Arial" w:eastAsia="Times New Roman" w:hAnsi="Arial" w:cs="Arial"/>
          <w:b/>
          <w:bCs/>
          <w:kern w:val="0"/>
          <w:sz w:val="22"/>
          <w:szCs w:val="22"/>
          <w:lang w:eastAsia="en-GB"/>
          <w14:ligatures w14:val="none"/>
        </w:rPr>
        <w:t xml:space="preserve"> </w:t>
      </w:r>
    </w:p>
    <w:p w14:paraId="04515EC9" w14:textId="4D7B4AA6" w:rsidR="00B66F93" w:rsidRPr="00EA3CD7" w:rsidRDefault="00947B35" w:rsidP="00EA3CD7">
      <w:pPr>
        <w:tabs>
          <w:tab w:val="left" w:pos="426"/>
          <w:tab w:val="left" w:pos="851"/>
        </w:tabs>
        <w:spacing w:before="100" w:beforeAutospacing="1" w:after="100" w:afterAutospacing="1" w:line="360" w:lineRule="auto"/>
        <w:ind w:left="851" w:hanging="851"/>
        <w:rPr>
          <w:rFonts w:ascii="Arial" w:eastAsia="Calibri" w:hAnsi="Arial" w:cs="Arial"/>
          <w:sz w:val="22"/>
          <w:szCs w:val="22"/>
        </w:rPr>
      </w:pPr>
      <w:r w:rsidRPr="00EA3CD7">
        <w:rPr>
          <w:rFonts w:ascii="Arial" w:eastAsia="Calibri" w:hAnsi="Arial" w:cs="Arial"/>
          <w:sz w:val="22"/>
          <w:szCs w:val="22"/>
        </w:rPr>
        <w:t xml:space="preserve">              To investigate the effects of the COVID-19 pandemic on the mental health and coping mechanisms of healthcare workers, while evaluating existing literature and offering recommendations for improved support systems.</w:t>
      </w:r>
    </w:p>
    <w:p w14:paraId="7281331C" w14:textId="7B8EC553" w:rsidR="00264C0B" w:rsidRPr="00EA3CD7" w:rsidRDefault="00264C0B" w:rsidP="00EA3CD7">
      <w:pPr>
        <w:tabs>
          <w:tab w:val="left" w:pos="426"/>
          <w:tab w:val="left" w:pos="851"/>
        </w:tabs>
        <w:spacing w:before="100" w:beforeAutospacing="1" w:after="100" w:afterAutospacing="1" w:line="360" w:lineRule="auto"/>
        <w:ind w:left="851" w:hanging="851"/>
        <w:rPr>
          <w:rFonts w:ascii="Arial" w:eastAsia="Calibri" w:hAnsi="Arial" w:cs="Arial"/>
          <w:b/>
          <w:bCs/>
          <w:sz w:val="22"/>
          <w:szCs w:val="22"/>
        </w:rPr>
      </w:pPr>
      <w:r w:rsidRPr="00EA3CD7">
        <w:rPr>
          <w:rFonts w:ascii="Arial" w:eastAsia="Calibri" w:hAnsi="Arial" w:cs="Arial"/>
          <w:sz w:val="22"/>
          <w:szCs w:val="22"/>
        </w:rPr>
        <w:t xml:space="preserve">            </w:t>
      </w:r>
      <w:r w:rsidR="00166203" w:rsidRPr="00EA3CD7">
        <w:rPr>
          <w:rFonts w:ascii="Arial" w:eastAsia="Calibri" w:hAnsi="Arial" w:cs="Arial"/>
          <w:sz w:val="22"/>
          <w:szCs w:val="22"/>
        </w:rPr>
        <w:t xml:space="preserve"> </w:t>
      </w:r>
      <w:r w:rsidR="001D6724" w:rsidRPr="00EA3CD7">
        <w:rPr>
          <w:rFonts w:ascii="Arial" w:eastAsia="Calibri" w:hAnsi="Arial" w:cs="Arial"/>
          <w:b/>
          <w:bCs/>
          <w:sz w:val="22"/>
          <w:szCs w:val="22"/>
        </w:rPr>
        <w:t>Objective</w:t>
      </w:r>
      <w:r w:rsidR="00EE5820" w:rsidRPr="00EA3CD7">
        <w:rPr>
          <w:rFonts w:ascii="Arial" w:eastAsia="Calibri" w:hAnsi="Arial" w:cs="Arial"/>
          <w:b/>
          <w:bCs/>
          <w:sz w:val="22"/>
          <w:szCs w:val="22"/>
        </w:rPr>
        <w:t xml:space="preserve"> 1</w:t>
      </w:r>
      <w:r w:rsidR="00831A86" w:rsidRPr="00EA3CD7">
        <w:rPr>
          <w:rFonts w:ascii="Arial" w:eastAsia="Calibri" w:hAnsi="Arial" w:cs="Arial"/>
          <w:b/>
          <w:bCs/>
          <w:sz w:val="22"/>
          <w:szCs w:val="22"/>
        </w:rPr>
        <w:t xml:space="preserve"> </w:t>
      </w:r>
    </w:p>
    <w:p w14:paraId="5FA5B98C" w14:textId="77777777" w:rsidR="00EE5820" w:rsidRPr="00EA3CD7" w:rsidRDefault="008C7CAD" w:rsidP="00EA3CD7">
      <w:pPr>
        <w:tabs>
          <w:tab w:val="left" w:pos="426"/>
          <w:tab w:val="left" w:pos="851"/>
        </w:tabs>
        <w:spacing w:before="100" w:beforeAutospacing="1" w:after="100" w:afterAutospacing="1" w:line="360" w:lineRule="auto"/>
        <w:ind w:left="851" w:hanging="851"/>
        <w:rPr>
          <w:rFonts w:ascii="Arial" w:eastAsia="Calibri" w:hAnsi="Arial" w:cs="Arial"/>
          <w:sz w:val="22"/>
          <w:szCs w:val="22"/>
        </w:rPr>
      </w:pPr>
      <w:r w:rsidRPr="00EA3CD7">
        <w:rPr>
          <w:rFonts w:ascii="Arial" w:eastAsia="Calibri" w:hAnsi="Arial" w:cs="Arial"/>
          <w:b/>
          <w:bCs/>
          <w:sz w:val="22"/>
          <w:szCs w:val="22"/>
        </w:rPr>
        <w:t xml:space="preserve">             </w:t>
      </w:r>
      <w:r w:rsidR="003B5F71" w:rsidRPr="00EA3CD7">
        <w:rPr>
          <w:rFonts w:ascii="Arial" w:eastAsia="Calibri" w:hAnsi="Arial" w:cs="Arial"/>
          <w:sz w:val="22"/>
          <w:szCs w:val="22"/>
        </w:rPr>
        <w:t>The goal is to explore the specific mental health issues (e.g., anxiety, depression, burnout) and coping mechanisms (e.g., resilience, social support) healthcare workers experienced during the pandemic. This objective will provide a foundational understanding of the topic</w:t>
      </w:r>
      <w:r w:rsidR="00EE5820" w:rsidRPr="00EA3CD7">
        <w:rPr>
          <w:rFonts w:ascii="Arial" w:eastAsia="Calibri" w:hAnsi="Arial" w:cs="Arial"/>
          <w:sz w:val="22"/>
          <w:szCs w:val="22"/>
        </w:rPr>
        <w:t>.</w:t>
      </w:r>
    </w:p>
    <w:p w14:paraId="69EC0BFF" w14:textId="5586E803" w:rsidR="00070933" w:rsidRPr="00EA3CD7" w:rsidRDefault="00070933" w:rsidP="00EA3CD7">
      <w:pPr>
        <w:tabs>
          <w:tab w:val="left" w:pos="426"/>
          <w:tab w:val="left" w:pos="851"/>
        </w:tabs>
        <w:spacing w:before="100" w:beforeAutospacing="1" w:after="100" w:afterAutospacing="1" w:line="360" w:lineRule="auto"/>
        <w:ind w:left="851" w:hanging="851"/>
        <w:rPr>
          <w:rFonts w:ascii="Arial" w:eastAsia="Calibri" w:hAnsi="Arial" w:cs="Arial"/>
          <w:sz w:val="22"/>
          <w:szCs w:val="22"/>
        </w:rPr>
      </w:pPr>
      <w:r w:rsidRPr="00EA3CD7">
        <w:rPr>
          <w:rFonts w:ascii="Arial" w:eastAsia="Calibri" w:hAnsi="Arial" w:cs="Arial"/>
          <w:b/>
          <w:bCs/>
          <w:sz w:val="22"/>
          <w:szCs w:val="22"/>
        </w:rPr>
        <w:t xml:space="preserve">             Objective 2</w:t>
      </w:r>
      <w:r w:rsidR="00505F9F" w:rsidRPr="00EA3CD7">
        <w:rPr>
          <w:rFonts w:ascii="Arial" w:eastAsia="Calibri" w:hAnsi="Arial" w:cs="Arial"/>
          <w:b/>
          <w:bCs/>
          <w:sz w:val="22"/>
          <w:szCs w:val="22"/>
        </w:rPr>
        <w:t>.</w:t>
      </w:r>
    </w:p>
    <w:p w14:paraId="18294BC6" w14:textId="3CEAD189" w:rsidR="008C7CAD" w:rsidRPr="00EA3CD7" w:rsidRDefault="00505F9F" w:rsidP="00EA3CD7">
      <w:pPr>
        <w:tabs>
          <w:tab w:val="left" w:pos="426"/>
          <w:tab w:val="left" w:pos="851"/>
        </w:tabs>
        <w:spacing w:before="100" w:beforeAutospacing="1" w:after="100" w:afterAutospacing="1" w:line="360" w:lineRule="auto"/>
        <w:ind w:left="851" w:hanging="851"/>
        <w:rPr>
          <w:rFonts w:ascii="Arial" w:eastAsia="Calibri" w:hAnsi="Arial" w:cs="Arial"/>
          <w:sz w:val="22"/>
          <w:szCs w:val="22"/>
        </w:rPr>
      </w:pPr>
      <w:r w:rsidRPr="00EA3CD7">
        <w:rPr>
          <w:rFonts w:ascii="Arial" w:eastAsia="Calibri" w:hAnsi="Arial" w:cs="Arial"/>
          <w:sz w:val="22"/>
          <w:szCs w:val="22"/>
        </w:rPr>
        <w:t xml:space="preserve"> </w:t>
      </w:r>
      <w:r w:rsidR="00070933" w:rsidRPr="00EA3CD7">
        <w:rPr>
          <w:rFonts w:ascii="Arial" w:eastAsia="Calibri" w:hAnsi="Arial" w:cs="Arial"/>
          <w:sz w:val="22"/>
          <w:szCs w:val="22"/>
        </w:rPr>
        <w:t xml:space="preserve">            </w:t>
      </w:r>
      <w:r w:rsidRPr="00EA3CD7">
        <w:rPr>
          <w:rFonts w:ascii="Arial" w:eastAsia="Calibri" w:hAnsi="Arial" w:cs="Arial"/>
          <w:sz w:val="22"/>
          <w:szCs w:val="22"/>
        </w:rPr>
        <w:t xml:space="preserve">Conduct a systematic review of existing studies and publications to identify recurring themes, methods, and findings regarding the mental health challenges faced by healthcare </w:t>
      </w:r>
      <w:r w:rsidR="009B4E19" w:rsidRPr="00EA3CD7">
        <w:rPr>
          <w:rFonts w:ascii="Arial" w:eastAsia="Calibri" w:hAnsi="Arial" w:cs="Arial"/>
          <w:sz w:val="22"/>
          <w:szCs w:val="22"/>
        </w:rPr>
        <w:t>professionals due</w:t>
      </w:r>
      <w:r w:rsidRPr="00EA3CD7">
        <w:rPr>
          <w:rFonts w:ascii="Arial" w:eastAsia="Calibri" w:hAnsi="Arial" w:cs="Arial"/>
          <w:sz w:val="22"/>
          <w:szCs w:val="22"/>
        </w:rPr>
        <w:t xml:space="preserve"> to COVID-19. This objective will help situate your research within the existing body of work.</w:t>
      </w:r>
    </w:p>
    <w:p w14:paraId="24383744" w14:textId="62DBE242" w:rsidR="00C92409" w:rsidRPr="00EA3CD7" w:rsidRDefault="00DA1875" w:rsidP="00EA3CD7">
      <w:pPr>
        <w:tabs>
          <w:tab w:val="left" w:pos="426"/>
          <w:tab w:val="left" w:pos="851"/>
        </w:tabs>
        <w:spacing w:before="100" w:beforeAutospacing="1" w:after="100" w:afterAutospacing="1" w:line="360" w:lineRule="auto"/>
        <w:ind w:left="851" w:hanging="851"/>
        <w:rPr>
          <w:rFonts w:ascii="Arial" w:eastAsia="Times New Roman" w:hAnsi="Arial" w:cs="Arial"/>
          <w:sz w:val="22"/>
          <w:szCs w:val="22"/>
          <w:lang w:eastAsia="en-GB"/>
        </w:rPr>
      </w:pPr>
      <w:r w:rsidRPr="00EA3CD7">
        <w:rPr>
          <w:rFonts w:ascii="Arial" w:eastAsia="Calibri" w:hAnsi="Arial" w:cs="Arial"/>
          <w:sz w:val="22"/>
          <w:szCs w:val="22"/>
        </w:rPr>
        <w:t xml:space="preserve">             </w:t>
      </w:r>
      <w:r w:rsidRPr="00EA3CD7">
        <w:rPr>
          <w:rFonts w:ascii="Arial" w:eastAsia="Calibri" w:hAnsi="Arial" w:cs="Arial"/>
          <w:b/>
          <w:bCs/>
          <w:sz w:val="22"/>
          <w:szCs w:val="22"/>
        </w:rPr>
        <w:t>Objective 3</w:t>
      </w:r>
      <w:r w:rsidR="00C92409" w:rsidRPr="00EA3CD7">
        <w:rPr>
          <w:rFonts w:ascii="Arial" w:eastAsia="Times New Roman" w:hAnsi="Arial" w:cs="Arial"/>
          <w:sz w:val="22"/>
          <w:szCs w:val="22"/>
          <w:lang w:eastAsia="en-GB"/>
        </w:rPr>
        <w:t xml:space="preserve"> </w:t>
      </w:r>
    </w:p>
    <w:p w14:paraId="540D0C24" w14:textId="57D766D5" w:rsidR="009B4E19" w:rsidRPr="00EA3CD7" w:rsidRDefault="00C92409" w:rsidP="00EA3CD7">
      <w:pPr>
        <w:tabs>
          <w:tab w:val="left" w:pos="426"/>
          <w:tab w:val="left" w:pos="851"/>
        </w:tabs>
        <w:spacing w:before="100" w:beforeAutospacing="1" w:after="100" w:afterAutospacing="1" w:line="360" w:lineRule="auto"/>
        <w:ind w:left="851" w:hanging="851"/>
        <w:rPr>
          <w:rFonts w:ascii="Arial" w:eastAsia="Times New Roman" w:hAnsi="Arial" w:cs="Arial"/>
          <w:sz w:val="22"/>
          <w:szCs w:val="22"/>
          <w:lang w:eastAsia="en-GB"/>
        </w:rPr>
      </w:pPr>
      <w:r w:rsidRPr="00EA3CD7">
        <w:rPr>
          <w:rFonts w:ascii="Arial" w:eastAsia="Times New Roman" w:hAnsi="Arial" w:cs="Arial"/>
          <w:sz w:val="22"/>
          <w:szCs w:val="22"/>
          <w:lang w:eastAsia="en-GB"/>
        </w:rPr>
        <w:t xml:space="preserve">              Assess the key outcomes, trends, and themes identified from the literature, determining the common mental health impacts and the effectiveness of various coping strategies healthcare workers employed. This objective aims to synthesise the existing knowledge and highlight any gaps or inconsistencies in the research.</w:t>
      </w:r>
    </w:p>
    <w:p w14:paraId="6D77C1F1" w14:textId="603E79D1" w:rsidR="00C73744" w:rsidRPr="00EA3CD7" w:rsidRDefault="005B150F" w:rsidP="00EA3CD7">
      <w:pPr>
        <w:tabs>
          <w:tab w:val="left" w:pos="426"/>
          <w:tab w:val="left" w:pos="851"/>
        </w:tabs>
        <w:spacing w:before="100" w:beforeAutospacing="1" w:after="100" w:afterAutospacing="1" w:line="360" w:lineRule="auto"/>
        <w:ind w:left="851" w:hanging="851"/>
        <w:rPr>
          <w:rFonts w:ascii="Arial" w:eastAsia="Times New Roman" w:hAnsi="Arial" w:cs="Arial"/>
          <w:sz w:val="22"/>
          <w:szCs w:val="22"/>
          <w:lang w:eastAsia="en-GB"/>
        </w:rPr>
      </w:pPr>
      <w:r w:rsidRPr="00EA3CD7">
        <w:rPr>
          <w:rFonts w:ascii="Arial" w:eastAsia="Times New Roman" w:hAnsi="Arial" w:cs="Arial"/>
          <w:sz w:val="22"/>
          <w:szCs w:val="22"/>
          <w:lang w:eastAsia="en-GB"/>
        </w:rPr>
        <w:t xml:space="preserve">            </w:t>
      </w:r>
      <w:r w:rsidRPr="00EA3CD7">
        <w:rPr>
          <w:rFonts w:ascii="Arial" w:eastAsia="Times New Roman" w:hAnsi="Arial" w:cs="Arial"/>
          <w:b/>
          <w:bCs/>
          <w:sz w:val="22"/>
          <w:szCs w:val="22"/>
          <w:lang w:eastAsia="en-GB"/>
        </w:rPr>
        <w:t>Objective 4</w:t>
      </w:r>
      <w:r w:rsidR="00CE0DE5" w:rsidRPr="00EA3CD7">
        <w:rPr>
          <w:rFonts w:ascii="Arial" w:eastAsia="Times New Roman" w:hAnsi="Arial" w:cs="Arial"/>
          <w:b/>
          <w:bCs/>
          <w:sz w:val="22"/>
          <w:szCs w:val="22"/>
          <w:lang w:eastAsia="en-GB"/>
        </w:rPr>
        <w:t xml:space="preserve"> </w:t>
      </w:r>
    </w:p>
    <w:p w14:paraId="742BD080" w14:textId="77777777" w:rsidR="001A452F" w:rsidRPr="00EA3CD7" w:rsidRDefault="00C73744" w:rsidP="00EA3CD7">
      <w:pPr>
        <w:tabs>
          <w:tab w:val="left" w:pos="426"/>
          <w:tab w:val="left" w:pos="851"/>
        </w:tabs>
        <w:spacing w:line="360" w:lineRule="auto"/>
        <w:ind w:left="851" w:hanging="851"/>
        <w:rPr>
          <w:rFonts w:ascii="Arial" w:hAnsi="Arial" w:cs="Arial"/>
          <w:sz w:val="22"/>
          <w:szCs w:val="22"/>
        </w:rPr>
      </w:pPr>
      <w:r w:rsidRPr="00EA3CD7">
        <w:rPr>
          <w:rFonts w:ascii="Arial" w:eastAsia="Times New Roman" w:hAnsi="Arial" w:cs="Arial"/>
          <w:sz w:val="22"/>
          <w:szCs w:val="22"/>
          <w:lang w:eastAsia="en-GB"/>
        </w:rPr>
        <w:t xml:space="preserve">            Based on the literature evaluation, propose actionable strategies and improvements that healthcare institutions, policymakers, and governments can implement to better support </w:t>
      </w:r>
    </w:p>
    <w:p w14:paraId="0199AFA2" w14:textId="27B4F67B" w:rsidR="0000573A" w:rsidRPr="00EA3CD7" w:rsidRDefault="001A452F" w:rsidP="00EA3CD7">
      <w:pPr>
        <w:tabs>
          <w:tab w:val="left" w:pos="426"/>
          <w:tab w:val="left" w:pos="851"/>
        </w:tabs>
        <w:spacing w:line="360" w:lineRule="auto"/>
        <w:ind w:left="851" w:hanging="851"/>
        <w:rPr>
          <w:rFonts w:ascii="Arial" w:hAnsi="Arial" w:cs="Arial"/>
          <w:sz w:val="22"/>
          <w:szCs w:val="22"/>
        </w:rPr>
      </w:pPr>
      <w:r w:rsidRPr="00EA3CD7">
        <w:rPr>
          <w:rFonts w:ascii="Arial" w:eastAsia="Times New Roman" w:hAnsi="Arial" w:cs="Arial"/>
          <w:sz w:val="22"/>
          <w:szCs w:val="22"/>
          <w:lang w:eastAsia="en-GB"/>
        </w:rPr>
        <w:t xml:space="preserve">            </w:t>
      </w:r>
      <w:r w:rsidR="00C73744" w:rsidRPr="00EA3CD7">
        <w:rPr>
          <w:rFonts w:ascii="Arial" w:eastAsia="Times New Roman" w:hAnsi="Arial" w:cs="Arial"/>
          <w:sz w:val="22"/>
          <w:szCs w:val="22"/>
          <w:lang w:eastAsia="en-GB"/>
        </w:rPr>
        <w:t>the mental well-being of healthcare workers in future pandemics or high-stress periods</w:t>
      </w:r>
    </w:p>
    <w:p w14:paraId="2678C728" w14:textId="77777777" w:rsidR="00EA3CD7" w:rsidRPr="00EA3CD7" w:rsidRDefault="00262AC2"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p>
    <w:p w14:paraId="120E2FDD"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p>
    <w:p w14:paraId="012ED88D"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p>
    <w:p w14:paraId="25603544"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p>
    <w:p w14:paraId="45094ED0"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p>
    <w:p w14:paraId="454F6C06"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p>
    <w:p w14:paraId="1CBDD0D1" w14:textId="77777777" w:rsidR="00EA3CD7" w:rsidRPr="00EA3CD7" w:rsidRDefault="00EA3CD7"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p>
    <w:p w14:paraId="7FF39AD0" w14:textId="12F0035D" w:rsidR="0000573A" w:rsidRPr="00EA3CD7" w:rsidRDefault="00262AC2"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00573A" w:rsidRPr="00EA3CD7">
        <w:rPr>
          <w:rFonts w:ascii="Arial" w:eastAsia="Times New Roman" w:hAnsi="Arial" w:cs="Arial"/>
          <w:b/>
          <w:bCs/>
          <w:kern w:val="0"/>
          <w:sz w:val="22"/>
          <w:szCs w:val="22"/>
          <w:lang w:eastAsia="en-GB"/>
          <w14:ligatures w14:val="none"/>
        </w:rPr>
        <w:t>Research Questions</w:t>
      </w:r>
    </w:p>
    <w:p w14:paraId="3F8709E9" w14:textId="3086F39F" w:rsidR="0000573A" w:rsidRPr="00EA3CD7" w:rsidRDefault="00262AC2"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00573A" w:rsidRPr="00EA3CD7">
        <w:rPr>
          <w:rFonts w:ascii="Arial" w:eastAsia="Times New Roman" w:hAnsi="Arial" w:cs="Arial"/>
          <w:kern w:val="0"/>
          <w:sz w:val="22"/>
          <w:szCs w:val="22"/>
          <w:lang w:eastAsia="en-GB"/>
          <w14:ligatures w14:val="none"/>
        </w:rPr>
        <w:t>What mental health challenges did healthcare workers face during the COVID-19 pandemic?</w:t>
      </w:r>
    </w:p>
    <w:p w14:paraId="3A9407B0" w14:textId="03A5C681" w:rsidR="0000573A" w:rsidRPr="00EA3CD7" w:rsidRDefault="00262AC2"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00573A" w:rsidRPr="00EA3CD7">
        <w:rPr>
          <w:rFonts w:ascii="Arial" w:eastAsia="Times New Roman" w:hAnsi="Arial" w:cs="Arial"/>
          <w:kern w:val="0"/>
          <w:sz w:val="22"/>
          <w:szCs w:val="22"/>
          <w:lang w:eastAsia="en-GB"/>
          <w14:ligatures w14:val="none"/>
        </w:rPr>
        <w:t>What coping strategies did healthcare workers use during the pandemic?</w:t>
      </w:r>
    </w:p>
    <w:p w14:paraId="5BF7AED2" w14:textId="3D5F9254" w:rsidR="0000573A" w:rsidRPr="00EA3CD7" w:rsidRDefault="00262AC2" w:rsidP="00EA3CD7">
      <w:pPr>
        <w:pStyle w:val="NormalWeb"/>
        <w:tabs>
          <w:tab w:val="left" w:pos="426"/>
          <w:tab w:val="left" w:pos="851"/>
        </w:tabs>
        <w:spacing w:line="360" w:lineRule="auto"/>
        <w:ind w:left="851" w:hanging="851"/>
        <w:rPr>
          <w:rFonts w:ascii="Arial" w:hAnsi="Arial" w:cs="Arial"/>
          <w:sz w:val="22"/>
          <w:szCs w:val="22"/>
        </w:rPr>
      </w:pPr>
      <w:r w:rsidRPr="00EA3CD7">
        <w:rPr>
          <w:rFonts w:ascii="Arial" w:hAnsi="Arial" w:cs="Arial"/>
          <w:sz w:val="22"/>
          <w:szCs w:val="22"/>
        </w:rPr>
        <w:t xml:space="preserve">              </w:t>
      </w:r>
      <w:r w:rsidR="0000573A" w:rsidRPr="00EA3CD7">
        <w:rPr>
          <w:rFonts w:ascii="Arial" w:hAnsi="Arial" w:cs="Arial"/>
          <w:sz w:val="22"/>
          <w:szCs w:val="22"/>
        </w:rPr>
        <w:t xml:space="preserve">How effective were the support systems in addressing the mental health needs of healthcare workers? The COVID-19 pandemic began in late 2019 when a novel coronavirus (SARS-CoV-2) was identified in Wuhan, China. It quickly spread across the globe, leading the World Health </w:t>
      </w:r>
      <w:r w:rsidR="00722771" w:rsidRPr="00EA3CD7">
        <w:rPr>
          <w:rFonts w:ascii="Arial" w:hAnsi="Arial" w:cs="Arial"/>
          <w:sz w:val="22"/>
          <w:szCs w:val="22"/>
        </w:rPr>
        <w:t>Organisation</w:t>
      </w:r>
      <w:r w:rsidR="0000573A" w:rsidRPr="00EA3CD7">
        <w:rPr>
          <w:rFonts w:ascii="Arial" w:hAnsi="Arial" w:cs="Arial"/>
          <w:sz w:val="22"/>
          <w:szCs w:val="22"/>
        </w:rPr>
        <w:t xml:space="preserve"> (WHO) to declare a pandemic on March 11, 2020. This unprecedented global health crisis caused widespread illness and mortality, overwhelming healthcare systems in many countries. The pandemic necessitated rapid changes in healthcare delivery, including the urgent need for hospitals to expand their capacities and to implement new protocols to manage the spread of the virus (WHO, 2020).</w:t>
      </w:r>
    </w:p>
    <w:p w14:paraId="47FA9DDB" w14:textId="3135130A" w:rsidR="0000573A" w:rsidRPr="00EA3CD7" w:rsidRDefault="00262AC2"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00573A" w:rsidRPr="00EA3CD7">
        <w:rPr>
          <w:rFonts w:ascii="Arial" w:eastAsia="Times New Roman" w:hAnsi="Arial" w:cs="Arial"/>
          <w:kern w:val="0"/>
          <w:sz w:val="22"/>
          <w:szCs w:val="22"/>
          <w:lang w:eastAsia="en-GB"/>
          <w14:ligatures w14:val="none"/>
        </w:rPr>
        <w:t>Healthcare workers, including doctors, nurses, and support staff, became the frontline defenders against COVID-19. They worked tirelessly to provide care to infected patients, often in high-pressure environments where resources were limited. The fear of contagion, coupled with the emotional strain of witnessing suffering and loss, created a perfect storm for mental health challenges among these workers.</w:t>
      </w:r>
    </w:p>
    <w:p w14:paraId="7486C627" w14:textId="28B3C839" w:rsidR="0000573A" w:rsidRPr="00EA3CD7" w:rsidRDefault="0000573A" w:rsidP="00EA3CD7">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262AC2" w:rsidRPr="00EA3CD7">
        <w:rPr>
          <w:rFonts w:ascii="Arial" w:eastAsia="Times New Roman" w:hAnsi="Arial" w:cs="Arial"/>
          <w:b/>
          <w:bCs/>
          <w:kern w:val="0"/>
          <w:sz w:val="22"/>
          <w:szCs w:val="22"/>
          <w:lang w:eastAsia="en-GB"/>
          <w14:ligatures w14:val="none"/>
        </w:rPr>
        <w:t xml:space="preserve">             </w:t>
      </w:r>
      <w:r w:rsidRPr="00EA3CD7">
        <w:rPr>
          <w:rFonts w:ascii="Arial" w:eastAsia="Times New Roman" w:hAnsi="Arial" w:cs="Arial"/>
          <w:b/>
          <w:bCs/>
          <w:kern w:val="0"/>
          <w:sz w:val="22"/>
          <w:szCs w:val="22"/>
          <w:lang w:eastAsia="en-GB"/>
          <w14:ligatures w14:val="none"/>
        </w:rPr>
        <w:t>Unique Challenges Faced by Healthcare Workers</w:t>
      </w:r>
    </w:p>
    <w:p w14:paraId="716CC013" w14:textId="184C0CD2" w:rsidR="0000573A" w:rsidRPr="00EA3CD7" w:rsidRDefault="00262AC2"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00573A" w:rsidRPr="00EA3CD7">
        <w:rPr>
          <w:rFonts w:ascii="Arial" w:eastAsia="Times New Roman" w:hAnsi="Arial" w:cs="Arial"/>
          <w:kern w:val="0"/>
          <w:sz w:val="22"/>
          <w:szCs w:val="22"/>
          <w:lang w:eastAsia="en-GB"/>
          <w14:ligatures w14:val="none"/>
        </w:rPr>
        <w:t>Healthcare workers faced several unique challenges during the pandemic that contributed to their mental health struggles:</w:t>
      </w:r>
    </w:p>
    <w:p w14:paraId="7411871E" w14:textId="2FC4BD76" w:rsidR="0000573A" w:rsidRPr="00EA3CD7" w:rsidRDefault="002101FB"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lastRenderedPageBreak/>
        <w:t xml:space="preserve">              </w:t>
      </w:r>
      <w:r w:rsidR="0000573A" w:rsidRPr="00EA3CD7">
        <w:rPr>
          <w:rFonts w:ascii="Arial" w:eastAsia="Times New Roman" w:hAnsi="Arial" w:cs="Arial"/>
          <w:b/>
          <w:bCs/>
          <w:kern w:val="0"/>
          <w:sz w:val="22"/>
          <w:szCs w:val="22"/>
          <w:lang w:eastAsia="en-GB"/>
          <w14:ligatures w14:val="none"/>
        </w:rPr>
        <w:t>Increased Patient Volume</w:t>
      </w:r>
      <w:r w:rsidR="0000573A" w:rsidRPr="00EA3CD7">
        <w:rPr>
          <w:rFonts w:ascii="Arial" w:eastAsia="Times New Roman" w:hAnsi="Arial" w:cs="Arial"/>
          <w:kern w:val="0"/>
          <w:sz w:val="22"/>
          <w:szCs w:val="22"/>
          <w:lang w:eastAsia="en-GB"/>
          <w14:ligatures w14:val="none"/>
        </w:rPr>
        <w:br/>
        <w:t>Hospitals experienced a surge in COVID-19 cases, leading to overcrowded facilities and an overwhelming number of patients requiring care. This increased patient volume often resulted in healthcare workers having to make difficult decisions regarding triage and resource allocation (Lai et al., 2020).</w:t>
      </w:r>
    </w:p>
    <w:p w14:paraId="5F799198" w14:textId="0C0E42F1" w:rsidR="0000573A" w:rsidRPr="00EA3CD7" w:rsidRDefault="002101FB"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00573A" w:rsidRPr="00EA3CD7">
        <w:rPr>
          <w:rFonts w:ascii="Arial" w:eastAsia="Times New Roman" w:hAnsi="Arial" w:cs="Arial"/>
          <w:b/>
          <w:bCs/>
          <w:kern w:val="0"/>
          <w:sz w:val="22"/>
          <w:szCs w:val="22"/>
          <w:lang w:eastAsia="en-GB"/>
          <w14:ligatures w14:val="none"/>
        </w:rPr>
        <w:t>Inadequate Resources and Support</w:t>
      </w:r>
      <w:r w:rsidR="0000573A" w:rsidRPr="00EA3CD7">
        <w:rPr>
          <w:rFonts w:ascii="Arial" w:eastAsia="Times New Roman" w:hAnsi="Arial" w:cs="Arial"/>
          <w:kern w:val="0"/>
          <w:sz w:val="22"/>
          <w:szCs w:val="22"/>
          <w:lang w:eastAsia="en-GB"/>
          <w14:ligatures w14:val="none"/>
        </w:rPr>
        <w:br/>
        <w:t>Many healthcare institutions struggled with shortages of personal protective equipment (PPE), ventilators, and essential medications. This lack of resources not only compromised the safety of healthcare workers but also heightened their anxiety and stress levels (Spoorthy et al., 2020).</w:t>
      </w:r>
    </w:p>
    <w:p w14:paraId="55D34C42" w14:textId="22F8B60F" w:rsidR="0000573A" w:rsidRPr="00EA3CD7" w:rsidRDefault="002101FB"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00573A" w:rsidRPr="00EA3CD7">
        <w:rPr>
          <w:rFonts w:ascii="Arial" w:eastAsia="Times New Roman" w:hAnsi="Arial" w:cs="Arial"/>
          <w:b/>
          <w:bCs/>
          <w:kern w:val="0"/>
          <w:sz w:val="22"/>
          <w:szCs w:val="22"/>
          <w:lang w:eastAsia="en-GB"/>
          <w14:ligatures w14:val="none"/>
        </w:rPr>
        <w:t>Emotional and Physical Exhaustion</w:t>
      </w:r>
      <w:r w:rsidR="0000573A" w:rsidRPr="00EA3CD7">
        <w:rPr>
          <w:rFonts w:ascii="Arial" w:eastAsia="Times New Roman" w:hAnsi="Arial" w:cs="Arial"/>
          <w:kern w:val="0"/>
          <w:sz w:val="22"/>
          <w:szCs w:val="22"/>
          <w:lang w:eastAsia="en-GB"/>
          <w14:ligatures w14:val="none"/>
        </w:rPr>
        <w:br/>
        <w:t>The prolonged hours and emotionally taxing nature of the work led to severe physical and emotional exhaustion. Many healthcare workers reported feeling burnt out, leading to decreased job satisfaction and a higher likelihood of leaving the profession (Zhang et al., 2020).</w:t>
      </w:r>
    </w:p>
    <w:p w14:paraId="26216A3A" w14:textId="2C873330" w:rsidR="0000573A" w:rsidRPr="00EA3CD7" w:rsidRDefault="002101FB"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00573A" w:rsidRPr="00EA3CD7">
        <w:rPr>
          <w:rFonts w:ascii="Arial" w:eastAsia="Times New Roman" w:hAnsi="Arial" w:cs="Arial"/>
          <w:b/>
          <w:bCs/>
          <w:kern w:val="0"/>
          <w:sz w:val="22"/>
          <w:szCs w:val="22"/>
          <w:lang w:eastAsia="en-GB"/>
          <w14:ligatures w14:val="none"/>
        </w:rPr>
        <w:t>Increased Risk of Infection</w:t>
      </w:r>
      <w:r w:rsidR="0000573A" w:rsidRPr="00EA3CD7">
        <w:rPr>
          <w:rFonts w:ascii="Arial" w:eastAsia="Times New Roman" w:hAnsi="Arial" w:cs="Arial"/>
          <w:kern w:val="0"/>
          <w:sz w:val="22"/>
          <w:szCs w:val="22"/>
          <w:lang w:eastAsia="en-GB"/>
          <w14:ligatures w14:val="none"/>
        </w:rPr>
        <w:br/>
        <w:t xml:space="preserve">The nature of their work put healthcare workers at a higher risk of contracting COVID-19. Many faced </w:t>
      </w:r>
      <w:proofErr w:type="gramStart"/>
      <w:r w:rsidR="0000573A" w:rsidRPr="00EA3CD7">
        <w:rPr>
          <w:rFonts w:ascii="Arial" w:eastAsia="Times New Roman" w:hAnsi="Arial" w:cs="Arial"/>
          <w:kern w:val="0"/>
          <w:sz w:val="22"/>
          <w:szCs w:val="22"/>
          <w:lang w:eastAsia="en-GB"/>
          <w14:ligatures w14:val="none"/>
        </w:rPr>
        <w:t>fear</w:t>
      </w:r>
      <w:proofErr w:type="gramEnd"/>
      <w:r w:rsidR="0000573A" w:rsidRPr="00EA3CD7">
        <w:rPr>
          <w:rFonts w:ascii="Arial" w:eastAsia="Times New Roman" w:hAnsi="Arial" w:cs="Arial"/>
          <w:kern w:val="0"/>
          <w:sz w:val="22"/>
          <w:szCs w:val="22"/>
          <w:lang w:eastAsia="en-GB"/>
          <w14:ligatures w14:val="none"/>
        </w:rPr>
        <w:t xml:space="preserve"> not only for their own health but also for the well-being of their families. This fear added to their emotional burden (Buchanan et al., 2020).</w:t>
      </w:r>
    </w:p>
    <w:p w14:paraId="6AF4FC46" w14:textId="4C45CF37" w:rsidR="0000573A" w:rsidRPr="00EA3CD7" w:rsidRDefault="002101FB"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00573A" w:rsidRPr="00EA3CD7">
        <w:rPr>
          <w:rFonts w:ascii="Arial" w:eastAsia="Times New Roman" w:hAnsi="Arial" w:cs="Arial"/>
          <w:b/>
          <w:bCs/>
          <w:kern w:val="0"/>
          <w:sz w:val="22"/>
          <w:szCs w:val="22"/>
          <w:lang w:eastAsia="en-GB"/>
          <w14:ligatures w14:val="none"/>
        </w:rPr>
        <w:t>Stigma and Isolation</w:t>
      </w:r>
      <w:r w:rsidR="0000573A" w:rsidRPr="00EA3CD7">
        <w:rPr>
          <w:rFonts w:ascii="Arial" w:eastAsia="Times New Roman" w:hAnsi="Arial" w:cs="Arial"/>
          <w:kern w:val="0"/>
          <w:sz w:val="22"/>
          <w:szCs w:val="22"/>
          <w:lang w:eastAsia="en-GB"/>
          <w14:ligatures w14:val="none"/>
        </w:rPr>
        <w:br/>
        <w:t>Some healthcare workers faced stigma from the public, as they were often viewed as potential carriers of the virus. This stigma led to social isolation, making it more challenging for them to seek support from friends and family (Greenberg et al., 2020).</w:t>
      </w:r>
      <w:r w:rsidR="0000573A" w:rsidRPr="00EA3CD7">
        <w:rPr>
          <w:rFonts w:ascii="Arial" w:eastAsia="Times New Roman" w:hAnsi="Arial" w:cs="Arial"/>
          <w:b/>
          <w:bCs/>
          <w:kern w:val="0"/>
          <w:sz w:val="22"/>
          <w:szCs w:val="22"/>
          <w:lang w:eastAsia="en-GB"/>
          <w14:ligatures w14:val="none"/>
        </w:rPr>
        <w:t xml:space="preserve"> Significance of Addressing Mental Health Issues</w:t>
      </w:r>
    </w:p>
    <w:p w14:paraId="537EF507" w14:textId="0735085A" w:rsidR="0000573A" w:rsidRPr="00EA3CD7" w:rsidRDefault="00450D65"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00573A" w:rsidRPr="00EA3CD7">
        <w:rPr>
          <w:rFonts w:ascii="Arial" w:eastAsia="Times New Roman" w:hAnsi="Arial" w:cs="Arial"/>
          <w:kern w:val="0"/>
          <w:sz w:val="22"/>
          <w:szCs w:val="22"/>
          <w:lang w:eastAsia="en-GB"/>
          <w14:ligatures w14:val="none"/>
        </w:rPr>
        <w:t>Addressing the mental health needs of healthcare workers is crucial for several reasons:</w:t>
      </w:r>
    </w:p>
    <w:p w14:paraId="488AE116" w14:textId="070A79BF" w:rsidR="0000573A" w:rsidRPr="00EA3CD7" w:rsidRDefault="00450D65"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00573A" w:rsidRPr="00EA3CD7">
        <w:rPr>
          <w:rFonts w:ascii="Arial" w:eastAsia="Times New Roman" w:hAnsi="Arial" w:cs="Arial"/>
          <w:b/>
          <w:bCs/>
          <w:kern w:val="0"/>
          <w:sz w:val="22"/>
          <w:szCs w:val="22"/>
          <w:lang w:eastAsia="en-GB"/>
          <w14:ligatures w14:val="none"/>
        </w:rPr>
        <w:t>Workforce Sustainability</w:t>
      </w:r>
      <w:r w:rsidR="0000573A" w:rsidRPr="00EA3CD7">
        <w:rPr>
          <w:rFonts w:ascii="Arial" w:eastAsia="Times New Roman" w:hAnsi="Arial" w:cs="Arial"/>
          <w:kern w:val="0"/>
          <w:sz w:val="22"/>
          <w:szCs w:val="22"/>
          <w:lang w:eastAsia="en-GB"/>
          <w14:ligatures w14:val="none"/>
        </w:rPr>
        <w:br/>
        <w:t>The mental health of healthcare workers directly impacts workforce sustainability. Supporting their mental well-being is essential to prevent burnout and retain staff, ensuring that healthcare systems can continue to function effectively during and after the pandemic (Cabarkapa et al., 2020).</w:t>
      </w:r>
    </w:p>
    <w:p w14:paraId="12E9F724" w14:textId="3C0D70C8" w:rsidR="0000573A" w:rsidRPr="00EA3CD7" w:rsidRDefault="00450D65"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lastRenderedPageBreak/>
        <w:t xml:space="preserve">             </w:t>
      </w:r>
      <w:r w:rsidR="0000573A" w:rsidRPr="00EA3CD7">
        <w:rPr>
          <w:rFonts w:ascii="Arial" w:eastAsia="Times New Roman" w:hAnsi="Arial" w:cs="Arial"/>
          <w:b/>
          <w:bCs/>
          <w:kern w:val="0"/>
          <w:sz w:val="22"/>
          <w:szCs w:val="22"/>
          <w:lang w:eastAsia="en-GB"/>
          <w14:ligatures w14:val="none"/>
        </w:rPr>
        <w:t>Quality of Patient Care</w:t>
      </w:r>
      <w:r w:rsidR="0000573A" w:rsidRPr="00EA3CD7">
        <w:rPr>
          <w:rFonts w:ascii="Arial" w:eastAsia="Times New Roman" w:hAnsi="Arial" w:cs="Arial"/>
          <w:kern w:val="0"/>
          <w:sz w:val="22"/>
          <w:szCs w:val="22"/>
          <w:lang w:eastAsia="en-GB"/>
          <w14:ligatures w14:val="none"/>
        </w:rPr>
        <w:br/>
        <w:t>Healthcare workers’ mental health is closely tied to the quality of care they provide. Workers suffering from stress and burnout may have diminished capacity to perform their duties, which can negatively affect patient outcomes (Lai et al., 2020).</w:t>
      </w:r>
    </w:p>
    <w:p w14:paraId="34BAD401" w14:textId="191ABFB5" w:rsidR="0000573A" w:rsidRPr="00EA3CD7" w:rsidRDefault="00450D65"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00573A" w:rsidRPr="00EA3CD7">
        <w:rPr>
          <w:rFonts w:ascii="Arial" w:eastAsia="Times New Roman" w:hAnsi="Arial" w:cs="Arial"/>
          <w:b/>
          <w:bCs/>
          <w:kern w:val="0"/>
          <w:sz w:val="22"/>
          <w:szCs w:val="22"/>
          <w:lang w:eastAsia="en-GB"/>
          <w14:ligatures w14:val="none"/>
        </w:rPr>
        <w:t>Long-term Implications</w:t>
      </w:r>
      <w:r w:rsidR="0000573A" w:rsidRPr="00EA3CD7">
        <w:rPr>
          <w:rFonts w:ascii="Arial" w:eastAsia="Times New Roman" w:hAnsi="Arial" w:cs="Arial"/>
          <w:kern w:val="0"/>
          <w:sz w:val="22"/>
          <w:szCs w:val="22"/>
          <w:lang w:eastAsia="en-GB"/>
          <w14:ligatures w14:val="none"/>
        </w:rPr>
        <w:br/>
        <w:t>The psychological impact of the pandemic may have long-lasting effects on healthcare workers, potentially leading to chronic mental health issues. Early intervention and support can mitigate these effects and promote resilience (Moreno et al., 2020).</w:t>
      </w:r>
    </w:p>
    <w:p w14:paraId="7E63FF7A" w14:textId="18476124" w:rsidR="0000573A" w:rsidRPr="00EA3CD7" w:rsidRDefault="00450D65" w:rsidP="00EA3CD7">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00573A" w:rsidRPr="00EA3CD7">
        <w:rPr>
          <w:rFonts w:ascii="Arial" w:eastAsia="Times New Roman" w:hAnsi="Arial" w:cs="Arial"/>
          <w:b/>
          <w:bCs/>
          <w:kern w:val="0"/>
          <w:sz w:val="22"/>
          <w:szCs w:val="22"/>
          <w:lang w:eastAsia="en-GB"/>
          <w14:ligatures w14:val="none"/>
        </w:rPr>
        <w:t>Development of Support Programs</w:t>
      </w:r>
      <w:r w:rsidR="0000573A" w:rsidRPr="00EA3CD7">
        <w:rPr>
          <w:rFonts w:ascii="Arial" w:eastAsia="Times New Roman" w:hAnsi="Arial" w:cs="Arial"/>
          <w:kern w:val="0"/>
          <w:sz w:val="22"/>
          <w:szCs w:val="22"/>
          <w:lang w:eastAsia="en-GB"/>
          <w14:ligatures w14:val="none"/>
        </w:rPr>
        <w:br/>
        <w:t>Understanding the mental health challenges faced by healthcare workers can help in developing targeted support programs. These programs can provide essential resources, training, and coping strategies that are tailored to the specific needs of healthcare workers (Shaukat et al., 2020).</w:t>
      </w:r>
    </w:p>
    <w:p w14:paraId="13B307A2" w14:textId="77777777" w:rsidR="00462A4E" w:rsidRPr="00EA3CD7" w:rsidRDefault="00462A4E" w:rsidP="00EA3CD7">
      <w:pPr>
        <w:spacing w:before="100" w:beforeAutospacing="1" w:after="100" w:afterAutospacing="1" w:line="360" w:lineRule="auto"/>
        <w:ind w:left="851"/>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Conclusion</w:t>
      </w:r>
    </w:p>
    <w:p w14:paraId="5638A0E6" w14:textId="190A6DA8" w:rsidR="00462A4E" w:rsidRPr="00EA3CD7" w:rsidRDefault="00462A4E" w:rsidP="00EA3CD7">
      <w:pPr>
        <w:spacing w:before="100" w:beforeAutospacing="1" w:after="100" w:afterAutospacing="1" w:line="360" w:lineRule="auto"/>
        <w:ind w:left="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The COVID-19 pandemic has placed an extraordinary strain on healthcare systems globally, with healthcare workers (HCWs) bearing the brunt of this crisis (World Health </w:t>
      </w:r>
      <w:r w:rsidR="00216D46" w:rsidRPr="00EA3CD7">
        <w:rPr>
          <w:rFonts w:ascii="Arial" w:eastAsia="Times New Roman" w:hAnsi="Arial" w:cs="Arial"/>
          <w:kern w:val="0"/>
          <w:sz w:val="22"/>
          <w:szCs w:val="22"/>
          <w:lang w:eastAsia="en-GB"/>
          <w14:ligatures w14:val="none"/>
        </w:rPr>
        <w:t>Organisation</w:t>
      </w:r>
      <w:r w:rsidRPr="00EA3CD7">
        <w:rPr>
          <w:rFonts w:ascii="Arial" w:eastAsia="Times New Roman" w:hAnsi="Arial" w:cs="Arial"/>
          <w:kern w:val="0"/>
          <w:sz w:val="22"/>
          <w:szCs w:val="22"/>
          <w:lang w:eastAsia="en-GB"/>
          <w14:ligatures w14:val="none"/>
        </w:rPr>
        <w:t>, 2020). This dissertation has explored the mental health challenges encountered by HCWs during the pandemic, the coping strategies they employed, and the role of institutional support in mitigating psychological distress.</w:t>
      </w:r>
    </w:p>
    <w:p w14:paraId="55818998" w14:textId="77777777" w:rsidR="00462A4E" w:rsidRPr="00EA3CD7" w:rsidRDefault="00462A4E" w:rsidP="00EA3CD7">
      <w:pPr>
        <w:spacing w:before="100" w:beforeAutospacing="1" w:after="100" w:afterAutospacing="1" w:line="360" w:lineRule="auto"/>
        <w:ind w:left="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The evidence presented shows that HCWs experienced a broad range of mental health issues, including anxiety, depression, burnout, and symptoms of post-traumatic stress disorder (Lai et al., 2020; Zhang et al., 2020). These challenges were intensified by specific stressors such as increased workloads, limited access to personal protective equipment (PPE), heightened risk of infection, and the emotional toll of treating critically ill patients (Spoorthy et al., 2020; Buchanan et al., 2020). Additionally, many HCWs experienced social stigma and isolation, which further limited their access to informal support networks (Greenberg et al., 2020).</w:t>
      </w:r>
    </w:p>
    <w:p w14:paraId="65887797" w14:textId="77777777" w:rsidR="00462A4E" w:rsidRPr="00EA3CD7" w:rsidRDefault="00462A4E" w:rsidP="00EA3CD7">
      <w:pPr>
        <w:spacing w:before="100" w:beforeAutospacing="1" w:after="100" w:afterAutospacing="1" w:line="360" w:lineRule="auto"/>
        <w:ind w:left="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While individual coping mechanisms such as resilience and peer support were adopted by many HCWs, the effectiveness of these strategies was often dependent on the presence of institutional support. Organisations that implemented psychological services, clear communication, and structured well-being initiatives </w:t>
      </w:r>
      <w:r w:rsidRPr="00EA3CD7">
        <w:rPr>
          <w:rFonts w:ascii="Arial" w:eastAsia="Times New Roman" w:hAnsi="Arial" w:cs="Arial"/>
          <w:kern w:val="0"/>
          <w:sz w:val="22"/>
          <w:szCs w:val="22"/>
          <w:lang w:eastAsia="en-GB"/>
          <w14:ligatures w14:val="none"/>
        </w:rPr>
        <w:lastRenderedPageBreak/>
        <w:t>were more effective in maintaining staff morale and reducing burnout (Cabarkapa et al., 2020; Wu et al., 2020).</w:t>
      </w:r>
    </w:p>
    <w:p w14:paraId="3F60C0DC" w14:textId="77777777" w:rsidR="00462A4E" w:rsidRPr="00EA3CD7" w:rsidRDefault="00462A4E" w:rsidP="00EA3CD7">
      <w:pPr>
        <w:spacing w:before="100" w:beforeAutospacing="1" w:after="100" w:afterAutospacing="1" w:line="360" w:lineRule="auto"/>
        <w:ind w:left="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This research has demonstrated that addressing the mental health of HCWs is vital not only for individual well-being but also for the sustainability of the healthcare workforce and the quality of patient care (Shaukat et al., 2020). Institutions must view mental health support as an integral and ongoing component of healthcare infrastructure, particularly during high-pressure situations such as pandemics (Lai et al., 2020).</w:t>
      </w:r>
    </w:p>
    <w:p w14:paraId="7DD38C10" w14:textId="77777777" w:rsidR="00462A4E" w:rsidRPr="00EA3CD7" w:rsidRDefault="00462A4E" w:rsidP="00EA3CD7">
      <w:pPr>
        <w:spacing w:before="100" w:beforeAutospacing="1" w:after="100" w:afterAutospacing="1" w:line="360" w:lineRule="auto"/>
        <w:ind w:left="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In conclusion, the COVID-19 pandemic has exposed significant gaps in the mental health support available to healthcare workers. However, it has also created an opportunity to rethink and redesign institutional policies. By adopting proactive, evidence-based support strategies, healthcare systems can better prepare for future crises, protect the psychological well-being of HCWs, and ensure the continuity of safe and effective patient care (Greenberg et al., 2020; Moreno et al., 2020).</w:t>
      </w:r>
    </w:p>
    <w:p w14:paraId="088113B7" w14:textId="77777777" w:rsidR="0000573A" w:rsidRPr="00EA3CD7" w:rsidRDefault="00000000" w:rsidP="00EA3CD7">
      <w:pPr>
        <w:tabs>
          <w:tab w:val="left" w:pos="426"/>
          <w:tab w:val="left" w:pos="851"/>
        </w:tabs>
        <w:spacing w:after="0"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pict w14:anchorId="56E612F6">
          <v:rect id="_x0000_i1025" style="width:0;height:1.5pt" o:hrstd="t" o:hr="t" fillcolor="#a0a0a0" stroked="f"/>
        </w:pict>
      </w:r>
    </w:p>
    <w:p w14:paraId="60E0F93C" w14:textId="7061F245" w:rsidR="00AB63C4" w:rsidRPr="00EA3CD7" w:rsidRDefault="00F43D41" w:rsidP="00EA3CD7">
      <w:pPr>
        <w:spacing w:before="100" w:beforeAutospacing="1" w:after="100" w:afterAutospacing="1" w:line="360" w:lineRule="auto"/>
        <w:ind w:left="709" w:hanging="709"/>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C77E59" w:rsidRPr="00EA3CD7">
        <w:rPr>
          <w:rFonts w:ascii="Arial" w:eastAsia="Times New Roman" w:hAnsi="Arial" w:cs="Arial"/>
          <w:b/>
          <w:bCs/>
          <w:kern w:val="0"/>
          <w:sz w:val="22"/>
          <w:szCs w:val="22"/>
          <w:lang w:eastAsia="en-GB"/>
          <w14:ligatures w14:val="none"/>
        </w:rPr>
        <w:t xml:space="preserve">Chapter 2 </w:t>
      </w:r>
      <w:r w:rsidR="00447D43" w:rsidRPr="00EA3CD7">
        <w:rPr>
          <w:rFonts w:ascii="Arial" w:eastAsia="Times New Roman" w:hAnsi="Arial" w:cs="Arial"/>
          <w:b/>
          <w:bCs/>
          <w:kern w:val="0"/>
          <w:sz w:val="22"/>
          <w:szCs w:val="22"/>
          <w:lang w:eastAsia="en-GB"/>
          <w14:ligatures w14:val="none"/>
        </w:rPr>
        <w:t>Literature Review</w:t>
      </w:r>
    </w:p>
    <w:p w14:paraId="6CC99F9D" w14:textId="709EADF0" w:rsidR="00224F8F" w:rsidRPr="00EA3CD7" w:rsidRDefault="00F43D41"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224F8F" w:rsidRPr="00EA3CD7">
        <w:rPr>
          <w:rFonts w:ascii="Arial" w:eastAsia="Times New Roman" w:hAnsi="Arial" w:cs="Arial"/>
          <w:kern w:val="0"/>
          <w:sz w:val="22"/>
          <w:szCs w:val="22"/>
          <w:lang w:eastAsia="en-GB"/>
          <w14:ligatures w14:val="none"/>
        </w:rPr>
        <w:t>This chapter explores the psychological impact of pandemics, particularly COVID-19, on healthcare workers. It aims to lay the foundation for the research by providing essential historical, theoretical, and contextual information. Drawing on a range of scholarly sources, the chapter outlines the key stressors experienced by healthcare professionals during health crises, their coping mechanisms, and the role of institutional support in mitigating these challenges. The insights presented here will inform the subsequent analysis by identifying critical areas of mental health strain, the factors that contribute to it, and the measures necessary for sustaining the psychological well-being of the healthcare workforce.</w:t>
      </w:r>
    </w:p>
    <w:p w14:paraId="73F69506" w14:textId="3231C6F2" w:rsidR="003A4D84" w:rsidRPr="00EA3CD7" w:rsidRDefault="00F43D41" w:rsidP="00EA3CD7">
      <w:pPr>
        <w:spacing w:before="100" w:beforeAutospacing="1" w:after="100" w:afterAutospacing="1" w:line="360" w:lineRule="auto"/>
        <w:ind w:left="709" w:hanging="709"/>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3A4D84" w:rsidRPr="00EA3CD7">
        <w:rPr>
          <w:rFonts w:ascii="Arial" w:eastAsia="Times New Roman" w:hAnsi="Arial" w:cs="Arial"/>
          <w:b/>
          <w:bCs/>
          <w:kern w:val="0"/>
          <w:sz w:val="22"/>
          <w:szCs w:val="22"/>
          <w:lang w:eastAsia="en-GB"/>
          <w14:ligatures w14:val="none"/>
        </w:rPr>
        <w:t>2.1 Introduction</w:t>
      </w:r>
    </w:p>
    <w:p w14:paraId="55BFF76C" w14:textId="14EFA148" w:rsidR="003A4D84" w:rsidRPr="00EA3CD7" w:rsidRDefault="00F43D41"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3A4D84" w:rsidRPr="00EA3CD7">
        <w:rPr>
          <w:rFonts w:ascii="Arial" w:eastAsia="Times New Roman" w:hAnsi="Arial" w:cs="Arial"/>
          <w:kern w:val="0"/>
          <w:sz w:val="22"/>
          <w:szCs w:val="22"/>
          <w:lang w:eastAsia="en-GB"/>
          <w14:ligatures w14:val="none"/>
        </w:rPr>
        <w:t xml:space="preserve">The COVID-19 pandemic has significantly transformed global healthcare systems, not only in terms of clinical practice but also in the psychological well-being of those on the frontlines. Healthcare workers, including doctors, nurses, paramedics, and support staff, have been among the most affected, facing unprecedented challenges </w:t>
      </w:r>
      <w:r w:rsidR="003A4D84" w:rsidRPr="00EA3CD7">
        <w:rPr>
          <w:rFonts w:ascii="Arial" w:eastAsia="Times New Roman" w:hAnsi="Arial" w:cs="Arial"/>
          <w:kern w:val="0"/>
          <w:sz w:val="22"/>
          <w:szCs w:val="22"/>
          <w:lang w:eastAsia="en-GB"/>
          <w14:ligatures w14:val="none"/>
        </w:rPr>
        <w:lastRenderedPageBreak/>
        <w:t>such as increased workload, high patient mortality, ethical dilemmas, and exposure to infection. These stressors have led to a sharp rise in mental health issues, including anxiety, depression, post-traumatic stress disorder (PTSD), and burnout.</w:t>
      </w:r>
    </w:p>
    <w:p w14:paraId="4083C7F8" w14:textId="4412D000" w:rsidR="003A4D84" w:rsidRPr="00EA3CD7" w:rsidRDefault="00F43D41"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3A4D84" w:rsidRPr="00EA3CD7">
        <w:rPr>
          <w:rFonts w:ascii="Arial" w:eastAsia="Times New Roman" w:hAnsi="Arial" w:cs="Arial"/>
          <w:kern w:val="0"/>
          <w:sz w:val="22"/>
          <w:szCs w:val="22"/>
          <w:lang w:eastAsia="en-GB"/>
          <w14:ligatures w14:val="none"/>
        </w:rPr>
        <w:t>Understanding the mental health impact of pandemics on healthcare workers is of critical importance, not only for safeguarding the well-being of those providing care but also for ensuring the long-term sustainability and efficiency of healthcare systems. The psychological consequences experienced by healthcare personnel during global health emergencies can impair decision-making, reduce productivity, and lead to long-term attrition in an already strained workforce. While the mental health effects of the pandemic are now widely recognised, there is still a need for in-depth exploration of the contributing factors, individual coping mechanisms, and the role of institutional support in mitigating these effects.</w:t>
      </w:r>
    </w:p>
    <w:p w14:paraId="1A9B57DA" w14:textId="0F8A04D0" w:rsidR="003A4D84" w:rsidRPr="00EA3CD7" w:rsidRDefault="00F43D41"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3A4D84" w:rsidRPr="00EA3CD7">
        <w:rPr>
          <w:rFonts w:ascii="Arial" w:eastAsia="Times New Roman" w:hAnsi="Arial" w:cs="Arial"/>
          <w:kern w:val="0"/>
          <w:sz w:val="22"/>
          <w:szCs w:val="22"/>
          <w:lang w:eastAsia="en-GB"/>
          <w14:ligatures w14:val="none"/>
        </w:rPr>
        <w:t>This chapter provides a critical review of the existing literature related to the mental health impact of pandemics—particularly COVID-19—on healthcare professionals. It begins by examining the range of psychological effects that healthcare workers have experienced during health crises. It then explores the specific lessons learned from previous pandemics such as SARS and H1N1, highlighting how these past experiences informed current responses. The chapter also analyses the contributing factors that exacerbate psychological distress, including fear of infection, moral injury, and resource shortages.</w:t>
      </w:r>
    </w:p>
    <w:p w14:paraId="5486091B" w14:textId="3F057336" w:rsidR="003A4D84" w:rsidRPr="00EA3CD7" w:rsidRDefault="00F43D41"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3A4D84" w:rsidRPr="00EA3CD7">
        <w:rPr>
          <w:rFonts w:ascii="Arial" w:eastAsia="Times New Roman" w:hAnsi="Arial" w:cs="Arial"/>
          <w:kern w:val="0"/>
          <w:sz w:val="22"/>
          <w:szCs w:val="22"/>
          <w:lang w:eastAsia="en-GB"/>
          <w14:ligatures w14:val="none"/>
        </w:rPr>
        <w:t>In addition, attention is given to the coping strategies adopted by healthcare workers. These are classified into adaptive and maladaptive approaches, recognising that not all responses to stress are equally beneficial. Furthermore, the chapter evaluates the role of institutional support systems in promoting psychological resilience. It considers the effectiveness of formal interventions, the limitations of current approaches, and the barriers to access faced by frontline staff.</w:t>
      </w:r>
    </w:p>
    <w:p w14:paraId="35183284" w14:textId="7BF7483C" w:rsidR="003A4D84" w:rsidRPr="00EA3CD7" w:rsidRDefault="00F43D41"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3A4D84" w:rsidRPr="00EA3CD7">
        <w:rPr>
          <w:rFonts w:ascii="Arial" w:eastAsia="Times New Roman" w:hAnsi="Arial" w:cs="Arial"/>
          <w:kern w:val="0"/>
          <w:sz w:val="22"/>
          <w:szCs w:val="22"/>
          <w:lang w:eastAsia="en-GB"/>
          <w14:ligatures w14:val="none"/>
        </w:rPr>
        <w:t>By reviewing and synthesising findings from global literature, this chapter aims to identify key themes, highlight research gaps, and provide a strong foundation for the empirical components of this dissertation. Ultimately, the goal is to better understand the complex interplay between occupational stressors, individual behaviours, and organisational responses in shaping the mental health outcomes of healthcare professionals during pandemics.</w:t>
      </w:r>
    </w:p>
    <w:p w14:paraId="414A5997" w14:textId="77777777" w:rsidR="00F321EC" w:rsidRPr="00EA3CD7" w:rsidRDefault="00F321EC" w:rsidP="00EA3CD7">
      <w:pPr>
        <w:pStyle w:val="Heading3"/>
        <w:spacing w:line="360" w:lineRule="auto"/>
        <w:rPr>
          <w:rFonts w:ascii="Arial" w:eastAsia="Times New Roman" w:hAnsi="Arial" w:cs="Arial"/>
          <w:b/>
          <w:bCs/>
          <w:color w:val="auto"/>
          <w:kern w:val="0"/>
          <w:sz w:val="22"/>
          <w:szCs w:val="22"/>
          <w:lang w:eastAsia="en-GB"/>
          <w14:ligatures w14:val="none"/>
        </w:rPr>
      </w:pPr>
      <w:r w:rsidRPr="00EA3CD7">
        <w:rPr>
          <w:rFonts w:ascii="Arial" w:eastAsia="Times New Roman" w:hAnsi="Arial" w:cs="Arial"/>
          <w:kern w:val="0"/>
          <w:sz w:val="22"/>
          <w:szCs w:val="22"/>
          <w:lang w:eastAsia="en-GB"/>
          <w14:ligatures w14:val="none"/>
        </w:rPr>
        <w:lastRenderedPageBreak/>
        <w:t xml:space="preserve">           </w:t>
      </w:r>
      <w:r w:rsidRPr="00EA3CD7">
        <w:rPr>
          <w:rFonts w:ascii="Arial" w:eastAsia="Times New Roman" w:hAnsi="Arial" w:cs="Arial"/>
          <w:b/>
          <w:bCs/>
          <w:color w:val="auto"/>
          <w:kern w:val="0"/>
          <w:sz w:val="22"/>
          <w:szCs w:val="22"/>
          <w:lang w:eastAsia="en-GB"/>
          <w14:ligatures w14:val="none"/>
        </w:rPr>
        <w:t>2.2 Historical Background</w:t>
      </w:r>
    </w:p>
    <w:p w14:paraId="5C5BD2FD" w14:textId="4A2FB4ED" w:rsidR="00F321EC" w:rsidRPr="00EA3CD7" w:rsidRDefault="00F321EC" w:rsidP="00EA3CD7">
      <w:pPr>
        <w:spacing w:before="100" w:beforeAutospacing="1" w:after="100" w:afterAutospacing="1" w:line="360" w:lineRule="auto"/>
        <w:ind w:left="794"/>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The psychological impact of pandemics on healthcare workers is a well-established and recurring concern, predating the COVID-19 crisis. Historical data from previous outbreaks</w:t>
      </w:r>
      <w:r w:rsidR="0064619B" w:rsidRPr="00EA3CD7">
        <w:rPr>
          <w:rFonts w:ascii="Arial" w:eastAsia="Times New Roman" w:hAnsi="Arial" w:cs="Arial"/>
          <w:kern w:val="0"/>
          <w:sz w:val="22"/>
          <w:szCs w:val="22"/>
          <w:lang w:eastAsia="en-GB"/>
          <w14:ligatures w14:val="none"/>
        </w:rPr>
        <w:t xml:space="preserve"> </w:t>
      </w:r>
      <w:r w:rsidRPr="00EA3CD7">
        <w:rPr>
          <w:rFonts w:ascii="Arial" w:eastAsia="Times New Roman" w:hAnsi="Arial" w:cs="Arial"/>
          <w:kern w:val="0"/>
          <w:sz w:val="22"/>
          <w:szCs w:val="22"/>
          <w:lang w:eastAsia="en-GB"/>
          <w14:ligatures w14:val="none"/>
        </w:rPr>
        <w:t>most notably the Severe Acute Respiratory Syndrome (SARS) in 2003 and the H1N1 influenza pandemic in 2009—demonstrate consistent patterns of psychological strain among frontline healthcare personnel. During the SARS outbreak, for instance, Maunder et al. (2006) observed that approximately 29% of hospital staff in Toronto exhibited symptoms indicative of post-traumatic stress disorder (PTSD), with common manifestations including insomnia, social withdrawal, and persistent fear.</w:t>
      </w:r>
    </w:p>
    <w:p w14:paraId="49BA2BA5" w14:textId="77777777" w:rsidR="00F321EC" w:rsidRPr="00EA3CD7" w:rsidRDefault="00F321EC" w:rsidP="00EA3CD7">
      <w:pPr>
        <w:spacing w:before="100" w:beforeAutospacing="1" w:after="100" w:afterAutospacing="1" w:line="360" w:lineRule="auto"/>
        <w:ind w:left="794"/>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Similarly, the H1N1 pandemic saw healthcare workers experiencing elevated levels of anxiety and emotional fatigue, stemming largely from inadequate guidance, evolving clinical protocols, and concerns over personal safety (Goulia et al., 2010). These findings underscore the vulnerability of healthcare systems and personnel during infectious disease outbreaks.</w:t>
      </w:r>
    </w:p>
    <w:p w14:paraId="06293CD3" w14:textId="77777777" w:rsidR="00F321EC" w:rsidRPr="00EA3CD7" w:rsidRDefault="00F321EC" w:rsidP="00EA3CD7">
      <w:pPr>
        <w:spacing w:before="100" w:beforeAutospacing="1" w:after="100" w:afterAutospacing="1" w:line="360" w:lineRule="auto"/>
        <w:ind w:left="794"/>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However, the COVID-19 pandemic has significantly exceeded previous epidemics in terms of scale, duration, and global disruption, resulting in a far more substantial psychological burden. In a large-scale study conducted in China, Lai et al. (2020) found that over half of healthcare workers reported symptoms of depression and anxiety, with those directly involved in COVID-19 care being most severely affected. Female healthcare professionals and nurses were found to be disproportionately impacted.</w:t>
      </w:r>
    </w:p>
    <w:p w14:paraId="770F22FF" w14:textId="77777777" w:rsidR="00F321EC" w:rsidRPr="00EA3CD7" w:rsidRDefault="00F321EC" w:rsidP="00EA3CD7">
      <w:pPr>
        <w:spacing w:before="100" w:beforeAutospacing="1" w:after="100" w:afterAutospacing="1" w:line="360" w:lineRule="auto"/>
        <w:ind w:left="794"/>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This pattern has been echoed in multiple international studies. In Italy, nearly 50% of healthcare workers demonstrated PTSD symptoms during the early phases of the pandemic (Rossi et al., 2020). In the United States, Shechter et al. (2020) found that 57% of staff in a major New York hospital system experienced acute stress, while nearly half reported depressive symptoms. In Pakistan, Shaukat, Ali and Razzak (2020) identified not only anxiety and </w:t>
      </w:r>
      <w:proofErr w:type="gramStart"/>
      <w:r w:rsidRPr="00EA3CD7">
        <w:rPr>
          <w:rFonts w:ascii="Arial" w:eastAsia="Times New Roman" w:hAnsi="Arial" w:cs="Arial"/>
          <w:kern w:val="0"/>
          <w:sz w:val="22"/>
          <w:szCs w:val="22"/>
          <w:lang w:eastAsia="en-GB"/>
          <w14:ligatures w14:val="none"/>
        </w:rPr>
        <w:t>fear, but</w:t>
      </w:r>
      <w:proofErr w:type="gramEnd"/>
      <w:r w:rsidRPr="00EA3CD7">
        <w:rPr>
          <w:rFonts w:ascii="Arial" w:eastAsia="Times New Roman" w:hAnsi="Arial" w:cs="Arial"/>
          <w:kern w:val="0"/>
          <w:sz w:val="22"/>
          <w:szCs w:val="22"/>
          <w:lang w:eastAsia="en-GB"/>
          <w14:ligatures w14:val="none"/>
        </w:rPr>
        <w:t xml:space="preserve"> also heightened social stigma and isolation among healthcare professionals, especially those in under-resourced regions.</w:t>
      </w:r>
    </w:p>
    <w:p w14:paraId="1ABE8142" w14:textId="77777777" w:rsidR="00F321EC" w:rsidRPr="00EA3CD7" w:rsidRDefault="00F321EC" w:rsidP="00EA3CD7">
      <w:pPr>
        <w:spacing w:before="100" w:beforeAutospacing="1" w:after="100" w:afterAutospacing="1" w:line="360" w:lineRule="auto"/>
        <w:ind w:left="794"/>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Several key contributing factors have been consistently identified across these studies:</w:t>
      </w:r>
    </w:p>
    <w:p w14:paraId="197174C1" w14:textId="77777777" w:rsidR="00F321EC" w:rsidRPr="00EA3CD7" w:rsidRDefault="00F321EC" w:rsidP="00EA3CD7">
      <w:pPr>
        <w:numPr>
          <w:ilvl w:val="0"/>
          <w:numId w:val="9"/>
        </w:numPr>
        <w:spacing w:before="100" w:beforeAutospacing="1" w:after="100" w:afterAutospacing="1" w:line="360" w:lineRule="auto"/>
        <w:ind w:left="794"/>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lastRenderedPageBreak/>
        <w:t>Fear of infection and transmission to family members</w:t>
      </w:r>
      <w:r w:rsidRPr="00EA3CD7">
        <w:rPr>
          <w:rFonts w:ascii="Arial" w:eastAsia="Times New Roman" w:hAnsi="Arial" w:cs="Arial"/>
          <w:kern w:val="0"/>
          <w:sz w:val="22"/>
          <w:szCs w:val="22"/>
          <w:lang w:eastAsia="en-GB"/>
          <w14:ligatures w14:val="none"/>
        </w:rPr>
        <w:t>, particularly when personal protective equipment (PPE) was inadequate or unavailable, led to chronic hypervigilance and emotional fatigue.</w:t>
      </w:r>
    </w:p>
    <w:p w14:paraId="3098D74C" w14:textId="77777777" w:rsidR="00F321EC" w:rsidRPr="00EA3CD7" w:rsidRDefault="00F321EC" w:rsidP="00EA3CD7">
      <w:pPr>
        <w:numPr>
          <w:ilvl w:val="0"/>
          <w:numId w:val="9"/>
        </w:numPr>
        <w:spacing w:before="100" w:beforeAutospacing="1" w:after="100" w:afterAutospacing="1" w:line="360" w:lineRule="auto"/>
        <w:ind w:left="794"/>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Exposure to frequent patient deaths</w:t>
      </w:r>
      <w:r w:rsidRPr="00EA3CD7">
        <w:rPr>
          <w:rFonts w:ascii="Arial" w:eastAsia="Times New Roman" w:hAnsi="Arial" w:cs="Arial"/>
          <w:kern w:val="0"/>
          <w:sz w:val="22"/>
          <w:szCs w:val="22"/>
          <w:lang w:eastAsia="en-GB"/>
          <w14:ligatures w14:val="none"/>
        </w:rPr>
        <w:t>, which contributed to compassion fatigue, cumulative grief, and symptoms of secondary traumatic stress.</w:t>
      </w:r>
    </w:p>
    <w:p w14:paraId="72884783" w14:textId="77777777" w:rsidR="00F321EC" w:rsidRPr="00EA3CD7" w:rsidRDefault="00F321EC" w:rsidP="00EA3CD7">
      <w:pPr>
        <w:numPr>
          <w:ilvl w:val="0"/>
          <w:numId w:val="9"/>
        </w:numPr>
        <w:spacing w:before="100" w:beforeAutospacing="1" w:after="100" w:afterAutospacing="1" w:line="360" w:lineRule="auto"/>
        <w:ind w:left="794"/>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Moral injury</w:t>
      </w:r>
      <w:r w:rsidRPr="00EA3CD7">
        <w:rPr>
          <w:rFonts w:ascii="Arial" w:eastAsia="Times New Roman" w:hAnsi="Arial" w:cs="Arial"/>
          <w:kern w:val="0"/>
          <w:sz w:val="22"/>
          <w:szCs w:val="22"/>
          <w:lang w:eastAsia="en-GB"/>
          <w14:ligatures w14:val="none"/>
        </w:rPr>
        <w:t>, defined as psychological distress resulting from actions—or the lack thereof—that violate one’s ethical or professional values, was prevalent when clinicians were forced to make difficult decisions under resource-constrained conditions (Greenberg et al., 2020).</w:t>
      </w:r>
    </w:p>
    <w:p w14:paraId="712C62AD" w14:textId="77777777" w:rsidR="00F321EC" w:rsidRPr="00EA3CD7" w:rsidRDefault="00F321EC" w:rsidP="00EA3CD7">
      <w:pPr>
        <w:numPr>
          <w:ilvl w:val="0"/>
          <w:numId w:val="9"/>
        </w:numPr>
        <w:spacing w:before="100" w:beforeAutospacing="1" w:after="100" w:afterAutospacing="1" w:line="360" w:lineRule="auto"/>
        <w:ind w:left="794"/>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Long working hours, staff shortages, and lack of psychological recovery time</w:t>
      </w:r>
      <w:r w:rsidRPr="00EA3CD7">
        <w:rPr>
          <w:rFonts w:ascii="Arial" w:eastAsia="Times New Roman" w:hAnsi="Arial" w:cs="Arial"/>
          <w:kern w:val="0"/>
          <w:sz w:val="22"/>
          <w:szCs w:val="22"/>
          <w:lang w:eastAsia="en-GB"/>
          <w14:ligatures w14:val="none"/>
        </w:rPr>
        <w:t>, all of which compounded stress and reduced resilience.</w:t>
      </w:r>
    </w:p>
    <w:p w14:paraId="4ED26AE0" w14:textId="055CE878" w:rsidR="00F321EC" w:rsidRPr="00EA3CD7" w:rsidRDefault="00F321EC" w:rsidP="00EA3CD7">
      <w:pPr>
        <w:spacing w:before="100" w:beforeAutospacing="1" w:after="100" w:afterAutospacing="1" w:line="360" w:lineRule="auto"/>
        <w:ind w:left="794"/>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It is also important to acknowledge the </w:t>
      </w:r>
      <w:r w:rsidRPr="00EA3CD7">
        <w:rPr>
          <w:rFonts w:ascii="Arial" w:eastAsia="Times New Roman" w:hAnsi="Arial" w:cs="Arial"/>
          <w:b/>
          <w:bCs/>
          <w:kern w:val="0"/>
          <w:sz w:val="22"/>
          <w:szCs w:val="22"/>
          <w:lang w:eastAsia="en-GB"/>
          <w14:ligatures w14:val="none"/>
        </w:rPr>
        <w:t>long-term mental health consequences</w:t>
      </w:r>
      <w:r w:rsidRPr="00EA3CD7">
        <w:rPr>
          <w:rFonts w:ascii="Arial" w:eastAsia="Times New Roman" w:hAnsi="Arial" w:cs="Arial"/>
          <w:kern w:val="0"/>
          <w:sz w:val="22"/>
          <w:szCs w:val="22"/>
          <w:lang w:eastAsia="en-GB"/>
          <w14:ligatures w14:val="none"/>
        </w:rPr>
        <w:t xml:space="preserve"> for healthcare workers following such crises. Studies following the SARS outbreak indicated that psychological effects, including PTSD and depression, persisted for over a year after the initial crisis (Wu et al., 2009). Similar long-term outcomes are anticipated in the wake of COVID-19, reinforcing the need for sustained mental health support.</w:t>
      </w:r>
    </w:p>
    <w:p w14:paraId="795B0018" w14:textId="77777777" w:rsidR="00F321EC" w:rsidRPr="00EA3CD7" w:rsidRDefault="00F321EC" w:rsidP="00EA3CD7">
      <w:pPr>
        <w:spacing w:before="100" w:beforeAutospacing="1" w:after="100" w:afterAutospacing="1" w:line="360" w:lineRule="auto"/>
        <w:ind w:left="794"/>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These patterns not only reflect the acute pressures of working during health emergencies but also highlight </w:t>
      </w:r>
      <w:r w:rsidRPr="00EA3CD7">
        <w:rPr>
          <w:rFonts w:ascii="Arial" w:eastAsia="Times New Roman" w:hAnsi="Arial" w:cs="Arial"/>
          <w:b/>
          <w:bCs/>
          <w:kern w:val="0"/>
          <w:sz w:val="22"/>
          <w:szCs w:val="22"/>
          <w:lang w:eastAsia="en-GB"/>
          <w14:ligatures w14:val="none"/>
        </w:rPr>
        <w:t>structural vulnerabilities</w:t>
      </w:r>
      <w:r w:rsidRPr="00EA3CD7">
        <w:rPr>
          <w:rFonts w:ascii="Arial" w:eastAsia="Times New Roman" w:hAnsi="Arial" w:cs="Arial"/>
          <w:kern w:val="0"/>
          <w:sz w:val="22"/>
          <w:szCs w:val="22"/>
          <w:lang w:eastAsia="en-GB"/>
          <w14:ligatures w14:val="none"/>
        </w:rPr>
        <w:t xml:space="preserve"> in healthcare systems globally. The recurrence of these issues across multiple outbreaks suggests a systemic lack of preparedness in safeguarding the mental health of the healthcare workforce. Recognising the historical continuity and multifactorial nature of psychological distress in healthcare settings is essential for developing resilient, evidence-based mental health interventions for future pandemics.</w:t>
      </w:r>
    </w:p>
    <w:p w14:paraId="74147362" w14:textId="72AE3FC8" w:rsidR="00526830" w:rsidRPr="00EA3CD7" w:rsidRDefault="00526830" w:rsidP="00EA3CD7">
      <w:pPr>
        <w:spacing w:before="100" w:beforeAutospacing="1" w:after="100" w:afterAutospacing="1" w:line="360" w:lineRule="auto"/>
        <w:ind w:left="794"/>
        <w:rPr>
          <w:rFonts w:ascii="Arial" w:eastAsia="Times New Roman" w:hAnsi="Arial" w:cs="Arial"/>
          <w:b/>
          <w:bCs/>
          <w:kern w:val="0"/>
          <w:sz w:val="22"/>
          <w:szCs w:val="22"/>
          <w:lang w:eastAsia="en-GB"/>
          <w14:ligatures w14:val="none"/>
        </w:rPr>
      </w:pPr>
    </w:p>
    <w:p w14:paraId="7C26F80B" w14:textId="020E85EF" w:rsidR="009E4F2A" w:rsidRPr="00EA3CD7" w:rsidRDefault="0034676B" w:rsidP="00EA3CD7">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9E4F2A" w:rsidRPr="00EA3CD7">
        <w:rPr>
          <w:rFonts w:ascii="Arial" w:eastAsia="Times New Roman" w:hAnsi="Arial" w:cs="Arial"/>
          <w:b/>
          <w:bCs/>
          <w:kern w:val="0"/>
          <w:sz w:val="22"/>
          <w:szCs w:val="22"/>
          <w:lang w:eastAsia="en-GB"/>
          <w14:ligatures w14:val="none"/>
        </w:rPr>
        <w:t>Theoretical Background</w:t>
      </w:r>
    </w:p>
    <w:p w14:paraId="274EC634" w14:textId="735BC91E" w:rsidR="00A20122" w:rsidRPr="00EA3CD7" w:rsidRDefault="0034676B"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A20122" w:rsidRPr="00EA3CD7">
        <w:rPr>
          <w:rFonts w:ascii="Arial" w:eastAsia="Times New Roman" w:hAnsi="Arial" w:cs="Arial"/>
          <w:b/>
          <w:bCs/>
          <w:kern w:val="0"/>
          <w:sz w:val="22"/>
          <w:szCs w:val="22"/>
          <w:lang w:eastAsia="en-GB"/>
          <w14:ligatures w14:val="none"/>
        </w:rPr>
        <w:t>Key Theories and Concepts</w:t>
      </w:r>
    </w:p>
    <w:p w14:paraId="14168ADD" w14:textId="77777777" w:rsidR="00A20122" w:rsidRPr="00EA3CD7" w:rsidRDefault="00A20122" w:rsidP="00EA3CD7">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Stress and Coping Theory (Lazarus and Folkman, 1984)</w:t>
      </w:r>
      <w:r w:rsidRPr="00EA3CD7">
        <w:rPr>
          <w:rFonts w:ascii="Arial" w:eastAsia="Times New Roman" w:hAnsi="Arial" w:cs="Arial"/>
          <w:kern w:val="0"/>
          <w:sz w:val="22"/>
          <w:szCs w:val="22"/>
          <w:lang w:eastAsia="en-GB"/>
          <w14:ligatures w14:val="none"/>
        </w:rPr>
        <w:br/>
        <w:t>This theory posits that psychological stress arises when an individual perceives that the demands placed upon them exceed their available coping resources. Coping strategies are typically divided into:</w:t>
      </w:r>
    </w:p>
    <w:p w14:paraId="3FDA0F2F" w14:textId="77777777" w:rsidR="00A20122" w:rsidRPr="00EA3CD7" w:rsidRDefault="00A20122" w:rsidP="00EA3CD7">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lastRenderedPageBreak/>
        <w:t>Problem-focused coping</w:t>
      </w:r>
      <w:r w:rsidRPr="00EA3CD7">
        <w:rPr>
          <w:rFonts w:ascii="Arial" w:eastAsia="Times New Roman" w:hAnsi="Arial" w:cs="Arial"/>
          <w:kern w:val="0"/>
          <w:sz w:val="22"/>
          <w:szCs w:val="22"/>
          <w:lang w:eastAsia="en-GB"/>
          <w14:ligatures w14:val="none"/>
        </w:rPr>
        <w:t>, which aims to address the stressor directly, and</w:t>
      </w:r>
    </w:p>
    <w:p w14:paraId="2B85622E" w14:textId="77777777" w:rsidR="00A20122" w:rsidRPr="00EA3CD7" w:rsidRDefault="00A20122" w:rsidP="00EA3CD7">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Emotion-focused coping</w:t>
      </w:r>
      <w:r w:rsidRPr="00EA3CD7">
        <w:rPr>
          <w:rFonts w:ascii="Arial" w:eastAsia="Times New Roman" w:hAnsi="Arial" w:cs="Arial"/>
          <w:kern w:val="0"/>
          <w:sz w:val="22"/>
          <w:szCs w:val="22"/>
          <w:lang w:eastAsia="en-GB"/>
          <w14:ligatures w14:val="none"/>
        </w:rPr>
        <w:t>, which seeks to manage the emotional response to the stressor (Lazarus and Folkman, 1984).</w:t>
      </w:r>
      <w:r w:rsidRPr="00EA3CD7">
        <w:rPr>
          <w:rFonts w:ascii="Arial" w:eastAsia="Times New Roman" w:hAnsi="Arial" w:cs="Arial"/>
          <w:kern w:val="0"/>
          <w:sz w:val="22"/>
          <w:szCs w:val="22"/>
          <w:lang w:eastAsia="en-GB"/>
          <w14:ligatures w14:val="none"/>
        </w:rPr>
        <w:br/>
        <w:t>This framework is particularly relevant in the context of healthcare workers managing both psychological and operational stressors during the COVID-19 pandemic.</w:t>
      </w:r>
    </w:p>
    <w:p w14:paraId="37144BF6" w14:textId="77777777" w:rsidR="00A20122" w:rsidRPr="00EA3CD7" w:rsidRDefault="00A20122" w:rsidP="00EA3CD7">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Conservation of Resources (COR) Theory (</w:t>
      </w:r>
      <w:proofErr w:type="spellStart"/>
      <w:r w:rsidRPr="00EA3CD7">
        <w:rPr>
          <w:rFonts w:ascii="Arial" w:eastAsia="Times New Roman" w:hAnsi="Arial" w:cs="Arial"/>
          <w:b/>
          <w:bCs/>
          <w:kern w:val="0"/>
          <w:sz w:val="22"/>
          <w:szCs w:val="22"/>
          <w:lang w:eastAsia="en-GB"/>
          <w14:ligatures w14:val="none"/>
        </w:rPr>
        <w:t>Hobfoll</w:t>
      </w:r>
      <w:proofErr w:type="spellEnd"/>
      <w:r w:rsidRPr="00EA3CD7">
        <w:rPr>
          <w:rFonts w:ascii="Arial" w:eastAsia="Times New Roman" w:hAnsi="Arial" w:cs="Arial"/>
          <w:b/>
          <w:bCs/>
          <w:kern w:val="0"/>
          <w:sz w:val="22"/>
          <w:szCs w:val="22"/>
          <w:lang w:eastAsia="en-GB"/>
          <w14:ligatures w14:val="none"/>
        </w:rPr>
        <w:t>, 1989)</w:t>
      </w:r>
      <w:r w:rsidRPr="00EA3CD7">
        <w:rPr>
          <w:rFonts w:ascii="Arial" w:eastAsia="Times New Roman" w:hAnsi="Arial" w:cs="Arial"/>
          <w:kern w:val="0"/>
          <w:sz w:val="22"/>
          <w:szCs w:val="22"/>
          <w:lang w:eastAsia="en-GB"/>
          <w14:ligatures w14:val="none"/>
        </w:rPr>
        <w:br/>
        <w:t>COR theory proposes that individuals strive to retain, protect, and build resources such as time, energy, and social support. Psychological stress occurs when there is a threat to these resources, an actual loss, or a lack of return on resource investment (</w:t>
      </w:r>
      <w:proofErr w:type="spellStart"/>
      <w:r w:rsidRPr="00EA3CD7">
        <w:rPr>
          <w:rFonts w:ascii="Arial" w:eastAsia="Times New Roman" w:hAnsi="Arial" w:cs="Arial"/>
          <w:kern w:val="0"/>
          <w:sz w:val="22"/>
          <w:szCs w:val="22"/>
          <w:lang w:eastAsia="en-GB"/>
          <w14:ligatures w14:val="none"/>
        </w:rPr>
        <w:t>Hobfoll</w:t>
      </w:r>
      <w:proofErr w:type="spellEnd"/>
      <w:r w:rsidRPr="00EA3CD7">
        <w:rPr>
          <w:rFonts w:ascii="Arial" w:eastAsia="Times New Roman" w:hAnsi="Arial" w:cs="Arial"/>
          <w:kern w:val="0"/>
          <w:sz w:val="22"/>
          <w:szCs w:val="22"/>
          <w:lang w:eastAsia="en-GB"/>
          <w14:ligatures w14:val="none"/>
        </w:rPr>
        <w:t>, 1989). The theory provides a useful lens for examining the widespread resource depletion experienced by healthcare workers during the pandemic.</w:t>
      </w:r>
    </w:p>
    <w:p w14:paraId="20B300A0" w14:textId="77777777" w:rsidR="00A20122" w:rsidRPr="00EA3CD7" w:rsidRDefault="00A20122" w:rsidP="00EA3CD7">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Burnout Theory (Maslach and Jackson, 1981)</w:t>
      </w:r>
      <w:r w:rsidRPr="00EA3CD7">
        <w:rPr>
          <w:rFonts w:ascii="Arial" w:eastAsia="Times New Roman" w:hAnsi="Arial" w:cs="Arial"/>
          <w:kern w:val="0"/>
          <w:sz w:val="22"/>
          <w:szCs w:val="22"/>
          <w:lang w:eastAsia="en-GB"/>
          <w14:ligatures w14:val="none"/>
        </w:rPr>
        <w:br/>
        <w:t>Burnout is defined as a syndrome characterised by emotional exhaustion, depersonalisation, and a reduced sense of personal accomplishment (Maslach and Jackson, 1981). It is particularly pertinent to healthcare professionals, whose prolonged exposure to high-stress environments can precipitate significant mental health issues.</w:t>
      </w:r>
    </w:p>
    <w:p w14:paraId="0E2BAEF4" w14:textId="77777777" w:rsidR="00A20122" w:rsidRPr="00EA3CD7" w:rsidRDefault="00A20122" w:rsidP="00EA3CD7">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Job Demand-Control Model (Karasek, 1979)</w:t>
      </w:r>
      <w:r w:rsidRPr="00EA3CD7">
        <w:rPr>
          <w:rFonts w:ascii="Arial" w:eastAsia="Times New Roman" w:hAnsi="Arial" w:cs="Arial"/>
          <w:kern w:val="0"/>
          <w:sz w:val="22"/>
          <w:szCs w:val="22"/>
          <w:lang w:eastAsia="en-GB"/>
          <w14:ligatures w14:val="none"/>
        </w:rPr>
        <w:br/>
        <w:t>Karasek’s model posits that workplace stress is most pronounced when job demands are high but control over work-related decisions is low. The model has frequently been applied to understand occupational stress, particularly in healthcare settings where professionals often face intense workloads and limited autonomy (Karasek, 1979).</w:t>
      </w:r>
    </w:p>
    <w:p w14:paraId="3CE37C4A" w14:textId="77777777" w:rsidR="00A20122" w:rsidRPr="00EA3CD7" w:rsidRDefault="00A20122" w:rsidP="00EA3CD7">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Post-Traumatic Growth (PTG) Theory (Tedeschi and Calhoun, 1996)</w:t>
      </w:r>
      <w:r w:rsidRPr="00EA3CD7">
        <w:rPr>
          <w:rFonts w:ascii="Arial" w:eastAsia="Times New Roman" w:hAnsi="Arial" w:cs="Arial"/>
          <w:kern w:val="0"/>
          <w:sz w:val="22"/>
          <w:szCs w:val="22"/>
          <w:lang w:eastAsia="en-GB"/>
          <w14:ligatures w14:val="none"/>
        </w:rPr>
        <w:br/>
        <w:t>PTG refers to the positive psychological changes that may emerge following a traumatic event. These include improved relationships, increased personal strength, and a renewed appreciation for life (Tedeschi and Calhoun, 1996). This theory has been increasingly used to understand the adaptive changes some healthcare workers reported following pandemic-related trauma.</w:t>
      </w:r>
    </w:p>
    <w:p w14:paraId="7E23FED1" w14:textId="77777777" w:rsidR="00A20122" w:rsidRPr="00EA3CD7" w:rsidRDefault="00000000" w:rsidP="00EA3CD7">
      <w:pPr>
        <w:spacing w:after="0"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pict w14:anchorId="6E6E38DC">
          <v:rect id="_x0000_i1026" style="width:0;height:1.5pt" o:hralign="center" o:hrstd="t" o:hr="t" fillcolor="#a0a0a0" stroked="f"/>
        </w:pict>
      </w:r>
    </w:p>
    <w:p w14:paraId="45F39342" w14:textId="77777777" w:rsidR="00A20122" w:rsidRPr="00EA3CD7" w:rsidRDefault="00A20122"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Application of Theories</w:t>
      </w:r>
    </w:p>
    <w:p w14:paraId="2C652438" w14:textId="77777777" w:rsidR="00A20122" w:rsidRPr="00EA3CD7" w:rsidRDefault="00A20122" w:rsidP="00EA3CD7">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Stress and Coping Theory</w:t>
      </w:r>
      <w:r w:rsidRPr="00EA3CD7">
        <w:rPr>
          <w:rFonts w:ascii="Arial" w:eastAsia="Times New Roman" w:hAnsi="Arial" w:cs="Arial"/>
          <w:kern w:val="0"/>
          <w:sz w:val="22"/>
          <w:szCs w:val="22"/>
          <w:lang w:eastAsia="en-GB"/>
          <w14:ligatures w14:val="none"/>
        </w:rPr>
        <w:br/>
        <w:t xml:space="preserve">Liu et al. (2020) utilised this theory in a study on frontline medical staff in Wuhan, identifying the use of both problem-focused strategies (e.g., seeking information) and </w:t>
      </w:r>
      <w:r w:rsidRPr="00EA3CD7">
        <w:rPr>
          <w:rFonts w:ascii="Arial" w:eastAsia="Times New Roman" w:hAnsi="Arial" w:cs="Arial"/>
          <w:kern w:val="0"/>
          <w:sz w:val="22"/>
          <w:szCs w:val="22"/>
          <w:lang w:eastAsia="en-GB"/>
          <w14:ligatures w14:val="none"/>
        </w:rPr>
        <w:lastRenderedPageBreak/>
        <w:t>emotion-focused strategies (e.g., emotional expression) to manage psychological distress. This theory was instrumental in identifying effective coping patterns during acute phases of the crisis.</w:t>
      </w:r>
    </w:p>
    <w:p w14:paraId="3F2B38A2" w14:textId="77777777" w:rsidR="00A20122" w:rsidRPr="00EA3CD7" w:rsidRDefault="00A20122" w:rsidP="00EA3CD7">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Conservation of Resources Theory</w:t>
      </w:r>
      <w:r w:rsidRPr="00EA3CD7">
        <w:rPr>
          <w:rFonts w:ascii="Arial" w:eastAsia="Times New Roman" w:hAnsi="Arial" w:cs="Arial"/>
          <w:kern w:val="0"/>
          <w:sz w:val="22"/>
          <w:szCs w:val="22"/>
          <w:lang w:eastAsia="en-GB"/>
          <w14:ligatures w14:val="none"/>
        </w:rPr>
        <w:br/>
        <w:t>Chen et al. (2021) applied COR theory to investigate burnout among nurses, finding that resource loss—including sleep, social connection, and personal safety—was significantly associated with heightened stress. The theory elucidated the cumulative impact of prolonged exposure to resource-depleting environments.</w:t>
      </w:r>
    </w:p>
    <w:p w14:paraId="782872D8" w14:textId="77777777" w:rsidR="00A20122" w:rsidRPr="00EA3CD7" w:rsidRDefault="00A20122" w:rsidP="00EA3CD7">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Burnout Theory</w:t>
      </w:r>
      <w:r w:rsidRPr="00EA3CD7">
        <w:rPr>
          <w:rFonts w:ascii="Arial" w:eastAsia="Times New Roman" w:hAnsi="Arial" w:cs="Arial"/>
          <w:kern w:val="0"/>
          <w:sz w:val="22"/>
          <w:szCs w:val="22"/>
          <w:lang w:eastAsia="en-GB"/>
          <w14:ligatures w14:val="none"/>
        </w:rPr>
        <w:br/>
        <w:t>Morgantini et al. (2020) conducted a large-scale global survey of healthcare workers and observed high levels of emotional exhaustion and depersonalisation. Their findings directly reflected the burnout dimensions described by Maslach and Jackson (1981), validating the model in a contemporary healthcare crisis.</w:t>
      </w:r>
    </w:p>
    <w:p w14:paraId="42CABA0F" w14:textId="77777777" w:rsidR="00A20122" w:rsidRPr="00EA3CD7" w:rsidRDefault="00A20122" w:rsidP="00EA3CD7">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Job Demand-Control Model</w:t>
      </w:r>
      <w:r w:rsidRPr="00EA3CD7">
        <w:rPr>
          <w:rFonts w:ascii="Arial" w:eastAsia="Times New Roman" w:hAnsi="Arial" w:cs="Arial"/>
          <w:kern w:val="0"/>
          <w:sz w:val="22"/>
          <w:szCs w:val="22"/>
          <w:lang w:eastAsia="en-GB"/>
          <w14:ligatures w14:val="none"/>
        </w:rPr>
        <w:br/>
        <w:t>Zhang et al. (2020) implemented this model in a study of Chinese healthcare staff during the pandemic. They found that high job demands coupled with low control over working conditions significantly contributed to symptoms of anxiety and depression, thereby reinforcing the model’s applicability in high-stress clinical environments.</w:t>
      </w:r>
    </w:p>
    <w:p w14:paraId="7650B95F" w14:textId="77777777" w:rsidR="00A20122" w:rsidRPr="00EA3CD7" w:rsidRDefault="00A20122" w:rsidP="00EA3CD7">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Post-Traumatic Growth Theory</w:t>
      </w:r>
      <w:r w:rsidRPr="00EA3CD7">
        <w:rPr>
          <w:rFonts w:ascii="Arial" w:eastAsia="Times New Roman" w:hAnsi="Arial" w:cs="Arial"/>
          <w:kern w:val="0"/>
          <w:sz w:val="22"/>
          <w:szCs w:val="22"/>
          <w:lang w:eastAsia="en-GB"/>
          <w14:ligatures w14:val="none"/>
        </w:rPr>
        <w:br/>
      </w:r>
      <w:proofErr w:type="spellStart"/>
      <w:r w:rsidRPr="00EA3CD7">
        <w:rPr>
          <w:rFonts w:ascii="Arial" w:eastAsia="Times New Roman" w:hAnsi="Arial" w:cs="Arial"/>
          <w:kern w:val="0"/>
          <w:sz w:val="22"/>
          <w:szCs w:val="22"/>
          <w:lang w:eastAsia="en-GB"/>
          <w14:ligatures w14:val="none"/>
        </w:rPr>
        <w:t>Kalaitzaki</w:t>
      </w:r>
      <w:proofErr w:type="spellEnd"/>
      <w:r w:rsidRPr="00EA3CD7">
        <w:rPr>
          <w:rFonts w:ascii="Arial" w:eastAsia="Times New Roman" w:hAnsi="Arial" w:cs="Arial"/>
          <w:kern w:val="0"/>
          <w:sz w:val="22"/>
          <w:szCs w:val="22"/>
          <w:lang w:eastAsia="en-GB"/>
          <w14:ligatures w14:val="none"/>
        </w:rPr>
        <w:t xml:space="preserve"> et al. (2021) conducted qualitative research on healthcare workers and found evidence of PTG, including enhanced empathy and a deeper sense of purpose. The theory helped contextualise how some professionals experienced psychological growth amid adversity.</w:t>
      </w:r>
    </w:p>
    <w:p w14:paraId="11E46F3F" w14:textId="77777777" w:rsidR="00A20122" w:rsidRPr="00EA3CD7" w:rsidRDefault="00000000" w:rsidP="00EA3CD7">
      <w:pPr>
        <w:spacing w:after="0"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pict w14:anchorId="158841BE">
          <v:rect id="_x0000_i1027" style="width:0;height:1.5pt" o:hralign="center" o:hrstd="t" o:hr="t" fillcolor="#a0a0a0" stroked="f"/>
        </w:pict>
      </w:r>
    </w:p>
    <w:p w14:paraId="038C6F93" w14:textId="77777777" w:rsidR="00A20122" w:rsidRPr="00EA3CD7" w:rsidRDefault="00A20122"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Critical Evaluation</w:t>
      </w:r>
    </w:p>
    <w:p w14:paraId="3DA109E8" w14:textId="77777777" w:rsidR="00A20122" w:rsidRPr="00EA3CD7" w:rsidRDefault="00A20122" w:rsidP="00EA3CD7">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Stress and Coping Theory</w:t>
      </w:r>
      <w:r w:rsidRPr="00EA3CD7">
        <w:rPr>
          <w:rFonts w:ascii="Arial" w:eastAsia="Times New Roman" w:hAnsi="Arial" w:cs="Arial"/>
          <w:kern w:val="0"/>
          <w:sz w:val="22"/>
          <w:szCs w:val="22"/>
          <w:lang w:eastAsia="en-GB"/>
          <w14:ligatures w14:val="none"/>
        </w:rPr>
        <w:br/>
        <w:t>A major strength of this theory is its flexibility and acknowledgement of individual variability in stress responses. However, it may oversimplify complex organisational and systemic stressors, and the binary classification of coping strategies has been criticised for lacking nuance (Skinner et al., 2003).</w:t>
      </w:r>
    </w:p>
    <w:p w14:paraId="6605E943" w14:textId="77777777" w:rsidR="00A20122" w:rsidRPr="00EA3CD7" w:rsidRDefault="00A20122" w:rsidP="00EA3CD7">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Conservation of Resources Theory</w:t>
      </w:r>
      <w:r w:rsidRPr="00EA3CD7">
        <w:rPr>
          <w:rFonts w:ascii="Arial" w:eastAsia="Times New Roman" w:hAnsi="Arial" w:cs="Arial"/>
          <w:kern w:val="0"/>
          <w:sz w:val="22"/>
          <w:szCs w:val="22"/>
          <w:lang w:eastAsia="en-GB"/>
          <w14:ligatures w14:val="none"/>
        </w:rPr>
        <w:br/>
        <w:t xml:space="preserve">COR theory effectively addresses the cumulative nature of stress and resource loss. Its major limitation lies in the subjective and culturally influenced definition of </w:t>
      </w:r>
      <w:r w:rsidRPr="00EA3CD7">
        <w:rPr>
          <w:rFonts w:ascii="Arial" w:eastAsia="Times New Roman" w:hAnsi="Arial" w:cs="Arial"/>
          <w:kern w:val="0"/>
          <w:sz w:val="22"/>
          <w:szCs w:val="22"/>
          <w:lang w:eastAsia="en-GB"/>
          <w14:ligatures w14:val="none"/>
        </w:rPr>
        <w:lastRenderedPageBreak/>
        <w:t>“resources”, which can complicate empirical measurement (Halbesleben et al., 2014). Some scholars also argue that the theory underestimates individual agency in resource restoration.</w:t>
      </w:r>
    </w:p>
    <w:p w14:paraId="0BD2A355" w14:textId="77777777" w:rsidR="00A20122" w:rsidRPr="00EA3CD7" w:rsidRDefault="00A20122" w:rsidP="00EA3CD7">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Burnout Theory</w:t>
      </w:r>
      <w:r w:rsidRPr="00EA3CD7">
        <w:rPr>
          <w:rFonts w:ascii="Arial" w:eastAsia="Times New Roman" w:hAnsi="Arial" w:cs="Arial"/>
          <w:kern w:val="0"/>
          <w:sz w:val="22"/>
          <w:szCs w:val="22"/>
          <w:lang w:eastAsia="en-GB"/>
          <w14:ligatures w14:val="none"/>
        </w:rPr>
        <w:br/>
        <w:t xml:space="preserve">Burnout theory offers a clear framework for identifying and measuring psychological distress among healthcare professionals. However, critics argue that it </w:t>
      </w:r>
      <w:proofErr w:type="spellStart"/>
      <w:r w:rsidRPr="00EA3CD7">
        <w:rPr>
          <w:rFonts w:ascii="Arial" w:eastAsia="Times New Roman" w:hAnsi="Arial" w:cs="Arial"/>
          <w:kern w:val="0"/>
          <w:sz w:val="22"/>
          <w:szCs w:val="22"/>
          <w:lang w:eastAsia="en-GB"/>
          <w14:ligatures w14:val="none"/>
        </w:rPr>
        <w:t>pathologises</w:t>
      </w:r>
      <w:proofErr w:type="spellEnd"/>
      <w:r w:rsidRPr="00EA3CD7">
        <w:rPr>
          <w:rFonts w:ascii="Arial" w:eastAsia="Times New Roman" w:hAnsi="Arial" w:cs="Arial"/>
          <w:kern w:val="0"/>
          <w:sz w:val="22"/>
          <w:szCs w:val="22"/>
          <w:lang w:eastAsia="en-GB"/>
          <w14:ligatures w14:val="none"/>
        </w:rPr>
        <w:t xml:space="preserve"> typical responses to extreme </w:t>
      </w:r>
      <w:proofErr w:type="gramStart"/>
      <w:r w:rsidRPr="00EA3CD7">
        <w:rPr>
          <w:rFonts w:ascii="Arial" w:eastAsia="Times New Roman" w:hAnsi="Arial" w:cs="Arial"/>
          <w:kern w:val="0"/>
          <w:sz w:val="22"/>
          <w:szCs w:val="22"/>
          <w:lang w:eastAsia="en-GB"/>
          <w14:ligatures w14:val="none"/>
        </w:rPr>
        <w:t>conditions, and</w:t>
      </w:r>
      <w:proofErr w:type="gramEnd"/>
      <w:r w:rsidRPr="00EA3CD7">
        <w:rPr>
          <w:rFonts w:ascii="Arial" w:eastAsia="Times New Roman" w:hAnsi="Arial" w:cs="Arial"/>
          <w:kern w:val="0"/>
          <w:sz w:val="22"/>
          <w:szCs w:val="22"/>
          <w:lang w:eastAsia="en-GB"/>
          <w14:ligatures w14:val="none"/>
        </w:rPr>
        <w:t xml:space="preserve"> fails to account adequately for systemic issues such as organisational failure and lack of institutional support (West et al., 2018). Additionally, some propose alternative models like “moral injury” to better capture ethical and emotional distress in healthcare.</w:t>
      </w:r>
    </w:p>
    <w:p w14:paraId="2AD0AE40" w14:textId="77777777" w:rsidR="00A20122" w:rsidRPr="00EA3CD7" w:rsidRDefault="00A20122" w:rsidP="00EA3CD7">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Job Demand-Control Model</w:t>
      </w:r>
      <w:r w:rsidRPr="00EA3CD7">
        <w:rPr>
          <w:rFonts w:ascii="Arial" w:eastAsia="Times New Roman" w:hAnsi="Arial" w:cs="Arial"/>
          <w:kern w:val="0"/>
          <w:sz w:val="22"/>
          <w:szCs w:val="22"/>
          <w:lang w:eastAsia="en-GB"/>
          <w14:ligatures w14:val="none"/>
        </w:rPr>
        <w:br/>
        <w:t>This model is supported by empirical research and has been useful for occupational health interventions. Nevertheless, it has limitations, including a lack of consideration for emotional labour, social support, and resilience (Theorell and Karasek, 1996). It may also oversimplify the complexity of healthcare roles during crises.</w:t>
      </w:r>
    </w:p>
    <w:p w14:paraId="22B993D6" w14:textId="77777777" w:rsidR="00A20122" w:rsidRPr="00EA3CD7" w:rsidRDefault="00A20122" w:rsidP="00EA3CD7">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Post-Traumatic Growth Theory</w:t>
      </w:r>
      <w:r w:rsidRPr="00EA3CD7">
        <w:rPr>
          <w:rFonts w:ascii="Arial" w:eastAsia="Times New Roman" w:hAnsi="Arial" w:cs="Arial"/>
          <w:kern w:val="0"/>
          <w:sz w:val="22"/>
          <w:szCs w:val="22"/>
          <w:lang w:eastAsia="en-GB"/>
          <w14:ligatures w14:val="none"/>
        </w:rPr>
        <w:br/>
        <w:t xml:space="preserve">While PTG theory brings a positive lens to trauma and emphasises resilience, it may inadvertently create expectations for growth that are not universally attainable. Some researchers caution that the emphasis on growth may minimise the severity of trauma experienced (Zoellner and </w:t>
      </w:r>
      <w:proofErr w:type="spellStart"/>
      <w:r w:rsidRPr="00EA3CD7">
        <w:rPr>
          <w:rFonts w:ascii="Arial" w:eastAsia="Times New Roman" w:hAnsi="Arial" w:cs="Arial"/>
          <w:kern w:val="0"/>
          <w:sz w:val="22"/>
          <w:szCs w:val="22"/>
          <w:lang w:eastAsia="en-GB"/>
          <w14:ligatures w14:val="none"/>
        </w:rPr>
        <w:t>Maercker</w:t>
      </w:r>
      <w:proofErr w:type="spellEnd"/>
      <w:r w:rsidRPr="00EA3CD7">
        <w:rPr>
          <w:rFonts w:ascii="Arial" w:eastAsia="Times New Roman" w:hAnsi="Arial" w:cs="Arial"/>
          <w:kern w:val="0"/>
          <w:sz w:val="22"/>
          <w:szCs w:val="22"/>
          <w:lang w:eastAsia="en-GB"/>
          <w14:ligatures w14:val="none"/>
        </w:rPr>
        <w:t>, 2006</w:t>
      </w:r>
      <w:proofErr w:type="gramStart"/>
      <w:r w:rsidRPr="00EA3CD7">
        <w:rPr>
          <w:rFonts w:ascii="Arial" w:eastAsia="Times New Roman" w:hAnsi="Arial" w:cs="Arial"/>
          <w:kern w:val="0"/>
          <w:sz w:val="22"/>
          <w:szCs w:val="22"/>
          <w:lang w:eastAsia="en-GB"/>
          <w14:ligatures w14:val="none"/>
        </w:rPr>
        <w:t>), and</w:t>
      </w:r>
      <w:proofErr w:type="gramEnd"/>
      <w:r w:rsidRPr="00EA3CD7">
        <w:rPr>
          <w:rFonts w:ascii="Arial" w:eastAsia="Times New Roman" w:hAnsi="Arial" w:cs="Arial"/>
          <w:kern w:val="0"/>
          <w:sz w:val="22"/>
          <w:szCs w:val="22"/>
          <w:lang w:eastAsia="en-GB"/>
          <w14:ligatures w14:val="none"/>
        </w:rPr>
        <w:t xml:space="preserve"> could place undue pressure on individuals to "recover" in a specific way.</w:t>
      </w:r>
    </w:p>
    <w:p w14:paraId="0DFD339D" w14:textId="66378975" w:rsidR="00224F8F" w:rsidRPr="00EA3CD7" w:rsidRDefault="006B76E3"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224F8F" w:rsidRPr="00EA3CD7">
        <w:rPr>
          <w:rFonts w:ascii="Arial" w:eastAsia="Times New Roman" w:hAnsi="Arial" w:cs="Arial"/>
          <w:b/>
          <w:bCs/>
          <w:kern w:val="0"/>
          <w:sz w:val="22"/>
          <w:szCs w:val="22"/>
          <w:lang w:eastAsia="en-GB"/>
          <w14:ligatures w14:val="none"/>
        </w:rPr>
        <w:t>Psychological Impact of Pandemics on Healthcare Workers</w:t>
      </w:r>
    </w:p>
    <w:p w14:paraId="45B1BEF7" w14:textId="25FFB543" w:rsidR="00224F8F" w:rsidRPr="00EA3CD7" w:rsidRDefault="004E3A46"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9F53BD" w:rsidRPr="00EA3CD7">
        <w:rPr>
          <w:rFonts w:ascii="Arial" w:eastAsia="Times New Roman" w:hAnsi="Arial" w:cs="Arial"/>
          <w:kern w:val="0"/>
          <w:sz w:val="22"/>
          <w:szCs w:val="22"/>
          <w:lang w:eastAsia="en-GB"/>
          <w14:ligatures w14:val="none"/>
        </w:rPr>
        <w:t xml:space="preserve"> </w:t>
      </w:r>
      <w:r w:rsidR="00224F8F" w:rsidRPr="00EA3CD7">
        <w:rPr>
          <w:rFonts w:ascii="Arial" w:eastAsia="Times New Roman" w:hAnsi="Arial" w:cs="Arial"/>
          <w:kern w:val="0"/>
          <w:sz w:val="22"/>
          <w:szCs w:val="22"/>
          <w:lang w:eastAsia="en-GB"/>
          <w14:ligatures w14:val="none"/>
        </w:rPr>
        <w:t>Healthcare workers have consistently borne a disproportionate share of the psychological burden during pandemics. The COVID-19 outbreak</w:t>
      </w:r>
      <w:proofErr w:type="gramStart"/>
      <w:r w:rsidR="00224F8F" w:rsidRPr="00EA3CD7">
        <w:rPr>
          <w:rFonts w:ascii="Arial" w:eastAsia="Times New Roman" w:hAnsi="Arial" w:cs="Arial"/>
          <w:kern w:val="0"/>
          <w:sz w:val="22"/>
          <w:szCs w:val="22"/>
          <w:lang w:eastAsia="en-GB"/>
          <w14:ligatures w14:val="none"/>
        </w:rPr>
        <w:t>, in particular, brought</w:t>
      </w:r>
      <w:proofErr w:type="gramEnd"/>
      <w:r w:rsidR="00224F8F" w:rsidRPr="00EA3CD7">
        <w:rPr>
          <w:rFonts w:ascii="Arial" w:eastAsia="Times New Roman" w:hAnsi="Arial" w:cs="Arial"/>
          <w:kern w:val="0"/>
          <w:sz w:val="22"/>
          <w:szCs w:val="22"/>
          <w:lang w:eastAsia="en-GB"/>
          <w14:ligatures w14:val="none"/>
        </w:rPr>
        <w:t xml:space="preserve"> about unprecedented demands on their time, energy, and emotional reserves. One of the most immediate challenges was the surge in workload, with many hospitals operating at or beyond capacity. Extended shifts, often far exceeding normal hours, became routine, leaving little time for rest and recovery. As Lai et al. (2020) note, this persistent overwork significantly contributed to physical exhaustion and emotional burnout.</w:t>
      </w:r>
    </w:p>
    <w:p w14:paraId="4EF7D4A8" w14:textId="5A125C5D" w:rsidR="00224F8F" w:rsidRPr="00EA3CD7" w:rsidRDefault="004E3A46"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224F8F" w:rsidRPr="00EA3CD7">
        <w:rPr>
          <w:rFonts w:ascii="Arial" w:eastAsia="Times New Roman" w:hAnsi="Arial" w:cs="Arial"/>
          <w:kern w:val="0"/>
          <w:sz w:val="22"/>
          <w:szCs w:val="22"/>
          <w:lang w:eastAsia="en-GB"/>
          <w14:ligatures w14:val="none"/>
        </w:rPr>
        <w:t xml:space="preserve">Compounding the issue of fatigue was the omnipresent fear of infection. Healthcare workers faced constant anxiety, not only about contracting the virus themselves but also about potentially transmitting it to their families. Greenberg et al. (2020) highlight the ethical dilemmas faced in the allocation of scarce resources and end-of-life </w:t>
      </w:r>
      <w:r w:rsidR="00224F8F" w:rsidRPr="00EA3CD7">
        <w:rPr>
          <w:rFonts w:ascii="Arial" w:eastAsia="Times New Roman" w:hAnsi="Arial" w:cs="Arial"/>
          <w:kern w:val="0"/>
          <w:sz w:val="22"/>
          <w:szCs w:val="22"/>
          <w:lang w:eastAsia="en-GB"/>
          <w14:ligatures w14:val="none"/>
        </w:rPr>
        <w:lastRenderedPageBreak/>
        <w:t>decisions, which added moral stress to already overwhelming circumstances. Such concerns extended beyond the professional sphere, intensifying anxiety in their personal lives.</w:t>
      </w:r>
    </w:p>
    <w:p w14:paraId="14A62373" w14:textId="373F55EF" w:rsidR="00224F8F" w:rsidRPr="00EA3CD7" w:rsidRDefault="004E3A46"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224F8F" w:rsidRPr="00EA3CD7">
        <w:rPr>
          <w:rFonts w:ascii="Arial" w:eastAsia="Times New Roman" w:hAnsi="Arial" w:cs="Arial"/>
          <w:kern w:val="0"/>
          <w:sz w:val="22"/>
          <w:szCs w:val="22"/>
          <w:lang w:eastAsia="en-GB"/>
          <w14:ligatures w14:val="none"/>
        </w:rPr>
        <w:t>The emotional toll of caring for critically ill patients, many of whom did not survive, was another major stressor. High mortality rates and the helplessness felt when treatment options were exhausted led to symptoms of grief, post-traumatic stress disorder (PTSD), and compassion fatigue (Zhang et al., 2020). These effects were often exacerbated by social stigma. In some cases, healthcare workers were perceived as virus carriers, resulting in isolation and discrimination (Buchanan et al., 2020), which further discouraged them from seeking support.</w:t>
      </w:r>
    </w:p>
    <w:p w14:paraId="3EB9BD26" w14:textId="77777777" w:rsidR="00246060" w:rsidRPr="00EA3CD7" w:rsidRDefault="004E3A46"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224F8F" w:rsidRPr="00EA3CD7">
        <w:rPr>
          <w:rFonts w:ascii="Arial" w:eastAsia="Times New Roman" w:hAnsi="Arial" w:cs="Arial"/>
          <w:kern w:val="0"/>
          <w:sz w:val="22"/>
          <w:szCs w:val="22"/>
          <w:lang w:eastAsia="en-GB"/>
          <w14:ligatures w14:val="none"/>
        </w:rPr>
        <w:t>A critical contributing factor to these mental health challenges was the reported lack of institutional resources. Shortages of personal protective equipment (PPE), insufficient staffing levels, and limited access to mental health services fostered frustration and a sense of abandonment among frontline staff (Cabarkapa et al., 2020). Disruption of work-life balance due to excessive working hours also resulted in feelings of loneliness and psychological distress (Lai et al., 2020). These cumulative stressors are likely to have lasting mental health consequences, with many healthcare workers expected to experience depression, anxiety, or PTSD well beyond the end of the pandemic (Moreno et al., 2020).</w:t>
      </w:r>
    </w:p>
    <w:p w14:paraId="7BB6D8C9" w14:textId="70240CA1" w:rsidR="00224F8F" w:rsidRPr="00EA3CD7" w:rsidRDefault="00246060"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B30CF1" w:rsidRPr="00EA3CD7">
        <w:rPr>
          <w:rFonts w:ascii="Arial" w:eastAsia="Times New Roman" w:hAnsi="Arial" w:cs="Arial"/>
          <w:b/>
          <w:bCs/>
          <w:kern w:val="0"/>
          <w:sz w:val="22"/>
          <w:szCs w:val="22"/>
          <w:lang w:eastAsia="en-GB"/>
          <w14:ligatures w14:val="none"/>
        </w:rPr>
        <w:t xml:space="preserve"> </w:t>
      </w:r>
      <w:r w:rsidR="00224F8F" w:rsidRPr="00EA3CD7">
        <w:rPr>
          <w:rFonts w:ascii="Arial" w:eastAsia="Times New Roman" w:hAnsi="Arial" w:cs="Arial"/>
          <w:b/>
          <w:bCs/>
          <w:kern w:val="0"/>
          <w:sz w:val="22"/>
          <w:szCs w:val="22"/>
          <w:lang w:eastAsia="en-GB"/>
          <w14:ligatures w14:val="none"/>
        </w:rPr>
        <w:t>Coping Strategies</w:t>
      </w:r>
    </w:p>
    <w:p w14:paraId="30A782C5" w14:textId="3934805F" w:rsidR="00224F8F" w:rsidRPr="00EA3CD7" w:rsidRDefault="00B30CF1"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224F8F" w:rsidRPr="00EA3CD7">
        <w:rPr>
          <w:rFonts w:ascii="Arial" w:eastAsia="Times New Roman" w:hAnsi="Arial" w:cs="Arial"/>
          <w:kern w:val="0"/>
          <w:sz w:val="22"/>
          <w:szCs w:val="22"/>
          <w:lang w:eastAsia="en-GB"/>
          <w14:ligatures w14:val="none"/>
        </w:rPr>
        <w:t>In response to these intense pressures, healthcare workers adopted a variety of coping mechanisms, which can be broadly classified into adaptive and maladaptive strategies. Adaptive coping mechanisms proved essential in preserving emotional resilience. Many healthcare professionals relied on social support from colleagues, friends, and family to share their feelings and gain perspective (Zhang et al., 2020). Physical activity, including walking, yoga, or exercise routines, was also widely utilised to reduce stress through the release of endorphins (</w:t>
      </w:r>
      <w:proofErr w:type="spellStart"/>
      <w:r w:rsidR="00224F8F" w:rsidRPr="00EA3CD7">
        <w:rPr>
          <w:rFonts w:ascii="Arial" w:eastAsia="Times New Roman" w:hAnsi="Arial" w:cs="Arial"/>
          <w:kern w:val="0"/>
          <w:sz w:val="22"/>
          <w:szCs w:val="22"/>
          <w:lang w:eastAsia="en-GB"/>
          <w14:ligatures w14:val="none"/>
        </w:rPr>
        <w:t>Chekroud</w:t>
      </w:r>
      <w:proofErr w:type="spellEnd"/>
      <w:r w:rsidR="00224F8F" w:rsidRPr="00EA3CD7">
        <w:rPr>
          <w:rFonts w:ascii="Arial" w:eastAsia="Times New Roman" w:hAnsi="Arial" w:cs="Arial"/>
          <w:kern w:val="0"/>
          <w:sz w:val="22"/>
          <w:szCs w:val="22"/>
          <w:lang w:eastAsia="en-GB"/>
          <w14:ligatures w14:val="none"/>
        </w:rPr>
        <w:t xml:space="preserve"> et al., 2018; Moreno et al., 2020).</w:t>
      </w:r>
    </w:p>
    <w:p w14:paraId="25507AD6" w14:textId="3BB45AC2" w:rsidR="00224F8F" w:rsidRPr="00EA3CD7" w:rsidRDefault="00BB65B0"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224F8F" w:rsidRPr="00EA3CD7">
        <w:rPr>
          <w:rFonts w:ascii="Arial" w:eastAsia="Times New Roman" w:hAnsi="Arial" w:cs="Arial"/>
          <w:kern w:val="0"/>
          <w:sz w:val="22"/>
          <w:szCs w:val="22"/>
          <w:lang w:eastAsia="en-GB"/>
          <w14:ligatures w14:val="none"/>
        </w:rPr>
        <w:t xml:space="preserve">Mindfulness practices, such as meditation and controlled breathing, helped workers manage anxiety by fostering a focus on the present moment (Frewen et al., 2020). Access to mental health services, including counselling, support groups, and hotlines, provided a crucial outlet for those seeking professional guidance (Shechter et al., </w:t>
      </w:r>
      <w:r w:rsidR="00224F8F" w:rsidRPr="00EA3CD7">
        <w:rPr>
          <w:rFonts w:ascii="Arial" w:eastAsia="Times New Roman" w:hAnsi="Arial" w:cs="Arial"/>
          <w:kern w:val="0"/>
          <w:sz w:val="22"/>
          <w:szCs w:val="22"/>
          <w:lang w:eastAsia="en-GB"/>
          <w14:ligatures w14:val="none"/>
        </w:rPr>
        <w:lastRenderedPageBreak/>
        <w:t>2020). Establishing daily routines further contributed to psychological stability by introducing structure and predictability (Buchanan et al., 2020).</w:t>
      </w:r>
    </w:p>
    <w:p w14:paraId="1B853138" w14:textId="095CA63F" w:rsidR="00224F8F" w:rsidRPr="00EA3CD7" w:rsidRDefault="00BB65B0"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224F8F" w:rsidRPr="00EA3CD7">
        <w:rPr>
          <w:rFonts w:ascii="Arial" w:eastAsia="Times New Roman" w:hAnsi="Arial" w:cs="Arial"/>
          <w:kern w:val="0"/>
          <w:sz w:val="22"/>
          <w:szCs w:val="22"/>
          <w:lang w:eastAsia="en-GB"/>
          <w14:ligatures w14:val="none"/>
        </w:rPr>
        <w:t>Despite these positive strategies, some healthcare workers also resorted to maladaptive coping methods. Emotional withdrawal and avoidance of social interaction were common responses that, while initially protective, often led to increased feelings of isolation and unprocessed emotions (Spoorthy et al., 2020). Substance use, including alcohol and drugs, emerged as a method of self-medication but carried long-term risks for dependency and worsened mental health outcomes (Lai et al., 2020). Denial and minimisation of stressors may have provided temporary relief but prevented many from acknowledging their struggles and seeking help (Zhang et al., 2020).</w:t>
      </w:r>
    </w:p>
    <w:p w14:paraId="5FBE0423" w14:textId="0BED6E18" w:rsidR="00224F8F" w:rsidRPr="00EA3CD7" w:rsidRDefault="00BB65B0"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224F8F" w:rsidRPr="00EA3CD7">
        <w:rPr>
          <w:rFonts w:ascii="Arial" w:eastAsia="Times New Roman" w:hAnsi="Arial" w:cs="Arial"/>
          <w:kern w:val="0"/>
          <w:sz w:val="22"/>
          <w:szCs w:val="22"/>
          <w:lang w:eastAsia="en-GB"/>
          <w14:ligatures w14:val="none"/>
        </w:rPr>
        <w:t>Understanding these coping behaviours is essential for designing effective interventions. The distinction between adaptive and maladaptive strategies highlights the importance of promoting healthy psychological habits within healthcare environments.</w:t>
      </w:r>
    </w:p>
    <w:p w14:paraId="17B1A7E8" w14:textId="7911A682" w:rsidR="00224F8F" w:rsidRPr="00EA3CD7" w:rsidRDefault="00BB65B0" w:rsidP="00EA3CD7">
      <w:pPr>
        <w:spacing w:before="100" w:beforeAutospacing="1" w:after="100" w:afterAutospacing="1" w:line="360" w:lineRule="auto"/>
        <w:ind w:left="709" w:hanging="709"/>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 xml:space="preserve">           </w:t>
      </w:r>
      <w:r w:rsidR="00224F8F" w:rsidRPr="00EA3CD7">
        <w:rPr>
          <w:rFonts w:ascii="Arial" w:eastAsia="Times New Roman" w:hAnsi="Arial" w:cs="Arial"/>
          <w:b/>
          <w:bCs/>
          <w:kern w:val="0"/>
          <w:sz w:val="22"/>
          <w:szCs w:val="22"/>
          <w:lang w:eastAsia="en-GB"/>
          <w14:ligatures w14:val="none"/>
        </w:rPr>
        <w:t>Institutional Support: Availability, Effectiveness, and Barriers</w:t>
      </w:r>
    </w:p>
    <w:p w14:paraId="1583260F" w14:textId="529A7877" w:rsidR="00224F8F" w:rsidRPr="00EA3CD7" w:rsidRDefault="00BB65B0"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224F8F" w:rsidRPr="00EA3CD7">
        <w:rPr>
          <w:rFonts w:ascii="Arial" w:eastAsia="Times New Roman" w:hAnsi="Arial" w:cs="Arial"/>
          <w:kern w:val="0"/>
          <w:sz w:val="22"/>
          <w:szCs w:val="22"/>
          <w:lang w:eastAsia="en-GB"/>
          <w14:ligatures w14:val="none"/>
        </w:rPr>
        <w:t>Institutional support played a critical role in shaping the mental health outcomes of healthcare workers during the pandemic. Defined as the emotional, psychological, and material resources provided by healthcare organisations, institutional support included a variety of initiatives aimed at enhancing worker well-being. Many institutions established mental health services, such as access to therapists and 24/7 hotlines, enabling staff to seek help confidentially and conveniently (Shechter et al., 2020; Zhang et al., 2020). Peer support programmes also emerged as effective tools, fostering camaraderie and reducing feelings of isolation (Wu et al., 2020).</w:t>
      </w:r>
    </w:p>
    <w:p w14:paraId="6357B875" w14:textId="4ACE6F50" w:rsidR="00224F8F" w:rsidRPr="00EA3CD7" w:rsidRDefault="00B5703B"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BB65B0" w:rsidRPr="00EA3CD7">
        <w:rPr>
          <w:rFonts w:ascii="Arial" w:eastAsia="Times New Roman" w:hAnsi="Arial" w:cs="Arial"/>
          <w:kern w:val="0"/>
          <w:sz w:val="22"/>
          <w:szCs w:val="22"/>
          <w:lang w:eastAsia="en-GB"/>
          <w14:ligatures w14:val="none"/>
        </w:rPr>
        <w:t xml:space="preserve"> </w:t>
      </w:r>
      <w:r w:rsidR="00224F8F" w:rsidRPr="00EA3CD7">
        <w:rPr>
          <w:rFonts w:ascii="Arial" w:eastAsia="Times New Roman" w:hAnsi="Arial" w:cs="Arial"/>
          <w:kern w:val="0"/>
          <w:sz w:val="22"/>
          <w:szCs w:val="22"/>
          <w:lang w:eastAsia="en-GB"/>
          <w14:ligatures w14:val="none"/>
        </w:rPr>
        <w:t>Training workshops focused on stress management, self-care, and the early identification of mental health symptoms further equipped staff with the skills needed to navigate ongoing challenges (Bai et al., 2020). Organisational adjustments, such as flexible scheduling, access to sufficient PPE, and workload redistribution, significantly alleviated anxiety and reduced burnout (Lai et al., 2020). Comprehensive wellness programmes, incorporating exercise, meditation, and dietary support, were also employed to address physical and mental health simultaneously (Shaukat et al., 2020).</w:t>
      </w:r>
    </w:p>
    <w:p w14:paraId="374C4462" w14:textId="6191D235" w:rsidR="00224F8F" w:rsidRPr="00EA3CD7" w:rsidRDefault="00063A92"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lastRenderedPageBreak/>
        <w:t xml:space="preserve">           </w:t>
      </w:r>
      <w:r w:rsidR="00224F8F" w:rsidRPr="00EA3CD7">
        <w:rPr>
          <w:rFonts w:ascii="Arial" w:eastAsia="Times New Roman" w:hAnsi="Arial" w:cs="Arial"/>
          <w:kern w:val="0"/>
          <w:sz w:val="22"/>
          <w:szCs w:val="22"/>
          <w:lang w:eastAsia="en-GB"/>
          <w14:ligatures w14:val="none"/>
        </w:rPr>
        <w:t>While many of these measures were beneficial, their implementation and impact varied considerably across institutions. Research indicates that healthcare environments with strong support systems tend to report better workforce satisfaction, lower burnout rates, and improved mental health outcomes (Cabarkapa et al., 2020). Workers who felt valued were more inclined to utilise mental health resources and report better coping outcomes (Shechter et al., 2020).</w:t>
      </w:r>
    </w:p>
    <w:p w14:paraId="03E84251" w14:textId="183132FB" w:rsidR="00224F8F" w:rsidRPr="00EA3CD7" w:rsidRDefault="00063A92" w:rsidP="00EA3CD7">
      <w:pPr>
        <w:spacing w:before="100" w:beforeAutospacing="1" w:after="100" w:afterAutospacing="1" w:line="360" w:lineRule="auto"/>
        <w:ind w:left="709" w:hanging="709"/>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224F8F" w:rsidRPr="00EA3CD7">
        <w:rPr>
          <w:rFonts w:ascii="Arial" w:eastAsia="Times New Roman" w:hAnsi="Arial" w:cs="Arial"/>
          <w:kern w:val="0"/>
          <w:sz w:val="22"/>
          <w:szCs w:val="22"/>
          <w:lang w:eastAsia="en-GB"/>
          <w14:ligatures w14:val="none"/>
        </w:rPr>
        <w:t xml:space="preserve">Despite the availability of services, several barriers limited access to institutional support. Stigma surrounding mental health was one of the most significant deterrents, with many workers fearing </w:t>
      </w:r>
      <w:r w:rsidR="00A361D4" w:rsidRPr="00EA3CD7">
        <w:rPr>
          <w:rFonts w:ascii="Arial" w:eastAsia="Times New Roman" w:hAnsi="Arial" w:cs="Arial"/>
          <w:kern w:val="0"/>
          <w:sz w:val="22"/>
          <w:szCs w:val="22"/>
          <w:lang w:eastAsia="en-GB"/>
          <w14:ligatures w14:val="none"/>
        </w:rPr>
        <w:t>judgment</w:t>
      </w:r>
      <w:r w:rsidR="00224F8F" w:rsidRPr="00EA3CD7">
        <w:rPr>
          <w:rFonts w:ascii="Arial" w:eastAsia="Times New Roman" w:hAnsi="Arial" w:cs="Arial"/>
          <w:kern w:val="0"/>
          <w:sz w:val="22"/>
          <w:szCs w:val="22"/>
          <w:lang w:eastAsia="en-GB"/>
          <w14:ligatures w14:val="none"/>
        </w:rPr>
        <w:t xml:space="preserve"> from peers or superiors if they disclosed their struggles (Buchanan et al., 2020). A lack of awareness about available resources also prevented some from seeking help, highlighting the need for more effective communication by healthcare organisations (Moreno et al., 2020). Time constraints due to long working hours left many unable to attend sessions or engage with support initiatives (Lai et al., 2020). Furthermore, under-resourced institutions, particularly those in low-income settings, struggled to provide even the most basic forms of support (Spoorthy et al., 2020).</w:t>
      </w:r>
    </w:p>
    <w:p w14:paraId="0044C152" w14:textId="77777777" w:rsidR="00224F8F" w:rsidRPr="00EA3CD7" w:rsidRDefault="00224F8F" w:rsidP="00EA3CD7">
      <w:pPr>
        <w:spacing w:before="100" w:beforeAutospacing="1" w:after="100" w:afterAutospacing="1" w:line="360" w:lineRule="auto"/>
        <w:ind w:left="567"/>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Conclusion</w:t>
      </w:r>
    </w:p>
    <w:p w14:paraId="25EBBF1E" w14:textId="77777777" w:rsidR="004D02E0" w:rsidRPr="00EA3CD7" w:rsidRDefault="00063A92" w:rsidP="00EA3CD7">
      <w:pPr>
        <w:spacing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A404CD" w:rsidRPr="00EA3CD7">
        <w:rPr>
          <w:rFonts w:ascii="Arial" w:eastAsia="Times New Roman" w:hAnsi="Arial" w:cs="Arial"/>
          <w:kern w:val="0"/>
          <w:sz w:val="22"/>
          <w:szCs w:val="22"/>
          <w:lang w:eastAsia="en-GB"/>
          <w14:ligatures w14:val="none"/>
        </w:rPr>
        <w:t xml:space="preserve">    </w:t>
      </w:r>
      <w:r w:rsidR="00000000" w:rsidRPr="00EA3CD7">
        <w:rPr>
          <w:rFonts w:ascii="Arial" w:eastAsia="Times New Roman" w:hAnsi="Arial" w:cs="Arial"/>
          <w:kern w:val="0"/>
          <w:sz w:val="22"/>
          <w:szCs w:val="22"/>
          <w:lang w:eastAsia="en-GB"/>
          <w14:ligatures w14:val="none"/>
        </w:rPr>
        <w:pict w14:anchorId="6F8A40FB">
          <v:rect id="_x0000_i1028" style="width:0;height:1.5pt" o:hralign="center" o:hrstd="t" o:hr="t" fillcolor="#a0a0a0" stroked="f"/>
        </w:pict>
      </w:r>
    </w:p>
    <w:p w14:paraId="600FA4F5" w14:textId="4F5A1FA6" w:rsidR="004D02E0" w:rsidRPr="00EA3CD7" w:rsidRDefault="004D02E0" w:rsidP="00EA3CD7">
      <w:pPr>
        <w:spacing w:before="100" w:beforeAutospacing="1" w:after="100" w:afterAutospacing="1" w:line="360" w:lineRule="auto"/>
        <w:rPr>
          <w:rFonts w:ascii="Arial" w:eastAsia="Times New Roman" w:hAnsi="Arial" w:cs="Arial"/>
          <w:kern w:val="0"/>
          <w:sz w:val="22"/>
          <w:szCs w:val="22"/>
          <w:lang w:eastAsia="en-GB"/>
          <w14:ligatures w14:val="none"/>
        </w:rPr>
      </w:pPr>
    </w:p>
    <w:p w14:paraId="53383AA5" w14:textId="6024B3CB" w:rsidR="004D02E0" w:rsidRPr="00EA3CD7" w:rsidRDefault="000A18E3" w:rsidP="00EA3CD7">
      <w:pPr>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4D02E0" w:rsidRPr="00EA3CD7">
        <w:rPr>
          <w:rFonts w:ascii="Arial" w:eastAsia="Times New Roman" w:hAnsi="Arial" w:cs="Arial"/>
          <w:kern w:val="0"/>
          <w:sz w:val="22"/>
          <w:szCs w:val="22"/>
          <w:lang w:eastAsia="en-GB"/>
          <w14:ligatures w14:val="none"/>
        </w:rPr>
        <w:t xml:space="preserve">The COVID-19 pandemic has laid bare the urgent and ongoing need to </w:t>
      </w:r>
      <w:r w:rsidR="00B5703B" w:rsidRPr="00EA3CD7">
        <w:rPr>
          <w:rFonts w:ascii="Arial" w:eastAsia="Times New Roman" w:hAnsi="Arial" w:cs="Arial"/>
          <w:kern w:val="0"/>
          <w:sz w:val="22"/>
          <w:szCs w:val="22"/>
          <w:lang w:eastAsia="en-GB"/>
          <w14:ligatures w14:val="none"/>
        </w:rPr>
        <w:t>prioritise</w:t>
      </w:r>
      <w:r w:rsidR="004D02E0" w:rsidRPr="00EA3CD7">
        <w:rPr>
          <w:rFonts w:ascii="Arial" w:eastAsia="Times New Roman" w:hAnsi="Arial" w:cs="Arial"/>
          <w:kern w:val="0"/>
          <w:sz w:val="22"/>
          <w:szCs w:val="22"/>
          <w:lang w:eastAsia="en-GB"/>
          <w14:ligatures w14:val="none"/>
        </w:rPr>
        <w:t xml:space="preserve"> the mental health of healthcare workers—not only in times of crisis, but as a core pillar of resilient and effective healthcare systems. The evidence presented in this chapter highlights the profound and often long-lasting psychological toll </w:t>
      </w:r>
      <w:r w:rsidR="006B76E3" w:rsidRPr="00EA3CD7">
        <w:rPr>
          <w:rFonts w:ascii="Arial" w:eastAsia="Times New Roman" w:hAnsi="Arial" w:cs="Arial"/>
          <w:kern w:val="0"/>
          <w:sz w:val="22"/>
          <w:szCs w:val="22"/>
          <w:lang w:eastAsia="en-GB"/>
          <w14:ligatures w14:val="none"/>
        </w:rPr>
        <w:t>that frontline professionals experience</w:t>
      </w:r>
      <w:r w:rsidR="004D02E0" w:rsidRPr="00EA3CD7">
        <w:rPr>
          <w:rFonts w:ascii="Arial" w:eastAsia="Times New Roman" w:hAnsi="Arial" w:cs="Arial"/>
          <w:kern w:val="0"/>
          <w:sz w:val="22"/>
          <w:szCs w:val="22"/>
          <w:lang w:eastAsia="en-GB"/>
          <w14:ligatures w14:val="none"/>
        </w:rPr>
        <w:t>. It also reveals the critical importance of both personal coping mechanisms and institutional support structures in navigating such unprecedented challenges.</w:t>
      </w:r>
    </w:p>
    <w:p w14:paraId="2F2EBE82" w14:textId="461DF23C" w:rsidR="004D02E0" w:rsidRPr="00EA3CD7" w:rsidRDefault="000A18E3" w:rsidP="00EA3CD7">
      <w:pPr>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4D02E0" w:rsidRPr="00EA3CD7">
        <w:rPr>
          <w:rFonts w:ascii="Arial" w:eastAsia="Times New Roman" w:hAnsi="Arial" w:cs="Arial"/>
          <w:kern w:val="0"/>
          <w:sz w:val="22"/>
          <w:szCs w:val="22"/>
          <w:lang w:eastAsia="en-GB"/>
          <w14:ligatures w14:val="none"/>
        </w:rPr>
        <w:t xml:space="preserve">However, the current landscape of support remains uneven and reactive, underscoring a pressing need for more proactive, systemic approaches. By thoroughly understanding these dynamics, future research can more effectively evaluate mental health interventions and develop comprehensive, evidence-based frameworks. These frameworks must not only address immediate needs but also </w:t>
      </w:r>
      <w:r w:rsidR="004D02E0" w:rsidRPr="00EA3CD7">
        <w:rPr>
          <w:rFonts w:ascii="Arial" w:eastAsia="Times New Roman" w:hAnsi="Arial" w:cs="Arial"/>
          <w:kern w:val="0"/>
          <w:sz w:val="22"/>
          <w:szCs w:val="22"/>
          <w:lang w:eastAsia="en-GB"/>
          <w14:ligatures w14:val="none"/>
        </w:rPr>
        <w:lastRenderedPageBreak/>
        <w:t>embed long-term resilience and psychological safety into the very foundation of healthcare environments.</w:t>
      </w:r>
    </w:p>
    <w:p w14:paraId="2F4F50A7" w14:textId="3C44A9A6" w:rsidR="004D02E0" w:rsidRPr="00EA3CD7" w:rsidRDefault="00B5703B" w:rsidP="00EA3CD7">
      <w:pPr>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              </w:t>
      </w:r>
      <w:r w:rsidR="004D02E0" w:rsidRPr="00EA3CD7">
        <w:rPr>
          <w:rFonts w:ascii="Arial" w:eastAsia="Times New Roman" w:hAnsi="Arial" w:cs="Arial"/>
          <w:kern w:val="0"/>
          <w:sz w:val="22"/>
          <w:szCs w:val="22"/>
          <w:lang w:eastAsia="en-GB"/>
          <w14:ligatures w14:val="none"/>
        </w:rPr>
        <w:t>Supporting healthcare workers' mental well-being is not optional—it is essential for the sustainability, responsiveness, and humanity of healthcare itself.</w:t>
      </w:r>
    </w:p>
    <w:p w14:paraId="6916C391" w14:textId="19DB046A" w:rsidR="00EA3CD7" w:rsidRPr="00EA3CD7" w:rsidRDefault="00EA3CD7" w:rsidP="00EA3CD7">
      <w:pPr>
        <w:spacing w:before="100" w:beforeAutospacing="1" w:after="100" w:afterAutospacing="1" w:line="360" w:lineRule="auto"/>
        <w:ind w:left="851" w:hanging="851"/>
        <w:rPr>
          <w:rFonts w:ascii="Arial" w:eastAsia="Times New Roman" w:hAnsi="Arial" w:cs="Arial"/>
          <w:b/>
          <w:bCs/>
          <w:kern w:val="0"/>
          <w:sz w:val="22"/>
          <w:szCs w:val="22"/>
          <w:lang w:eastAsia="en-GB"/>
          <w14:ligatures w14:val="none"/>
        </w:rPr>
      </w:pPr>
    </w:p>
    <w:p w14:paraId="033A1F47" w14:textId="12AB425A" w:rsidR="00764AE9" w:rsidRPr="00EA3CD7" w:rsidRDefault="007306ED" w:rsidP="00EA3CD7">
      <w:pPr>
        <w:spacing w:before="100" w:beforeAutospacing="1" w:after="100" w:afterAutospacing="1" w:line="360" w:lineRule="auto"/>
        <w:ind w:left="851" w:hanging="85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Chap</w:t>
      </w:r>
      <w:r w:rsidR="00824D63" w:rsidRPr="00EA3CD7">
        <w:rPr>
          <w:rFonts w:ascii="Arial" w:eastAsia="Times New Roman" w:hAnsi="Arial" w:cs="Arial"/>
          <w:b/>
          <w:bCs/>
          <w:kern w:val="0"/>
          <w:sz w:val="22"/>
          <w:szCs w:val="22"/>
          <w:lang w:eastAsia="en-GB"/>
          <w14:ligatures w14:val="none"/>
        </w:rPr>
        <w:t>ter 3</w:t>
      </w:r>
    </w:p>
    <w:p w14:paraId="4A4EEFF4" w14:textId="3759A5D3" w:rsidR="00F04489" w:rsidRPr="00EA3CD7" w:rsidRDefault="00D803EF" w:rsidP="00EA3CD7">
      <w:pPr>
        <w:spacing w:before="100" w:beforeAutospacing="1" w:after="100" w:afterAutospacing="1" w:line="360" w:lineRule="auto"/>
        <w:ind w:left="851" w:hanging="851"/>
        <w:rPr>
          <w:rFonts w:ascii="Arial" w:hAnsi="Arial" w:cs="Arial"/>
          <w:i/>
          <w:iCs/>
          <w:caps/>
          <w:color w:val="000000"/>
          <w:sz w:val="22"/>
          <w:szCs w:val="22"/>
        </w:rPr>
      </w:pPr>
      <w:r w:rsidRPr="00EA3CD7">
        <w:rPr>
          <w:rFonts w:ascii="Arial" w:hAnsi="Arial" w:cs="Arial"/>
          <w:b/>
          <w:bCs/>
          <w:caps/>
          <w:color w:val="000000"/>
          <w:sz w:val="22"/>
          <w:szCs w:val="22"/>
        </w:rPr>
        <w:t xml:space="preserve">               </w:t>
      </w:r>
      <w:r w:rsidR="00764AE9" w:rsidRPr="00EA3CD7">
        <w:rPr>
          <w:rFonts w:ascii="Arial" w:hAnsi="Arial" w:cs="Arial"/>
          <w:b/>
          <w:bCs/>
          <w:caps/>
          <w:color w:val="000000"/>
          <w:sz w:val="22"/>
          <w:szCs w:val="22"/>
        </w:rPr>
        <w:t xml:space="preserve">Impact of the COVID-19 Pandemic on the Mental Health of Healthcare </w:t>
      </w:r>
      <w:r w:rsidR="00652AE5" w:rsidRPr="00EA3CD7">
        <w:rPr>
          <w:rFonts w:ascii="Arial" w:hAnsi="Arial" w:cs="Arial"/>
          <w:b/>
          <w:bCs/>
          <w:caps/>
          <w:color w:val="000000"/>
          <w:sz w:val="22"/>
          <w:szCs w:val="22"/>
        </w:rPr>
        <w:t>Workers: Research</w:t>
      </w:r>
      <w:r w:rsidR="00764AE9" w:rsidRPr="00EA3CD7">
        <w:rPr>
          <w:rFonts w:ascii="Arial" w:hAnsi="Arial" w:cs="Arial"/>
          <w:i/>
          <w:iCs/>
          <w:caps/>
          <w:color w:val="000000"/>
          <w:sz w:val="22"/>
          <w:szCs w:val="22"/>
        </w:rPr>
        <w:t xml:space="preserve"> Methodology Poster</w:t>
      </w:r>
    </w:p>
    <w:p w14:paraId="29C22556" w14:textId="6380453B" w:rsidR="00B95F63" w:rsidRPr="00EA3CD7" w:rsidRDefault="00177E6F" w:rsidP="00EA3CD7">
      <w:pPr>
        <w:spacing w:before="100" w:beforeAutospacing="1" w:after="100" w:afterAutospacing="1" w:line="360" w:lineRule="auto"/>
        <w:ind w:left="851" w:hanging="851"/>
        <w:rPr>
          <w:rFonts w:ascii="Arial" w:hAnsi="Arial" w:cs="Arial"/>
          <w:b/>
          <w:bCs/>
          <w:caps/>
          <w:color w:val="000000"/>
          <w:sz w:val="22"/>
          <w:szCs w:val="22"/>
        </w:rPr>
      </w:pPr>
      <w:r w:rsidRPr="00EA3CD7">
        <w:rPr>
          <w:rFonts w:ascii="Arial" w:hAnsi="Arial" w:cs="Arial"/>
          <w:b/>
          <w:bCs/>
          <w:caps/>
          <w:color w:val="000000"/>
          <w:sz w:val="22"/>
          <w:szCs w:val="22"/>
        </w:rPr>
        <w:t xml:space="preserve">                </w:t>
      </w:r>
    </w:p>
    <w:p w14:paraId="7652F2F1" w14:textId="053B539E" w:rsidR="00EA3CD7" w:rsidRPr="00EA3CD7" w:rsidRDefault="00EA3CD7"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hAnsi="Arial" w:cs="Arial"/>
          <w:noProof/>
          <w:sz w:val="22"/>
          <w:szCs w:val="22"/>
        </w:rPr>
        <w:drawing>
          <wp:anchor distT="0" distB="0" distL="114300" distR="114300" simplePos="0" relativeHeight="251658752" behindDoc="1" locked="0" layoutInCell="1" allowOverlap="1" wp14:anchorId="6E0932CF" wp14:editId="598A428F">
            <wp:simplePos x="0" y="0"/>
            <wp:positionH relativeFrom="column">
              <wp:posOffset>-184150</wp:posOffset>
            </wp:positionH>
            <wp:positionV relativeFrom="margin">
              <wp:posOffset>3943350</wp:posOffset>
            </wp:positionV>
            <wp:extent cx="5327650" cy="3296285"/>
            <wp:effectExtent l="0" t="0" r="6350" b="0"/>
            <wp:wrapTight wrapText="bothSides">
              <wp:wrapPolygon edited="0">
                <wp:start x="0" y="2122"/>
                <wp:lineTo x="0" y="21471"/>
                <wp:lineTo x="21549" y="21471"/>
                <wp:lineTo x="21549" y="2122"/>
                <wp:lineTo x="0" y="2122"/>
              </wp:wrapPolygon>
            </wp:wrapTight>
            <wp:docPr id="15897721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772148" name="Picture 1" descr="A screenshot of a computer&#10;&#10;Description automatically generated"/>
                    <pic:cNvPicPr/>
                  </pic:nvPicPr>
                  <pic:blipFill rotWithShape="1">
                    <a:blip r:embed="rId5">
                      <a:extLst>
                        <a:ext uri="{28A0092B-C50C-407E-A947-70E740481C1C}">
                          <a14:useLocalDpi xmlns:a14="http://schemas.microsoft.com/office/drawing/2010/main" val="0"/>
                        </a:ext>
                      </a:extLst>
                    </a:blip>
                    <a:srcRect l="11799" t="-10682" r="8786" b="15067"/>
                    <a:stretch/>
                  </pic:blipFill>
                  <pic:spPr bwMode="auto">
                    <a:xfrm>
                      <a:off x="0" y="0"/>
                      <a:ext cx="5327650" cy="32962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5B9164" w14:textId="77777777" w:rsidR="00EA3CD7" w:rsidRPr="00EA3CD7" w:rsidRDefault="00EA3CD7"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D23E6E1" w14:textId="77777777" w:rsidR="00EA3CD7" w:rsidRPr="00EA3CD7" w:rsidRDefault="00EA3CD7"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5ED97639" w14:textId="77777777" w:rsidR="00EA3CD7" w:rsidRPr="00EA3CD7" w:rsidRDefault="00EA3CD7"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300A8A78" w14:textId="77777777" w:rsidR="00EA3CD7" w:rsidRPr="00EA3CD7" w:rsidRDefault="00EA3CD7"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7D3CE455" w14:textId="77777777" w:rsidR="00EA3CD7" w:rsidRPr="00EA3CD7" w:rsidRDefault="00EA3CD7"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28F41750" w14:textId="77777777" w:rsidR="00EA3CD7" w:rsidRPr="00EA3CD7" w:rsidRDefault="00EA3CD7"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27556B35" w14:textId="77777777" w:rsidR="00EA3CD7" w:rsidRPr="00EA3CD7" w:rsidRDefault="00EA3CD7"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49CB4633" w14:textId="77777777" w:rsidR="00EA3CD7" w:rsidRPr="00EA3CD7" w:rsidRDefault="00EA3CD7"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35A54557" w14:textId="77777777" w:rsidR="00EA3CD7" w:rsidRPr="00EA3CD7" w:rsidRDefault="00EA3CD7"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68A96E0F" w14:textId="77777777" w:rsidR="00EA3CD7" w:rsidRPr="00EA3CD7" w:rsidRDefault="00EA3CD7"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052ADD2B" w14:textId="77777777" w:rsidR="00EA3CD7" w:rsidRPr="00EA3CD7" w:rsidRDefault="00EA3CD7"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5DDAF7B2" w14:textId="77777777" w:rsidR="00EA3CD7" w:rsidRPr="00EA3CD7" w:rsidRDefault="00EA3CD7"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4B388E39" w14:textId="58736448" w:rsidR="00AE776B" w:rsidRPr="00EA3CD7" w:rsidRDefault="00AE776B"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4.1 Introduction</w:t>
      </w:r>
    </w:p>
    <w:p w14:paraId="53B5033D" w14:textId="09561C16" w:rsidR="00AE776B" w:rsidRPr="00EA3CD7" w:rsidRDefault="00AE776B"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lastRenderedPageBreak/>
        <w:t>This chapter presents the findings of a systematic review examining the psychological impact of the COVID-19 pandemic on healthcare workers (HCWs). The primary focus is on the mental health challenges experienced, the coping mechanisms adopted, and the institutional support available to staff during this unprecedented health crisis. The results are structured thematically to correspond with the research questions and objectives outlined in Chapter 1, providing a coherent framework for understanding the complex interplay between individual, organisational, and systemic factors.</w:t>
      </w:r>
    </w:p>
    <w:p w14:paraId="624A0F87" w14:textId="31294A94" w:rsidR="00AE776B" w:rsidRPr="00EA3CD7" w:rsidRDefault="00AE776B"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Healthcare workers have been disproportionately affected by the pandemic, facing high patient volumes, increased risk of infection, and emotionally taxing clinical responsibilities (Lai et al., 2020; Greenberg et al., 2020). These pressures have been linked to elevated rates of anxiety, depression, burnout, and post-traumatic stress disorder (PTSD) (Zhang et al., 2020; Rossi et al., 2020). The findings of this chapter are interpreted through relevant theoretical lenses, including Stress and Coping Theory (Lazarus and Folkman, 1984), which emphasises how psychological strain arises when perceived demands exceed coping resources; Conservation of Resources (COR) Theory (</w:t>
      </w:r>
      <w:proofErr w:type="spellStart"/>
      <w:r w:rsidRPr="00EA3CD7">
        <w:rPr>
          <w:rFonts w:ascii="Arial" w:eastAsia="Times New Roman" w:hAnsi="Arial" w:cs="Arial"/>
          <w:kern w:val="0"/>
          <w:sz w:val="22"/>
          <w:szCs w:val="22"/>
          <w:lang w:eastAsia="en-GB"/>
          <w14:ligatures w14:val="none"/>
        </w:rPr>
        <w:t>Hobfoll</w:t>
      </w:r>
      <w:proofErr w:type="spellEnd"/>
      <w:r w:rsidRPr="00EA3CD7">
        <w:rPr>
          <w:rFonts w:ascii="Arial" w:eastAsia="Times New Roman" w:hAnsi="Arial" w:cs="Arial"/>
          <w:kern w:val="0"/>
          <w:sz w:val="22"/>
          <w:szCs w:val="22"/>
          <w:lang w:eastAsia="en-GB"/>
          <w14:ligatures w14:val="none"/>
        </w:rPr>
        <w:t>, 1989), which highlights the cumulative impact of resource depletion on stress and burnout; and Burnout Theory (Maslach and Jackson, 1981), which provides a framework for understanding the emotional exhaustion, depersonalisation, and reduced personal accomplishment experienced by HCWs.</w:t>
      </w:r>
    </w:p>
    <w:p w14:paraId="4E429C1D" w14:textId="1BA1C360" w:rsidR="00AE776B" w:rsidRPr="00EA3CD7" w:rsidRDefault="00AE776B"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The chapter is divided into several key sections. The first section explores the mental health challenges reported by HCWs, including anxiety, depression, burnout, and moral injury. The subsequent section examines the coping strategies adopted by staff, differentiating between adaptive strategies—such as peer support, mindfulness, and structured routines—and maladaptive strategies, including emotional withdrawal and substance use (</w:t>
      </w:r>
      <w:proofErr w:type="spellStart"/>
      <w:r w:rsidRPr="00EA3CD7">
        <w:rPr>
          <w:rFonts w:ascii="Arial" w:eastAsia="Times New Roman" w:hAnsi="Arial" w:cs="Arial"/>
          <w:kern w:val="0"/>
          <w:sz w:val="22"/>
          <w:szCs w:val="22"/>
          <w:lang w:eastAsia="en-GB"/>
          <w14:ligatures w14:val="none"/>
        </w:rPr>
        <w:t>Chekroud</w:t>
      </w:r>
      <w:proofErr w:type="spellEnd"/>
      <w:r w:rsidRPr="00EA3CD7">
        <w:rPr>
          <w:rFonts w:ascii="Arial" w:eastAsia="Times New Roman" w:hAnsi="Arial" w:cs="Arial"/>
          <w:kern w:val="0"/>
          <w:sz w:val="22"/>
          <w:szCs w:val="22"/>
          <w:lang w:eastAsia="en-GB"/>
          <w14:ligatures w14:val="none"/>
        </w:rPr>
        <w:t xml:space="preserve"> et al., 2018; Spoorthy et al., 2020). The role of institutional support is then considered, evaluating both the effectiveness of organisational initiatives, such as access to mental health services and flexible scheduling, and the barriers that hindered staff from utilising available resources (Cabarkapa et al., 2020; Wu et al., 2020).</w:t>
      </w:r>
    </w:p>
    <w:p w14:paraId="6C6BD7DA" w14:textId="07F3D127" w:rsidR="00AE776B" w:rsidRPr="00EA3CD7" w:rsidRDefault="00AE776B"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By integrating findings from multiple empirical studies, this chapter not only presents descriptive outcomes but also critically interprets them within theoretical and practical contexts. It highlights how individual coping mechanisms are often mediated by organisational support and systemic factors, illustrating the multi-level determinants of healthcare worker mental health during pandemics. Furthermore, the chapter identifies gaps in the literature, such as limited research on underrepresented groups (e.g., allied health </w:t>
      </w:r>
      <w:r w:rsidRPr="00EA3CD7">
        <w:rPr>
          <w:rFonts w:ascii="Arial" w:eastAsia="Times New Roman" w:hAnsi="Arial" w:cs="Arial"/>
          <w:kern w:val="0"/>
          <w:sz w:val="22"/>
          <w:szCs w:val="22"/>
          <w:lang w:eastAsia="en-GB"/>
          <w14:ligatures w14:val="none"/>
        </w:rPr>
        <w:lastRenderedPageBreak/>
        <w:t>professionals and support staff) and long-term psychological outcomes, which inform the recommendations presented in later sections.</w:t>
      </w:r>
    </w:p>
    <w:p w14:paraId="0044C5CD" w14:textId="22109CDB" w:rsidR="00AE776B" w:rsidRPr="00EA3CD7" w:rsidRDefault="00AE776B"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Ultimately, this chapter aims to provide a comprehensive and critical understanding of the psychological impact of COVID-19 on HCWs, establishing a foundation for evidence-based strategies to enhance resilience, reduce burnout, and strengthen institutional preparedness for future health crises.</w:t>
      </w:r>
    </w:p>
    <w:p w14:paraId="0C7609D9" w14:textId="23C47ED9" w:rsidR="00F1768D" w:rsidRPr="00EA3CD7" w:rsidRDefault="00F1768D" w:rsidP="00EA3CD7">
      <w:pPr>
        <w:spacing w:before="100" w:beforeAutospacing="1" w:after="100" w:afterAutospacing="1" w:line="360" w:lineRule="auto"/>
        <w:ind w:left="851" w:hanging="851"/>
        <w:rPr>
          <w:rFonts w:ascii="Arial" w:hAnsi="Arial" w:cs="Arial"/>
          <w:b/>
          <w:bCs/>
          <w:caps/>
          <w:color w:val="000000"/>
          <w:sz w:val="22"/>
          <w:szCs w:val="22"/>
        </w:rPr>
      </w:pPr>
    </w:p>
    <w:p w14:paraId="0FC75DE8" w14:textId="1DE794B5" w:rsidR="00493AE4" w:rsidRPr="00EA3CD7" w:rsidRDefault="00493AE4" w:rsidP="00EA3CD7">
      <w:pPr>
        <w:spacing w:before="100" w:beforeAutospacing="1" w:after="100" w:afterAutospacing="1" w:line="360" w:lineRule="auto"/>
        <w:ind w:left="851" w:hanging="851"/>
        <w:rPr>
          <w:rFonts w:ascii="Arial" w:hAnsi="Arial" w:cs="Arial"/>
          <w:b/>
          <w:bCs/>
          <w:caps/>
          <w:color w:val="000000"/>
          <w:sz w:val="22"/>
          <w:szCs w:val="22"/>
        </w:rPr>
      </w:pPr>
    </w:p>
    <w:p w14:paraId="655D071E" w14:textId="44FE311F" w:rsidR="00493AE4" w:rsidRPr="00EA3CD7" w:rsidRDefault="00493AE4" w:rsidP="00EA3CD7">
      <w:pPr>
        <w:spacing w:before="100" w:beforeAutospacing="1" w:after="100" w:afterAutospacing="1" w:line="360" w:lineRule="auto"/>
        <w:ind w:left="851" w:hanging="851"/>
        <w:rPr>
          <w:rFonts w:ascii="Arial" w:hAnsi="Arial" w:cs="Arial"/>
          <w:b/>
          <w:bCs/>
          <w:caps/>
          <w:color w:val="000000"/>
          <w:sz w:val="22"/>
          <w:szCs w:val="22"/>
        </w:rPr>
      </w:pPr>
    </w:p>
    <w:p w14:paraId="7DB6EDD4" w14:textId="16DB7BFB" w:rsidR="002865F0" w:rsidRPr="00EA3CD7" w:rsidRDefault="00000000" w:rsidP="00EA3CD7">
      <w:pPr>
        <w:tabs>
          <w:tab w:val="left" w:pos="284"/>
          <w:tab w:val="left" w:pos="567"/>
          <w:tab w:val="left" w:pos="993"/>
        </w:tabs>
        <w:spacing w:before="100" w:beforeAutospacing="1" w:after="100" w:afterAutospacing="1" w:line="360" w:lineRule="auto"/>
        <w:ind w:left="1702"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pict w14:anchorId="07FA4C3D">
          <v:rect id="_x0000_i1029" style="width:0;height:1.5pt" o:hralign="center" o:hrstd="t" o:hr="t" fillcolor="#a0a0a0" stroked="f"/>
        </w:pict>
      </w:r>
    </w:p>
    <w:p w14:paraId="67F9584E" w14:textId="2E826C54" w:rsidR="00156AA4" w:rsidRPr="00EA3CD7" w:rsidRDefault="00156AA4"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4.2 Mental Health Challenges Experienced by Healthcare Workers</w:t>
      </w:r>
    </w:p>
    <w:p w14:paraId="63BD846C" w14:textId="77777777" w:rsidR="00156AA4" w:rsidRPr="00EA3CD7" w:rsidRDefault="00156AA4" w:rsidP="00EA3CD7">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4.2.1 Prevalence of Anxiety, Depression, and Stress</w:t>
      </w:r>
    </w:p>
    <w:p w14:paraId="788E0623" w14:textId="77777777" w:rsidR="00156AA4" w:rsidRPr="00EA3CD7" w:rsidRDefault="00156AA4"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The review highlighted anxiety and depression as the most prevalent psychological outcomes among healthcare workers (HCWs) during the COVID-19 pandemic. Lai et al. (2020) reported that over 50 per cent of respondents in a large-scale Chinese study experienced symptoms of depression and anxiety, particularly among those directly involved in frontline COVID-19 care. Similarly, Shechter et al. (2020) found that 57 per cent of hospital staff in New York exhibited acute stress, and nearly half reported depressive symptoms. Elevated stress levels were most pronounced in the early stages of the pandemic, when uncertainty regarding virus transmission, shortages of personal protective equipment (PPE), and high patient mortality rates created intense psychological strain (Rossi et al., 2020).</w:t>
      </w:r>
    </w:p>
    <w:p w14:paraId="7B8E63EC" w14:textId="77777777" w:rsidR="00156AA4" w:rsidRPr="00EA3CD7" w:rsidRDefault="00156AA4"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These findings align with Stress and Coping Theory (Lazarus and Folkman, 1984), which posits that stress arises when perceived demands exceed available coping resources. In this context, HCWs faced both work-related stressors (e.g., long hours, high patient volumes) and emotional stressors (e.g., fear of contagion, witnessing patient suffering), which collectively overwhelmed individual coping mechanisms. Moreover, the intersection of personal and professional pressures—such as concern for the well-being of family members while managing demanding shifts—exacerbated the risk of anxiety and depressive symptoms (Greenberg et al., 2020).</w:t>
      </w:r>
    </w:p>
    <w:p w14:paraId="209C54A4" w14:textId="77777777" w:rsidR="00156AA4" w:rsidRPr="00EA3CD7" w:rsidRDefault="00156AA4"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lastRenderedPageBreak/>
        <w:t>The data also suggest differential impacts among subgroups of HCWs. Nurses, women, and less-experienced staff reported higher levels of psychological distress (Lai et al., 2020; Rossi et al., 2020), reflecting the combined effects of direct patient contact, societal caregiving expectations, and limited autonomy within healthcare hierarchies. This underscores the need for tailored interventions that account for demographic and occupational vulnerabilities.</w:t>
      </w:r>
    </w:p>
    <w:p w14:paraId="2867CD74" w14:textId="77777777" w:rsidR="00156AA4" w:rsidRPr="00EA3CD7" w:rsidRDefault="00156AA4" w:rsidP="00EA3CD7">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4.2.2 Burnout and Emotional Exhaustion</w:t>
      </w:r>
    </w:p>
    <w:p w14:paraId="3141A59F" w14:textId="77777777" w:rsidR="00156AA4" w:rsidRPr="00EA3CD7" w:rsidRDefault="00156AA4"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Burnout emerged as a consistent theme across multiple studies, particularly affecting nurses and frontline staff (Morgantini et al., 2020). Defined by emotional exhaustion, depersonalisation, and reduced personal accomplishment (Maslach and Jackson, 1981), burnout was strongly associated with long working hours, insufficient recovery time, and inadequate organisational support. HCWs reported feeling physically drained, emotionally detached from patients, and unable to experience satisfaction from professional achievements (Zhang et al., 2020).</w:t>
      </w:r>
    </w:p>
    <w:p w14:paraId="3E7B8D5E" w14:textId="77777777" w:rsidR="00156AA4" w:rsidRPr="00EA3CD7" w:rsidRDefault="00156AA4"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Burnout Theory provides a valuable framework for understanding these outcomes, emphasising the cumulative effects of prolonged exposure to stressors without adequate opportunities for recovery. The chronic nature of pandemic-related workloads created a </w:t>
      </w:r>
      <w:r w:rsidRPr="00EA3CD7">
        <w:rPr>
          <w:rFonts w:ascii="Arial" w:eastAsia="Times New Roman" w:hAnsi="Arial" w:cs="Arial"/>
          <w:b/>
          <w:bCs/>
          <w:kern w:val="0"/>
          <w:sz w:val="22"/>
          <w:szCs w:val="22"/>
          <w:lang w:eastAsia="en-GB"/>
          <w14:ligatures w14:val="none"/>
        </w:rPr>
        <w:t>feedback loop</w:t>
      </w:r>
      <w:r w:rsidRPr="00EA3CD7">
        <w:rPr>
          <w:rFonts w:ascii="Arial" w:eastAsia="Times New Roman" w:hAnsi="Arial" w:cs="Arial"/>
          <w:kern w:val="0"/>
          <w:sz w:val="22"/>
          <w:szCs w:val="22"/>
          <w:lang w:eastAsia="en-GB"/>
          <w14:ligatures w14:val="none"/>
        </w:rPr>
        <w:t xml:space="preserve">, where exhaustion reduced coping capacity, increased emotional detachment, and ultimately led to higher turnover intentions (Morgantini et al., 2020). Studies also indicate that burnout not only affects individual well-being but may have downstream effects on </w:t>
      </w:r>
      <w:r w:rsidRPr="00EA3CD7">
        <w:rPr>
          <w:rFonts w:ascii="Arial" w:eastAsia="Times New Roman" w:hAnsi="Arial" w:cs="Arial"/>
          <w:b/>
          <w:bCs/>
          <w:kern w:val="0"/>
          <w:sz w:val="22"/>
          <w:szCs w:val="22"/>
          <w:lang w:eastAsia="en-GB"/>
          <w14:ligatures w14:val="none"/>
        </w:rPr>
        <w:t>patient safety and quality of care</w:t>
      </w:r>
      <w:r w:rsidRPr="00EA3CD7">
        <w:rPr>
          <w:rFonts w:ascii="Arial" w:eastAsia="Times New Roman" w:hAnsi="Arial" w:cs="Arial"/>
          <w:kern w:val="0"/>
          <w:sz w:val="22"/>
          <w:szCs w:val="22"/>
          <w:lang w:eastAsia="en-GB"/>
          <w14:ligatures w14:val="none"/>
        </w:rPr>
        <w:t>, highlighting the systemic implications of unaddressed psychological strain (Shaukat et al., 2020).</w:t>
      </w:r>
    </w:p>
    <w:p w14:paraId="24EB295D" w14:textId="77777777" w:rsidR="00156AA4" w:rsidRPr="00EA3CD7" w:rsidRDefault="00156AA4" w:rsidP="00EA3CD7">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4.2.3 Post-Traumatic Stress and Moral Injury</w:t>
      </w:r>
    </w:p>
    <w:p w14:paraId="6C9EA2EF" w14:textId="77777777" w:rsidR="00156AA4" w:rsidRPr="00EA3CD7" w:rsidRDefault="00156AA4"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Symptoms of </w:t>
      </w:r>
      <w:r w:rsidRPr="00EA3CD7">
        <w:rPr>
          <w:rFonts w:ascii="Arial" w:eastAsia="Times New Roman" w:hAnsi="Arial" w:cs="Arial"/>
          <w:b/>
          <w:bCs/>
          <w:kern w:val="0"/>
          <w:sz w:val="22"/>
          <w:szCs w:val="22"/>
          <w:lang w:eastAsia="en-GB"/>
          <w14:ligatures w14:val="none"/>
        </w:rPr>
        <w:t>post-traumatic stress disorder (PTSD)</w:t>
      </w:r>
      <w:r w:rsidRPr="00EA3CD7">
        <w:rPr>
          <w:rFonts w:ascii="Arial" w:eastAsia="Times New Roman" w:hAnsi="Arial" w:cs="Arial"/>
          <w:kern w:val="0"/>
          <w:sz w:val="22"/>
          <w:szCs w:val="22"/>
          <w:lang w:eastAsia="en-GB"/>
          <w14:ligatures w14:val="none"/>
        </w:rPr>
        <w:t xml:space="preserve"> were frequently reported, with some studies indicating prevalence rates as high as 50 per cent among Italian HCWs during the initial pandemic wave (Rossi et al., 2020). Key contributors included exposure to frequent patient deaths, emotionally distressing end-of-life care, and ethical dilemmas regarding resource allocation. Such conditions often led to </w:t>
      </w:r>
      <w:r w:rsidRPr="00EA3CD7">
        <w:rPr>
          <w:rFonts w:ascii="Arial" w:eastAsia="Times New Roman" w:hAnsi="Arial" w:cs="Arial"/>
          <w:b/>
          <w:bCs/>
          <w:kern w:val="0"/>
          <w:sz w:val="22"/>
          <w:szCs w:val="22"/>
          <w:lang w:eastAsia="en-GB"/>
          <w14:ligatures w14:val="none"/>
        </w:rPr>
        <w:t>intrusive thoughts, hypervigilance, and sleep disturbances</w:t>
      </w:r>
      <w:r w:rsidRPr="00EA3CD7">
        <w:rPr>
          <w:rFonts w:ascii="Arial" w:eastAsia="Times New Roman" w:hAnsi="Arial" w:cs="Arial"/>
          <w:kern w:val="0"/>
          <w:sz w:val="22"/>
          <w:szCs w:val="22"/>
          <w:lang w:eastAsia="en-GB"/>
          <w14:ligatures w14:val="none"/>
        </w:rPr>
        <w:t>, consistent with diagnostic criteria for PTSD.</w:t>
      </w:r>
    </w:p>
    <w:p w14:paraId="1CDD95F9" w14:textId="77777777" w:rsidR="00156AA4" w:rsidRPr="00EA3CD7" w:rsidRDefault="00156AA4"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The concept of </w:t>
      </w:r>
      <w:r w:rsidRPr="00EA3CD7">
        <w:rPr>
          <w:rFonts w:ascii="Arial" w:eastAsia="Times New Roman" w:hAnsi="Arial" w:cs="Arial"/>
          <w:b/>
          <w:bCs/>
          <w:kern w:val="0"/>
          <w:sz w:val="22"/>
          <w:szCs w:val="22"/>
          <w:lang w:eastAsia="en-GB"/>
          <w14:ligatures w14:val="none"/>
        </w:rPr>
        <w:t>moral injury</w:t>
      </w:r>
      <w:r w:rsidRPr="00EA3CD7">
        <w:rPr>
          <w:rFonts w:ascii="Arial" w:eastAsia="Times New Roman" w:hAnsi="Arial" w:cs="Arial"/>
          <w:kern w:val="0"/>
          <w:sz w:val="22"/>
          <w:szCs w:val="22"/>
          <w:lang w:eastAsia="en-GB"/>
          <w14:ligatures w14:val="none"/>
        </w:rPr>
        <w:t xml:space="preserve"> is particularly relevant in this context, describing the psychological distress experienced when professionals are unable to act according to their ethical or professional standards (Greenberg et al., 2020). This form of injury was frequently linked to triage decisions, shortages of critical care resources, and institutional constraints </w:t>
      </w:r>
      <w:r w:rsidRPr="00EA3CD7">
        <w:rPr>
          <w:rFonts w:ascii="Arial" w:eastAsia="Times New Roman" w:hAnsi="Arial" w:cs="Arial"/>
          <w:kern w:val="0"/>
          <w:sz w:val="22"/>
          <w:szCs w:val="22"/>
          <w:lang w:eastAsia="en-GB"/>
          <w14:ligatures w14:val="none"/>
        </w:rPr>
        <w:lastRenderedPageBreak/>
        <w:t xml:space="preserve">that limited HCWs’ ability to provide optimal care. Within the </w:t>
      </w:r>
      <w:r w:rsidRPr="00EA3CD7">
        <w:rPr>
          <w:rFonts w:ascii="Arial" w:eastAsia="Times New Roman" w:hAnsi="Arial" w:cs="Arial"/>
          <w:b/>
          <w:bCs/>
          <w:kern w:val="0"/>
          <w:sz w:val="22"/>
          <w:szCs w:val="22"/>
          <w:lang w:eastAsia="en-GB"/>
          <w14:ligatures w14:val="none"/>
        </w:rPr>
        <w:t>Job Demand-Control Model</w:t>
      </w:r>
      <w:r w:rsidRPr="00EA3CD7">
        <w:rPr>
          <w:rFonts w:ascii="Arial" w:eastAsia="Times New Roman" w:hAnsi="Arial" w:cs="Arial"/>
          <w:kern w:val="0"/>
          <w:sz w:val="22"/>
          <w:szCs w:val="22"/>
          <w:lang w:eastAsia="en-GB"/>
          <w14:ligatures w14:val="none"/>
        </w:rPr>
        <w:t xml:space="preserve"> (Karasek, 1979), these scenarios exemplify heightened stress when job demands are excessive, yet autonomy and control over decision-making are restricted.</w:t>
      </w:r>
    </w:p>
    <w:p w14:paraId="7BCF41B4" w14:textId="77777777" w:rsidR="00156AA4" w:rsidRPr="00EA3CD7" w:rsidRDefault="00156AA4"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Empirical evidence suggests that moral injury and PTSD are </w:t>
      </w:r>
      <w:r w:rsidRPr="00EA3CD7">
        <w:rPr>
          <w:rFonts w:ascii="Arial" w:eastAsia="Times New Roman" w:hAnsi="Arial" w:cs="Arial"/>
          <w:b/>
          <w:bCs/>
          <w:kern w:val="0"/>
          <w:sz w:val="22"/>
          <w:szCs w:val="22"/>
          <w:lang w:eastAsia="en-GB"/>
          <w14:ligatures w14:val="none"/>
        </w:rPr>
        <w:t>interconnected</w:t>
      </w:r>
      <w:r w:rsidRPr="00EA3CD7">
        <w:rPr>
          <w:rFonts w:ascii="Arial" w:eastAsia="Times New Roman" w:hAnsi="Arial" w:cs="Arial"/>
          <w:kern w:val="0"/>
          <w:sz w:val="22"/>
          <w:szCs w:val="22"/>
          <w:lang w:eastAsia="en-GB"/>
          <w14:ligatures w14:val="none"/>
        </w:rPr>
        <w:t xml:space="preserve"> and may exacerbate other mental health outcomes, such as depression and burnout (Buchanan et al., 2020). These findings underscore the importance of integrating ethical support frameworks, such as debriefing sessions and counselling, into institutional policies to mitigate psychological harm during crises. Furthermore, recognising moral injury highlights the </w:t>
      </w:r>
      <w:r w:rsidRPr="00EA3CD7">
        <w:rPr>
          <w:rFonts w:ascii="Arial" w:eastAsia="Times New Roman" w:hAnsi="Arial" w:cs="Arial"/>
          <w:b/>
          <w:bCs/>
          <w:kern w:val="0"/>
          <w:sz w:val="22"/>
          <w:szCs w:val="22"/>
          <w:lang w:eastAsia="en-GB"/>
          <w14:ligatures w14:val="none"/>
        </w:rPr>
        <w:t>systemic nature of stress</w:t>
      </w:r>
      <w:r w:rsidRPr="00EA3CD7">
        <w:rPr>
          <w:rFonts w:ascii="Arial" w:eastAsia="Times New Roman" w:hAnsi="Arial" w:cs="Arial"/>
          <w:kern w:val="0"/>
          <w:sz w:val="22"/>
          <w:szCs w:val="22"/>
          <w:lang w:eastAsia="en-GB"/>
          <w14:ligatures w14:val="none"/>
        </w:rPr>
        <w:t xml:space="preserve"> in healthcare settings, illustrating that psychological outcomes are influenced not only by individual resilience but also by organisational structures and cultural factors.</w:t>
      </w:r>
    </w:p>
    <w:p w14:paraId="4D45B780" w14:textId="77777777" w:rsidR="002865F0" w:rsidRPr="00EA3CD7" w:rsidRDefault="00000000" w:rsidP="00EA3CD7">
      <w:pPr>
        <w:tabs>
          <w:tab w:val="left" w:pos="284"/>
          <w:tab w:val="left" w:pos="567"/>
          <w:tab w:val="left" w:pos="993"/>
        </w:tabs>
        <w:spacing w:before="100" w:beforeAutospacing="1" w:after="100" w:afterAutospacing="1" w:line="360" w:lineRule="auto"/>
        <w:ind w:left="850"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pict w14:anchorId="749403DF">
          <v:rect id="_x0000_i1030" style="width:0;height:1.5pt" o:hralign="center" o:hrstd="t" o:hr="t" fillcolor="#a0a0a0" stroked="f"/>
        </w:pict>
      </w:r>
    </w:p>
    <w:p w14:paraId="264C69EF" w14:textId="77777777" w:rsidR="00E30DA3" w:rsidRPr="00EA3CD7" w:rsidRDefault="00E30DA3"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4.3 Coping Mechanisms</w:t>
      </w:r>
    </w:p>
    <w:p w14:paraId="5C88CB51" w14:textId="77777777" w:rsidR="00E30DA3" w:rsidRPr="00EA3CD7" w:rsidRDefault="00E30DA3"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Healthcare workers (HCWs) faced unprecedented psychological strain during the COVID-19 pandemic, necessitating the use of a range of coping mechanisms. These strategies can be broadly classified into </w:t>
      </w:r>
      <w:r w:rsidRPr="00EA3CD7">
        <w:rPr>
          <w:rFonts w:ascii="Arial" w:eastAsia="Times New Roman" w:hAnsi="Arial" w:cs="Arial"/>
          <w:b/>
          <w:bCs/>
          <w:kern w:val="0"/>
          <w:sz w:val="22"/>
          <w:szCs w:val="22"/>
          <w:lang w:eastAsia="en-GB"/>
          <w14:ligatures w14:val="none"/>
        </w:rPr>
        <w:t>adaptive</w:t>
      </w:r>
      <w:r w:rsidRPr="00EA3CD7">
        <w:rPr>
          <w:rFonts w:ascii="Arial" w:eastAsia="Times New Roman" w:hAnsi="Arial" w:cs="Arial"/>
          <w:kern w:val="0"/>
          <w:sz w:val="22"/>
          <w:szCs w:val="22"/>
          <w:lang w:eastAsia="en-GB"/>
          <w14:ligatures w14:val="none"/>
        </w:rPr>
        <w:t xml:space="preserve"> and </w:t>
      </w:r>
      <w:r w:rsidRPr="00EA3CD7">
        <w:rPr>
          <w:rFonts w:ascii="Arial" w:eastAsia="Times New Roman" w:hAnsi="Arial" w:cs="Arial"/>
          <w:b/>
          <w:bCs/>
          <w:kern w:val="0"/>
          <w:sz w:val="22"/>
          <w:szCs w:val="22"/>
          <w:lang w:eastAsia="en-GB"/>
          <w14:ligatures w14:val="none"/>
        </w:rPr>
        <w:t>maladaptive</w:t>
      </w:r>
      <w:r w:rsidRPr="00EA3CD7">
        <w:rPr>
          <w:rFonts w:ascii="Arial" w:eastAsia="Times New Roman" w:hAnsi="Arial" w:cs="Arial"/>
          <w:kern w:val="0"/>
          <w:sz w:val="22"/>
          <w:szCs w:val="22"/>
          <w:lang w:eastAsia="en-GB"/>
          <w14:ligatures w14:val="none"/>
        </w:rPr>
        <w:t xml:space="preserve"> approaches, each with distinct implications for mental health outcomes.</w:t>
      </w:r>
    </w:p>
    <w:p w14:paraId="06ECC5EF" w14:textId="77777777" w:rsidR="00E30DA3" w:rsidRPr="00EA3CD7" w:rsidRDefault="00E30DA3" w:rsidP="00EA3CD7">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4.3.1 Adaptive Strategies</w:t>
      </w:r>
    </w:p>
    <w:p w14:paraId="44721DB1" w14:textId="77777777" w:rsidR="00E30DA3" w:rsidRPr="00EA3CD7" w:rsidRDefault="00E30DA3"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Adaptive coping strategies were widely employed by HCWs to mitigate stress and maintain psychological resilience. </w:t>
      </w:r>
      <w:r w:rsidRPr="00EA3CD7">
        <w:rPr>
          <w:rFonts w:ascii="Arial" w:eastAsia="Times New Roman" w:hAnsi="Arial" w:cs="Arial"/>
          <w:b/>
          <w:bCs/>
          <w:kern w:val="0"/>
          <w:sz w:val="22"/>
          <w:szCs w:val="22"/>
          <w:lang w:eastAsia="en-GB"/>
          <w14:ligatures w14:val="none"/>
        </w:rPr>
        <w:t>Social support</w:t>
      </w:r>
      <w:r w:rsidRPr="00EA3CD7">
        <w:rPr>
          <w:rFonts w:ascii="Arial" w:eastAsia="Times New Roman" w:hAnsi="Arial" w:cs="Arial"/>
          <w:kern w:val="0"/>
          <w:sz w:val="22"/>
          <w:szCs w:val="22"/>
          <w:lang w:eastAsia="en-GB"/>
          <w14:ligatures w14:val="none"/>
        </w:rPr>
        <w:t xml:space="preserve"> was among the most frequently reported mechanisms, encompassing both formal peer networks within the workplace and informal support from family and friends. Such networks provided essential avenues for emotional expression, validation, and problem-solving, reinforcing both individual and collective resilience (Zhang et al., 2020; Liu et al., 2020).</w:t>
      </w:r>
    </w:p>
    <w:p w14:paraId="68E9EE28" w14:textId="77777777" w:rsidR="00E30DA3" w:rsidRPr="00EA3CD7" w:rsidRDefault="00E30DA3"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Physical activity</w:t>
      </w:r>
      <w:r w:rsidRPr="00EA3CD7">
        <w:rPr>
          <w:rFonts w:ascii="Arial" w:eastAsia="Times New Roman" w:hAnsi="Arial" w:cs="Arial"/>
          <w:kern w:val="0"/>
          <w:sz w:val="22"/>
          <w:szCs w:val="22"/>
          <w:lang w:eastAsia="en-GB"/>
          <w14:ligatures w14:val="none"/>
        </w:rPr>
        <w:t xml:space="preserve"> was another important coping mechanism, with walking, jogging, yoga, and structured exercise routines being associated with reductions in stress, anxiety, and depressive symptoms (</w:t>
      </w:r>
      <w:proofErr w:type="spellStart"/>
      <w:r w:rsidRPr="00EA3CD7">
        <w:rPr>
          <w:rFonts w:ascii="Arial" w:eastAsia="Times New Roman" w:hAnsi="Arial" w:cs="Arial"/>
          <w:kern w:val="0"/>
          <w:sz w:val="22"/>
          <w:szCs w:val="22"/>
          <w:lang w:eastAsia="en-GB"/>
          <w14:ligatures w14:val="none"/>
        </w:rPr>
        <w:t>Chekroud</w:t>
      </w:r>
      <w:proofErr w:type="spellEnd"/>
      <w:r w:rsidRPr="00EA3CD7">
        <w:rPr>
          <w:rFonts w:ascii="Arial" w:eastAsia="Times New Roman" w:hAnsi="Arial" w:cs="Arial"/>
          <w:kern w:val="0"/>
          <w:sz w:val="22"/>
          <w:szCs w:val="22"/>
          <w:lang w:eastAsia="en-GB"/>
          <w14:ligatures w14:val="none"/>
        </w:rPr>
        <w:t xml:space="preserve"> et al., 2018). Similarly, </w:t>
      </w:r>
      <w:r w:rsidRPr="00EA3CD7">
        <w:rPr>
          <w:rFonts w:ascii="Arial" w:eastAsia="Times New Roman" w:hAnsi="Arial" w:cs="Arial"/>
          <w:b/>
          <w:bCs/>
          <w:kern w:val="0"/>
          <w:sz w:val="22"/>
          <w:szCs w:val="22"/>
          <w:lang w:eastAsia="en-GB"/>
          <w14:ligatures w14:val="none"/>
        </w:rPr>
        <w:t>mindfulness-based interventions</w:t>
      </w:r>
      <w:r w:rsidRPr="00EA3CD7">
        <w:rPr>
          <w:rFonts w:ascii="Arial" w:eastAsia="Times New Roman" w:hAnsi="Arial" w:cs="Arial"/>
          <w:kern w:val="0"/>
          <w:sz w:val="22"/>
          <w:szCs w:val="22"/>
          <w:lang w:eastAsia="en-GB"/>
          <w14:ligatures w14:val="none"/>
        </w:rPr>
        <w:t xml:space="preserve">, including meditation, controlled breathing exercises, and reflective practices, were identified as effective tools for regulating emotional responses to high-pressure clinical environments (Frewen et al., 2020). Establishing </w:t>
      </w:r>
      <w:r w:rsidRPr="00EA3CD7">
        <w:rPr>
          <w:rFonts w:ascii="Arial" w:eastAsia="Times New Roman" w:hAnsi="Arial" w:cs="Arial"/>
          <w:b/>
          <w:bCs/>
          <w:kern w:val="0"/>
          <w:sz w:val="22"/>
          <w:szCs w:val="22"/>
          <w:lang w:eastAsia="en-GB"/>
          <w14:ligatures w14:val="none"/>
        </w:rPr>
        <w:t>structured daily routines</w:t>
      </w:r>
      <w:r w:rsidRPr="00EA3CD7">
        <w:rPr>
          <w:rFonts w:ascii="Arial" w:eastAsia="Times New Roman" w:hAnsi="Arial" w:cs="Arial"/>
          <w:kern w:val="0"/>
          <w:sz w:val="22"/>
          <w:szCs w:val="22"/>
          <w:lang w:eastAsia="en-GB"/>
          <w14:ligatures w14:val="none"/>
        </w:rPr>
        <w:t xml:space="preserve"> also contributed to </w:t>
      </w:r>
      <w:r w:rsidRPr="00EA3CD7">
        <w:rPr>
          <w:rFonts w:ascii="Arial" w:eastAsia="Times New Roman" w:hAnsi="Arial" w:cs="Arial"/>
          <w:kern w:val="0"/>
          <w:sz w:val="22"/>
          <w:szCs w:val="22"/>
          <w:lang w:eastAsia="en-GB"/>
          <w14:ligatures w14:val="none"/>
        </w:rPr>
        <w:lastRenderedPageBreak/>
        <w:t>psychological stability by fostering a sense of predictability and control amid chaotic work conditions (Buchanan et al., 2020).</w:t>
      </w:r>
    </w:p>
    <w:p w14:paraId="71627315" w14:textId="77777777" w:rsidR="00E30DA3" w:rsidRPr="00EA3CD7" w:rsidRDefault="00E30DA3"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Access to </w:t>
      </w:r>
      <w:r w:rsidRPr="00EA3CD7">
        <w:rPr>
          <w:rFonts w:ascii="Arial" w:eastAsia="Times New Roman" w:hAnsi="Arial" w:cs="Arial"/>
          <w:b/>
          <w:bCs/>
          <w:kern w:val="0"/>
          <w:sz w:val="22"/>
          <w:szCs w:val="22"/>
          <w:lang w:eastAsia="en-GB"/>
          <w14:ligatures w14:val="none"/>
        </w:rPr>
        <w:t>professional psychological support</w:t>
      </w:r>
      <w:r w:rsidRPr="00EA3CD7">
        <w:rPr>
          <w:rFonts w:ascii="Arial" w:eastAsia="Times New Roman" w:hAnsi="Arial" w:cs="Arial"/>
          <w:kern w:val="0"/>
          <w:sz w:val="22"/>
          <w:szCs w:val="22"/>
          <w:lang w:eastAsia="en-GB"/>
          <w14:ligatures w14:val="none"/>
        </w:rPr>
        <w:t xml:space="preserve"> further enhanced adaptive coping. Counselling services, 24/7 helplines, structured workshops, and mental health programmes provided HCWs with tailored resources to manage stress, process trauma, and develop resilience strategies (Shechter et al., 2020; Cabarkapa et al., 2020). The integration of both </w:t>
      </w:r>
      <w:r w:rsidRPr="00EA3CD7">
        <w:rPr>
          <w:rFonts w:ascii="Arial" w:eastAsia="Times New Roman" w:hAnsi="Arial" w:cs="Arial"/>
          <w:b/>
          <w:bCs/>
          <w:kern w:val="0"/>
          <w:sz w:val="22"/>
          <w:szCs w:val="22"/>
          <w:lang w:eastAsia="en-GB"/>
          <w14:ligatures w14:val="none"/>
        </w:rPr>
        <w:t>problem-focused coping</w:t>
      </w:r>
      <w:r w:rsidRPr="00EA3CD7">
        <w:rPr>
          <w:rFonts w:ascii="Arial" w:eastAsia="Times New Roman" w:hAnsi="Arial" w:cs="Arial"/>
          <w:kern w:val="0"/>
          <w:sz w:val="22"/>
          <w:szCs w:val="22"/>
          <w:lang w:eastAsia="en-GB"/>
          <w14:ligatures w14:val="none"/>
        </w:rPr>
        <w:t xml:space="preserve"> (actively addressing stressors) and </w:t>
      </w:r>
      <w:r w:rsidRPr="00EA3CD7">
        <w:rPr>
          <w:rFonts w:ascii="Arial" w:eastAsia="Times New Roman" w:hAnsi="Arial" w:cs="Arial"/>
          <w:b/>
          <w:bCs/>
          <w:kern w:val="0"/>
          <w:sz w:val="22"/>
          <w:szCs w:val="22"/>
          <w:lang w:eastAsia="en-GB"/>
          <w14:ligatures w14:val="none"/>
        </w:rPr>
        <w:t>emotion-focused coping</w:t>
      </w:r>
      <w:r w:rsidRPr="00EA3CD7">
        <w:rPr>
          <w:rFonts w:ascii="Arial" w:eastAsia="Times New Roman" w:hAnsi="Arial" w:cs="Arial"/>
          <w:kern w:val="0"/>
          <w:sz w:val="22"/>
          <w:szCs w:val="22"/>
          <w:lang w:eastAsia="en-GB"/>
          <w14:ligatures w14:val="none"/>
        </w:rPr>
        <w:t xml:space="preserve"> (managing emotional reactions) reflects Lazarus and Folkman’s (1984) theoretical framework, demonstrating how HCWs strategically combined approaches to maintain mental well-being during sustained crises.</w:t>
      </w:r>
    </w:p>
    <w:p w14:paraId="68E5E4D0" w14:textId="77777777" w:rsidR="00E30DA3" w:rsidRPr="00EA3CD7" w:rsidRDefault="00E30DA3" w:rsidP="00EA3CD7">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4.3.2 Maladaptive Strategies</w:t>
      </w:r>
    </w:p>
    <w:p w14:paraId="5687E6E3" w14:textId="77777777" w:rsidR="00E30DA3" w:rsidRPr="00EA3CD7" w:rsidRDefault="00E30DA3"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Despite these adaptive strategies, many HCWs also resorted to </w:t>
      </w:r>
      <w:r w:rsidRPr="00EA3CD7">
        <w:rPr>
          <w:rFonts w:ascii="Arial" w:eastAsia="Times New Roman" w:hAnsi="Arial" w:cs="Arial"/>
          <w:b/>
          <w:bCs/>
          <w:kern w:val="0"/>
          <w:sz w:val="22"/>
          <w:szCs w:val="22"/>
          <w:lang w:eastAsia="en-GB"/>
          <w14:ligatures w14:val="none"/>
        </w:rPr>
        <w:t>maladaptive coping mechanisms</w:t>
      </w:r>
      <w:r w:rsidRPr="00EA3CD7">
        <w:rPr>
          <w:rFonts w:ascii="Arial" w:eastAsia="Times New Roman" w:hAnsi="Arial" w:cs="Arial"/>
          <w:kern w:val="0"/>
          <w:sz w:val="22"/>
          <w:szCs w:val="22"/>
          <w:lang w:eastAsia="en-GB"/>
          <w14:ligatures w14:val="none"/>
        </w:rPr>
        <w:t xml:space="preserve">. Emotional withdrawal, avoidance, denial, and substance use were frequently reported, particularly among individuals facing high workloads, prolonged exposure to patient suffering, or insufficient institutional support (Spoorthy et al., 2020; Lai et al., 2020). While these strategies may provide </w:t>
      </w:r>
      <w:r w:rsidRPr="00EA3CD7">
        <w:rPr>
          <w:rFonts w:ascii="Arial" w:eastAsia="Times New Roman" w:hAnsi="Arial" w:cs="Arial"/>
          <w:b/>
          <w:bCs/>
          <w:kern w:val="0"/>
          <w:sz w:val="22"/>
          <w:szCs w:val="22"/>
          <w:lang w:eastAsia="en-GB"/>
          <w14:ligatures w14:val="none"/>
        </w:rPr>
        <w:t>short-term relief</w:t>
      </w:r>
      <w:r w:rsidRPr="00EA3CD7">
        <w:rPr>
          <w:rFonts w:ascii="Arial" w:eastAsia="Times New Roman" w:hAnsi="Arial" w:cs="Arial"/>
          <w:kern w:val="0"/>
          <w:sz w:val="22"/>
          <w:szCs w:val="22"/>
          <w:lang w:eastAsia="en-GB"/>
          <w14:ligatures w14:val="none"/>
        </w:rPr>
        <w:t>, they often exacerbate long-term psychological distress by limiting social engagement, reducing opportunities for emotional processing, and increasing susceptibility to anxiety, depression, and burnout (Zhang et al., 2020).</w:t>
      </w:r>
    </w:p>
    <w:p w14:paraId="36B17ED0" w14:textId="77777777" w:rsidR="00E30DA3" w:rsidRPr="00EA3CD7" w:rsidRDefault="00E30DA3"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The </w:t>
      </w:r>
      <w:r w:rsidRPr="00EA3CD7">
        <w:rPr>
          <w:rFonts w:ascii="Arial" w:eastAsia="Times New Roman" w:hAnsi="Arial" w:cs="Arial"/>
          <w:b/>
          <w:bCs/>
          <w:kern w:val="0"/>
          <w:sz w:val="22"/>
          <w:szCs w:val="22"/>
          <w:lang w:eastAsia="en-GB"/>
          <w14:ligatures w14:val="none"/>
        </w:rPr>
        <w:t>Conservation of Resources (COR) Theory</w:t>
      </w:r>
      <w:r w:rsidRPr="00EA3CD7">
        <w:rPr>
          <w:rFonts w:ascii="Arial" w:eastAsia="Times New Roman" w:hAnsi="Arial" w:cs="Arial"/>
          <w:kern w:val="0"/>
          <w:sz w:val="22"/>
          <w:szCs w:val="22"/>
          <w:lang w:eastAsia="en-GB"/>
          <w14:ligatures w14:val="none"/>
        </w:rPr>
        <w:t xml:space="preserve"> (</w:t>
      </w:r>
      <w:proofErr w:type="spellStart"/>
      <w:r w:rsidRPr="00EA3CD7">
        <w:rPr>
          <w:rFonts w:ascii="Arial" w:eastAsia="Times New Roman" w:hAnsi="Arial" w:cs="Arial"/>
          <w:kern w:val="0"/>
          <w:sz w:val="22"/>
          <w:szCs w:val="22"/>
          <w:lang w:eastAsia="en-GB"/>
          <w14:ligatures w14:val="none"/>
        </w:rPr>
        <w:t>Hobfoll</w:t>
      </w:r>
      <w:proofErr w:type="spellEnd"/>
      <w:r w:rsidRPr="00EA3CD7">
        <w:rPr>
          <w:rFonts w:ascii="Arial" w:eastAsia="Times New Roman" w:hAnsi="Arial" w:cs="Arial"/>
          <w:kern w:val="0"/>
          <w:sz w:val="22"/>
          <w:szCs w:val="22"/>
          <w:lang w:eastAsia="en-GB"/>
          <w14:ligatures w14:val="none"/>
        </w:rPr>
        <w:t xml:space="preserve">, 1989) offers a useful lens for understanding the prevalence of maladaptive strategies. According to COR, individuals experience stress when critical resources—such as sleep, social contact, personal safety, and professional support—are threatened, lost, or insufficiently replenished. The pandemic created a perfect storm for resource depletion among HCWs, as extended shifts, inadequate PPE, high patient mortality, and social isolation significantly diminished both material and psychological resources. In such contexts, maladaptive coping behaviours often emerge as </w:t>
      </w:r>
      <w:r w:rsidRPr="00EA3CD7">
        <w:rPr>
          <w:rFonts w:ascii="Arial" w:eastAsia="Times New Roman" w:hAnsi="Arial" w:cs="Arial"/>
          <w:b/>
          <w:bCs/>
          <w:kern w:val="0"/>
          <w:sz w:val="22"/>
          <w:szCs w:val="22"/>
          <w:lang w:eastAsia="en-GB"/>
          <w14:ligatures w14:val="none"/>
        </w:rPr>
        <w:t>compensatory strategies</w:t>
      </w:r>
      <w:r w:rsidRPr="00EA3CD7">
        <w:rPr>
          <w:rFonts w:ascii="Arial" w:eastAsia="Times New Roman" w:hAnsi="Arial" w:cs="Arial"/>
          <w:kern w:val="0"/>
          <w:sz w:val="22"/>
          <w:szCs w:val="22"/>
          <w:lang w:eastAsia="en-GB"/>
          <w14:ligatures w14:val="none"/>
        </w:rPr>
        <w:t>, albeit with detrimental long-term effects (Chen et al., 2021).</w:t>
      </w:r>
    </w:p>
    <w:p w14:paraId="525ABE10" w14:textId="77777777" w:rsidR="00E30DA3" w:rsidRPr="00EA3CD7" w:rsidRDefault="00E30DA3"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Importantly, the </w:t>
      </w:r>
      <w:r w:rsidRPr="00EA3CD7">
        <w:rPr>
          <w:rFonts w:ascii="Arial" w:eastAsia="Times New Roman" w:hAnsi="Arial" w:cs="Arial"/>
          <w:b/>
          <w:bCs/>
          <w:kern w:val="0"/>
          <w:sz w:val="22"/>
          <w:szCs w:val="22"/>
          <w:lang w:eastAsia="en-GB"/>
          <w14:ligatures w14:val="none"/>
        </w:rPr>
        <w:t>interaction between adaptive and maladaptive coping</w:t>
      </w:r>
      <w:r w:rsidRPr="00EA3CD7">
        <w:rPr>
          <w:rFonts w:ascii="Arial" w:eastAsia="Times New Roman" w:hAnsi="Arial" w:cs="Arial"/>
          <w:kern w:val="0"/>
          <w:sz w:val="22"/>
          <w:szCs w:val="22"/>
          <w:lang w:eastAsia="en-GB"/>
          <w14:ligatures w14:val="none"/>
        </w:rPr>
        <w:t xml:space="preserve"> is dynamic. HCWs with access to institutional support, structured resilience programmes, and strong social networks were more likely to adopt adaptive strategies and avoid harmful coping mechanisms. Conversely, the absence of these supports increased reliance on maladaptive behaviours, highlighting the </w:t>
      </w:r>
      <w:r w:rsidRPr="00EA3CD7">
        <w:rPr>
          <w:rFonts w:ascii="Arial" w:eastAsia="Times New Roman" w:hAnsi="Arial" w:cs="Arial"/>
          <w:b/>
          <w:bCs/>
          <w:kern w:val="0"/>
          <w:sz w:val="22"/>
          <w:szCs w:val="22"/>
          <w:lang w:eastAsia="en-GB"/>
          <w14:ligatures w14:val="none"/>
        </w:rPr>
        <w:t>critical role of organisational interventions</w:t>
      </w:r>
      <w:r w:rsidRPr="00EA3CD7">
        <w:rPr>
          <w:rFonts w:ascii="Arial" w:eastAsia="Times New Roman" w:hAnsi="Arial" w:cs="Arial"/>
          <w:kern w:val="0"/>
          <w:sz w:val="22"/>
          <w:szCs w:val="22"/>
          <w:lang w:eastAsia="en-GB"/>
          <w14:ligatures w14:val="none"/>
        </w:rPr>
        <w:t xml:space="preserve"> in shaping coping outcomes (Wu et al., 2020; Greenberg et al., 2020).</w:t>
      </w:r>
    </w:p>
    <w:p w14:paraId="7E3A571B" w14:textId="77777777" w:rsidR="00E30DA3" w:rsidRPr="00EA3CD7" w:rsidRDefault="00E30DA3"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lastRenderedPageBreak/>
        <w:t xml:space="preserve">In conclusion, understanding the spectrum of coping mechanisms employed by HCWs during the COVID-19 pandemic underscores the need for </w:t>
      </w:r>
      <w:r w:rsidRPr="00EA3CD7">
        <w:rPr>
          <w:rFonts w:ascii="Arial" w:eastAsia="Times New Roman" w:hAnsi="Arial" w:cs="Arial"/>
          <w:b/>
          <w:bCs/>
          <w:kern w:val="0"/>
          <w:sz w:val="22"/>
          <w:szCs w:val="22"/>
          <w:lang w:eastAsia="en-GB"/>
          <w14:ligatures w14:val="none"/>
        </w:rPr>
        <w:t>targeted support systems</w:t>
      </w:r>
      <w:r w:rsidRPr="00EA3CD7">
        <w:rPr>
          <w:rFonts w:ascii="Arial" w:eastAsia="Times New Roman" w:hAnsi="Arial" w:cs="Arial"/>
          <w:kern w:val="0"/>
          <w:sz w:val="22"/>
          <w:szCs w:val="22"/>
          <w:lang w:eastAsia="en-GB"/>
          <w14:ligatures w14:val="none"/>
        </w:rPr>
        <w:t xml:space="preserve"> that reinforce adaptive strategies and mitigate the risks associated with maladaptive behaviours. Integrating these insights into policy and practice is essential for protecting mental health, sustaining workforce resilience, and maintaining high standards of patient care during ongoing and future public health crises.</w:t>
      </w:r>
    </w:p>
    <w:p w14:paraId="2C5C97BF" w14:textId="77777777" w:rsidR="008613EA" w:rsidRPr="00EA3CD7" w:rsidRDefault="008613EA"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4.4 Institutional Support</w:t>
      </w:r>
    </w:p>
    <w:p w14:paraId="77363E0B" w14:textId="77777777" w:rsidR="008613EA" w:rsidRPr="00EA3CD7" w:rsidRDefault="008613EA"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Institutional support played a pivotal role in shaping the psychological outcomes of healthcare workers (HCWs) during the COVID-19 pandemic. The availability, quality, and accessibility of organisational resources significantly influenced the capacity of staff to manage stress, maintain resilience, and sustain performance under extreme pressure. Evidence suggests that institutional support acted not only as a protective factor against adverse mental health outcomes but also as a facilitator of adaptive coping strategies, providing HCWs with both practical resources and psychological reassurance.</w:t>
      </w:r>
    </w:p>
    <w:p w14:paraId="76F72D05" w14:textId="77777777" w:rsidR="008613EA" w:rsidRPr="00EA3CD7" w:rsidRDefault="008613EA" w:rsidP="00EA3CD7">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4.4.1 Effective Organisational Responses</w:t>
      </w:r>
    </w:p>
    <w:p w14:paraId="038710EE" w14:textId="77777777" w:rsidR="008613EA" w:rsidRPr="00EA3CD7" w:rsidRDefault="008613EA"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Organisations that implemented effective strategies were able to mitigate the mental health impact of the pandemic on their workforce. Providing adequate </w:t>
      </w:r>
      <w:r w:rsidRPr="00EA3CD7">
        <w:rPr>
          <w:rFonts w:ascii="Arial" w:eastAsia="Times New Roman" w:hAnsi="Arial" w:cs="Arial"/>
          <w:b/>
          <w:bCs/>
          <w:kern w:val="0"/>
          <w:sz w:val="22"/>
          <w:szCs w:val="22"/>
          <w:lang w:eastAsia="en-GB"/>
          <w14:ligatures w14:val="none"/>
        </w:rPr>
        <w:t>personal protective equipment (PPE)</w:t>
      </w:r>
      <w:r w:rsidRPr="00EA3CD7">
        <w:rPr>
          <w:rFonts w:ascii="Arial" w:eastAsia="Times New Roman" w:hAnsi="Arial" w:cs="Arial"/>
          <w:kern w:val="0"/>
          <w:sz w:val="22"/>
          <w:szCs w:val="22"/>
          <w:lang w:eastAsia="en-GB"/>
          <w14:ligatures w14:val="none"/>
        </w:rPr>
        <w:t xml:space="preserve"> was critical, not only for physical safety but also for reducing anxiety related to potential infection (Cabarkapa et al., 2020; Wu et al., 2020). Structured </w:t>
      </w:r>
      <w:r w:rsidRPr="00EA3CD7">
        <w:rPr>
          <w:rFonts w:ascii="Arial" w:eastAsia="Times New Roman" w:hAnsi="Arial" w:cs="Arial"/>
          <w:b/>
          <w:bCs/>
          <w:kern w:val="0"/>
          <w:sz w:val="22"/>
          <w:szCs w:val="22"/>
          <w:lang w:eastAsia="en-GB"/>
          <w14:ligatures w14:val="none"/>
        </w:rPr>
        <w:t>well-being initiatives</w:t>
      </w:r>
      <w:r w:rsidRPr="00EA3CD7">
        <w:rPr>
          <w:rFonts w:ascii="Arial" w:eastAsia="Times New Roman" w:hAnsi="Arial" w:cs="Arial"/>
          <w:kern w:val="0"/>
          <w:sz w:val="22"/>
          <w:szCs w:val="22"/>
          <w:lang w:eastAsia="en-GB"/>
          <w14:ligatures w14:val="none"/>
        </w:rPr>
        <w:t>, including workshops on stress management, mindfulness sessions, and access to professional counselling services, enabled staff to develop adaptive coping strategies and provided an avenue for emotional expression (Shechter et al., 2020).</w:t>
      </w:r>
    </w:p>
    <w:p w14:paraId="6FA13487" w14:textId="77777777" w:rsidR="008613EA" w:rsidRPr="00EA3CD7" w:rsidRDefault="008613EA"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Clear and consistent communication</w:t>
      </w:r>
      <w:r w:rsidRPr="00EA3CD7">
        <w:rPr>
          <w:rFonts w:ascii="Arial" w:eastAsia="Times New Roman" w:hAnsi="Arial" w:cs="Arial"/>
          <w:kern w:val="0"/>
          <w:sz w:val="22"/>
          <w:szCs w:val="22"/>
          <w:lang w:eastAsia="en-GB"/>
          <w14:ligatures w14:val="none"/>
        </w:rPr>
        <w:t xml:space="preserve"> from leadership regarding policies, safety protocols, and procedural updates further enhanced staff confidence, reduced uncertainty, and reinforced trust in institutional management (Shaukat et al., 2020). The psychological benefits of effective communication are well-documented, as they help HCWs feel informed, valued, and supported in decision-making processes (Greenberg et al., 2020).</w:t>
      </w:r>
    </w:p>
    <w:p w14:paraId="1669167B" w14:textId="77777777" w:rsidR="008613EA" w:rsidRPr="00EA3CD7" w:rsidRDefault="008613EA"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Organisational flexibility, such as </w:t>
      </w:r>
      <w:r w:rsidRPr="00EA3CD7">
        <w:rPr>
          <w:rFonts w:ascii="Arial" w:eastAsia="Times New Roman" w:hAnsi="Arial" w:cs="Arial"/>
          <w:b/>
          <w:bCs/>
          <w:kern w:val="0"/>
          <w:sz w:val="22"/>
          <w:szCs w:val="22"/>
          <w:lang w:eastAsia="en-GB"/>
          <w14:ligatures w14:val="none"/>
        </w:rPr>
        <w:t>staggered shifts, mandatory rest periods, and workload redistribution</w:t>
      </w:r>
      <w:r w:rsidRPr="00EA3CD7">
        <w:rPr>
          <w:rFonts w:ascii="Arial" w:eastAsia="Times New Roman" w:hAnsi="Arial" w:cs="Arial"/>
          <w:kern w:val="0"/>
          <w:sz w:val="22"/>
          <w:szCs w:val="22"/>
          <w:lang w:eastAsia="en-GB"/>
          <w14:ligatures w14:val="none"/>
        </w:rPr>
        <w:t xml:space="preserve">, was instrumental in reducing fatigue, preventing burnout, and allowing staff opportunities for psychological recovery (Zhang et al., 2020). </w:t>
      </w:r>
      <w:r w:rsidRPr="00EA3CD7">
        <w:rPr>
          <w:rFonts w:ascii="Arial" w:eastAsia="Times New Roman" w:hAnsi="Arial" w:cs="Arial"/>
          <w:b/>
          <w:bCs/>
          <w:kern w:val="0"/>
          <w:sz w:val="22"/>
          <w:szCs w:val="22"/>
          <w:lang w:eastAsia="en-GB"/>
          <w14:ligatures w14:val="none"/>
        </w:rPr>
        <w:t>Peer support schemes</w:t>
      </w:r>
      <w:r w:rsidRPr="00EA3CD7">
        <w:rPr>
          <w:rFonts w:ascii="Arial" w:eastAsia="Times New Roman" w:hAnsi="Arial" w:cs="Arial"/>
          <w:kern w:val="0"/>
          <w:sz w:val="22"/>
          <w:szCs w:val="22"/>
          <w:lang w:eastAsia="en-GB"/>
          <w14:ligatures w14:val="none"/>
        </w:rPr>
        <w:t xml:space="preserve">, including buddy systems, mentorship programmes, and informal check-ins, fostered a sense of camaraderie and collective resilience. Such social support networks act </w:t>
      </w:r>
      <w:r w:rsidRPr="00EA3CD7">
        <w:rPr>
          <w:rFonts w:ascii="Arial" w:eastAsia="Times New Roman" w:hAnsi="Arial" w:cs="Arial"/>
          <w:kern w:val="0"/>
          <w:sz w:val="22"/>
          <w:szCs w:val="22"/>
          <w:lang w:eastAsia="en-GB"/>
          <w14:ligatures w14:val="none"/>
        </w:rPr>
        <w:lastRenderedPageBreak/>
        <w:t>as a buffer against occupational stress, promoting adaptive coping behaviours and reducing feelings of isolation (Wu et al., 2020).</w:t>
      </w:r>
    </w:p>
    <w:p w14:paraId="589034D7" w14:textId="77777777" w:rsidR="008613EA" w:rsidRPr="00EA3CD7" w:rsidRDefault="008613EA"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These findings align with </w:t>
      </w:r>
      <w:r w:rsidRPr="00EA3CD7">
        <w:rPr>
          <w:rFonts w:ascii="Arial" w:eastAsia="Times New Roman" w:hAnsi="Arial" w:cs="Arial"/>
          <w:b/>
          <w:bCs/>
          <w:kern w:val="0"/>
          <w:sz w:val="22"/>
          <w:szCs w:val="22"/>
          <w:lang w:eastAsia="en-GB"/>
          <w14:ligatures w14:val="none"/>
        </w:rPr>
        <w:t>Conservation of Resources (COR) Theory</w:t>
      </w:r>
      <w:r w:rsidRPr="00EA3CD7">
        <w:rPr>
          <w:rFonts w:ascii="Arial" w:eastAsia="Times New Roman" w:hAnsi="Arial" w:cs="Arial"/>
          <w:kern w:val="0"/>
          <w:sz w:val="22"/>
          <w:szCs w:val="22"/>
          <w:lang w:eastAsia="en-GB"/>
          <w14:ligatures w14:val="none"/>
        </w:rPr>
        <w:t xml:space="preserve"> (</w:t>
      </w:r>
      <w:proofErr w:type="spellStart"/>
      <w:r w:rsidRPr="00EA3CD7">
        <w:rPr>
          <w:rFonts w:ascii="Arial" w:eastAsia="Times New Roman" w:hAnsi="Arial" w:cs="Arial"/>
          <w:kern w:val="0"/>
          <w:sz w:val="22"/>
          <w:szCs w:val="22"/>
          <w:lang w:eastAsia="en-GB"/>
          <w14:ligatures w14:val="none"/>
        </w:rPr>
        <w:t>Hobfoll</w:t>
      </w:r>
      <w:proofErr w:type="spellEnd"/>
      <w:r w:rsidRPr="00EA3CD7">
        <w:rPr>
          <w:rFonts w:ascii="Arial" w:eastAsia="Times New Roman" w:hAnsi="Arial" w:cs="Arial"/>
          <w:kern w:val="0"/>
          <w:sz w:val="22"/>
          <w:szCs w:val="22"/>
          <w:lang w:eastAsia="en-GB"/>
          <w14:ligatures w14:val="none"/>
        </w:rPr>
        <w:t xml:space="preserve">, 1989), which posits that individuals experience stress when resources—material, social, or personal—are threatened or depleted. Organisations that proactively provided resources effectively replenished HCWs’ psychological and practical reserves, enabling staff to maintain resilience even under sustained occupational stress. Furthermore, institutional support facilitated </w:t>
      </w:r>
      <w:r w:rsidRPr="00EA3CD7">
        <w:rPr>
          <w:rFonts w:ascii="Arial" w:eastAsia="Times New Roman" w:hAnsi="Arial" w:cs="Arial"/>
          <w:b/>
          <w:bCs/>
          <w:kern w:val="0"/>
          <w:sz w:val="22"/>
          <w:szCs w:val="22"/>
          <w:lang w:eastAsia="en-GB"/>
          <w14:ligatures w14:val="none"/>
        </w:rPr>
        <w:t>post-traumatic growth</w:t>
      </w:r>
      <w:r w:rsidRPr="00EA3CD7">
        <w:rPr>
          <w:rFonts w:ascii="Arial" w:eastAsia="Times New Roman" w:hAnsi="Arial" w:cs="Arial"/>
          <w:kern w:val="0"/>
          <w:sz w:val="22"/>
          <w:szCs w:val="22"/>
          <w:lang w:eastAsia="en-GB"/>
          <w14:ligatures w14:val="none"/>
        </w:rPr>
        <w:t xml:space="preserve"> in some HCWs, allowing them to derive a sense of purpose, professional accomplishment, and strengthened team cohesion despite adversity (Tedeschi and Calhoun, 1996; </w:t>
      </w:r>
      <w:proofErr w:type="spellStart"/>
      <w:r w:rsidRPr="00EA3CD7">
        <w:rPr>
          <w:rFonts w:ascii="Arial" w:eastAsia="Times New Roman" w:hAnsi="Arial" w:cs="Arial"/>
          <w:kern w:val="0"/>
          <w:sz w:val="22"/>
          <w:szCs w:val="22"/>
          <w:lang w:eastAsia="en-GB"/>
          <w14:ligatures w14:val="none"/>
        </w:rPr>
        <w:t>Kalaitzaki</w:t>
      </w:r>
      <w:proofErr w:type="spellEnd"/>
      <w:r w:rsidRPr="00EA3CD7">
        <w:rPr>
          <w:rFonts w:ascii="Arial" w:eastAsia="Times New Roman" w:hAnsi="Arial" w:cs="Arial"/>
          <w:kern w:val="0"/>
          <w:sz w:val="22"/>
          <w:szCs w:val="22"/>
          <w:lang w:eastAsia="en-GB"/>
          <w14:ligatures w14:val="none"/>
        </w:rPr>
        <w:t xml:space="preserve"> et al., 2021).</w:t>
      </w:r>
    </w:p>
    <w:p w14:paraId="2F47F2E0" w14:textId="77777777" w:rsidR="008613EA" w:rsidRPr="00EA3CD7" w:rsidRDefault="008613EA" w:rsidP="00EA3CD7">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4.4.2 Barriers to Support</w:t>
      </w:r>
    </w:p>
    <w:p w14:paraId="763D3BE3" w14:textId="77777777" w:rsidR="008613EA" w:rsidRPr="00EA3CD7" w:rsidRDefault="008613EA"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Despite the presence of effective initiatives, significant barriers limited the utilisation and impact of institutional support. </w:t>
      </w:r>
      <w:r w:rsidRPr="00EA3CD7">
        <w:rPr>
          <w:rFonts w:ascii="Arial" w:eastAsia="Times New Roman" w:hAnsi="Arial" w:cs="Arial"/>
          <w:b/>
          <w:bCs/>
          <w:kern w:val="0"/>
          <w:sz w:val="22"/>
          <w:szCs w:val="22"/>
          <w:lang w:eastAsia="en-GB"/>
          <w14:ligatures w14:val="none"/>
        </w:rPr>
        <w:t>Mental health stigma</w:t>
      </w:r>
      <w:r w:rsidRPr="00EA3CD7">
        <w:rPr>
          <w:rFonts w:ascii="Arial" w:eastAsia="Times New Roman" w:hAnsi="Arial" w:cs="Arial"/>
          <w:kern w:val="0"/>
          <w:sz w:val="22"/>
          <w:szCs w:val="22"/>
          <w:lang w:eastAsia="en-GB"/>
          <w14:ligatures w14:val="none"/>
        </w:rPr>
        <w:t xml:space="preserve"> emerged as a pervasive deterrent, with many HCWs reluctant to access services for fear of being perceived as weak, incompetent, or professionally vulnerable (Buchanan et al., 2020). This cultural barrier is especially salient in high-pressure medical environments, where stoicism and endurance are often valorised, thereby discouraging help-seeking behaviours.</w:t>
      </w:r>
    </w:p>
    <w:p w14:paraId="262F5C5E" w14:textId="77777777" w:rsidR="008613EA" w:rsidRPr="00EA3CD7" w:rsidRDefault="008613EA"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Practical barriers also impeded engagement. </w:t>
      </w:r>
      <w:r w:rsidRPr="00EA3CD7">
        <w:rPr>
          <w:rFonts w:ascii="Arial" w:eastAsia="Times New Roman" w:hAnsi="Arial" w:cs="Arial"/>
          <w:b/>
          <w:bCs/>
          <w:kern w:val="0"/>
          <w:sz w:val="22"/>
          <w:szCs w:val="22"/>
          <w:lang w:eastAsia="en-GB"/>
          <w14:ligatures w14:val="none"/>
        </w:rPr>
        <w:t>Lack of awareness</w:t>
      </w:r>
      <w:r w:rsidRPr="00EA3CD7">
        <w:rPr>
          <w:rFonts w:ascii="Arial" w:eastAsia="Times New Roman" w:hAnsi="Arial" w:cs="Arial"/>
          <w:kern w:val="0"/>
          <w:sz w:val="22"/>
          <w:szCs w:val="22"/>
          <w:lang w:eastAsia="en-GB"/>
          <w14:ligatures w14:val="none"/>
        </w:rPr>
        <w:t xml:space="preserve"> of available support services meant that staff were often unaware of resources that could alleviate stress (Moreno et al., 2020). In addition, </w:t>
      </w:r>
      <w:r w:rsidRPr="00EA3CD7">
        <w:rPr>
          <w:rFonts w:ascii="Arial" w:eastAsia="Times New Roman" w:hAnsi="Arial" w:cs="Arial"/>
          <w:b/>
          <w:bCs/>
          <w:kern w:val="0"/>
          <w:sz w:val="22"/>
          <w:szCs w:val="22"/>
          <w:lang w:eastAsia="en-GB"/>
          <w14:ligatures w14:val="none"/>
        </w:rPr>
        <w:t>time constraints</w:t>
      </w:r>
      <w:r w:rsidRPr="00EA3CD7">
        <w:rPr>
          <w:rFonts w:ascii="Arial" w:eastAsia="Times New Roman" w:hAnsi="Arial" w:cs="Arial"/>
          <w:kern w:val="0"/>
          <w:sz w:val="22"/>
          <w:szCs w:val="22"/>
          <w:lang w:eastAsia="en-GB"/>
          <w14:ligatures w14:val="none"/>
        </w:rPr>
        <w:t>, driven by long shifts, high patient volumes, and insufficient staffing, restricted the ability of HCWs to attend counselling sessions, participate in wellness programmes, or engage in peer support activities (Lai et al., 2020).</w:t>
      </w:r>
    </w:p>
    <w:p w14:paraId="01F74104" w14:textId="77777777" w:rsidR="008613EA" w:rsidRPr="00EA3CD7" w:rsidRDefault="008613EA"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Resource limitations in </w:t>
      </w:r>
      <w:r w:rsidRPr="00EA3CD7">
        <w:rPr>
          <w:rFonts w:ascii="Arial" w:eastAsia="Times New Roman" w:hAnsi="Arial" w:cs="Arial"/>
          <w:b/>
          <w:bCs/>
          <w:kern w:val="0"/>
          <w:sz w:val="22"/>
          <w:szCs w:val="22"/>
          <w:lang w:eastAsia="en-GB"/>
          <w14:ligatures w14:val="none"/>
        </w:rPr>
        <w:t>under-resourced or low-income settings</w:t>
      </w:r>
      <w:r w:rsidRPr="00EA3CD7">
        <w:rPr>
          <w:rFonts w:ascii="Arial" w:eastAsia="Times New Roman" w:hAnsi="Arial" w:cs="Arial"/>
          <w:kern w:val="0"/>
          <w:sz w:val="22"/>
          <w:szCs w:val="22"/>
          <w:lang w:eastAsia="en-GB"/>
          <w14:ligatures w14:val="none"/>
        </w:rPr>
        <w:t xml:space="preserve"> further exacerbated disparities. Hospitals with limited infrastructure, personnel, or funding were often unable to implement comprehensive mental health frameworks, leaving frontline staff particularly vulnerable to burnout, anxiety, and PTSD (Spoorthy et al., 2020). These inequities underline the systemic nature of mental health challenges in healthcare, emphasising that individual coping strategies alone are insufficient without organisational support.</w:t>
      </w:r>
    </w:p>
    <w:p w14:paraId="0585F925" w14:textId="77777777" w:rsidR="008613EA" w:rsidRPr="00EA3CD7" w:rsidRDefault="008613EA"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The combination of cultural and practical barriers highlights the urgent need for </w:t>
      </w:r>
      <w:r w:rsidRPr="00EA3CD7">
        <w:rPr>
          <w:rFonts w:ascii="Arial" w:eastAsia="Times New Roman" w:hAnsi="Arial" w:cs="Arial"/>
          <w:b/>
          <w:bCs/>
          <w:kern w:val="0"/>
          <w:sz w:val="22"/>
          <w:szCs w:val="22"/>
          <w:lang w:eastAsia="en-GB"/>
          <w14:ligatures w14:val="none"/>
        </w:rPr>
        <w:t>proactive, inclusive, and integrated strategies</w:t>
      </w:r>
      <w:r w:rsidRPr="00EA3CD7">
        <w:rPr>
          <w:rFonts w:ascii="Arial" w:eastAsia="Times New Roman" w:hAnsi="Arial" w:cs="Arial"/>
          <w:kern w:val="0"/>
          <w:sz w:val="22"/>
          <w:szCs w:val="22"/>
          <w:lang w:eastAsia="en-GB"/>
          <w14:ligatures w14:val="none"/>
        </w:rPr>
        <w:t xml:space="preserve">. Healthcare organisations should embed mental health support into routine practice, ensure accessibility across all professional grades, </w:t>
      </w:r>
      <w:r w:rsidRPr="00EA3CD7">
        <w:rPr>
          <w:rFonts w:ascii="Arial" w:eastAsia="Times New Roman" w:hAnsi="Arial" w:cs="Arial"/>
          <w:kern w:val="0"/>
          <w:sz w:val="22"/>
          <w:szCs w:val="22"/>
          <w:lang w:eastAsia="en-GB"/>
          <w14:ligatures w14:val="none"/>
        </w:rPr>
        <w:lastRenderedPageBreak/>
        <w:t>normalise help-seeking behaviours through policy and education, and foster a culture in which psychological well-being is viewed as integral to workforce sustainability (Cabarkapa et al., 2020; Shechter et al., 2020). Importantly, institutional support must be continuous, not episodic, to protect HCWs during prolonged crises and to promote long-term resilience across the workforce.</w:t>
      </w:r>
    </w:p>
    <w:p w14:paraId="415EBED9" w14:textId="77777777" w:rsidR="007F1E91" w:rsidRPr="00EA3CD7" w:rsidRDefault="00000000" w:rsidP="00EA3CD7">
      <w:pPr>
        <w:spacing w:after="0"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pict w14:anchorId="2E20D21E">
          <v:rect id="_x0000_i1031" style="width:0;height:1.5pt" o:hralign="center" o:hrstd="t" o:hr="t" fillcolor="#a0a0a0" stroked="f"/>
        </w:pict>
      </w:r>
    </w:p>
    <w:p w14:paraId="6ACC5250" w14:textId="77777777" w:rsidR="007F1E91" w:rsidRPr="00EA3CD7" w:rsidRDefault="007F1E91"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4.5 Synthesis of Findings</w:t>
      </w:r>
    </w:p>
    <w:p w14:paraId="3B7EABD7" w14:textId="77777777" w:rsidR="007F1E91" w:rsidRPr="00EA3CD7" w:rsidRDefault="007F1E91"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The findings of this review indicate that the COVID-19 pandemic had a </w:t>
      </w:r>
      <w:r w:rsidRPr="00EA3CD7">
        <w:rPr>
          <w:rFonts w:ascii="Arial" w:eastAsia="Times New Roman" w:hAnsi="Arial" w:cs="Arial"/>
          <w:b/>
          <w:bCs/>
          <w:kern w:val="0"/>
          <w:sz w:val="22"/>
          <w:szCs w:val="22"/>
          <w:lang w:eastAsia="en-GB"/>
          <w14:ligatures w14:val="none"/>
        </w:rPr>
        <w:t>profound and multifaceted impact</w:t>
      </w:r>
      <w:r w:rsidRPr="00EA3CD7">
        <w:rPr>
          <w:rFonts w:ascii="Arial" w:eastAsia="Times New Roman" w:hAnsi="Arial" w:cs="Arial"/>
          <w:kern w:val="0"/>
          <w:sz w:val="22"/>
          <w:szCs w:val="22"/>
          <w:lang w:eastAsia="en-GB"/>
          <w14:ligatures w14:val="none"/>
        </w:rPr>
        <w:t xml:space="preserve"> on HCWs’ mental health, with anxiety, depression, burnout, and PTSD being the </w:t>
      </w:r>
      <w:proofErr w:type="gramStart"/>
      <w:r w:rsidRPr="00EA3CD7">
        <w:rPr>
          <w:rFonts w:ascii="Arial" w:eastAsia="Times New Roman" w:hAnsi="Arial" w:cs="Arial"/>
          <w:kern w:val="0"/>
          <w:sz w:val="22"/>
          <w:szCs w:val="22"/>
          <w:lang w:eastAsia="en-GB"/>
          <w14:ligatures w14:val="none"/>
        </w:rPr>
        <w:t>most commonly reported</w:t>
      </w:r>
      <w:proofErr w:type="gramEnd"/>
      <w:r w:rsidRPr="00EA3CD7">
        <w:rPr>
          <w:rFonts w:ascii="Arial" w:eastAsia="Times New Roman" w:hAnsi="Arial" w:cs="Arial"/>
          <w:kern w:val="0"/>
          <w:sz w:val="22"/>
          <w:szCs w:val="22"/>
          <w:lang w:eastAsia="en-GB"/>
          <w14:ligatures w14:val="none"/>
        </w:rPr>
        <w:t xml:space="preserve"> outcomes. The use of </w:t>
      </w:r>
      <w:r w:rsidRPr="00EA3CD7">
        <w:rPr>
          <w:rFonts w:ascii="Arial" w:eastAsia="Times New Roman" w:hAnsi="Arial" w:cs="Arial"/>
          <w:b/>
          <w:bCs/>
          <w:kern w:val="0"/>
          <w:sz w:val="22"/>
          <w:szCs w:val="22"/>
          <w:lang w:eastAsia="en-GB"/>
          <w14:ligatures w14:val="none"/>
        </w:rPr>
        <w:t>adaptive coping mechanisms</w:t>
      </w:r>
      <w:r w:rsidRPr="00EA3CD7">
        <w:rPr>
          <w:rFonts w:ascii="Arial" w:eastAsia="Times New Roman" w:hAnsi="Arial" w:cs="Arial"/>
          <w:kern w:val="0"/>
          <w:sz w:val="22"/>
          <w:szCs w:val="22"/>
          <w:lang w:eastAsia="en-GB"/>
          <w14:ligatures w14:val="none"/>
        </w:rPr>
        <w:t xml:space="preserve">, such as social support, mindfulness, and professional counselling, enabled many staff to maintain resilience. However, the </w:t>
      </w:r>
      <w:r w:rsidRPr="00EA3CD7">
        <w:rPr>
          <w:rFonts w:ascii="Arial" w:eastAsia="Times New Roman" w:hAnsi="Arial" w:cs="Arial"/>
          <w:b/>
          <w:bCs/>
          <w:kern w:val="0"/>
          <w:sz w:val="22"/>
          <w:szCs w:val="22"/>
          <w:lang w:eastAsia="en-GB"/>
          <w14:ligatures w14:val="none"/>
        </w:rPr>
        <w:t>sustainability of these coping strategies</w:t>
      </w:r>
      <w:r w:rsidRPr="00EA3CD7">
        <w:rPr>
          <w:rFonts w:ascii="Arial" w:eastAsia="Times New Roman" w:hAnsi="Arial" w:cs="Arial"/>
          <w:kern w:val="0"/>
          <w:sz w:val="22"/>
          <w:szCs w:val="22"/>
          <w:lang w:eastAsia="en-GB"/>
          <w14:ligatures w14:val="none"/>
        </w:rPr>
        <w:t xml:space="preserve"> was closely linked to the presence of institutional support.</w:t>
      </w:r>
    </w:p>
    <w:p w14:paraId="05933CC9" w14:textId="77777777" w:rsidR="007F1E91" w:rsidRPr="00EA3CD7" w:rsidRDefault="007F1E91"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Strong organisational frameworks—including well-communicated policies, psychological services, and workload management—facilitated resilience and reduced the reliance on maladaptive coping behaviours. Conversely, inadequate support, resource shortages, or poorly communicated initiatives heightened vulnerability to emotional withdrawal, denial, and substance misuse.</w:t>
      </w:r>
    </w:p>
    <w:p w14:paraId="7C8FB126" w14:textId="77777777" w:rsidR="007F1E91" w:rsidRPr="00EA3CD7" w:rsidRDefault="007F1E91"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The </w:t>
      </w:r>
      <w:r w:rsidRPr="00EA3CD7">
        <w:rPr>
          <w:rFonts w:ascii="Arial" w:eastAsia="Times New Roman" w:hAnsi="Arial" w:cs="Arial"/>
          <w:b/>
          <w:bCs/>
          <w:kern w:val="0"/>
          <w:sz w:val="22"/>
          <w:szCs w:val="22"/>
          <w:lang w:eastAsia="en-GB"/>
          <w14:ligatures w14:val="none"/>
        </w:rPr>
        <w:t>theoretical frameworks</w:t>
      </w:r>
      <w:r w:rsidRPr="00EA3CD7">
        <w:rPr>
          <w:rFonts w:ascii="Arial" w:eastAsia="Times New Roman" w:hAnsi="Arial" w:cs="Arial"/>
          <w:kern w:val="0"/>
          <w:sz w:val="22"/>
          <w:szCs w:val="22"/>
          <w:lang w:eastAsia="en-GB"/>
          <w14:ligatures w14:val="none"/>
        </w:rPr>
        <w:t xml:space="preserve"> applied provide explanatory insight into these patterns. </w:t>
      </w:r>
      <w:r w:rsidRPr="00EA3CD7">
        <w:rPr>
          <w:rFonts w:ascii="Arial" w:eastAsia="Times New Roman" w:hAnsi="Arial" w:cs="Arial"/>
          <w:b/>
          <w:bCs/>
          <w:kern w:val="0"/>
          <w:sz w:val="22"/>
          <w:szCs w:val="22"/>
          <w:lang w:eastAsia="en-GB"/>
          <w14:ligatures w14:val="none"/>
        </w:rPr>
        <w:t>Stress and Coping Theory</w:t>
      </w:r>
      <w:r w:rsidRPr="00EA3CD7">
        <w:rPr>
          <w:rFonts w:ascii="Arial" w:eastAsia="Times New Roman" w:hAnsi="Arial" w:cs="Arial"/>
          <w:kern w:val="0"/>
          <w:sz w:val="22"/>
          <w:szCs w:val="22"/>
          <w:lang w:eastAsia="en-GB"/>
          <w14:ligatures w14:val="none"/>
        </w:rPr>
        <w:t xml:space="preserve"> (Lazarus and Folkman, 1984) elucidates the variability in individual responses to occupational stress. </w:t>
      </w:r>
      <w:r w:rsidRPr="00EA3CD7">
        <w:rPr>
          <w:rFonts w:ascii="Arial" w:eastAsia="Times New Roman" w:hAnsi="Arial" w:cs="Arial"/>
          <w:b/>
          <w:bCs/>
          <w:kern w:val="0"/>
          <w:sz w:val="22"/>
          <w:szCs w:val="22"/>
          <w:lang w:eastAsia="en-GB"/>
          <w14:ligatures w14:val="none"/>
        </w:rPr>
        <w:t>Conservation of Resources Theory</w:t>
      </w:r>
      <w:r w:rsidRPr="00EA3CD7">
        <w:rPr>
          <w:rFonts w:ascii="Arial" w:eastAsia="Times New Roman" w:hAnsi="Arial" w:cs="Arial"/>
          <w:kern w:val="0"/>
          <w:sz w:val="22"/>
          <w:szCs w:val="22"/>
          <w:lang w:eastAsia="en-GB"/>
          <w14:ligatures w14:val="none"/>
        </w:rPr>
        <w:t xml:space="preserve"> (</w:t>
      </w:r>
      <w:proofErr w:type="spellStart"/>
      <w:r w:rsidRPr="00EA3CD7">
        <w:rPr>
          <w:rFonts w:ascii="Arial" w:eastAsia="Times New Roman" w:hAnsi="Arial" w:cs="Arial"/>
          <w:kern w:val="0"/>
          <w:sz w:val="22"/>
          <w:szCs w:val="22"/>
          <w:lang w:eastAsia="en-GB"/>
          <w14:ligatures w14:val="none"/>
        </w:rPr>
        <w:t>Hobfoll</w:t>
      </w:r>
      <w:proofErr w:type="spellEnd"/>
      <w:r w:rsidRPr="00EA3CD7">
        <w:rPr>
          <w:rFonts w:ascii="Arial" w:eastAsia="Times New Roman" w:hAnsi="Arial" w:cs="Arial"/>
          <w:kern w:val="0"/>
          <w:sz w:val="22"/>
          <w:szCs w:val="22"/>
          <w:lang w:eastAsia="en-GB"/>
          <w14:ligatures w14:val="none"/>
        </w:rPr>
        <w:t xml:space="preserve">, 1989) explains how cumulative resource depletion undermines adaptive coping, while </w:t>
      </w:r>
      <w:r w:rsidRPr="00EA3CD7">
        <w:rPr>
          <w:rFonts w:ascii="Arial" w:eastAsia="Times New Roman" w:hAnsi="Arial" w:cs="Arial"/>
          <w:b/>
          <w:bCs/>
          <w:kern w:val="0"/>
          <w:sz w:val="22"/>
          <w:szCs w:val="22"/>
          <w:lang w:eastAsia="en-GB"/>
          <w14:ligatures w14:val="none"/>
        </w:rPr>
        <w:t>Burnout Theory</w:t>
      </w:r>
      <w:r w:rsidRPr="00EA3CD7">
        <w:rPr>
          <w:rFonts w:ascii="Arial" w:eastAsia="Times New Roman" w:hAnsi="Arial" w:cs="Arial"/>
          <w:kern w:val="0"/>
          <w:sz w:val="22"/>
          <w:szCs w:val="22"/>
          <w:lang w:eastAsia="en-GB"/>
          <w14:ligatures w14:val="none"/>
        </w:rPr>
        <w:t xml:space="preserve"> (Maslach and Jackson, 1981) highlights the deleterious effects of prolonged exposure to high-pressure environments. Together, these frameworks demonstrate the interplay between individual, organisational, and systemic factors in shaping mental health outcomes.</w:t>
      </w:r>
    </w:p>
    <w:p w14:paraId="2F8BFF9C" w14:textId="77777777" w:rsidR="007F1E91" w:rsidRPr="00EA3CD7" w:rsidRDefault="00000000" w:rsidP="00EA3CD7">
      <w:pPr>
        <w:spacing w:after="0"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pict w14:anchorId="3C29A74F">
          <v:rect id="_x0000_i1032" style="width:0;height:1.5pt" o:hralign="center" o:hrstd="t" o:hr="t" fillcolor="#a0a0a0" stroked="f"/>
        </w:pict>
      </w:r>
    </w:p>
    <w:p w14:paraId="28D9C071" w14:textId="77777777" w:rsidR="007F1E91" w:rsidRPr="00EA3CD7" w:rsidRDefault="007F1E91"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4.6 Limitations of the Findings</w:t>
      </w:r>
    </w:p>
    <w:p w14:paraId="44B86E71" w14:textId="77777777" w:rsidR="007F1E91" w:rsidRPr="00EA3CD7" w:rsidRDefault="007F1E91"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Several limitations must be acknowledged. Firstly, the reliance on </w:t>
      </w:r>
      <w:r w:rsidRPr="00EA3CD7">
        <w:rPr>
          <w:rFonts w:ascii="Arial" w:eastAsia="Times New Roman" w:hAnsi="Arial" w:cs="Arial"/>
          <w:b/>
          <w:bCs/>
          <w:kern w:val="0"/>
          <w:sz w:val="22"/>
          <w:szCs w:val="22"/>
          <w:lang w:eastAsia="en-GB"/>
          <w14:ligatures w14:val="none"/>
        </w:rPr>
        <w:t>secondary data</w:t>
      </w:r>
      <w:r w:rsidRPr="00EA3CD7">
        <w:rPr>
          <w:rFonts w:ascii="Arial" w:eastAsia="Times New Roman" w:hAnsi="Arial" w:cs="Arial"/>
          <w:kern w:val="0"/>
          <w:sz w:val="22"/>
          <w:szCs w:val="22"/>
          <w:lang w:eastAsia="en-GB"/>
          <w14:ligatures w14:val="none"/>
        </w:rPr>
        <w:t xml:space="preserve"> restricts the ability to draw causal inferences, as much of the literature reviewed employed </w:t>
      </w:r>
      <w:r w:rsidRPr="00EA3CD7">
        <w:rPr>
          <w:rFonts w:ascii="Arial" w:eastAsia="Times New Roman" w:hAnsi="Arial" w:cs="Arial"/>
          <w:b/>
          <w:bCs/>
          <w:kern w:val="0"/>
          <w:sz w:val="22"/>
          <w:szCs w:val="22"/>
          <w:lang w:eastAsia="en-GB"/>
          <w14:ligatures w14:val="none"/>
        </w:rPr>
        <w:t>cross-</w:t>
      </w:r>
      <w:r w:rsidRPr="00EA3CD7">
        <w:rPr>
          <w:rFonts w:ascii="Arial" w:eastAsia="Times New Roman" w:hAnsi="Arial" w:cs="Arial"/>
          <w:b/>
          <w:bCs/>
          <w:kern w:val="0"/>
          <w:sz w:val="22"/>
          <w:szCs w:val="22"/>
          <w:lang w:eastAsia="en-GB"/>
          <w14:ligatures w14:val="none"/>
        </w:rPr>
        <w:lastRenderedPageBreak/>
        <w:t>sectional designs</w:t>
      </w:r>
      <w:r w:rsidRPr="00EA3CD7">
        <w:rPr>
          <w:rFonts w:ascii="Arial" w:eastAsia="Times New Roman" w:hAnsi="Arial" w:cs="Arial"/>
          <w:kern w:val="0"/>
          <w:sz w:val="22"/>
          <w:szCs w:val="22"/>
          <w:lang w:eastAsia="en-GB"/>
          <w14:ligatures w14:val="none"/>
        </w:rPr>
        <w:t>. Such studies provide only a snapshot of psychological states at a single point in time, limiting understanding of temporal changes or long-term effects.</w:t>
      </w:r>
    </w:p>
    <w:p w14:paraId="7271B226" w14:textId="77777777" w:rsidR="007F1E91" w:rsidRPr="00EA3CD7" w:rsidRDefault="007F1E91"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Secondly, the </w:t>
      </w:r>
      <w:r w:rsidRPr="00EA3CD7">
        <w:rPr>
          <w:rFonts w:ascii="Arial" w:eastAsia="Times New Roman" w:hAnsi="Arial" w:cs="Arial"/>
          <w:b/>
          <w:bCs/>
          <w:kern w:val="0"/>
          <w:sz w:val="22"/>
          <w:szCs w:val="22"/>
          <w:lang w:eastAsia="en-GB"/>
          <w14:ligatures w14:val="none"/>
        </w:rPr>
        <w:t>geographical distribution of studies</w:t>
      </w:r>
      <w:r w:rsidRPr="00EA3CD7">
        <w:rPr>
          <w:rFonts w:ascii="Arial" w:eastAsia="Times New Roman" w:hAnsi="Arial" w:cs="Arial"/>
          <w:kern w:val="0"/>
          <w:sz w:val="22"/>
          <w:szCs w:val="22"/>
          <w:lang w:eastAsia="en-GB"/>
          <w14:ligatures w14:val="none"/>
        </w:rPr>
        <w:t xml:space="preserve"> presents a limitation. </w:t>
      </w:r>
      <w:proofErr w:type="gramStart"/>
      <w:r w:rsidRPr="00EA3CD7">
        <w:rPr>
          <w:rFonts w:ascii="Arial" w:eastAsia="Times New Roman" w:hAnsi="Arial" w:cs="Arial"/>
          <w:kern w:val="0"/>
          <w:sz w:val="22"/>
          <w:szCs w:val="22"/>
          <w:lang w:eastAsia="en-GB"/>
          <w14:ligatures w14:val="none"/>
        </w:rPr>
        <w:t>The majority of</w:t>
      </w:r>
      <w:proofErr w:type="gramEnd"/>
      <w:r w:rsidRPr="00EA3CD7">
        <w:rPr>
          <w:rFonts w:ascii="Arial" w:eastAsia="Times New Roman" w:hAnsi="Arial" w:cs="Arial"/>
          <w:kern w:val="0"/>
          <w:sz w:val="22"/>
          <w:szCs w:val="22"/>
          <w:lang w:eastAsia="en-GB"/>
          <w14:ligatures w14:val="none"/>
        </w:rPr>
        <w:t xml:space="preserve"> research was conducted in </w:t>
      </w:r>
      <w:r w:rsidRPr="00EA3CD7">
        <w:rPr>
          <w:rFonts w:ascii="Arial" w:eastAsia="Times New Roman" w:hAnsi="Arial" w:cs="Arial"/>
          <w:b/>
          <w:bCs/>
          <w:kern w:val="0"/>
          <w:sz w:val="22"/>
          <w:szCs w:val="22"/>
          <w:lang w:eastAsia="en-GB"/>
          <w14:ligatures w14:val="none"/>
        </w:rPr>
        <w:t>high-income countries</w:t>
      </w:r>
      <w:r w:rsidRPr="00EA3CD7">
        <w:rPr>
          <w:rFonts w:ascii="Arial" w:eastAsia="Times New Roman" w:hAnsi="Arial" w:cs="Arial"/>
          <w:kern w:val="0"/>
          <w:sz w:val="22"/>
          <w:szCs w:val="22"/>
          <w:lang w:eastAsia="en-GB"/>
          <w14:ligatures w14:val="none"/>
        </w:rPr>
        <w:t xml:space="preserve">, particularly China, Italy, and the United States, which may limit the generalisability of findings to </w:t>
      </w:r>
      <w:r w:rsidRPr="00EA3CD7">
        <w:rPr>
          <w:rFonts w:ascii="Arial" w:eastAsia="Times New Roman" w:hAnsi="Arial" w:cs="Arial"/>
          <w:b/>
          <w:bCs/>
          <w:kern w:val="0"/>
          <w:sz w:val="22"/>
          <w:szCs w:val="22"/>
          <w:lang w:eastAsia="en-GB"/>
          <w14:ligatures w14:val="none"/>
        </w:rPr>
        <w:t>under-resourced or low- and middle-income settings</w:t>
      </w:r>
      <w:r w:rsidRPr="00EA3CD7">
        <w:rPr>
          <w:rFonts w:ascii="Arial" w:eastAsia="Times New Roman" w:hAnsi="Arial" w:cs="Arial"/>
          <w:kern w:val="0"/>
          <w:sz w:val="22"/>
          <w:szCs w:val="22"/>
          <w:lang w:eastAsia="en-GB"/>
          <w14:ligatures w14:val="none"/>
        </w:rPr>
        <w:t xml:space="preserve"> where healthcare systems, staffing levels, and cultural factors differ substantially (Cabarkapa et al., 2020; Spoorthy et al., 2020).</w:t>
      </w:r>
    </w:p>
    <w:p w14:paraId="0ECC587D" w14:textId="77777777" w:rsidR="007F1E91" w:rsidRPr="00EA3CD7" w:rsidRDefault="007F1E91"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Thirdly, </w:t>
      </w:r>
      <w:r w:rsidRPr="00EA3CD7">
        <w:rPr>
          <w:rFonts w:ascii="Arial" w:eastAsia="Times New Roman" w:hAnsi="Arial" w:cs="Arial"/>
          <w:b/>
          <w:bCs/>
          <w:kern w:val="0"/>
          <w:sz w:val="22"/>
          <w:szCs w:val="22"/>
          <w:lang w:eastAsia="en-GB"/>
          <w14:ligatures w14:val="none"/>
        </w:rPr>
        <w:t>self-report measures</w:t>
      </w:r>
      <w:r w:rsidRPr="00EA3CD7">
        <w:rPr>
          <w:rFonts w:ascii="Arial" w:eastAsia="Times New Roman" w:hAnsi="Arial" w:cs="Arial"/>
          <w:kern w:val="0"/>
          <w:sz w:val="22"/>
          <w:szCs w:val="22"/>
          <w:lang w:eastAsia="en-GB"/>
          <w14:ligatures w14:val="none"/>
        </w:rPr>
        <w:t xml:space="preserve"> were widely used to assess mental health outcomes and coping strategies, introducing potential </w:t>
      </w:r>
      <w:r w:rsidRPr="00EA3CD7">
        <w:rPr>
          <w:rFonts w:ascii="Arial" w:eastAsia="Times New Roman" w:hAnsi="Arial" w:cs="Arial"/>
          <w:b/>
          <w:bCs/>
          <w:kern w:val="0"/>
          <w:sz w:val="22"/>
          <w:szCs w:val="22"/>
          <w:lang w:eastAsia="en-GB"/>
          <w14:ligatures w14:val="none"/>
        </w:rPr>
        <w:t>response bias</w:t>
      </w:r>
      <w:r w:rsidRPr="00EA3CD7">
        <w:rPr>
          <w:rFonts w:ascii="Arial" w:eastAsia="Times New Roman" w:hAnsi="Arial" w:cs="Arial"/>
          <w:kern w:val="0"/>
          <w:sz w:val="22"/>
          <w:szCs w:val="22"/>
          <w:lang w:eastAsia="en-GB"/>
          <w14:ligatures w14:val="none"/>
        </w:rPr>
        <w:t xml:space="preserve">. Participants may have underreported symptoms due to </w:t>
      </w:r>
      <w:r w:rsidRPr="00EA3CD7">
        <w:rPr>
          <w:rFonts w:ascii="Arial" w:eastAsia="Times New Roman" w:hAnsi="Arial" w:cs="Arial"/>
          <w:b/>
          <w:bCs/>
          <w:kern w:val="0"/>
          <w:sz w:val="22"/>
          <w:szCs w:val="22"/>
          <w:lang w:eastAsia="en-GB"/>
          <w14:ligatures w14:val="none"/>
        </w:rPr>
        <w:t>stigma</w:t>
      </w:r>
      <w:r w:rsidRPr="00EA3CD7">
        <w:rPr>
          <w:rFonts w:ascii="Arial" w:eastAsia="Times New Roman" w:hAnsi="Arial" w:cs="Arial"/>
          <w:kern w:val="0"/>
          <w:sz w:val="22"/>
          <w:szCs w:val="22"/>
          <w:lang w:eastAsia="en-GB"/>
          <w14:ligatures w14:val="none"/>
        </w:rPr>
        <w:t xml:space="preserve">, fear of professional repercussions, or social desirability, which could result in an </w:t>
      </w:r>
      <w:r w:rsidRPr="00EA3CD7">
        <w:rPr>
          <w:rFonts w:ascii="Arial" w:eastAsia="Times New Roman" w:hAnsi="Arial" w:cs="Arial"/>
          <w:b/>
          <w:bCs/>
          <w:kern w:val="0"/>
          <w:sz w:val="22"/>
          <w:szCs w:val="22"/>
          <w:lang w:eastAsia="en-GB"/>
          <w14:ligatures w14:val="none"/>
        </w:rPr>
        <w:t>underestimation of psychological distress</w:t>
      </w:r>
      <w:r w:rsidRPr="00EA3CD7">
        <w:rPr>
          <w:rFonts w:ascii="Arial" w:eastAsia="Times New Roman" w:hAnsi="Arial" w:cs="Arial"/>
          <w:kern w:val="0"/>
          <w:sz w:val="22"/>
          <w:szCs w:val="22"/>
          <w:lang w:eastAsia="en-GB"/>
          <w14:ligatures w14:val="none"/>
        </w:rPr>
        <w:t xml:space="preserve"> (Buchanan et al., 2020; Greenberg et al., 2020).</w:t>
      </w:r>
    </w:p>
    <w:p w14:paraId="506B707A" w14:textId="4D76D38F" w:rsidR="007F1E91" w:rsidRPr="00EA3CD7" w:rsidRDefault="007F1E91"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Finally, there is </w:t>
      </w:r>
      <w:r w:rsidRPr="00EA3CD7">
        <w:rPr>
          <w:rFonts w:ascii="Arial" w:eastAsia="Times New Roman" w:hAnsi="Arial" w:cs="Arial"/>
          <w:b/>
          <w:bCs/>
          <w:kern w:val="0"/>
          <w:sz w:val="22"/>
          <w:szCs w:val="22"/>
          <w:lang w:eastAsia="en-GB"/>
          <w14:ligatures w14:val="none"/>
        </w:rPr>
        <w:t>heterogeneity in the measurement of outcomes</w:t>
      </w:r>
      <w:r w:rsidRPr="00EA3CD7">
        <w:rPr>
          <w:rFonts w:ascii="Arial" w:eastAsia="Times New Roman" w:hAnsi="Arial" w:cs="Arial"/>
          <w:kern w:val="0"/>
          <w:sz w:val="22"/>
          <w:szCs w:val="22"/>
          <w:lang w:eastAsia="en-GB"/>
          <w14:ligatures w14:val="none"/>
        </w:rPr>
        <w:t xml:space="preserve">, including differences in scales used to assess anxiety, depression, burnout, and PTSD, which may limit the comparability of results across studies. Future research should prioritise </w:t>
      </w:r>
      <w:r w:rsidR="000577EF" w:rsidRPr="00EA3CD7">
        <w:rPr>
          <w:rFonts w:ascii="Arial" w:eastAsia="Times New Roman" w:hAnsi="Arial" w:cs="Arial"/>
          <w:kern w:val="0"/>
          <w:sz w:val="22"/>
          <w:szCs w:val="22"/>
          <w:lang w:eastAsia="en-GB"/>
          <w14:ligatures w14:val="none"/>
        </w:rPr>
        <w:t xml:space="preserve">the use of </w:t>
      </w:r>
      <w:r w:rsidRPr="00EA3CD7">
        <w:rPr>
          <w:rFonts w:ascii="Arial" w:eastAsia="Times New Roman" w:hAnsi="Arial" w:cs="Arial"/>
          <w:kern w:val="0"/>
          <w:sz w:val="22"/>
          <w:szCs w:val="22"/>
          <w:lang w:eastAsia="en-GB"/>
          <w14:ligatures w14:val="none"/>
        </w:rPr>
        <w:t>standardised, validated instruments and longitudinal designs to provide a more robust understanding of HCWs’ mental health trajectories.</w:t>
      </w:r>
    </w:p>
    <w:p w14:paraId="44C6D395" w14:textId="77777777" w:rsidR="007F1E91" w:rsidRPr="00EA3CD7" w:rsidRDefault="007F1E91"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Despite these limitations, the findings collectively underscore the </w:t>
      </w:r>
      <w:r w:rsidRPr="00EA3CD7">
        <w:rPr>
          <w:rFonts w:ascii="Arial" w:eastAsia="Times New Roman" w:hAnsi="Arial" w:cs="Arial"/>
          <w:b/>
          <w:bCs/>
          <w:kern w:val="0"/>
          <w:sz w:val="22"/>
          <w:szCs w:val="22"/>
          <w:lang w:eastAsia="en-GB"/>
          <w14:ligatures w14:val="none"/>
        </w:rPr>
        <w:t>critical importance of both individual and institutional interventions</w:t>
      </w:r>
      <w:r w:rsidRPr="00EA3CD7">
        <w:rPr>
          <w:rFonts w:ascii="Arial" w:eastAsia="Times New Roman" w:hAnsi="Arial" w:cs="Arial"/>
          <w:kern w:val="0"/>
          <w:sz w:val="22"/>
          <w:szCs w:val="22"/>
          <w:lang w:eastAsia="en-GB"/>
          <w14:ligatures w14:val="none"/>
        </w:rPr>
        <w:t xml:space="preserve"> in supporting healthcare workers’ psychological well-being during pandemics. They provide a strong foundation for evidence-based recommendations and policy development aimed at safeguarding the mental health of frontline staff.</w:t>
      </w:r>
    </w:p>
    <w:p w14:paraId="34B908BD" w14:textId="77777777" w:rsidR="007F1E91" w:rsidRPr="00EA3CD7" w:rsidRDefault="007F1E91" w:rsidP="00EA3CD7">
      <w:pPr>
        <w:spacing w:before="100" w:beforeAutospacing="1" w:after="100" w:afterAutospacing="1" w:line="360" w:lineRule="auto"/>
        <w:rPr>
          <w:rFonts w:ascii="Arial" w:eastAsia="Times New Roman" w:hAnsi="Arial" w:cs="Arial"/>
          <w:kern w:val="0"/>
          <w:sz w:val="22"/>
          <w:szCs w:val="22"/>
          <w:lang w:eastAsia="en-GB"/>
          <w14:ligatures w14:val="none"/>
        </w:rPr>
      </w:pPr>
    </w:p>
    <w:p w14:paraId="4E1D6864" w14:textId="78116FC1" w:rsidR="002865F0" w:rsidRPr="00EA3CD7" w:rsidRDefault="002865F0" w:rsidP="00EA3CD7">
      <w:pPr>
        <w:tabs>
          <w:tab w:val="left" w:pos="284"/>
          <w:tab w:val="left" w:pos="567"/>
          <w:tab w:val="left" w:pos="993"/>
        </w:tabs>
        <w:spacing w:before="100" w:beforeAutospacing="1" w:after="100" w:afterAutospacing="1" w:line="360" w:lineRule="auto"/>
        <w:ind w:left="850"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w:t>
      </w:r>
    </w:p>
    <w:p w14:paraId="593AA330" w14:textId="77777777" w:rsidR="002865F0" w:rsidRPr="00EA3CD7" w:rsidRDefault="00000000" w:rsidP="00EA3CD7">
      <w:pPr>
        <w:tabs>
          <w:tab w:val="left" w:pos="284"/>
          <w:tab w:val="left" w:pos="567"/>
          <w:tab w:val="left" w:pos="993"/>
        </w:tabs>
        <w:spacing w:before="100" w:beforeAutospacing="1" w:after="100" w:afterAutospacing="1" w:line="360" w:lineRule="auto"/>
        <w:ind w:left="850"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pict w14:anchorId="6D657819">
          <v:rect id="_x0000_i1033" style="width:0;height:1.5pt" o:hralign="center" o:hrstd="t" o:hr="t" fillcolor="#a0a0a0" stroked="f"/>
        </w:pict>
      </w:r>
    </w:p>
    <w:p w14:paraId="097E8CA7" w14:textId="77777777" w:rsidR="002865F0" w:rsidRPr="00EA3CD7" w:rsidRDefault="00000000" w:rsidP="00EA3CD7">
      <w:pPr>
        <w:tabs>
          <w:tab w:val="left" w:pos="284"/>
          <w:tab w:val="left" w:pos="567"/>
          <w:tab w:val="left" w:pos="993"/>
        </w:tabs>
        <w:spacing w:before="100" w:beforeAutospacing="1" w:after="100" w:afterAutospacing="1" w:line="360" w:lineRule="auto"/>
        <w:ind w:left="850"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pict w14:anchorId="70FD532B">
          <v:rect id="_x0000_i1034" style="width:0;height:1.5pt" o:hralign="center" o:hrstd="t" o:hr="t" fillcolor="#a0a0a0" stroked="f"/>
        </w:pict>
      </w:r>
    </w:p>
    <w:p w14:paraId="0907E11C" w14:textId="77777777" w:rsidR="00E3462C" w:rsidRPr="00EA3CD7" w:rsidRDefault="00E3462C"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4.7 Implications for Practice and Policy</w:t>
      </w:r>
    </w:p>
    <w:p w14:paraId="0E53B575" w14:textId="77777777" w:rsidR="00E3462C" w:rsidRPr="00EA3CD7" w:rsidRDefault="00E3462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lastRenderedPageBreak/>
        <w:t xml:space="preserve">The findings of this review hold several important implications for both healthcare practice and policy. Addressing the mental health challenges of healthcare workers (HCWs) requires a </w:t>
      </w:r>
      <w:r w:rsidRPr="00EA3CD7">
        <w:rPr>
          <w:rFonts w:ascii="Arial" w:eastAsia="Times New Roman" w:hAnsi="Arial" w:cs="Arial"/>
          <w:b/>
          <w:bCs/>
          <w:kern w:val="0"/>
          <w:sz w:val="22"/>
          <w:szCs w:val="22"/>
          <w:lang w:eastAsia="en-GB"/>
          <w14:ligatures w14:val="none"/>
        </w:rPr>
        <w:t>multi-level approach</w:t>
      </w:r>
      <w:r w:rsidRPr="00EA3CD7">
        <w:rPr>
          <w:rFonts w:ascii="Arial" w:eastAsia="Times New Roman" w:hAnsi="Arial" w:cs="Arial"/>
          <w:kern w:val="0"/>
          <w:sz w:val="22"/>
          <w:szCs w:val="22"/>
          <w:lang w:eastAsia="en-GB"/>
          <w14:ligatures w14:val="none"/>
        </w:rPr>
        <w:t xml:space="preserve"> that combines individual, institutional, and systemic interventions.</w:t>
      </w:r>
    </w:p>
    <w:p w14:paraId="3C650B84" w14:textId="77777777" w:rsidR="00E3462C" w:rsidRPr="00EA3CD7" w:rsidRDefault="00E3462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1. Integration of proactive mental health interventions</w:t>
      </w:r>
      <w:r w:rsidRPr="00EA3CD7">
        <w:rPr>
          <w:rFonts w:ascii="Arial" w:eastAsia="Times New Roman" w:hAnsi="Arial" w:cs="Arial"/>
          <w:kern w:val="0"/>
          <w:sz w:val="22"/>
          <w:szCs w:val="22"/>
          <w:lang w:eastAsia="en-GB"/>
          <w14:ligatures w14:val="none"/>
        </w:rPr>
        <w:br/>
        <w:t xml:space="preserve">Mental health support should be </w:t>
      </w:r>
      <w:r w:rsidRPr="00EA3CD7">
        <w:rPr>
          <w:rFonts w:ascii="Arial" w:eastAsia="Times New Roman" w:hAnsi="Arial" w:cs="Arial"/>
          <w:b/>
          <w:bCs/>
          <w:kern w:val="0"/>
          <w:sz w:val="22"/>
          <w:szCs w:val="22"/>
          <w:lang w:eastAsia="en-GB"/>
          <w14:ligatures w14:val="none"/>
        </w:rPr>
        <w:t>embedded into the fabric of healthcare delivery</w:t>
      </w:r>
      <w:r w:rsidRPr="00EA3CD7">
        <w:rPr>
          <w:rFonts w:ascii="Arial" w:eastAsia="Times New Roman" w:hAnsi="Arial" w:cs="Arial"/>
          <w:kern w:val="0"/>
          <w:sz w:val="22"/>
          <w:szCs w:val="22"/>
          <w:lang w:eastAsia="en-GB"/>
          <w14:ligatures w14:val="none"/>
        </w:rPr>
        <w:t xml:space="preserve"> rather than introduced reactively during crises. Routine psychological screening can help identify staff at risk of anxiety, depression, or burnout at an early stage, enabling timely intervention (Greenberg et al., 2020). In addition, </w:t>
      </w:r>
      <w:r w:rsidRPr="00EA3CD7">
        <w:rPr>
          <w:rFonts w:ascii="Arial" w:eastAsia="Times New Roman" w:hAnsi="Arial" w:cs="Arial"/>
          <w:b/>
          <w:bCs/>
          <w:kern w:val="0"/>
          <w:sz w:val="22"/>
          <w:szCs w:val="22"/>
          <w:lang w:eastAsia="en-GB"/>
          <w14:ligatures w14:val="none"/>
        </w:rPr>
        <w:t>peer support networks</w:t>
      </w:r>
      <w:r w:rsidRPr="00EA3CD7">
        <w:rPr>
          <w:rFonts w:ascii="Arial" w:eastAsia="Times New Roman" w:hAnsi="Arial" w:cs="Arial"/>
          <w:kern w:val="0"/>
          <w:sz w:val="22"/>
          <w:szCs w:val="22"/>
          <w:lang w:eastAsia="en-GB"/>
          <w14:ligatures w14:val="none"/>
        </w:rPr>
        <w:t xml:space="preserve"> and confidential counselling services should be made accessible within all healthcare organisations. Studies show that interventions such as resilience workshops, structured debriefings, and accessible helplines can significantly improve well-being and job retention (West et al., 2018; Shanafelt et al., 2020).</w:t>
      </w:r>
    </w:p>
    <w:p w14:paraId="0B77A1C5" w14:textId="77777777" w:rsidR="00E3462C" w:rsidRPr="00EA3CD7" w:rsidRDefault="00E3462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2. Addressing stigma</w:t>
      </w:r>
      <w:r w:rsidRPr="00EA3CD7">
        <w:rPr>
          <w:rFonts w:ascii="Arial" w:eastAsia="Times New Roman" w:hAnsi="Arial" w:cs="Arial"/>
          <w:kern w:val="0"/>
          <w:sz w:val="22"/>
          <w:szCs w:val="22"/>
          <w:lang w:eastAsia="en-GB"/>
          <w14:ligatures w14:val="none"/>
        </w:rPr>
        <w:br/>
        <w:t xml:space="preserve">A cultural shift is required to </w:t>
      </w:r>
      <w:r w:rsidRPr="00EA3CD7">
        <w:rPr>
          <w:rFonts w:ascii="Arial" w:eastAsia="Times New Roman" w:hAnsi="Arial" w:cs="Arial"/>
          <w:b/>
          <w:bCs/>
          <w:kern w:val="0"/>
          <w:sz w:val="22"/>
          <w:szCs w:val="22"/>
          <w:lang w:eastAsia="en-GB"/>
          <w14:ligatures w14:val="none"/>
        </w:rPr>
        <w:t>normalise help-seeking behaviours</w:t>
      </w:r>
      <w:r w:rsidRPr="00EA3CD7">
        <w:rPr>
          <w:rFonts w:ascii="Arial" w:eastAsia="Times New Roman" w:hAnsi="Arial" w:cs="Arial"/>
          <w:kern w:val="0"/>
          <w:sz w:val="22"/>
          <w:szCs w:val="22"/>
          <w:lang w:eastAsia="en-GB"/>
          <w14:ligatures w14:val="none"/>
        </w:rPr>
        <w:t xml:space="preserve"> within healthcare institutions. Persistent stigma continues to discourage HCWs from disclosing mental health difficulties or engaging with available services (Buchanan et al., 2020). To counter this, leadership must actively promote a culture of openness and psychological safety. Strategies may include leadership training, visible endorsement of mental health initiatives by senior staff, and the integration of mental health education into professional development (West et al., 2018). Reducing stigma not only supports individual well-being but also strengthens workforce cohesion and retention.</w:t>
      </w:r>
    </w:p>
    <w:p w14:paraId="0785BBBE" w14:textId="77777777" w:rsidR="00E3462C" w:rsidRPr="00EA3CD7" w:rsidRDefault="00E3462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3. Systemic workforce reform</w:t>
      </w:r>
      <w:r w:rsidRPr="00EA3CD7">
        <w:rPr>
          <w:rFonts w:ascii="Arial" w:eastAsia="Times New Roman" w:hAnsi="Arial" w:cs="Arial"/>
          <w:kern w:val="0"/>
          <w:sz w:val="22"/>
          <w:szCs w:val="22"/>
          <w:lang w:eastAsia="en-GB"/>
          <w14:ligatures w14:val="none"/>
        </w:rPr>
        <w:br/>
        <w:t xml:space="preserve">Mental health outcomes are closely linked to organisational factors such as </w:t>
      </w:r>
      <w:r w:rsidRPr="00EA3CD7">
        <w:rPr>
          <w:rFonts w:ascii="Arial" w:eastAsia="Times New Roman" w:hAnsi="Arial" w:cs="Arial"/>
          <w:b/>
          <w:bCs/>
          <w:kern w:val="0"/>
          <w:sz w:val="22"/>
          <w:szCs w:val="22"/>
          <w:lang w:eastAsia="en-GB"/>
          <w14:ligatures w14:val="none"/>
        </w:rPr>
        <w:t>workload, staffing levels, and work–life balance</w:t>
      </w:r>
      <w:r w:rsidRPr="00EA3CD7">
        <w:rPr>
          <w:rFonts w:ascii="Arial" w:eastAsia="Times New Roman" w:hAnsi="Arial" w:cs="Arial"/>
          <w:kern w:val="0"/>
          <w:sz w:val="22"/>
          <w:szCs w:val="22"/>
          <w:lang w:eastAsia="en-GB"/>
          <w14:ligatures w14:val="none"/>
        </w:rPr>
        <w:t>. Evidence from multiple studies indicates that excessive working hours and staff shortages are strongly associated with burnout, fatigue, and reduced care quality (Morgantini et al., 2020; Shaukat et al., 2020). Policy reforms should therefore prioritise sustainable staffing models, flexible scheduling, and access to rest periods. Additionally, fair remuneration and recognition of the sacrifices made by HCWs during crises can mitigate feelings of moral injury and enhance professional commitment (Brooks et al., 2020).</w:t>
      </w:r>
    </w:p>
    <w:p w14:paraId="30800BD7" w14:textId="5C8D87C8" w:rsidR="00E3462C" w:rsidRPr="00EA3CD7" w:rsidRDefault="00E3462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b/>
          <w:bCs/>
          <w:kern w:val="0"/>
          <w:sz w:val="22"/>
          <w:szCs w:val="22"/>
          <w:lang w:eastAsia="en-GB"/>
          <w14:ligatures w14:val="none"/>
        </w:rPr>
        <w:t>4. Crisis preparedness</w:t>
      </w:r>
      <w:r w:rsidRPr="00EA3CD7">
        <w:rPr>
          <w:rFonts w:ascii="Arial" w:eastAsia="Times New Roman" w:hAnsi="Arial" w:cs="Arial"/>
          <w:kern w:val="0"/>
          <w:sz w:val="22"/>
          <w:szCs w:val="22"/>
          <w:lang w:eastAsia="en-GB"/>
          <w14:ligatures w14:val="none"/>
        </w:rPr>
        <w:br/>
        <w:t xml:space="preserve">The pandemic has demonstrated that </w:t>
      </w:r>
      <w:r w:rsidRPr="00EA3CD7">
        <w:rPr>
          <w:rFonts w:ascii="Arial" w:eastAsia="Times New Roman" w:hAnsi="Arial" w:cs="Arial"/>
          <w:b/>
          <w:bCs/>
          <w:kern w:val="0"/>
          <w:sz w:val="22"/>
          <w:szCs w:val="22"/>
          <w:lang w:eastAsia="en-GB"/>
          <w14:ligatures w14:val="none"/>
        </w:rPr>
        <w:t>psychological support must be integrated into emergency preparedness planning</w:t>
      </w:r>
      <w:r w:rsidRPr="00EA3CD7">
        <w:rPr>
          <w:rFonts w:ascii="Arial" w:eastAsia="Times New Roman" w:hAnsi="Arial" w:cs="Arial"/>
          <w:kern w:val="0"/>
          <w:sz w:val="22"/>
          <w:szCs w:val="22"/>
          <w:lang w:eastAsia="en-GB"/>
          <w14:ligatures w14:val="none"/>
        </w:rPr>
        <w:t xml:space="preserve">. This includes not only ensuring adequate supplies of personal protective equipment (PPE) and clear communication channels but also embedding </w:t>
      </w:r>
      <w:r w:rsidRPr="00EA3CD7">
        <w:rPr>
          <w:rFonts w:ascii="Arial" w:eastAsia="Times New Roman" w:hAnsi="Arial" w:cs="Arial"/>
          <w:kern w:val="0"/>
          <w:sz w:val="22"/>
          <w:szCs w:val="22"/>
          <w:lang w:eastAsia="en-GB"/>
          <w14:ligatures w14:val="none"/>
        </w:rPr>
        <w:lastRenderedPageBreak/>
        <w:t xml:space="preserve">psychosocial support into crisis management frameworks (Greenberg et al., 2020). Governments and healthcare institutions should establish </w:t>
      </w:r>
      <w:r w:rsidRPr="00EA3CD7">
        <w:rPr>
          <w:rFonts w:ascii="Arial" w:eastAsia="Times New Roman" w:hAnsi="Arial" w:cs="Arial"/>
          <w:b/>
          <w:bCs/>
          <w:kern w:val="0"/>
          <w:sz w:val="22"/>
          <w:szCs w:val="22"/>
          <w:lang w:eastAsia="en-GB"/>
          <w14:ligatures w14:val="none"/>
        </w:rPr>
        <w:t>national and organisational mental health protocols</w:t>
      </w:r>
      <w:r w:rsidRPr="00EA3CD7">
        <w:rPr>
          <w:rFonts w:ascii="Arial" w:eastAsia="Times New Roman" w:hAnsi="Arial" w:cs="Arial"/>
          <w:kern w:val="0"/>
          <w:sz w:val="22"/>
          <w:szCs w:val="22"/>
          <w:lang w:eastAsia="en-GB"/>
          <w14:ligatures w14:val="none"/>
        </w:rPr>
        <w:t xml:space="preserve"> that can be rapidly deployed during future pandemics, natural disasters, or other large-scale health emergencies (World Health </w:t>
      </w:r>
      <w:r w:rsidR="0065674A" w:rsidRPr="00EA3CD7">
        <w:rPr>
          <w:rFonts w:ascii="Arial" w:eastAsia="Times New Roman" w:hAnsi="Arial" w:cs="Arial"/>
          <w:kern w:val="0"/>
          <w:sz w:val="22"/>
          <w:szCs w:val="22"/>
          <w:lang w:eastAsia="en-GB"/>
          <w14:ligatures w14:val="none"/>
        </w:rPr>
        <w:t>Organisation</w:t>
      </w:r>
      <w:r w:rsidRPr="00EA3CD7">
        <w:rPr>
          <w:rFonts w:ascii="Arial" w:eastAsia="Times New Roman" w:hAnsi="Arial" w:cs="Arial"/>
          <w:kern w:val="0"/>
          <w:sz w:val="22"/>
          <w:szCs w:val="22"/>
          <w:lang w:eastAsia="en-GB"/>
          <w14:ligatures w14:val="none"/>
        </w:rPr>
        <w:t>, 2020). In doing so, healthcare systems will be better equipped to maintain workforce resilience and continuity of care under extreme conditions.</w:t>
      </w:r>
    </w:p>
    <w:p w14:paraId="3B530A34" w14:textId="77777777" w:rsidR="00E3462C" w:rsidRPr="00EA3CD7" w:rsidRDefault="00E3462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Taken together, these implications highlight that supporting HCWs’ mental health is not solely a matter of individual resilience but requires </w:t>
      </w:r>
      <w:r w:rsidRPr="00EA3CD7">
        <w:rPr>
          <w:rFonts w:ascii="Arial" w:eastAsia="Times New Roman" w:hAnsi="Arial" w:cs="Arial"/>
          <w:b/>
          <w:bCs/>
          <w:kern w:val="0"/>
          <w:sz w:val="22"/>
          <w:szCs w:val="22"/>
          <w:lang w:eastAsia="en-GB"/>
          <w14:ligatures w14:val="none"/>
        </w:rPr>
        <w:t>structural, cultural, and systemic changes</w:t>
      </w:r>
      <w:r w:rsidRPr="00EA3CD7">
        <w:rPr>
          <w:rFonts w:ascii="Arial" w:eastAsia="Times New Roman" w:hAnsi="Arial" w:cs="Arial"/>
          <w:kern w:val="0"/>
          <w:sz w:val="22"/>
          <w:szCs w:val="22"/>
          <w:lang w:eastAsia="en-GB"/>
          <w14:ligatures w14:val="none"/>
        </w:rPr>
        <w:t>. Embedding psychological well-being into healthcare practice and policy is essential to sustaining a healthy and effective workforce in both ordinary and crisis contexts.</w:t>
      </w:r>
    </w:p>
    <w:p w14:paraId="2F09450B" w14:textId="77777777" w:rsidR="00373D83" w:rsidRPr="00EA3CD7" w:rsidRDefault="00373D83"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4.8 Conclusion</w:t>
      </w:r>
    </w:p>
    <w:p w14:paraId="11AA793C" w14:textId="77777777" w:rsidR="00373D83" w:rsidRPr="00EA3CD7" w:rsidRDefault="00373D83"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This chapter has presented and critically discussed the findings of a systematic review examining the psychological impact of COVID-19 on healthcare workers (HCWs). Across the literature, </w:t>
      </w:r>
      <w:r w:rsidRPr="00EA3CD7">
        <w:rPr>
          <w:rFonts w:ascii="Arial" w:eastAsia="Times New Roman" w:hAnsi="Arial" w:cs="Arial"/>
          <w:b/>
          <w:bCs/>
          <w:kern w:val="0"/>
          <w:sz w:val="22"/>
          <w:szCs w:val="22"/>
          <w:lang w:eastAsia="en-GB"/>
          <w14:ligatures w14:val="none"/>
        </w:rPr>
        <w:t>anxiety, depression, burnout, and post-traumatic stress disorder (PTSD)</w:t>
      </w:r>
      <w:r w:rsidRPr="00EA3CD7">
        <w:rPr>
          <w:rFonts w:ascii="Arial" w:eastAsia="Times New Roman" w:hAnsi="Arial" w:cs="Arial"/>
          <w:kern w:val="0"/>
          <w:sz w:val="22"/>
          <w:szCs w:val="22"/>
          <w:lang w:eastAsia="en-GB"/>
          <w14:ligatures w14:val="none"/>
        </w:rPr>
        <w:t xml:space="preserve"> were consistently identified as the most prevalent mental health challenges (Lai et al., 2020; Zhang et al., 2020; Rossi et al., 2020). These outcomes were compounded by a combination of </w:t>
      </w:r>
      <w:r w:rsidRPr="00EA3CD7">
        <w:rPr>
          <w:rFonts w:ascii="Arial" w:eastAsia="Times New Roman" w:hAnsi="Arial" w:cs="Arial"/>
          <w:b/>
          <w:bCs/>
          <w:kern w:val="0"/>
          <w:sz w:val="22"/>
          <w:szCs w:val="22"/>
          <w:lang w:eastAsia="en-GB"/>
          <w14:ligatures w14:val="none"/>
        </w:rPr>
        <w:t>high workloads, insufficient resources such as personal protective equipment (PPE), prolonged working hours, and ethical stressors</w:t>
      </w:r>
      <w:r w:rsidRPr="00EA3CD7">
        <w:rPr>
          <w:rFonts w:ascii="Arial" w:eastAsia="Times New Roman" w:hAnsi="Arial" w:cs="Arial"/>
          <w:kern w:val="0"/>
          <w:sz w:val="22"/>
          <w:szCs w:val="22"/>
          <w:lang w:eastAsia="en-GB"/>
          <w14:ligatures w14:val="none"/>
        </w:rPr>
        <w:t xml:space="preserve"> arising from difficult clinical decisions and resource allocation dilemmas (Greenberg et al., 2020; Spoorthy et al., 2020).</w:t>
      </w:r>
    </w:p>
    <w:p w14:paraId="53F9BC27" w14:textId="77777777" w:rsidR="00373D83" w:rsidRPr="00EA3CD7" w:rsidRDefault="00373D83"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Coping mechanisms varied substantially among HCWs. </w:t>
      </w:r>
      <w:r w:rsidRPr="00EA3CD7">
        <w:rPr>
          <w:rFonts w:ascii="Arial" w:eastAsia="Times New Roman" w:hAnsi="Arial" w:cs="Arial"/>
          <w:b/>
          <w:bCs/>
          <w:kern w:val="0"/>
          <w:sz w:val="22"/>
          <w:szCs w:val="22"/>
          <w:lang w:eastAsia="en-GB"/>
          <w14:ligatures w14:val="none"/>
        </w:rPr>
        <w:t>Adaptive strategies</w:t>
      </w:r>
      <w:r w:rsidRPr="00EA3CD7">
        <w:rPr>
          <w:rFonts w:ascii="Arial" w:eastAsia="Times New Roman" w:hAnsi="Arial" w:cs="Arial"/>
          <w:kern w:val="0"/>
          <w:sz w:val="22"/>
          <w:szCs w:val="22"/>
          <w:lang w:eastAsia="en-GB"/>
          <w14:ligatures w14:val="none"/>
        </w:rPr>
        <w:t>, including seeking social support, practising mindfulness, maintaining structured routines, and engaging in physical activity, were associated with greater resilience and reduced psychological strain (</w:t>
      </w:r>
      <w:proofErr w:type="spellStart"/>
      <w:r w:rsidRPr="00EA3CD7">
        <w:rPr>
          <w:rFonts w:ascii="Arial" w:eastAsia="Times New Roman" w:hAnsi="Arial" w:cs="Arial"/>
          <w:kern w:val="0"/>
          <w:sz w:val="22"/>
          <w:szCs w:val="22"/>
          <w:lang w:eastAsia="en-GB"/>
          <w14:ligatures w14:val="none"/>
        </w:rPr>
        <w:t>Chekroud</w:t>
      </w:r>
      <w:proofErr w:type="spellEnd"/>
      <w:r w:rsidRPr="00EA3CD7">
        <w:rPr>
          <w:rFonts w:ascii="Arial" w:eastAsia="Times New Roman" w:hAnsi="Arial" w:cs="Arial"/>
          <w:kern w:val="0"/>
          <w:sz w:val="22"/>
          <w:szCs w:val="22"/>
          <w:lang w:eastAsia="en-GB"/>
          <w14:ligatures w14:val="none"/>
        </w:rPr>
        <w:t xml:space="preserve"> et al., 2018; Frewen et al., 2020). However, </w:t>
      </w:r>
      <w:r w:rsidRPr="00EA3CD7">
        <w:rPr>
          <w:rFonts w:ascii="Arial" w:eastAsia="Times New Roman" w:hAnsi="Arial" w:cs="Arial"/>
          <w:b/>
          <w:bCs/>
          <w:kern w:val="0"/>
          <w:sz w:val="22"/>
          <w:szCs w:val="22"/>
          <w:lang w:eastAsia="en-GB"/>
          <w14:ligatures w14:val="none"/>
        </w:rPr>
        <w:t>maladaptive strategies</w:t>
      </w:r>
      <w:r w:rsidRPr="00EA3CD7">
        <w:rPr>
          <w:rFonts w:ascii="Arial" w:eastAsia="Times New Roman" w:hAnsi="Arial" w:cs="Arial"/>
          <w:kern w:val="0"/>
          <w:sz w:val="22"/>
          <w:szCs w:val="22"/>
          <w:lang w:eastAsia="en-GB"/>
          <w14:ligatures w14:val="none"/>
        </w:rPr>
        <w:t xml:space="preserve"> such as emotional withdrawal, denial, and substance use were also observed, which, while temporarily protective, often exacerbated long-term mental health risks (Lai et al., 2020; Spoorthy et al., 2020).</w:t>
      </w:r>
    </w:p>
    <w:p w14:paraId="2EB3F757" w14:textId="77777777" w:rsidR="00373D83" w:rsidRPr="00EA3CD7" w:rsidRDefault="00373D83"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The role of </w:t>
      </w:r>
      <w:r w:rsidRPr="00EA3CD7">
        <w:rPr>
          <w:rFonts w:ascii="Arial" w:eastAsia="Times New Roman" w:hAnsi="Arial" w:cs="Arial"/>
          <w:b/>
          <w:bCs/>
          <w:kern w:val="0"/>
          <w:sz w:val="22"/>
          <w:szCs w:val="22"/>
          <w:lang w:eastAsia="en-GB"/>
          <w14:ligatures w14:val="none"/>
        </w:rPr>
        <w:t>institutional support</w:t>
      </w:r>
      <w:r w:rsidRPr="00EA3CD7">
        <w:rPr>
          <w:rFonts w:ascii="Arial" w:eastAsia="Times New Roman" w:hAnsi="Arial" w:cs="Arial"/>
          <w:kern w:val="0"/>
          <w:sz w:val="22"/>
          <w:szCs w:val="22"/>
          <w:lang w:eastAsia="en-GB"/>
          <w14:ligatures w14:val="none"/>
        </w:rPr>
        <w:t xml:space="preserve"> emerged as a decisive factor influencing HCWs’ mental well-being. Organisations that implemented </w:t>
      </w:r>
      <w:r w:rsidRPr="00EA3CD7">
        <w:rPr>
          <w:rFonts w:ascii="Arial" w:eastAsia="Times New Roman" w:hAnsi="Arial" w:cs="Arial"/>
          <w:b/>
          <w:bCs/>
          <w:kern w:val="0"/>
          <w:sz w:val="22"/>
          <w:szCs w:val="22"/>
          <w:lang w:eastAsia="en-GB"/>
          <w14:ligatures w14:val="none"/>
        </w:rPr>
        <w:t>comprehensive psychological support programmes, peer networks, clear communication channels, and flexible work practices</w:t>
      </w:r>
      <w:r w:rsidRPr="00EA3CD7">
        <w:rPr>
          <w:rFonts w:ascii="Arial" w:eastAsia="Times New Roman" w:hAnsi="Arial" w:cs="Arial"/>
          <w:kern w:val="0"/>
          <w:sz w:val="22"/>
          <w:szCs w:val="22"/>
          <w:lang w:eastAsia="en-GB"/>
          <w14:ligatures w14:val="none"/>
        </w:rPr>
        <w:t xml:space="preserve"> reported lower levels of burnout and better overall workforce morale (Cabarkapa et al., 2020; Wu et al., 2020). Conversely, the absence of such support, combined with perceived lack of recognition or safety, amplified stress and contributed to moral injury and compassion fatigue (Greenberg et al., 2020; Shanafelt et al., 2020).</w:t>
      </w:r>
    </w:p>
    <w:p w14:paraId="49248FE8" w14:textId="77777777" w:rsidR="00373D83" w:rsidRPr="00EA3CD7" w:rsidRDefault="00373D83"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lastRenderedPageBreak/>
        <w:t xml:space="preserve">These findings underscore the </w:t>
      </w:r>
      <w:r w:rsidRPr="00EA3CD7">
        <w:rPr>
          <w:rFonts w:ascii="Arial" w:eastAsia="Times New Roman" w:hAnsi="Arial" w:cs="Arial"/>
          <w:b/>
          <w:bCs/>
          <w:kern w:val="0"/>
          <w:sz w:val="22"/>
          <w:szCs w:val="22"/>
          <w:lang w:eastAsia="en-GB"/>
          <w14:ligatures w14:val="none"/>
        </w:rPr>
        <w:t>urgent need for healthcare systems to embed mental health support as a core component of practice and policy</w:t>
      </w:r>
      <w:r w:rsidRPr="00EA3CD7">
        <w:rPr>
          <w:rFonts w:ascii="Arial" w:eastAsia="Times New Roman" w:hAnsi="Arial" w:cs="Arial"/>
          <w:kern w:val="0"/>
          <w:sz w:val="22"/>
          <w:szCs w:val="22"/>
          <w:lang w:eastAsia="en-GB"/>
          <w14:ligatures w14:val="none"/>
        </w:rPr>
        <w:t xml:space="preserve">. Such support should be </w:t>
      </w:r>
      <w:r w:rsidRPr="00EA3CD7">
        <w:rPr>
          <w:rFonts w:ascii="Arial" w:eastAsia="Times New Roman" w:hAnsi="Arial" w:cs="Arial"/>
          <w:b/>
          <w:bCs/>
          <w:kern w:val="0"/>
          <w:sz w:val="22"/>
          <w:szCs w:val="22"/>
          <w:lang w:eastAsia="en-GB"/>
          <w14:ligatures w14:val="none"/>
        </w:rPr>
        <w:t>proactive, accessible, and free from stigma</w:t>
      </w:r>
      <w:r w:rsidRPr="00EA3CD7">
        <w:rPr>
          <w:rFonts w:ascii="Arial" w:eastAsia="Times New Roman" w:hAnsi="Arial" w:cs="Arial"/>
          <w:kern w:val="0"/>
          <w:sz w:val="22"/>
          <w:szCs w:val="22"/>
          <w:lang w:eastAsia="en-GB"/>
          <w14:ligatures w14:val="none"/>
        </w:rPr>
        <w:t xml:space="preserve">, ensuring that all staff, regardless of role or seniority, feel empowered to seek help without fear of judgement (Buchanan et al., 2020). Protecting the psychological well-being of HCWs is not only a </w:t>
      </w:r>
      <w:r w:rsidRPr="00EA3CD7">
        <w:rPr>
          <w:rFonts w:ascii="Arial" w:eastAsia="Times New Roman" w:hAnsi="Arial" w:cs="Arial"/>
          <w:b/>
          <w:bCs/>
          <w:kern w:val="0"/>
          <w:sz w:val="22"/>
          <w:szCs w:val="22"/>
          <w:lang w:eastAsia="en-GB"/>
          <w14:ligatures w14:val="none"/>
        </w:rPr>
        <w:t>moral imperative</w:t>
      </w:r>
      <w:r w:rsidRPr="00EA3CD7">
        <w:rPr>
          <w:rFonts w:ascii="Arial" w:eastAsia="Times New Roman" w:hAnsi="Arial" w:cs="Arial"/>
          <w:kern w:val="0"/>
          <w:sz w:val="22"/>
          <w:szCs w:val="22"/>
          <w:lang w:eastAsia="en-GB"/>
          <w14:ligatures w14:val="none"/>
        </w:rPr>
        <w:t xml:space="preserve"> but also critical for maintaining </w:t>
      </w:r>
      <w:r w:rsidRPr="00EA3CD7">
        <w:rPr>
          <w:rFonts w:ascii="Arial" w:eastAsia="Times New Roman" w:hAnsi="Arial" w:cs="Arial"/>
          <w:b/>
          <w:bCs/>
          <w:kern w:val="0"/>
          <w:sz w:val="22"/>
          <w:szCs w:val="22"/>
          <w:lang w:eastAsia="en-GB"/>
          <w14:ligatures w14:val="none"/>
        </w:rPr>
        <w:t>safe, effective, and sustainable patient care</w:t>
      </w:r>
      <w:r w:rsidRPr="00EA3CD7">
        <w:rPr>
          <w:rFonts w:ascii="Arial" w:eastAsia="Times New Roman" w:hAnsi="Arial" w:cs="Arial"/>
          <w:kern w:val="0"/>
          <w:sz w:val="22"/>
          <w:szCs w:val="22"/>
          <w:lang w:eastAsia="en-GB"/>
          <w14:ligatures w14:val="none"/>
        </w:rPr>
        <w:t>, particularly during periods of heightened stress such as pandemics or other health crises (Shaukat et al., 2020; West et al., 2018).</w:t>
      </w:r>
    </w:p>
    <w:p w14:paraId="1AB1A62D" w14:textId="77777777" w:rsidR="00373D83" w:rsidRPr="00EA3CD7" w:rsidRDefault="00373D83"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Moreover, the evidence highlights the importance of </w:t>
      </w:r>
      <w:r w:rsidRPr="00EA3CD7">
        <w:rPr>
          <w:rFonts w:ascii="Arial" w:eastAsia="Times New Roman" w:hAnsi="Arial" w:cs="Arial"/>
          <w:b/>
          <w:bCs/>
          <w:kern w:val="0"/>
          <w:sz w:val="22"/>
          <w:szCs w:val="22"/>
          <w:lang w:eastAsia="en-GB"/>
          <w14:ligatures w14:val="none"/>
        </w:rPr>
        <w:t>systemic and organisational strategies</w:t>
      </w:r>
      <w:r w:rsidRPr="00EA3CD7">
        <w:rPr>
          <w:rFonts w:ascii="Arial" w:eastAsia="Times New Roman" w:hAnsi="Arial" w:cs="Arial"/>
          <w:kern w:val="0"/>
          <w:sz w:val="22"/>
          <w:szCs w:val="22"/>
          <w:lang w:eastAsia="en-GB"/>
          <w14:ligatures w14:val="none"/>
        </w:rPr>
        <w:t xml:space="preserve"> in addition to individual-level interventions. Policies addressing workload management, adequate staffing, resource provision, and resilience training are necessary to mitigate risk factors and foster a culture of support (Morgantini et al., 2020). The chapter concludes that future preparedness for health emergencies must </w:t>
      </w:r>
      <w:r w:rsidRPr="00EA3CD7">
        <w:rPr>
          <w:rFonts w:ascii="Arial" w:eastAsia="Times New Roman" w:hAnsi="Arial" w:cs="Arial"/>
          <w:b/>
          <w:bCs/>
          <w:kern w:val="0"/>
          <w:sz w:val="22"/>
          <w:szCs w:val="22"/>
          <w:lang w:eastAsia="en-GB"/>
          <w14:ligatures w14:val="none"/>
        </w:rPr>
        <w:t>integrate mental health as a strategic priority</w:t>
      </w:r>
      <w:r w:rsidRPr="00EA3CD7">
        <w:rPr>
          <w:rFonts w:ascii="Arial" w:eastAsia="Times New Roman" w:hAnsi="Arial" w:cs="Arial"/>
          <w:kern w:val="0"/>
          <w:sz w:val="22"/>
          <w:szCs w:val="22"/>
          <w:lang w:eastAsia="en-GB"/>
          <w14:ligatures w14:val="none"/>
        </w:rPr>
        <w:t>, ensuring that healthcare systems are resilient, staff are supported, and patient care remains uncompromised.</w:t>
      </w:r>
    </w:p>
    <w:p w14:paraId="575C4AB9" w14:textId="310D9EBB" w:rsidR="00E3462C" w:rsidRPr="00EA3CD7" w:rsidRDefault="00373D83"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In summary, the review provides a comprehensive understanding of the multifaceted mental health challenges faced by HCWs during COVID-19, the coping mechanisms they employ, and the critical role of institutional support. These insights offer an essential foundation for both </w:t>
      </w:r>
      <w:r w:rsidRPr="00EA3CD7">
        <w:rPr>
          <w:rFonts w:ascii="Arial" w:eastAsia="Times New Roman" w:hAnsi="Arial" w:cs="Arial"/>
          <w:b/>
          <w:bCs/>
          <w:kern w:val="0"/>
          <w:sz w:val="22"/>
          <w:szCs w:val="22"/>
          <w:lang w:eastAsia="en-GB"/>
          <w14:ligatures w14:val="none"/>
        </w:rPr>
        <w:t>practice and policy development</w:t>
      </w:r>
      <w:r w:rsidRPr="00EA3CD7">
        <w:rPr>
          <w:rFonts w:ascii="Arial" w:eastAsia="Times New Roman" w:hAnsi="Arial" w:cs="Arial"/>
          <w:kern w:val="0"/>
          <w:sz w:val="22"/>
          <w:szCs w:val="22"/>
          <w:lang w:eastAsia="en-GB"/>
          <w14:ligatures w14:val="none"/>
        </w:rPr>
        <w:t>, emphasising that the mental health of the healthcare workforce is inseparable from the quality and sustainability of healthcare delivery.</w:t>
      </w:r>
    </w:p>
    <w:p w14:paraId="79C761E2" w14:textId="77777777" w:rsidR="002865F0" w:rsidRPr="00EA3CD7" w:rsidRDefault="00000000" w:rsidP="00EA3CD7">
      <w:pPr>
        <w:tabs>
          <w:tab w:val="left" w:pos="284"/>
          <w:tab w:val="left" w:pos="567"/>
          <w:tab w:val="left" w:pos="993"/>
        </w:tabs>
        <w:spacing w:before="100" w:beforeAutospacing="1" w:after="100" w:afterAutospacing="1" w:line="360" w:lineRule="auto"/>
        <w:ind w:left="850" w:hanging="851"/>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pict w14:anchorId="416C95AD">
          <v:rect id="_x0000_i1036" style="width:0;height:1.5pt" o:hralign="center" o:hrstd="t" o:hr="t" fillcolor="#a0a0a0" stroked="f"/>
        </w:pict>
      </w:r>
    </w:p>
    <w:p w14:paraId="15714E3A" w14:textId="77777777" w:rsidR="00E902FC" w:rsidRPr="00EA3CD7" w:rsidRDefault="00E902FC" w:rsidP="00EA3CD7">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EA3CD7">
        <w:rPr>
          <w:rFonts w:ascii="Arial" w:eastAsia="Times New Roman" w:hAnsi="Arial" w:cs="Arial"/>
          <w:b/>
          <w:bCs/>
          <w:kern w:val="36"/>
          <w:sz w:val="22"/>
          <w:szCs w:val="22"/>
          <w:lang w:eastAsia="en-GB"/>
          <w14:ligatures w14:val="none"/>
        </w:rPr>
        <w:t>Chapter 5: Recommendations and Conclusion</w:t>
      </w:r>
    </w:p>
    <w:p w14:paraId="36D2B647" w14:textId="77777777" w:rsidR="00E902FC" w:rsidRPr="00EA3CD7" w:rsidRDefault="00E902FC"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5.1 Introduction</w:t>
      </w:r>
    </w:p>
    <w:p w14:paraId="4CA785E7" w14:textId="77777777" w:rsidR="00E902FC" w:rsidRPr="00EA3CD7" w:rsidRDefault="00E902F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This chapter builds on the findings and discussion in Chapter 4, drawing together the key insights from the research. It presents practical recommendations for healthcare institutions, policymakers, and practitioners to improve the mental health support provided to healthcare workers (HCWs) during pandemics and other crises. The chapter concludes with reflections on the broader significance of the research, its limitations, and opportunities for future studies.</w:t>
      </w:r>
    </w:p>
    <w:p w14:paraId="51C8CD07" w14:textId="77777777" w:rsidR="00E902FC" w:rsidRPr="00EA3CD7" w:rsidRDefault="00000000" w:rsidP="00EA3CD7">
      <w:pPr>
        <w:spacing w:after="0"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pict w14:anchorId="3131BD55">
          <v:rect id="_x0000_i1037" style="width:0;height:1.5pt" o:hralign="center" o:hrstd="t" o:hr="t" fillcolor="#a0a0a0" stroked="f"/>
        </w:pict>
      </w:r>
    </w:p>
    <w:p w14:paraId="1F6E64C7" w14:textId="77777777" w:rsidR="00E902FC" w:rsidRPr="00EA3CD7" w:rsidRDefault="00E902FC"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5.2 Summary of Key Findings</w:t>
      </w:r>
    </w:p>
    <w:p w14:paraId="691CFAF6" w14:textId="77777777" w:rsidR="00E902FC" w:rsidRPr="00EA3CD7" w:rsidRDefault="00E902F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lastRenderedPageBreak/>
        <w:t>The research has highlighted that the COVID-19 pandemic significantly impacted the psychological well-being of HCWs, with many experiencing stress, anxiety, depression, burnout, and post-traumatic stress disorder (Lai et al., 2020; Greenberg et al., 2020; Spoorthy et al., 2020). Contributing factors included excessive workloads, inadequate protective equipment, fear of infection, social stigma, and limited institutional support (Cabarkapa et al., 2020; Wu et al., 2020).</w:t>
      </w:r>
    </w:p>
    <w:p w14:paraId="17D492F3" w14:textId="77777777" w:rsidR="00E902FC" w:rsidRPr="00EA3CD7" w:rsidRDefault="00E902F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Coping mechanisms varied widely, with adaptive strategies such as social support, physical activity, mindfulness, and professional counselling proving beneficial (</w:t>
      </w:r>
      <w:proofErr w:type="spellStart"/>
      <w:r w:rsidRPr="00EA3CD7">
        <w:rPr>
          <w:rFonts w:ascii="Arial" w:eastAsia="Times New Roman" w:hAnsi="Arial" w:cs="Arial"/>
          <w:kern w:val="0"/>
          <w:sz w:val="22"/>
          <w:szCs w:val="22"/>
          <w:lang w:eastAsia="en-GB"/>
          <w14:ligatures w14:val="none"/>
        </w:rPr>
        <w:t>Chekroud</w:t>
      </w:r>
      <w:proofErr w:type="spellEnd"/>
      <w:r w:rsidRPr="00EA3CD7">
        <w:rPr>
          <w:rFonts w:ascii="Arial" w:eastAsia="Times New Roman" w:hAnsi="Arial" w:cs="Arial"/>
          <w:kern w:val="0"/>
          <w:sz w:val="22"/>
          <w:szCs w:val="22"/>
          <w:lang w:eastAsia="en-GB"/>
          <w14:ligatures w14:val="none"/>
        </w:rPr>
        <w:t xml:space="preserve"> et al., 2018; Frewen et al., 2020; Shechter et al., 2020). However, maladaptive coping—including withdrawal, denial, and substance use—was also reported (Spoorthy et al., 2020).</w:t>
      </w:r>
    </w:p>
    <w:p w14:paraId="5116371D" w14:textId="77777777" w:rsidR="00E902FC" w:rsidRPr="00EA3CD7" w:rsidRDefault="00E902F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Institutional support was found to be a decisive factor in shaping mental health outcomes. HCWs in well-resourced organisations with clear communication, adequate personal protective equipment (PPE), and accessible psychological services reported greater resilience and lower levels of burnout (Morgantini et al., 2020; Shaukat et al., 2020).</w:t>
      </w:r>
    </w:p>
    <w:p w14:paraId="5C4D2E46" w14:textId="77777777" w:rsidR="00E902FC" w:rsidRPr="00EA3CD7" w:rsidRDefault="00000000" w:rsidP="00EA3CD7">
      <w:pPr>
        <w:spacing w:after="0"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pict w14:anchorId="5C3922F2">
          <v:rect id="_x0000_i1038" style="width:0;height:1.5pt" o:hralign="center" o:hrstd="t" o:hr="t" fillcolor="#a0a0a0" stroked="f"/>
        </w:pict>
      </w:r>
    </w:p>
    <w:p w14:paraId="17F50BFF" w14:textId="77777777" w:rsidR="00E902FC" w:rsidRPr="00EA3CD7" w:rsidRDefault="00E902FC"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5.3 Recommendations</w:t>
      </w:r>
    </w:p>
    <w:p w14:paraId="2EDA03F0" w14:textId="77777777" w:rsidR="00E902FC" w:rsidRPr="00EA3CD7" w:rsidRDefault="00E902FC" w:rsidP="00EA3CD7">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5.3.1 Strengthening Institutional Support</w:t>
      </w:r>
    </w:p>
    <w:p w14:paraId="7CD5E0E8" w14:textId="77777777" w:rsidR="00E902FC" w:rsidRPr="00EA3CD7" w:rsidRDefault="00E902F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Healthcare institutions should implement </w:t>
      </w:r>
      <w:r w:rsidRPr="00EA3CD7">
        <w:rPr>
          <w:rFonts w:ascii="Arial" w:eastAsia="Times New Roman" w:hAnsi="Arial" w:cs="Arial"/>
          <w:b/>
          <w:bCs/>
          <w:kern w:val="0"/>
          <w:sz w:val="22"/>
          <w:szCs w:val="22"/>
          <w:lang w:eastAsia="en-GB"/>
          <w14:ligatures w14:val="none"/>
        </w:rPr>
        <w:t>comprehensive psychological support systems</w:t>
      </w:r>
      <w:r w:rsidRPr="00EA3CD7">
        <w:rPr>
          <w:rFonts w:ascii="Arial" w:eastAsia="Times New Roman" w:hAnsi="Arial" w:cs="Arial"/>
          <w:kern w:val="0"/>
          <w:sz w:val="22"/>
          <w:szCs w:val="22"/>
          <w:lang w:eastAsia="en-GB"/>
          <w14:ligatures w14:val="none"/>
        </w:rPr>
        <w:t>, including confidential counselling, peer support programmes, and mental health hotlines. Evidence shows that staff in organisations with visible and proactive support measures demonstrate greater psychological resilience (Wu et al., 2020; Shanafelt et al., 2020).</w:t>
      </w:r>
    </w:p>
    <w:p w14:paraId="34221280" w14:textId="77777777" w:rsidR="00E902FC" w:rsidRPr="00EA3CD7" w:rsidRDefault="00E902FC" w:rsidP="00EA3CD7">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5.3.2 Promoting a Supportive Organisational Culture</w:t>
      </w:r>
    </w:p>
    <w:p w14:paraId="1A2C99D6" w14:textId="77777777" w:rsidR="00E902FC" w:rsidRPr="00EA3CD7" w:rsidRDefault="00E902F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Reducing stigma around mental health is essential. Training for managers and staff should normalise discussions about stress and burnout, making mental health care as routine as physical health care (West et al., 2018). Creating a culture of openness can encourage HCWs to seek help without fear of professional repercussions.</w:t>
      </w:r>
    </w:p>
    <w:p w14:paraId="3C165858" w14:textId="77777777" w:rsidR="00E902FC" w:rsidRPr="00EA3CD7" w:rsidRDefault="00E902FC" w:rsidP="00EA3CD7">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5.3.3 Enhancing Resources and Preparedness</w:t>
      </w:r>
    </w:p>
    <w:p w14:paraId="40480B40" w14:textId="77777777" w:rsidR="00E902FC" w:rsidRPr="00EA3CD7" w:rsidRDefault="00E902F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lastRenderedPageBreak/>
        <w:t>Ensuring sufficient PPE, clear communication, and fair workload distribution is critical. Research during COVID-19 demonstrated that inadequate resources were directly linked to higher levels of anxiety and moral injury among HCWs (Greenberg et al., 2020). Preparedness planning for future crises should prioritise both material resources and psychological support.</w:t>
      </w:r>
    </w:p>
    <w:p w14:paraId="26E46394" w14:textId="77777777" w:rsidR="00E902FC" w:rsidRPr="00EA3CD7" w:rsidRDefault="00E902FC" w:rsidP="00EA3CD7">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5.3.4 Encouraging Adaptive Coping Mechanisms</w:t>
      </w:r>
    </w:p>
    <w:p w14:paraId="22CCE9A0" w14:textId="77777777" w:rsidR="00E902FC" w:rsidRPr="00EA3CD7" w:rsidRDefault="00E902F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Healthcare organisations can provide structured opportunities for adaptive coping strategies, including mindfulness sessions, exercise programmes, and flexible rotas that allow for rest and recovery (Frewen et al., 2020; </w:t>
      </w:r>
      <w:proofErr w:type="spellStart"/>
      <w:r w:rsidRPr="00EA3CD7">
        <w:rPr>
          <w:rFonts w:ascii="Arial" w:eastAsia="Times New Roman" w:hAnsi="Arial" w:cs="Arial"/>
          <w:kern w:val="0"/>
          <w:sz w:val="22"/>
          <w:szCs w:val="22"/>
          <w:lang w:eastAsia="en-GB"/>
          <w14:ligatures w14:val="none"/>
        </w:rPr>
        <w:t>Chekroud</w:t>
      </w:r>
      <w:proofErr w:type="spellEnd"/>
      <w:r w:rsidRPr="00EA3CD7">
        <w:rPr>
          <w:rFonts w:ascii="Arial" w:eastAsia="Times New Roman" w:hAnsi="Arial" w:cs="Arial"/>
          <w:kern w:val="0"/>
          <w:sz w:val="22"/>
          <w:szCs w:val="22"/>
          <w:lang w:eastAsia="en-GB"/>
          <w14:ligatures w14:val="none"/>
        </w:rPr>
        <w:t xml:space="preserve"> et al., 2018). Training in resilience-building and stress management should be integrated into professional development programmes.</w:t>
      </w:r>
    </w:p>
    <w:p w14:paraId="2A2B7631" w14:textId="77777777" w:rsidR="00E902FC" w:rsidRPr="00EA3CD7" w:rsidRDefault="00E902FC" w:rsidP="00EA3CD7">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5.3.5 Policy and Government-Level Interventions</w:t>
      </w:r>
    </w:p>
    <w:p w14:paraId="60621230" w14:textId="77777777" w:rsidR="00E902FC" w:rsidRPr="00EA3CD7" w:rsidRDefault="00E902F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At a systemic level, governments should allocate dedicated funding for HCWs’ mental health, ensuring services are sustainable and not only reactive in times of crisis. This includes developing </w:t>
      </w:r>
      <w:r w:rsidRPr="00EA3CD7">
        <w:rPr>
          <w:rFonts w:ascii="Arial" w:eastAsia="Times New Roman" w:hAnsi="Arial" w:cs="Arial"/>
          <w:b/>
          <w:bCs/>
          <w:kern w:val="0"/>
          <w:sz w:val="22"/>
          <w:szCs w:val="22"/>
          <w:lang w:eastAsia="en-GB"/>
          <w14:ligatures w14:val="none"/>
        </w:rPr>
        <w:t>national frameworks for psychological first aid</w:t>
      </w:r>
      <w:r w:rsidRPr="00EA3CD7">
        <w:rPr>
          <w:rFonts w:ascii="Arial" w:eastAsia="Times New Roman" w:hAnsi="Arial" w:cs="Arial"/>
          <w:kern w:val="0"/>
          <w:sz w:val="22"/>
          <w:szCs w:val="22"/>
          <w:lang w:eastAsia="en-GB"/>
          <w14:ligatures w14:val="none"/>
        </w:rPr>
        <w:t xml:space="preserve"> and embedding occupational mental health into workforce policies (Brooks et al., 2020).</w:t>
      </w:r>
    </w:p>
    <w:p w14:paraId="2D6093DB" w14:textId="77777777" w:rsidR="00E902FC" w:rsidRPr="00EA3CD7" w:rsidRDefault="00000000" w:rsidP="00EA3CD7">
      <w:pPr>
        <w:spacing w:after="0"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pict w14:anchorId="16FE792E">
          <v:rect id="_x0000_i1039" style="width:0;height:1.5pt" o:hralign="center" o:hrstd="t" o:hr="t" fillcolor="#a0a0a0" stroked="f"/>
        </w:pict>
      </w:r>
    </w:p>
    <w:p w14:paraId="6D14F8EB" w14:textId="77777777" w:rsidR="00E902FC" w:rsidRPr="00EA3CD7" w:rsidRDefault="00E902FC"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5.4 Limitations of the Research</w:t>
      </w:r>
    </w:p>
    <w:p w14:paraId="589E50B2" w14:textId="77777777" w:rsidR="00E902FC" w:rsidRPr="00EA3CD7" w:rsidRDefault="00E902F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This dissertation relied on secondary literature and therefore may not fully capture the lived experiences of HCWs across diverse contexts. The rapidly evolving nature of the pandemic also means that some evidence may already have been superseded. Additionally, most of the reviewed literature focused on doctors and nurses, with less attention paid to support staff, paramedics, or administrative personnel.</w:t>
      </w:r>
    </w:p>
    <w:p w14:paraId="4C8AAA49" w14:textId="77777777" w:rsidR="00E902FC" w:rsidRPr="00EA3CD7" w:rsidRDefault="00000000" w:rsidP="00EA3CD7">
      <w:pPr>
        <w:spacing w:after="0"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pict w14:anchorId="3B7B9654">
          <v:rect id="_x0000_i1040" style="width:0;height:1.5pt" o:hralign="center" o:hrstd="t" o:hr="t" fillcolor="#a0a0a0" stroked="f"/>
        </w:pict>
      </w:r>
    </w:p>
    <w:p w14:paraId="32015E50" w14:textId="77777777" w:rsidR="0092369D" w:rsidRPr="00EA3CD7" w:rsidRDefault="0092369D"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5.5 Suggestions for Future Research</w:t>
      </w:r>
    </w:p>
    <w:p w14:paraId="798BED77" w14:textId="77777777" w:rsidR="0092369D" w:rsidRPr="00EA3CD7" w:rsidRDefault="0092369D"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This dissertation has highlighted significant gaps in the current literature regarding the psychological impact of COVID-19 on healthcare workers (HCWs). While existing studies have provided important insights, there remain several areas where further research is warranted.</w:t>
      </w:r>
    </w:p>
    <w:p w14:paraId="0821D63C" w14:textId="77777777" w:rsidR="0092369D" w:rsidRPr="00EA3CD7" w:rsidRDefault="0092369D"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lastRenderedPageBreak/>
        <w:t xml:space="preserve">First, future studies should adopt </w:t>
      </w:r>
      <w:r w:rsidRPr="00EA3CD7">
        <w:rPr>
          <w:rFonts w:ascii="Arial" w:eastAsia="Times New Roman" w:hAnsi="Arial" w:cs="Arial"/>
          <w:b/>
          <w:bCs/>
          <w:kern w:val="0"/>
          <w:sz w:val="22"/>
          <w:szCs w:val="22"/>
          <w:lang w:eastAsia="en-GB"/>
          <w14:ligatures w14:val="none"/>
        </w:rPr>
        <w:t>longitudinal research designs</w:t>
      </w:r>
      <w:r w:rsidRPr="00EA3CD7">
        <w:rPr>
          <w:rFonts w:ascii="Arial" w:eastAsia="Times New Roman" w:hAnsi="Arial" w:cs="Arial"/>
          <w:kern w:val="0"/>
          <w:sz w:val="22"/>
          <w:szCs w:val="22"/>
          <w:lang w:eastAsia="en-GB"/>
          <w14:ligatures w14:val="none"/>
        </w:rPr>
        <w:t xml:space="preserve"> to track the </w:t>
      </w:r>
      <w:r w:rsidRPr="00EA3CD7">
        <w:rPr>
          <w:rFonts w:ascii="Arial" w:eastAsia="Times New Roman" w:hAnsi="Arial" w:cs="Arial"/>
          <w:b/>
          <w:bCs/>
          <w:kern w:val="0"/>
          <w:sz w:val="22"/>
          <w:szCs w:val="22"/>
          <w:lang w:eastAsia="en-GB"/>
          <w14:ligatures w14:val="none"/>
        </w:rPr>
        <w:t>long-term mental health outcomes</w:t>
      </w:r>
      <w:r w:rsidRPr="00EA3CD7">
        <w:rPr>
          <w:rFonts w:ascii="Arial" w:eastAsia="Times New Roman" w:hAnsi="Arial" w:cs="Arial"/>
          <w:kern w:val="0"/>
          <w:sz w:val="22"/>
          <w:szCs w:val="22"/>
          <w:lang w:eastAsia="en-GB"/>
          <w14:ligatures w14:val="none"/>
        </w:rPr>
        <w:t xml:space="preserve"> of HCWs beyond the acute phase of the pandemic. Many current studies, being cross-sectional in nature, provide only a snapshot of mental health status during a specific period (Lai et al., 2020; Rossi et al., 2020). Longitudinal approaches would allow researchers to assess whether acute stress responses evolve into chronic conditions such as post-traumatic stress disorder (PTSD), depression, or anxiety, and to examine potential delayed effects, such as burnout and workforce attrition (Wu et al., 2020). Such research could also explore recovery trajectories and identify protective factors that promote resilience over time.</w:t>
      </w:r>
    </w:p>
    <w:p w14:paraId="152473C5" w14:textId="77777777" w:rsidR="0092369D" w:rsidRPr="00EA3CD7" w:rsidRDefault="0092369D"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Second, there is a need for </w:t>
      </w:r>
      <w:r w:rsidRPr="00EA3CD7">
        <w:rPr>
          <w:rFonts w:ascii="Arial" w:eastAsia="Times New Roman" w:hAnsi="Arial" w:cs="Arial"/>
          <w:b/>
          <w:bCs/>
          <w:kern w:val="0"/>
          <w:sz w:val="22"/>
          <w:szCs w:val="22"/>
          <w:lang w:eastAsia="en-GB"/>
          <w14:ligatures w14:val="none"/>
        </w:rPr>
        <w:t>comparative cross-national research</w:t>
      </w:r>
      <w:r w:rsidRPr="00EA3CD7">
        <w:rPr>
          <w:rFonts w:ascii="Arial" w:eastAsia="Times New Roman" w:hAnsi="Arial" w:cs="Arial"/>
          <w:kern w:val="0"/>
          <w:sz w:val="22"/>
          <w:szCs w:val="22"/>
          <w:lang w:eastAsia="en-GB"/>
          <w14:ligatures w14:val="none"/>
        </w:rPr>
        <w:t xml:space="preserve"> to understand how different healthcare systems and cultural contexts influence HCWs’ psychological outcomes. Countries with stronger welfare systems, more robust occupational health frameworks, and better staffing ratios may demonstrate different patterns of resilience compared with under-resourced settings (Brooks et al., 2020; Shanafelt et al., 2020). Comparative studies would provide valuable lessons on which </w:t>
      </w:r>
      <w:r w:rsidRPr="00EA3CD7">
        <w:rPr>
          <w:rFonts w:ascii="Arial" w:eastAsia="Times New Roman" w:hAnsi="Arial" w:cs="Arial"/>
          <w:b/>
          <w:bCs/>
          <w:kern w:val="0"/>
          <w:sz w:val="22"/>
          <w:szCs w:val="22"/>
          <w:lang w:eastAsia="en-GB"/>
          <w14:ligatures w14:val="none"/>
        </w:rPr>
        <w:t>institutional and policy-level interventions</w:t>
      </w:r>
      <w:r w:rsidRPr="00EA3CD7">
        <w:rPr>
          <w:rFonts w:ascii="Arial" w:eastAsia="Times New Roman" w:hAnsi="Arial" w:cs="Arial"/>
          <w:kern w:val="0"/>
          <w:sz w:val="22"/>
          <w:szCs w:val="22"/>
          <w:lang w:eastAsia="en-GB"/>
          <w14:ligatures w14:val="none"/>
        </w:rPr>
        <w:t xml:space="preserve"> are most effective in mitigating stress and promoting long-term well-being.</w:t>
      </w:r>
    </w:p>
    <w:p w14:paraId="327A1A58" w14:textId="77777777" w:rsidR="0092369D" w:rsidRPr="00EA3CD7" w:rsidRDefault="0092369D"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Third, </w:t>
      </w:r>
      <w:r w:rsidRPr="00EA3CD7">
        <w:rPr>
          <w:rFonts w:ascii="Arial" w:eastAsia="Times New Roman" w:hAnsi="Arial" w:cs="Arial"/>
          <w:b/>
          <w:bCs/>
          <w:kern w:val="0"/>
          <w:sz w:val="22"/>
          <w:szCs w:val="22"/>
          <w:lang w:eastAsia="en-GB"/>
          <w14:ligatures w14:val="none"/>
        </w:rPr>
        <w:t>underrepresented groups within the healthcare workforce</w:t>
      </w:r>
      <w:r w:rsidRPr="00EA3CD7">
        <w:rPr>
          <w:rFonts w:ascii="Arial" w:eastAsia="Times New Roman" w:hAnsi="Arial" w:cs="Arial"/>
          <w:kern w:val="0"/>
          <w:sz w:val="22"/>
          <w:szCs w:val="22"/>
          <w:lang w:eastAsia="en-GB"/>
          <w14:ligatures w14:val="none"/>
        </w:rPr>
        <w:t xml:space="preserve"> warrant greater attention. Much of the existing literature focuses on doctors and nurses, while other staff such as </w:t>
      </w:r>
      <w:r w:rsidRPr="00EA3CD7">
        <w:rPr>
          <w:rFonts w:ascii="Arial" w:eastAsia="Times New Roman" w:hAnsi="Arial" w:cs="Arial"/>
          <w:b/>
          <w:bCs/>
          <w:kern w:val="0"/>
          <w:sz w:val="22"/>
          <w:szCs w:val="22"/>
          <w:lang w:eastAsia="en-GB"/>
          <w14:ligatures w14:val="none"/>
        </w:rPr>
        <w:t>allied health professionals, ambulance personnel, care workers, and hospital support staff</w:t>
      </w:r>
      <w:r w:rsidRPr="00EA3CD7">
        <w:rPr>
          <w:rFonts w:ascii="Arial" w:eastAsia="Times New Roman" w:hAnsi="Arial" w:cs="Arial"/>
          <w:kern w:val="0"/>
          <w:sz w:val="22"/>
          <w:szCs w:val="22"/>
          <w:lang w:eastAsia="en-GB"/>
          <w14:ligatures w14:val="none"/>
        </w:rPr>
        <w:t xml:space="preserve"> have received comparatively little research focus (Spoorthy et al., 2020). These groups may face unique stressors, including lower levels of institutional support, reduced job security, and higher physical exposure in certain roles. Future studies should explore these populations to provide a more </w:t>
      </w:r>
      <w:r w:rsidRPr="00EA3CD7">
        <w:rPr>
          <w:rFonts w:ascii="Arial" w:eastAsia="Times New Roman" w:hAnsi="Arial" w:cs="Arial"/>
          <w:b/>
          <w:bCs/>
          <w:kern w:val="0"/>
          <w:sz w:val="22"/>
          <w:szCs w:val="22"/>
          <w:lang w:eastAsia="en-GB"/>
          <w14:ligatures w14:val="none"/>
        </w:rPr>
        <w:t>comprehensive and equitable understanding</w:t>
      </w:r>
      <w:r w:rsidRPr="00EA3CD7">
        <w:rPr>
          <w:rFonts w:ascii="Arial" w:eastAsia="Times New Roman" w:hAnsi="Arial" w:cs="Arial"/>
          <w:kern w:val="0"/>
          <w:sz w:val="22"/>
          <w:szCs w:val="22"/>
          <w:lang w:eastAsia="en-GB"/>
          <w14:ligatures w14:val="none"/>
        </w:rPr>
        <w:t xml:space="preserve"> of workforce well-being.</w:t>
      </w:r>
    </w:p>
    <w:p w14:paraId="11516A47" w14:textId="77777777" w:rsidR="0092369D" w:rsidRPr="00EA3CD7" w:rsidRDefault="0092369D"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Fourth, further investigation into the </w:t>
      </w:r>
      <w:r w:rsidRPr="00EA3CD7">
        <w:rPr>
          <w:rFonts w:ascii="Arial" w:eastAsia="Times New Roman" w:hAnsi="Arial" w:cs="Arial"/>
          <w:b/>
          <w:bCs/>
          <w:kern w:val="0"/>
          <w:sz w:val="22"/>
          <w:szCs w:val="22"/>
          <w:lang w:eastAsia="en-GB"/>
          <w14:ligatures w14:val="none"/>
        </w:rPr>
        <w:t>effectiveness of interventions</w:t>
      </w:r>
      <w:r w:rsidRPr="00EA3CD7">
        <w:rPr>
          <w:rFonts w:ascii="Arial" w:eastAsia="Times New Roman" w:hAnsi="Arial" w:cs="Arial"/>
          <w:kern w:val="0"/>
          <w:sz w:val="22"/>
          <w:szCs w:val="22"/>
          <w:lang w:eastAsia="en-GB"/>
          <w14:ligatures w14:val="none"/>
        </w:rPr>
        <w:t xml:space="preserve"> is needed. While many recommendations have been proposed—including resilience training, counselling services, and mindfulness programmes—there is a lack of rigorous evaluation of their impact in practice (Frewen et al., 2020; West et al., 2018). Future research should adopt experimental or quasi-experimental designs to measure which interventions are most effective, cost-efficient, and sustainable in healthcare settings.</w:t>
      </w:r>
    </w:p>
    <w:p w14:paraId="7B66E421" w14:textId="77777777" w:rsidR="0092369D" w:rsidRPr="00EA3CD7" w:rsidRDefault="0092369D"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Finally, researchers should consider the </w:t>
      </w:r>
      <w:r w:rsidRPr="00EA3CD7">
        <w:rPr>
          <w:rFonts w:ascii="Arial" w:eastAsia="Times New Roman" w:hAnsi="Arial" w:cs="Arial"/>
          <w:b/>
          <w:bCs/>
          <w:kern w:val="0"/>
          <w:sz w:val="22"/>
          <w:szCs w:val="22"/>
          <w:lang w:eastAsia="en-GB"/>
          <w14:ligatures w14:val="none"/>
        </w:rPr>
        <w:t>intersectionality of mental health outcomes</w:t>
      </w:r>
      <w:r w:rsidRPr="00EA3CD7">
        <w:rPr>
          <w:rFonts w:ascii="Arial" w:eastAsia="Times New Roman" w:hAnsi="Arial" w:cs="Arial"/>
          <w:kern w:val="0"/>
          <w:sz w:val="22"/>
          <w:szCs w:val="22"/>
          <w:lang w:eastAsia="en-GB"/>
          <w14:ligatures w14:val="none"/>
        </w:rPr>
        <w:t xml:space="preserve">, exploring how factors such as </w:t>
      </w:r>
      <w:r w:rsidRPr="00EA3CD7">
        <w:rPr>
          <w:rFonts w:ascii="Arial" w:eastAsia="Times New Roman" w:hAnsi="Arial" w:cs="Arial"/>
          <w:b/>
          <w:bCs/>
          <w:kern w:val="0"/>
          <w:sz w:val="22"/>
          <w:szCs w:val="22"/>
          <w:lang w:eastAsia="en-GB"/>
          <w14:ligatures w14:val="none"/>
        </w:rPr>
        <w:t>gender, ethnicity, age, and socioeconomic status</w:t>
      </w:r>
      <w:r w:rsidRPr="00EA3CD7">
        <w:rPr>
          <w:rFonts w:ascii="Arial" w:eastAsia="Times New Roman" w:hAnsi="Arial" w:cs="Arial"/>
          <w:kern w:val="0"/>
          <w:sz w:val="22"/>
          <w:szCs w:val="22"/>
          <w:lang w:eastAsia="en-GB"/>
          <w14:ligatures w14:val="none"/>
        </w:rPr>
        <w:t xml:space="preserve"> interact with occupational stressors to shape HCWs’ experiences. For example, female staff and younger workers have been shown to report higher rates of anxiety and depression during </w:t>
      </w:r>
      <w:r w:rsidRPr="00EA3CD7">
        <w:rPr>
          <w:rFonts w:ascii="Arial" w:eastAsia="Times New Roman" w:hAnsi="Arial" w:cs="Arial"/>
          <w:kern w:val="0"/>
          <w:sz w:val="22"/>
          <w:szCs w:val="22"/>
          <w:lang w:eastAsia="en-GB"/>
          <w14:ligatures w14:val="none"/>
        </w:rPr>
        <w:lastRenderedPageBreak/>
        <w:t>the pandemic (Lai et al., 2020), yet these disparities are not fully understood. Intersectional analyses could help design more targeted interventions that address the diverse needs of the workforce.</w:t>
      </w:r>
    </w:p>
    <w:p w14:paraId="354ACAFD" w14:textId="77777777" w:rsidR="0092369D" w:rsidRPr="00EA3CD7" w:rsidRDefault="0092369D"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 xml:space="preserve">In sum, future research should move beyond immediate crisis responses towards a </w:t>
      </w:r>
      <w:r w:rsidRPr="00EA3CD7">
        <w:rPr>
          <w:rFonts w:ascii="Arial" w:eastAsia="Times New Roman" w:hAnsi="Arial" w:cs="Arial"/>
          <w:b/>
          <w:bCs/>
          <w:kern w:val="0"/>
          <w:sz w:val="22"/>
          <w:szCs w:val="22"/>
          <w:lang w:eastAsia="en-GB"/>
          <w14:ligatures w14:val="none"/>
        </w:rPr>
        <w:t>systematic, inclusive, and evidence-based agenda</w:t>
      </w:r>
      <w:r w:rsidRPr="00EA3CD7">
        <w:rPr>
          <w:rFonts w:ascii="Arial" w:eastAsia="Times New Roman" w:hAnsi="Arial" w:cs="Arial"/>
          <w:kern w:val="0"/>
          <w:sz w:val="22"/>
          <w:szCs w:val="22"/>
          <w:lang w:eastAsia="en-GB"/>
          <w14:ligatures w14:val="none"/>
        </w:rPr>
        <w:t>. Such work will be vital not only for addressing the ongoing consequences of COVID-19 but also for preparing healthcare systems to safeguard the mental health of workers in future pandemics and public health emergencies.</w:t>
      </w:r>
    </w:p>
    <w:p w14:paraId="197CA9BA" w14:textId="77777777" w:rsidR="00E902FC" w:rsidRPr="00EA3CD7" w:rsidRDefault="00000000" w:rsidP="00EA3CD7">
      <w:pPr>
        <w:spacing w:after="0"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pict w14:anchorId="0F42EC56">
          <v:rect id="_x0000_i1041" style="width:0;height:1.5pt" o:hralign="center" o:hrstd="t" o:hr="t" fillcolor="#a0a0a0" stroked="f"/>
        </w:pict>
      </w:r>
    </w:p>
    <w:p w14:paraId="5E880E4C" w14:textId="77777777" w:rsidR="00E902FC" w:rsidRPr="00EA3CD7" w:rsidRDefault="00E902FC" w:rsidP="00EA3CD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EA3CD7">
        <w:rPr>
          <w:rFonts w:ascii="Arial" w:eastAsia="Times New Roman" w:hAnsi="Arial" w:cs="Arial"/>
          <w:b/>
          <w:bCs/>
          <w:kern w:val="0"/>
          <w:sz w:val="22"/>
          <w:szCs w:val="22"/>
          <w:lang w:eastAsia="en-GB"/>
          <w14:ligatures w14:val="none"/>
        </w:rPr>
        <w:t>5.6 Conclusion</w:t>
      </w:r>
    </w:p>
    <w:p w14:paraId="24996FA0" w14:textId="77777777" w:rsidR="00E902FC" w:rsidRPr="00EA3CD7" w:rsidRDefault="00E902F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The COVID-19 pandemic highlighted the vulnerability of healthcare workers’ mental health in the face of unprecedented professional and personal demands. While individual coping strategies were important, the presence of strong institutional and systemic support proved decisive in protecting psychological well-being.</w:t>
      </w:r>
    </w:p>
    <w:p w14:paraId="2D5C03D3" w14:textId="77777777" w:rsidR="00E902FC" w:rsidRPr="00EA3CD7" w:rsidRDefault="00E902FC" w:rsidP="00EA3CD7">
      <w:pPr>
        <w:spacing w:before="100" w:beforeAutospacing="1" w:after="100" w:afterAutospacing="1" w:line="360" w:lineRule="auto"/>
        <w:rPr>
          <w:rFonts w:ascii="Arial" w:eastAsia="Times New Roman" w:hAnsi="Arial" w:cs="Arial"/>
          <w:kern w:val="0"/>
          <w:sz w:val="22"/>
          <w:szCs w:val="22"/>
          <w:lang w:eastAsia="en-GB"/>
          <w14:ligatures w14:val="none"/>
        </w:rPr>
      </w:pPr>
      <w:r w:rsidRPr="00EA3CD7">
        <w:rPr>
          <w:rFonts w:ascii="Arial" w:eastAsia="Times New Roman" w:hAnsi="Arial" w:cs="Arial"/>
          <w:kern w:val="0"/>
          <w:sz w:val="22"/>
          <w:szCs w:val="22"/>
          <w:lang w:eastAsia="en-GB"/>
          <w14:ligatures w14:val="none"/>
        </w:rPr>
        <w:t>Supporting the mental health of HCWs is not only a moral imperative but also essential for the sustainability of healthcare systems and the quality of patient care (Shaukat et al., 2020; Greenberg et al., 2020). Moving forward, healthcare institutions and policymakers must view mental health provision as an integral component of workforce planning and pandemic preparedness. By embedding psychological resilience into the foundations of healthcare delivery, we can better safeguard the individuals who play such a critical role in protecting public health.</w:t>
      </w:r>
    </w:p>
    <w:p w14:paraId="4917730F" w14:textId="77777777" w:rsidR="00E902FC" w:rsidRDefault="00E902FC" w:rsidP="00CB157C">
      <w:pPr>
        <w:tabs>
          <w:tab w:val="left" w:pos="284"/>
          <w:tab w:val="left" w:pos="567"/>
          <w:tab w:val="left" w:pos="993"/>
        </w:tabs>
        <w:spacing w:before="100" w:beforeAutospacing="1" w:after="100" w:afterAutospacing="1" w:line="360" w:lineRule="auto"/>
        <w:ind w:left="850" w:hanging="851"/>
        <w:rPr>
          <w:rFonts w:ascii="Arial" w:eastAsia="Times New Roman" w:hAnsi="Arial" w:cs="Arial"/>
          <w:kern w:val="0"/>
          <w:sz w:val="22"/>
          <w:szCs w:val="22"/>
          <w:lang w:eastAsia="en-GB"/>
          <w14:ligatures w14:val="none"/>
        </w:rPr>
      </w:pPr>
    </w:p>
    <w:p w14:paraId="7C9178D1" w14:textId="77777777" w:rsidR="00EA3CD7" w:rsidRDefault="00EA3CD7" w:rsidP="0063542E">
      <w:pPr>
        <w:pStyle w:val="NormalWeb"/>
      </w:pPr>
    </w:p>
    <w:p w14:paraId="47246865" w14:textId="77777777" w:rsidR="00EA3CD7" w:rsidRDefault="00EA3CD7" w:rsidP="0063542E">
      <w:pPr>
        <w:pStyle w:val="NormalWeb"/>
      </w:pPr>
    </w:p>
    <w:p w14:paraId="6FD7E9A9" w14:textId="77777777" w:rsidR="00EA3CD7" w:rsidRDefault="00EA3CD7" w:rsidP="0063542E">
      <w:pPr>
        <w:pStyle w:val="NormalWeb"/>
      </w:pPr>
    </w:p>
    <w:p w14:paraId="37B60E47" w14:textId="77777777" w:rsidR="00EA3CD7" w:rsidRDefault="00EA3CD7" w:rsidP="0063542E">
      <w:pPr>
        <w:pStyle w:val="NormalWeb"/>
      </w:pPr>
    </w:p>
    <w:p w14:paraId="057FF6AD" w14:textId="77777777" w:rsidR="00EA3CD7" w:rsidRDefault="00EA3CD7" w:rsidP="0063542E">
      <w:pPr>
        <w:pStyle w:val="NormalWeb"/>
      </w:pPr>
    </w:p>
    <w:p w14:paraId="09369979" w14:textId="77777777" w:rsidR="00EA3CD7" w:rsidRDefault="00EA3CD7" w:rsidP="0063542E">
      <w:pPr>
        <w:pStyle w:val="NormalWeb"/>
      </w:pPr>
    </w:p>
    <w:p w14:paraId="3B20D1BB" w14:textId="77777777" w:rsidR="00EA3CD7" w:rsidRDefault="00EA3CD7" w:rsidP="0063542E">
      <w:pPr>
        <w:pStyle w:val="NormalWeb"/>
      </w:pPr>
    </w:p>
    <w:p w14:paraId="1CFB5E76" w14:textId="77777777" w:rsidR="00EA3CD7" w:rsidRDefault="00EA3CD7" w:rsidP="0063542E">
      <w:pPr>
        <w:pStyle w:val="NormalWeb"/>
      </w:pPr>
    </w:p>
    <w:p w14:paraId="72ED818C" w14:textId="77777777" w:rsidR="00EA3CD7" w:rsidRDefault="00EA3CD7" w:rsidP="0063542E">
      <w:pPr>
        <w:pStyle w:val="NormalWeb"/>
      </w:pPr>
    </w:p>
    <w:p w14:paraId="5394C440" w14:textId="77777777" w:rsidR="00EA3CD7" w:rsidRDefault="00EA3CD7" w:rsidP="0063542E">
      <w:pPr>
        <w:pStyle w:val="NormalWeb"/>
      </w:pPr>
    </w:p>
    <w:p w14:paraId="798D3D5C" w14:textId="77777777" w:rsidR="00EA3CD7" w:rsidRDefault="00EA3CD7" w:rsidP="0063542E">
      <w:pPr>
        <w:pStyle w:val="NormalWeb"/>
      </w:pPr>
    </w:p>
    <w:p w14:paraId="22C9C228" w14:textId="77777777" w:rsidR="00EA3CD7" w:rsidRDefault="00EA3CD7" w:rsidP="0063542E">
      <w:pPr>
        <w:pStyle w:val="NormalWeb"/>
      </w:pPr>
    </w:p>
    <w:p w14:paraId="3EB2832D" w14:textId="77777777" w:rsidR="00EA3CD7" w:rsidRDefault="00EA3CD7" w:rsidP="0063542E">
      <w:pPr>
        <w:pStyle w:val="NormalWeb"/>
      </w:pPr>
    </w:p>
    <w:p w14:paraId="1C516E39" w14:textId="77777777" w:rsidR="00EA3CD7" w:rsidRDefault="00EA3CD7" w:rsidP="0063542E">
      <w:pPr>
        <w:pStyle w:val="NormalWeb"/>
      </w:pPr>
    </w:p>
    <w:p w14:paraId="07A5C3E9" w14:textId="77777777" w:rsidR="00EA3CD7" w:rsidRDefault="00EA3CD7" w:rsidP="0063542E">
      <w:pPr>
        <w:pStyle w:val="NormalWeb"/>
      </w:pPr>
    </w:p>
    <w:p w14:paraId="6C22B59A" w14:textId="77777777" w:rsidR="00EA3CD7" w:rsidRDefault="00EA3CD7" w:rsidP="0063542E">
      <w:pPr>
        <w:pStyle w:val="NormalWeb"/>
      </w:pPr>
    </w:p>
    <w:p w14:paraId="645760EE" w14:textId="1483CAD2" w:rsidR="00EA3CD7" w:rsidRDefault="00EA3CD7" w:rsidP="0063542E">
      <w:pPr>
        <w:pStyle w:val="NormalWeb"/>
      </w:pPr>
      <w:r>
        <w:t xml:space="preserve">References </w:t>
      </w:r>
    </w:p>
    <w:p w14:paraId="29FC1E4B" w14:textId="77777777" w:rsidR="00EA3CD7" w:rsidRDefault="00EA3CD7" w:rsidP="0063542E">
      <w:pPr>
        <w:pStyle w:val="NormalWeb"/>
      </w:pPr>
    </w:p>
    <w:p w14:paraId="29E7CF69" w14:textId="0A9DD740" w:rsidR="0063542E" w:rsidRDefault="0063542E" w:rsidP="0063542E">
      <w:pPr>
        <w:pStyle w:val="NormalWeb"/>
      </w:pPr>
      <w:r>
        <w:t xml:space="preserve">Brooks, S.K., Webster, R.K., Smith, L.E., Woodland, L., Wessely, S., Greenberg, N. and Rubin, G.J. (2020) ‘The psychological impact of quarantine and how to reduce it: rapid review of the evidence’, </w:t>
      </w:r>
      <w:r>
        <w:rPr>
          <w:rStyle w:val="Emphasis"/>
          <w:rFonts w:eastAsiaTheme="majorEastAsia"/>
        </w:rPr>
        <w:t>The Lancet</w:t>
      </w:r>
      <w:r>
        <w:t>, 395(10227), pp.912–920.</w:t>
      </w:r>
    </w:p>
    <w:p w14:paraId="3D0CC516" w14:textId="77777777" w:rsidR="0063542E" w:rsidRDefault="0063542E" w:rsidP="0063542E">
      <w:pPr>
        <w:pStyle w:val="NormalWeb"/>
      </w:pPr>
      <w:r>
        <w:t xml:space="preserve">Buchanan, T.W., Lawrie, S.M. and Power, M.J. (2020) ‘Stigma and healthcare workers during the COVID-19 pandemic: a rapid review’, </w:t>
      </w:r>
      <w:r>
        <w:rPr>
          <w:rStyle w:val="Emphasis"/>
          <w:rFonts w:eastAsiaTheme="majorEastAsia"/>
        </w:rPr>
        <w:t>Journal of Health Psychology</w:t>
      </w:r>
      <w:r>
        <w:t>, 25(12), pp.1731–1745.</w:t>
      </w:r>
    </w:p>
    <w:p w14:paraId="2DF1C3F2" w14:textId="77777777" w:rsidR="0063542E" w:rsidRDefault="0063542E" w:rsidP="0063542E">
      <w:pPr>
        <w:pStyle w:val="NormalWeb"/>
      </w:pPr>
      <w:r>
        <w:t xml:space="preserve">Cabarkapa, S., </w:t>
      </w:r>
      <w:proofErr w:type="spellStart"/>
      <w:r>
        <w:t>Nadjidai</w:t>
      </w:r>
      <w:proofErr w:type="spellEnd"/>
      <w:r>
        <w:t xml:space="preserve">, S.E., Murgier, J. and Ng, C.H. (2020) ‘The psychological impact of COVID-19 and other viral epidemics on frontline healthcare workers and ways to address it: a rapid systematic review’, </w:t>
      </w:r>
      <w:r>
        <w:rPr>
          <w:rStyle w:val="Emphasis"/>
          <w:rFonts w:eastAsiaTheme="majorEastAsia"/>
        </w:rPr>
        <w:t xml:space="preserve">Brain, </w:t>
      </w:r>
      <w:proofErr w:type="spellStart"/>
      <w:r>
        <w:rPr>
          <w:rStyle w:val="Emphasis"/>
          <w:rFonts w:eastAsiaTheme="majorEastAsia"/>
        </w:rPr>
        <w:t>Behavior</w:t>
      </w:r>
      <w:proofErr w:type="spellEnd"/>
      <w:r>
        <w:rPr>
          <w:rStyle w:val="Emphasis"/>
          <w:rFonts w:eastAsiaTheme="majorEastAsia"/>
        </w:rPr>
        <w:t>, &amp; Immunity – Health</w:t>
      </w:r>
      <w:r>
        <w:t>, 8, 100144.</w:t>
      </w:r>
    </w:p>
    <w:p w14:paraId="2EF6E46C" w14:textId="77777777" w:rsidR="0063542E" w:rsidRDefault="0063542E" w:rsidP="0063542E">
      <w:pPr>
        <w:pStyle w:val="NormalWeb"/>
      </w:pPr>
      <w:proofErr w:type="spellStart"/>
      <w:r>
        <w:t>Chekroud</w:t>
      </w:r>
      <w:proofErr w:type="spellEnd"/>
      <w:r>
        <w:t xml:space="preserve">, S.R., Gueorguieva, R., </w:t>
      </w:r>
      <w:proofErr w:type="spellStart"/>
      <w:r>
        <w:t>Zheutlin</w:t>
      </w:r>
      <w:proofErr w:type="spellEnd"/>
      <w:r>
        <w:t xml:space="preserve">, A.B., Paulus, M., Krumholz, H.M., Krystal, J.H. and </w:t>
      </w:r>
      <w:proofErr w:type="spellStart"/>
      <w:r>
        <w:t>Chekroud</w:t>
      </w:r>
      <w:proofErr w:type="spellEnd"/>
      <w:r>
        <w:t xml:space="preserve">, A.M. (2018) ‘Association between physical exercise and mental health in 1.2 million individuals in the USA between 2011 and 2015: a cross-sectional study’, </w:t>
      </w:r>
      <w:r>
        <w:rPr>
          <w:rStyle w:val="Emphasis"/>
          <w:rFonts w:eastAsiaTheme="majorEastAsia"/>
        </w:rPr>
        <w:t>The Lancet Psychiatry</w:t>
      </w:r>
      <w:r>
        <w:t>, 5(9), pp.739–746.</w:t>
      </w:r>
    </w:p>
    <w:p w14:paraId="50A5BDFA" w14:textId="77777777" w:rsidR="0063542E" w:rsidRDefault="0063542E" w:rsidP="0063542E">
      <w:pPr>
        <w:pStyle w:val="NormalWeb"/>
      </w:pPr>
      <w:r>
        <w:t xml:space="preserve">Creswell, J.W. and Creswell, J.D. (2018) </w:t>
      </w:r>
      <w:r>
        <w:rPr>
          <w:rStyle w:val="Emphasis"/>
          <w:rFonts w:eastAsiaTheme="majorEastAsia"/>
        </w:rPr>
        <w:t>Research design: qualitative, quantitative, and mixed methods approaches</w:t>
      </w:r>
      <w:r>
        <w:t>. 5th edn. Los Angeles: SAGE.</w:t>
      </w:r>
    </w:p>
    <w:p w14:paraId="01760940" w14:textId="77777777" w:rsidR="0063542E" w:rsidRDefault="0063542E" w:rsidP="0063542E">
      <w:pPr>
        <w:pStyle w:val="NormalWeb"/>
      </w:pPr>
      <w:r>
        <w:t xml:space="preserve">Frewen, P.A., Rogers, N. and Lanius, R.A. (2020) ‘Mindfulness and meditation for trauma-related dissociation and post-traumatic stress disorder: theoretical and neurophysiological perspectives’, </w:t>
      </w:r>
      <w:r>
        <w:rPr>
          <w:rStyle w:val="Emphasis"/>
          <w:rFonts w:eastAsiaTheme="majorEastAsia"/>
        </w:rPr>
        <w:t>Frontiers in Psychology</w:t>
      </w:r>
      <w:r>
        <w:t>, 11, 172.</w:t>
      </w:r>
    </w:p>
    <w:p w14:paraId="284D7F2B" w14:textId="77777777" w:rsidR="0063542E" w:rsidRDefault="0063542E" w:rsidP="0063542E">
      <w:pPr>
        <w:pStyle w:val="NormalWeb"/>
      </w:pPr>
      <w:r>
        <w:t xml:space="preserve">Greenberg, N., Docherty, M., Gnanapragasam, S. and Wessely, S. (2020) ‘Managing mental health challenges faced by healthcare workers during COVID-19 pandemic’, </w:t>
      </w:r>
      <w:r>
        <w:rPr>
          <w:rStyle w:val="Emphasis"/>
          <w:rFonts w:eastAsiaTheme="majorEastAsia"/>
        </w:rPr>
        <w:t>BMJ</w:t>
      </w:r>
      <w:r>
        <w:t>, 368, m1211.</w:t>
      </w:r>
    </w:p>
    <w:p w14:paraId="401460D3" w14:textId="77777777" w:rsidR="0063542E" w:rsidRDefault="0063542E" w:rsidP="0063542E">
      <w:pPr>
        <w:pStyle w:val="NormalWeb"/>
      </w:pPr>
      <w:proofErr w:type="spellStart"/>
      <w:r>
        <w:lastRenderedPageBreak/>
        <w:t>Hobfoll</w:t>
      </w:r>
      <w:proofErr w:type="spellEnd"/>
      <w:r>
        <w:t xml:space="preserve">, S.E. (1989) ‘Conservation of resources: a new attempt at conceptualising stress’, </w:t>
      </w:r>
      <w:r>
        <w:rPr>
          <w:rStyle w:val="Emphasis"/>
          <w:rFonts w:eastAsiaTheme="majorEastAsia"/>
        </w:rPr>
        <w:t>American Psychologist</w:t>
      </w:r>
      <w:r>
        <w:t>, 44(3), pp.513–524.</w:t>
      </w:r>
    </w:p>
    <w:p w14:paraId="68D35993" w14:textId="77777777" w:rsidR="0063542E" w:rsidRDefault="0063542E" w:rsidP="0063542E">
      <w:pPr>
        <w:pStyle w:val="NormalWeb"/>
      </w:pPr>
      <w:r>
        <w:t xml:space="preserve">Hsieh, H.F. and Shannon, S.E. (2005) ‘Three approaches to qualitative content analysis’, </w:t>
      </w:r>
      <w:r>
        <w:rPr>
          <w:rStyle w:val="Emphasis"/>
          <w:rFonts w:eastAsiaTheme="majorEastAsia"/>
        </w:rPr>
        <w:t>Qualitative Health Research</w:t>
      </w:r>
      <w:r>
        <w:t>, 15(9), pp.1277–1288.</w:t>
      </w:r>
    </w:p>
    <w:p w14:paraId="0F205989" w14:textId="77777777" w:rsidR="0063542E" w:rsidRDefault="0063542E" w:rsidP="0063542E">
      <w:pPr>
        <w:pStyle w:val="NormalWeb"/>
      </w:pPr>
      <w:r>
        <w:t xml:space="preserve">Karasek, R.A. (1979) ‘Job demands, job decision latitude, and mental strain: implications for job redesign’, </w:t>
      </w:r>
      <w:r>
        <w:rPr>
          <w:rStyle w:val="Emphasis"/>
          <w:rFonts w:eastAsiaTheme="majorEastAsia"/>
        </w:rPr>
        <w:t>Administrative Science Quarterly</w:t>
      </w:r>
      <w:r>
        <w:t>, 24(2), pp.285–308.</w:t>
      </w:r>
    </w:p>
    <w:p w14:paraId="67179D48" w14:textId="77777777" w:rsidR="0063542E" w:rsidRDefault="0063542E" w:rsidP="0063542E">
      <w:pPr>
        <w:pStyle w:val="NormalWeb"/>
      </w:pPr>
      <w:r>
        <w:t xml:space="preserve">Lai, J., Ma, S., Wang, Y., Cai, Z., Hu, J., Wei, N., Wu, J., Du, H., Chen, T., Li, R., Tan, H., Kang, L., Yao, L., Huang, M., Wang, H., Wang, G., Liu, Z. and Hu, S. (2020) ‘Factors associated with mental health outcomes among healthcare workers exposed to coronavirus disease 2019’, </w:t>
      </w:r>
      <w:r>
        <w:rPr>
          <w:rStyle w:val="Emphasis"/>
          <w:rFonts w:eastAsiaTheme="majorEastAsia"/>
        </w:rPr>
        <w:t>JAMA Network Open</w:t>
      </w:r>
      <w:r>
        <w:t>, 3(3), e203976.</w:t>
      </w:r>
    </w:p>
    <w:p w14:paraId="0FF9BC0F" w14:textId="77777777" w:rsidR="0063542E" w:rsidRDefault="0063542E" w:rsidP="0063542E">
      <w:pPr>
        <w:pStyle w:val="NormalWeb"/>
      </w:pPr>
      <w:r>
        <w:t xml:space="preserve">Lazarus, R.S. and Folkman, S. (1984) </w:t>
      </w:r>
      <w:r>
        <w:rPr>
          <w:rStyle w:val="Emphasis"/>
          <w:rFonts w:eastAsiaTheme="majorEastAsia"/>
        </w:rPr>
        <w:t>Stress, appraisal, and coping</w:t>
      </w:r>
      <w:r>
        <w:t>. New York: Springer.</w:t>
      </w:r>
    </w:p>
    <w:p w14:paraId="7AB04A50" w14:textId="77777777" w:rsidR="0063542E" w:rsidRDefault="0063542E" w:rsidP="0063542E">
      <w:pPr>
        <w:pStyle w:val="NormalWeb"/>
      </w:pPr>
      <w:r>
        <w:t xml:space="preserve">Maslach, C. and Jackson, S.E. (1981) ‘The measurement of experienced burnout’, </w:t>
      </w:r>
      <w:r>
        <w:rPr>
          <w:rStyle w:val="Emphasis"/>
          <w:rFonts w:eastAsiaTheme="majorEastAsia"/>
        </w:rPr>
        <w:t xml:space="preserve">Journal of Occupational </w:t>
      </w:r>
      <w:proofErr w:type="spellStart"/>
      <w:r>
        <w:rPr>
          <w:rStyle w:val="Emphasis"/>
          <w:rFonts w:eastAsiaTheme="majorEastAsia"/>
        </w:rPr>
        <w:t>Behavior</w:t>
      </w:r>
      <w:proofErr w:type="spellEnd"/>
      <w:r>
        <w:t>, 2(2), pp.99–113.</w:t>
      </w:r>
    </w:p>
    <w:p w14:paraId="581FC81C" w14:textId="77777777" w:rsidR="0063542E" w:rsidRDefault="0063542E" w:rsidP="0063542E">
      <w:pPr>
        <w:pStyle w:val="NormalWeb"/>
      </w:pPr>
      <w:r>
        <w:t xml:space="preserve">Moreno, C., Wykes, T., </w:t>
      </w:r>
      <w:proofErr w:type="spellStart"/>
      <w:r>
        <w:t>Galderisi</w:t>
      </w:r>
      <w:proofErr w:type="spellEnd"/>
      <w:r>
        <w:t xml:space="preserve">, S., Nordentoft, M., Crossley, N., Jones, N., Cannon, M., Correll, C.U., Byrne, L., Carr, S., Chen, E.Y.H., </w:t>
      </w:r>
      <w:proofErr w:type="spellStart"/>
      <w:r>
        <w:t>Gorwood</w:t>
      </w:r>
      <w:proofErr w:type="spellEnd"/>
      <w:r>
        <w:t xml:space="preserve">, P., Johnson, S., Kärkkäinen, H., Krystal, J.H., Lee, J., Lieberman, J., López-Jaramillo, C., Männikkö, M., Phillips, M.R., Uchida, H., Vieta, E., Vita, A., </w:t>
      </w:r>
      <w:proofErr w:type="spellStart"/>
      <w:r>
        <w:t>Wahlbeck</w:t>
      </w:r>
      <w:proofErr w:type="spellEnd"/>
      <w:r>
        <w:t xml:space="preserve">, K. and Arango, C. (2020) ‘How mental health care should change as a consequence of the COVID-19 pandemic’, </w:t>
      </w:r>
      <w:r>
        <w:rPr>
          <w:rStyle w:val="Emphasis"/>
          <w:rFonts w:eastAsiaTheme="majorEastAsia"/>
        </w:rPr>
        <w:t>The Lancet Psychiatry</w:t>
      </w:r>
      <w:r>
        <w:t>, 7(9), pp.813–824.</w:t>
      </w:r>
    </w:p>
    <w:p w14:paraId="564CCD7C" w14:textId="77777777" w:rsidR="0063542E" w:rsidRDefault="0063542E" w:rsidP="0063542E">
      <w:pPr>
        <w:pStyle w:val="NormalWeb"/>
      </w:pPr>
      <w:r>
        <w:t xml:space="preserve">Morgantini, L.A., Naha, U., Wang, H., Francavilla, S., Acar, Ö., Flores, J.M., Crivellaro, S., Moreira, D., Abern, M., Eklund, M., Vigneswaran, H.T. and Weine, S.M. (2020) ‘Factors contributing to healthcare professional burnout during the COVID-19 pandemic: a rapid turnaround global survey’, </w:t>
      </w:r>
      <w:proofErr w:type="spellStart"/>
      <w:r>
        <w:rPr>
          <w:rStyle w:val="Emphasis"/>
          <w:rFonts w:eastAsiaTheme="majorEastAsia"/>
        </w:rPr>
        <w:t>PLoS</w:t>
      </w:r>
      <w:proofErr w:type="spellEnd"/>
      <w:r>
        <w:rPr>
          <w:rStyle w:val="Emphasis"/>
          <w:rFonts w:eastAsiaTheme="majorEastAsia"/>
        </w:rPr>
        <w:t xml:space="preserve"> ONE</w:t>
      </w:r>
      <w:r>
        <w:t>, 15(9), e0238217.</w:t>
      </w:r>
    </w:p>
    <w:p w14:paraId="5B73FCCA" w14:textId="77777777" w:rsidR="0063542E" w:rsidRDefault="0063542E" w:rsidP="0063542E">
      <w:pPr>
        <w:pStyle w:val="NormalWeb"/>
      </w:pPr>
      <w:r>
        <w:t xml:space="preserve">Polit, D.F. and Beck, C.T. (2017) </w:t>
      </w:r>
      <w:r>
        <w:rPr>
          <w:rStyle w:val="Emphasis"/>
          <w:rFonts w:eastAsiaTheme="majorEastAsia"/>
        </w:rPr>
        <w:t>Nursing research: generating and assessing evidence for nursing practice</w:t>
      </w:r>
      <w:r>
        <w:t>. 10th edn. Philadelphia: Wolters Kluwer.</w:t>
      </w:r>
    </w:p>
    <w:p w14:paraId="0BB5BD0F" w14:textId="77777777" w:rsidR="0063542E" w:rsidRDefault="0063542E" w:rsidP="0063542E">
      <w:pPr>
        <w:pStyle w:val="NormalWeb"/>
      </w:pPr>
      <w:r>
        <w:t xml:space="preserve">Rossi, R., Socci, V., Pacitti, F., Di Lorenzo, G., Di Marco, A., </w:t>
      </w:r>
      <w:proofErr w:type="spellStart"/>
      <w:r>
        <w:t>Siracusano</w:t>
      </w:r>
      <w:proofErr w:type="spellEnd"/>
      <w:r>
        <w:t xml:space="preserve">, A. and Rossi, A. (2020) ‘Mental health outcomes among frontline and second-line health care workers during the coronavirus disease 2019 (COVID-19) pandemic in Italy’, </w:t>
      </w:r>
      <w:r>
        <w:rPr>
          <w:rStyle w:val="Emphasis"/>
          <w:rFonts w:eastAsiaTheme="majorEastAsia"/>
        </w:rPr>
        <w:t>JAMA Network Open</w:t>
      </w:r>
      <w:r>
        <w:t>, 3(5), e2010185.</w:t>
      </w:r>
    </w:p>
    <w:p w14:paraId="56229C99" w14:textId="77777777" w:rsidR="0063542E" w:rsidRDefault="0063542E" w:rsidP="0063542E">
      <w:pPr>
        <w:pStyle w:val="NormalWeb"/>
      </w:pPr>
      <w:r>
        <w:t xml:space="preserve">Shanafelt, T., Ripp, J. and </w:t>
      </w:r>
      <w:proofErr w:type="spellStart"/>
      <w:r>
        <w:t>Trockel</w:t>
      </w:r>
      <w:proofErr w:type="spellEnd"/>
      <w:r>
        <w:t xml:space="preserve">, M. (2020) ‘Understanding and addressing sources of anxiety among healthcare professionals during the COVID-19 pandemic’, </w:t>
      </w:r>
      <w:r>
        <w:rPr>
          <w:rStyle w:val="Emphasis"/>
          <w:rFonts w:eastAsiaTheme="majorEastAsia"/>
        </w:rPr>
        <w:t>JAMA</w:t>
      </w:r>
      <w:r>
        <w:t>, 323(21), pp.2133–2134.</w:t>
      </w:r>
    </w:p>
    <w:p w14:paraId="08DE839C" w14:textId="77777777" w:rsidR="0063542E" w:rsidRDefault="0063542E" w:rsidP="0063542E">
      <w:pPr>
        <w:pStyle w:val="NormalWeb"/>
      </w:pPr>
      <w:r>
        <w:t xml:space="preserve">Shaukat, N., Ali, D.M. and Razzak, J. (2020) ‘Physical and mental health impacts of COVID-19 on healthcare workers: a scoping review’, </w:t>
      </w:r>
      <w:r>
        <w:rPr>
          <w:rStyle w:val="Emphasis"/>
          <w:rFonts w:eastAsiaTheme="majorEastAsia"/>
        </w:rPr>
        <w:t>International Journal of Emergency Medicine</w:t>
      </w:r>
      <w:r>
        <w:t>, 13(1), 40.</w:t>
      </w:r>
    </w:p>
    <w:p w14:paraId="5B6BABF8" w14:textId="77777777" w:rsidR="0063542E" w:rsidRDefault="0063542E" w:rsidP="0063542E">
      <w:pPr>
        <w:pStyle w:val="NormalWeb"/>
      </w:pPr>
      <w:r>
        <w:t xml:space="preserve">Shechter, A., Diaz, F., Moise, N., Anstey, D.E., Ye, S., Agarwal, S., Birk, J.L., Brodie, D., Cannone, D.E., Chang, B., Claassen, J., Cornelius, T., Derby, L., Dong, M., Givens, R.C., Hochman, B., Homma, S., Kronish, I.M., Lee, S.A.J., Manzano, W., Mayer, L.E.S., </w:t>
      </w:r>
      <w:r>
        <w:lastRenderedPageBreak/>
        <w:t xml:space="preserve">McMurry, C.L., Moitra, V., Pham, P., Rabbani, L., Rivera, R.R., Schwartz, A., Schwartz, J.E., Shalev, V., Shaw, K., Sullivan, A.M., Vose, C., Wasson, L., Edmondson, D. and Abdalla, M. (2020) ‘Psychological distress, coping behaviours, and preferences for support among New York healthcare workers during the COVID-19 pandemic’, </w:t>
      </w:r>
      <w:r>
        <w:rPr>
          <w:rStyle w:val="Emphasis"/>
          <w:rFonts w:eastAsiaTheme="majorEastAsia"/>
        </w:rPr>
        <w:t>General Hospital Psychiatry</w:t>
      </w:r>
      <w:r>
        <w:t>, 66, pp.1–8.</w:t>
      </w:r>
    </w:p>
    <w:p w14:paraId="4CB1410E" w14:textId="77777777" w:rsidR="0063542E" w:rsidRDefault="0063542E" w:rsidP="0063542E">
      <w:pPr>
        <w:pStyle w:val="NormalWeb"/>
      </w:pPr>
      <w:r>
        <w:t xml:space="preserve">Spoorthy, M.S., Pratapa, S.K. and Mahant, S. (2020) ‘Mental health problems faced by healthcare workers due to the COVID-19 pandemic – a review’, </w:t>
      </w:r>
      <w:r>
        <w:rPr>
          <w:rStyle w:val="Emphasis"/>
          <w:rFonts w:eastAsiaTheme="majorEastAsia"/>
        </w:rPr>
        <w:t>Asian Journal of Psychiatry</w:t>
      </w:r>
      <w:r>
        <w:t>, 51, 102119.</w:t>
      </w:r>
    </w:p>
    <w:p w14:paraId="47198882" w14:textId="77777777" w:rsidR="0063542E" w:rsidRDefault="0063542E" w:rsidP="0063542E">
      <w:pPr>
        <w:pStyle w:val="NormalWeb"/>
      </w:pPr>
      <w:r>
        <w:t xml:space="preserve">West, C.P., Dyrbye, L.N. and Shanafelt, T.D. (2018) ‘Physician burnout: contributors, consequences and solutions’, </w:t>
      </w:r>
      <w:r>
        <w:rPr>
          <w:rStyle w:val="Emphasis"/>
          <w:rFonts w:eastAsiaTheme="majorEastAsia"/>
        </w:rPr>
        <w:t>Journal of Internal Medicine</w:t>
      </w:r>
      <w:r>
        <w:t>, 283(6), pp.516–529.</w:t>
      </w:r>
    </w:p>
    <w:p w14:paraId="3996B593" w14:textId="77777777" w:rsidR="0063542E" w:rsidRDefault="0063542E" w:rsidP="0063542E">
      <w:pPr>
        <w:pStyle w:val="NormalWeb"/>
      </w:pPr>
      <w:r>
        <w:t xml:space="preserve">World Health Organization (2020) </w:t>
      </w:r>
      <w:r>
        <w:rPr>
          <w:rStyle w:val="Emphasis"/>
          <w:rFonts w:eastAsiaTheme="majorEastAsia"/>
        </w:rPr>
        <w:t>Mental health and psychosocial considerations during the COVID-19 outbreak</w:t>
      </w:r>
      <w:r>
        <w:t xml:space="preserve">. Geneva: WHO. Available at: </w:t>
      </w:r>
      <w:hyperlink r:id="rId6" w:tgtFrame="_new" w:history="1">
        <w:r>
          <w:rPr>
            <w:rStyle w:val="Hyperlink"/>
            <w:rFonts w:eastAsiaTheme="majorEastAsia"/>
          </w:rPr>
          <w:t>https://www.who.int/docs/default-source/coronaviruse/mental-health-considerations.pdf</w:t>
        </w:r>
      </w:hyperlink>
      <w:r>
        <w:t xml:space="preserve"> [Accessed 8 September 2025].</w:t>
      </w:r>
    </w:p>
    <w:p w14:paraId="65C093C7" w14:textId="77777777" w:rsidR="0063542E" w:rsidRDefault="0063542E" w:rsidP="0063542E">
      <w:pPr>
        <w:pStyle w:val="NormalWeb"/>
      </w:pPr>
      <w:r>
        <w:t xml:space="preserve">Wu, T., Jia, X., Shi, H., Niu, J., Yin, X., Xie, J. and Wang, X. (2020) ‘Prevalence of mental health problems during the COVID-19 pandemic: a systematic review and meta-analysis’, </w:t>
      </w:r>
      <w:r>
        <w:rPr>
          <w:rStyle w:val="Emphasis"/>
          <w:rFonts w:eastAsiaTheme="majorEastAsia"/>
        </w:rPr>
        <w:t>Journal of Affective Disorders</w:t>
      </w:r>
      <w:r>
        <w:t>, 281, pp.91–98.</w:t>
      </w:r>
    </w:p>
    <w:p w14:paraId="27F22F28" w14:textId="77777777" w:rsidR="0063542E" w:rsidRDefault="0063542E" w:rsidP="0063542E">
      <w:pPr>
        <w:pStyle w:val="NormalWeb"/>
      </w:pPr>
      <w:r>
        <w:t xml:space="preserve">Zhang, C., Yang, L., Liu, S., Ma, S., Wang, Y., Cai, Z., Du, H., Li, R., Kang, L., Su, M., Zhang, J., Liu, Z. and Zhang, B. (2020) ‘Survey of insomnia and related social psychological factors among medical staff involved in the 2019 novel coronavirus disease outbreak’, </w:t>
      </w:r>
      <w:r>
        <w:rPr>
          <w:rStyle w:val="Emphasis"/>
          <w:rFonts w:eastAsiaTheme="majorEastAsia"/>
        </w:rPr>
        <w:t>Frontiers in Psychiatry</w:t>
      </w:r>
      <w:r>
        <w:t>, 11, 306.</w:t>
      </w:r>
    </w:p>
    <w:p w14:paraId="334AF123" w14:textId="77777777" w:rsidR="00B528A0" w:rsidRDefault="00B528A0" w:rsidP="00B528A0">
      <w:pPr>
        <w:pStyle w:val="NormalWeb"/>
      </w:pPr>
      <w:r>
        <w:rPr>
          <w:rFonts w:hAnsi="Symbol"/>
        </w:rPr>
        <w:t></w:t>
      </w:r>
      <w:r>
        <w:t xml:space="preserve">  Brooks, S.K., Webster, R.K., Smith, L.E., Woodland, L., Wessely, S., Greenberg, N. and Rubin, G.J. (2020) ‘The psychological impact of quarantine and how to reduce it: rapid review of the evidence’, </w:t>
      </w:r>
      <w:r>
        <w:rPr>
          <w:rStyle w:val="Emphasis"/>
          <w:rFonts w:eastAsiaTheme="majorEastAsia"/>
        </w:rPr>
        <w:t>The Lancet</w:t>
      </w:r>
      <w:r>
        <w:t>, 395(10227), pp.912–920.</w:t>
      </w:r>
    </w:p>
    <w:p w14:paraId="5D119777" w14:textId="77777777" w:rsidR="00B528A0" w:rsidRDefault="00B528A0" w:rsidP="00B528A0">
      <w:pPr>
        <w:pStyle w:val="NormalWeb"/>
      </w:pPr>
      <w:r>
        <w:rPr>
          <w:rFonts w:hAnsi="Symbol"/>
        </w:rPr>
        <w:t></w:t>
      </w:r>
      <w:r>
        <w:t xml:space="preserve">  Shanafelt, T., Ripp, J. and </w:t>
      </w:r>
      <w:proofErr w:type="spellStart"/>
      <w:r>
        <w:t>Trockel</w:t>
      </w:r>
      <w:proofErr w:type="spellEnd"/>
      <w:r>
        <w:t xml:space="preserve">, M. (2020) ‘Understanding and addressing sources of anxiety among healthcare professionals during the COVID-19 pandemic’, </w:t>
      </w:r>
      <w:r>
        <w:rPr>
          <w:rStyle w:val="Emphasis"/>
          <w:rFonts w:eastAsiaTheme="majorEastAsia"/>
        </w:rPr>
        <w:t>JAMA</w:t>
      </w:r>
      <w:r>
        <w:t>, 323(21), pp.2133–2134.</w:t>
      </w:r>
    </w:p>
    <w:p w14:paraId="06ECA293" w14:textId="77777777" w:rsidR="00B528A0" w:rsidRDefault="00B528A0" w:rsidP="00B528A0">
      <w:pPr>
        <w:pStyle w:val="NormalWeb"/>
      </w:pPr>
      <w:r>
        <w:rPr>
          <w:rFonts w:hAnsi="Symbol"/>
        </w:rPr>
        <w:t></w:t>
      </w:r>
      <w:r>
        <w:t xml:space="preserve">  West, C.P., Dyrbye, L.N. and Shanafelt, T.D. (2018) ‘Physician burnout: contributors, consequences and solutions’, </w:t>
      </w:r>
      <w:r>
        <w:rPr>
          <w:rStyle w:val="Emphasis"/>
          <w:rFonts w:eastAsiaTheme="majorEastAsia"/>
        </w:rPr>
        <w:t>Journal of Internal Medicine</w:t>
      </w:r>
      <w:r>
        <w:t>, 283(6), pp.516–529.</w:t>
      </w:r>
    </w:p>
    <w:p w14:paraId="0ADD6426" w14:textId="77777777" w:rsidR="00AE4FDC" w:rsidRPr="00E3462C" w:rsidRDefault="00AE4FDC" w:rsidP="00AE4FDC">
      <w:pPr>
        <w:numPr>
          <w:ilvl w:val="0"/>
          <w:numId w:val="2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3462C">
        <w:rPr>
          <w:rFonts w:ascii="Times New Roman" w:eastAsia="Times New Roman" w:hAnsi="Times New Roman" w:cs="Times New Roman"/>
          <w:kern w:val="0"/>
          <w:lang w:eastAsia="en-GB"/>
          <w14:ligatures w14:val="none"/>
        </w:rPr>
        <w:t xml:space="preserve">Buchanan, T.W., Lawrie, S.M. and Power, M.J. (2020) ‘Stigma and healthcare workers during the COVID-19 pandemic: a rapid review’, </w:t>
      </w:r>
      <w:r w:rsidRPr="00E3462C">
        <w:rPr>
          <w:rFonts w:ascii="Times New Roman" w:eastAsia="Times New Roman" w:hAnsi="Times New Roman" w:cs="Times New Roman"/>
          <w:i/>
          <w:iCs/>
          <w:kern w:val="0"/>
          <w:lang w:eastAsia="en-GB"/>
          <w14:ligatures w14:val="none"/>
        </w:rPr>
        <w:t>Journal of Health Psychology</w:t>
      </w:r>
      <w:r w:rsidRPr="00E3462C">
        <w:rPr>
          <w:rFonts w:ascii="Times New Roman" w:eastAsia="Times New Roman" w:hAnsi="Times New Roman" w:cs="Times New Roman"/>
          <w:kern w:val="0"/>
          <w:lang w:eastAsia="en-GB"/>
          <w14:ligatures w14:val="none"/>
        </w:rPr>
        <w:t>, 25(12), pp.1731–1745.</w:t>
      </w:r>
    </w:p>
    <w:p w14:paraId="6A57B0A9" w14:textId="77777777" w:rsidR="00AE4FDC" w:rsidRPr="00E3462C" w:rsidRDefault="00AE4FDC" w:rsidP="00AE4FDC">
      <w:pPr>
        <w:numPr>
          <w:ilvl w:val="0"/>
          <w:numId w:val="2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3462C">
        <w:rPr>
          <w:rFonts w:ascii="Times New Roman" w:eastAsia="Times New Roman" w:hAnsi="Times New Roman" w:cs="Times New Roman"/>
          <w:kern w:val="0"/>
          <w:lang w:eastAsia="en-GB"/>
          <w14:ligatures w14:val="none"/>
        </w:rPr>
        <w:t xml:space="preserve">Brooks, S.K., Webster, R.K., Smith, L.E., Woodland, L., Wessely, S., Greenberg, N. and Rubin, G.J. (2020) ‘The psychological impact of quarantine and how to reduce it: rapid review of the evidence’, </w:t>
      </w:r>
      <w:r w:rsidRPr="00E3462C">
        <w:rPr>
          <w:rFonts w:ascii="Times New Roman" w:eastAsia="Times New Roman" w:hAnsi="Times New Roman" w:cs="Times New Roman"/>
          <w:i/>
          <w:iCs/>
          <w:kern w:val="0"/>
          <w:lang w:eastAsia="en-GB"/>
          <w14:ligatures w14:val="none"/>
        </w:rPr>
        <w:t>The Lancet</w:t>
      </w:r>
      <w:r w:rsidRPr="00E3462C">
        <w:rPr>
          <w:rFonts w:ascii="Times New Roman" w:eastAsia="Times New Roman" w:hAnsi="Times New Roman" w:cs="Times New Roman"/>
          <w:kern w:val="0"/>
          <w:lang w:eastAsia="en-GB"/>
          <w14:ligatures w14:val="none"/>
        </w:rPr>
        <w:t>, 395(10227), pp.912–920.</w:t>
      </w:r>
    </w:p>
    <w:p w14:paraId="41213FB3" w14:textId="77777777" w:rsidR="00AE4FDC" w:rsidRPr="00E3462C" w:rsidRDefault="00AE4FDC" w:rsidP="00AE4FDC">
      <w:pPr>
        <w:numPr>
          <w:ilvl w:val="0"/>
          <w:numId w:val="2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3462C">
        <w:rPr>
          <w:rFonts w:ascii="Times New Roman" w:eastAsia="Times New Roman" w:hAnsi="Times New Roman" w:cs="Times New Roman"/>
          <w:kern w:val="0"/>
          <w:lang w:eastAsia="en-GB"/>
          <w14:ligatures w14:val="none"/>
        </w:rPr>
        <w:t xml:space="preserve">Greenberg, N., Docherty, M., Gnanapragasam, S. and Wessely, S. (2020) ‘Managing mental health challenges faced by healthcare workers during COVID-19 pandemic’, </w:t>
      </w:r>
      <w:r w:rsidRPr="00E3462C">
        <w:rPr>
          <w:rFonts w:ascii="Times New Roman" w:eastAsia="Times New Roman" w:hAnsi="Times New Roman" w:cs="Times New Roman"/>
          <w:i/>
          <w:iCs/>
          <w:kern w:val="0"/>
          <w:lang w:eastAsia="en-GB"/>
          <w14:ligatures w14:val="none"/>
        </w:rPr>
        <w:t>BMJ</w:t>
      </w:r>
      <w:r w:rsidRPr="00E3462C">
        <w:rPr>
          <w:rFonts w:ascii="Times New Roman" w:eastAsia="Times New Roman" w:hAnsi="Times New Roman" w:cs="Times New Roman"/>
          <w:kern w:val="0"/>
          <w:lang w:eastAsia="en-GB"/>
          <w14:ligatures w14:val="none"/>
        </w:rPr>
        <w:t>, 368, m1211.</w:t>
      </w:r>
    </w:p>
    <w:p w14:paraId="33959CFB" w14:textId="77777777" w:rsidR="00AE4FDC" w:rsidRPr="00E3462C" w:rsidRDefault="00AE4FDC" w:rsidP="00AE4FDC">
      <w:pPr>
        <w:numPr>
          <w:ilvl w:val="0"/>
          <w:numId w:val="2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3462C">
        <w:rPr>
          <w:rFonts w:ascii="Times New Roman" w:eastAsia="Times New Roman" w:hAnsi="Times New Roman" w:cs="Times New Roman"/>
          <w:kern w:val="0"/>
          <w:lang w:eastAsia="en-GB"/>
          <w14:ligatures w14:val="none"/>
        </w:rPr>
        <w:t xml:space="preserve">Shanafelt, T., Ripp, J. and </w:t>
      </w:r>
      <w:proofErr w:type="spellStart"/>
      <w:r w:rsidRPr="00E3462C">
        <w:rPr>
          <w:rFonts w:ascii="Times New Roman" w:eastAsia="Times New Roman" w:hAnsi="Times New Roman" w:cs="Times New Roman"/>
          <w:kern w:val="0"/>
          <w:lang w:eastAsia="en-GB"/>
          <w14:ligatures w14:val="none"/>
        </w:rPr>
        <w:t>Trockel</w:t>
      </w:r>
      <w:proofErr w:type="spellEnd"/>
      <w:r w:rsidRPr="00E3462C">
        <w:rPr>
          <w:rFonts w:ascii="Times New Roman" w:eastAsia="Times New Roman" w:hAnsi="Times New Roman" w:cs="Times New Roman"/>
          <w:kern w:val="0"/>
          <w:lang w:eastAsia="en-GB"/>
          <w14:ligatures w14:val="none"/>
        </w:rPr>
        <w:t xml:space="preserve">, M. (2020) ‘Understanding and addressing sources of anxiety among healthcare professionals during the COVID-19 pandemic’, </w:t>
      </w:r>
      <w:r w:rsidRPr="00E3462C">
        <w:rPr>
          <w:rFonts w:ascii="Times New Roman" w:eastAsia="Times New Roman" w:hAnsi="Times New Roman" w:cs="Times New Roman"/>
          <w:i/>
          <w:iCs/>
          <w:kern w:val="0"/>
          <w:lang w:eastAsia="en-GB"/>
          <w14:ligatures w14:val="none"/>
        </w:rPr>
        <w:t>JAMA</w:t>
      </w:r>
      <w:r w:rsidRPr="00E3462C">
        <w:rPr>
          <w:rFonts w:ascii="Times New Roman" w:eastAsia="Times New Roman" w:hAnsi="Times New Roman" w:cs="Times New Roman"/>
          <w:kern w:val="0"/>
          <w:lang w:eastAsia="en-GB"/>
          <w14:ligatures w14:val="none"/>
        </w:rPr>
        <w:t>, 323(21), pp.2133–2134.</w:t>
      </w:r>
    </w:p>
    <w:p w14:paraId="0DB412B1" w14:textId="77777777" w:rsidR="00AE4FDC" w:rsidRPr="00E3462C" w:rsidRDefault="00AE4FDC" w:rsidP="00AE4FDC">
      <w:pPr>
        <w:numPr>
          <w:ilvl w:val="0"/>
          <w:numId w:val="2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3462C">
        <w:rPr>
          <w:rFonts w:ascii="Times New Roman" w:eastAsia="Times New Roman" w:hAnsi="Times New Roman" w:cs="Times New Roman"/>
          <w:kern w:val="0"/>
          <w:lang w:eastAsia="en-GB"/>
          <w14:ligatures w14:val="none"/>
        </w:rPr>
        <w:lastRenderedPageBreak/>
        <w:t xml:space="preserve">Shaukat, N., Ali, D.M. and Razzak, J. (2020) ‘Physical and mental health impacts of COVID-19 on healthcare workers: a scoping review’, </w:t>
      </w:r>
      <w:r w:rsidRPr="00E3462C">
        <w:rPr>
          <w:rFonts w:ascii="Times New Roman" w:eastAsia="Times New Roman" w:hAnsi="Times New Roman" w:cs="Times New Roman"/>
          <w:i/>
          <w:iCs/>
          <w:kern w:val="0"/>
          <w:lang w:eastAsia="en-GB"/>
          <w14:ligatures w14:val="none"/>
        </w:rPr>
        <w:t>International Journal of Emergency Medicine</w:t>
      </w:r>
      <w:r w:rsidRPr="00E3462C">
        <w:rPr>
          <w:rFonts w:ascii="Times New Roman" w:eastAsia="Times New Roman" w:hAnsi="Times New Roman" w:cs="Times New Roman"/>
          <w:kern w:val="0"/>
          <w:lang w:eastAsia="en-GB"/>
          <w14:ligatures w14:val="none"/>
        </w:rPr>
        <w:t>, 13(1), 40.</w:t>
      </w:r>
    </w:p>
    <w:p w14:paraId="503DCB0B" w14:textId="77777777" w:rsidR="00AE4FDC" w:rsidRPr="00E3462C" w:rsidRDefault="00AE4FDC" w:rsidP="00AE4FDC">
      <w:pPr>
        <w:numPr>
          <w:ilvl w:val="0"/>
          <w:numId w:val="2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3462C">
        <w:rPr>
          <w:rFonts w:ascii="Times New Roman" w:eastAsia="Times New Roman" w:hAnsi="Times New Roman" w:cs="Times New Roman"/>
          <w:kern w:val="0"/>
          <w:lang w:eastAsia="en-GB"/>
          <w14:ligatures w14:val="none"/>
        </w:rPr>
        <w:t xml:space="preserve">West, C.P., Dyrbye, L.N. and Shanafelt, T.D. (2018) ‘Physician burnout: contributors, consequences and solutions’, </w:t>
      </w:r>
      <w:r w:rsidRPr="00E3462C">
        <w:rPr>
          <w:rFonts w:ascii="Times New Roman" w:eastAsia="Times New Roman" w:hAnsi="Times New Roman" w:cs="Times New Roman"/>
          <w:i/>
          <w:iCs/>
          <w:kern w:val="0"/>
          <w:lang w:eastAsia="en-GB"/>
          <w14:ligatures w14:val="none"/>
        </w:rPr>
        <w:t>Journal of Internal Medicine</w:t>
      </w:r>
      <w:r w:rsidRPr="00E3462C">
        <w:rPr>
          <w:rFonts w:ascii="Times New Roman" w:eastAsia="Times New Roman" w:hAnsi="Times New Roman" w:cs="Times New Roman"/>
          <w:kern w:val="0"/>
          <w:lang w:eastAsia="en-GB"/>
          <w14:ligatures w14:val="none"/>
        </w:rPr>
        <w:t>, 283(6), pp.516–529.</w:t>
      </w:r>
    </w:p>
    <w:p w14:paraId="6DA34E6B" w14:textId="77777777" w:rsidR="00AE4FDC" w:rsidRDefault="00AE4FDC" w:rsidP="00AE4FDC">
      <w:pPr>
        <w:numPr>
          <w:ilvl w:val="0"/>
          <w:numId w:val="2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3462C">
        <w:rPr>
          <w:rFonts w:ascii="Times New Roman" w:eastAsia="Times New Roman" w:hAnsi="Times New Roman" w:cs="Times New Roman"/>
          <w:kern w:val="0"/>
          <w:lang w:eastAsia="en-GB"/>
          <w14:ligatures w14:val="none"/>
        </w:rPr>
        <w:t xml:space="preserve">World Health Organization (2020) </w:t>
      </w:r>
      <w:r w:rsidRPr="00E3462C">
        <w:rPr>
          <w:rFonts w:ascii="Times New Roman" w:eastAsia="Times New Roman" w:hAnsi="Times New Roman" w:cs="Times New Roman"/>
          <w:i/>
          <w:iCs/>
          <w:kern w:val="0"/>
          <w:lang w:eastAsia="en-GB"/>
          <w14:ligatures w14:val="none"/>
        </w:rPr>
        <w:t>Mental health and psychosocial considerations during the COVID-19 outbreak</w:t>
      </w:r>
      <w:r w:rsidRPr="00E3462C">
        <w:rPr>
          <w:rFonts w:ascii="Times New Roman" w:eastAsia="Times New Roman" w:hAnsi="Times New Roman" w:cs="Times New Roman"/>
          <w:kern w:val="0"/>
          <w:lang w:eastAsia="en-GB"/>
          <w14:ligatures w14:val="none"/>
        </w:rPr>
        <w:t>. Geneva: WHO.</w:t>
      </w:r>
    </w:p>
    <w:p w14:paraId="24F42373" w14:textId="77777777" w:rsidR="000E744E" w:rsidRDefault="000E744E" w:rsidP="000E744E">
      <w:pPr>
        <w:pStyle w:val="NormalWeb"/>
      </w:pPr>
      <w:r>
        <w:rPr>
          <w:rFonts w:hAnsi="Symbol"/>
        </w:rPr>
        <w:t></w:t>
      </w:r>
      <w:r>
        <w:t xml:space="preserve">  Buchanan, T.W., Lawrie, S.M. and Power, M.J. (2020) ‘Stigma and healthcare workers during the COVID-19 pandemic: a rapid review’, </w:t>
      </w:r>
      <w:r>
        <w:rPr>
          <w:rStyle w:val="Emphasis"/>
          <w:rFonts w:eastAsiaTheme="majorEastAsia"/>
        </w:rPr>
        <w:t>Journal of Health Psychology</w:t>
      </w:r>
      <w:r>
        <w:t>, 25(12), pp.1731–1745.</w:t>
      </w:r>
    </w:p>
    <w:p w14:paraId="4500AB0C" w14:textId="77777777" w:rsidR="000E744E" w:rsidRDefault="000E744E" w:rsidP="000E744E">
      <w:pPr>
        <w:pStyle w:val="NormalWeb"/>
      </w:pPr>
      <w:r>
        <w:rPr>
          <w:rFonts w:hAnsi="Symbol"/>
        </w:rPr>
        <w:t></w:t>
      </w:r>
      <w:r>
        <w:t xml:space="preserve">  Cabarkapa, S., </w:t>
      </w:r>
      <w:proofErr w:type="spellStart"/>
      <w:r>
        <w:t>Nadjidai</w:t>
      </w:r>
      <w:proofErr w:type="spellEnd"/>
      <w:r>
        <w:t xml:space="preserve">, S.E., Murgier, J. and Ng, C.H. (2020) ‘The psychological impact of COVID-19 and other viral epidemics on frontline healthcare workers and ways to address it: a rapid systematic review’, </w:t>
      </w:r>
      <w:r>
        <w:rPr>
          <w:rStyle w:val="Emphasis"/>
          <w:rFonts w:eastAsiaTheme="majorEastAsia"/>
        </w:rPr>
        <w:t xml:space="preserve">Brain, </w:t>
      </w:r>
      <w:proofErr w:type="spellStart"/>
      <w:r>
        <w:rPr>
          <w:rStyle w:val="Emphasis"/>
          <w:rFonts w:eastAsiaTheme="majorEastAsia"/>
        </w:rPr>
        <w:t>Behavior</w:t>
      </w:r>
      <w:proofErr w:type="spellEnd"/>
      <w:r>
        <w:rPr>
          <w:rStyle w:val="Emphasis"/>
          <w:rFonts w:eastAsiaTheme="majorEastAsia"/>
        </w:rPr>
        <w:t>, &amp; Immunity – Health</w:t>
      </w:r>
      <w:r>
        <w:t>, 8, 100144.</w:t>
      </w:r>
    </w:p>
    <w:p w14:paraId="45AED502" w14:textId="77777777" w:rsidR="000E744E" w:rsidRDefault="000E744E" w:rsidP="000E744E">
      <w:pPr>
        <w:pStyle w:val="NormalWeb"/>
      </w:pPr>
      <w:r>
        <w:rPr>
          <w:rFonts w:hAnsi="Symbol"/>
        </w:rPr>
        <w:t></w:t>
      </w:r>
      <w:r>
        <w:t xml:space="preserve">  </w:t>
      </w:r>
      <w:proofErr w:type="spellStart"/>
      <w:r>
        <w:t>Chekroud</w:t>
      </w:r>
      <w:proofErr w:type="spellEnd"/>
      <w:r>
        <w:t xml:space="preserve">, S.R., Gueorguieva, R., </w:t>
      </w:r>
      <w:proofErr w:type="spellStart"/>
      <w:r>
        <w:t>Zheutlin</w:t>
      </w:r>
      <w:proofErr w:type="spellEnd"/>
      <w:r>
        <w:t xml:space="preserve">, A.B., Paulus, M., Krumholz, H.M., Krystal, J.H. and </w:t>
      </w:r>
      <w:proofErr w:type="spellStart"/>
      <w:r>
        <w:t>Chekroud</w:t>
      </w:r>
      <w:proofErr w:type="spellEnd"/>
      <w:r>
        <w:t xml:space="preserve">, A.M. (2018) ‘Association between physical exercise and mental health in 1.2 million individuals in the USA between 2011 and 2015: a cross-sectional study’, </w:t>
      </w:r>
      <w:r>
        <w:rPr>
          <w:rStyle w:val="Emphasis"/>
          <w:rFonts w:eastAsiaTheme="majorEastAsia"/>
        </w:rPr>
        <w:t>The Lancet Psychiatry</w:t>
      </w:r>
      <w:r>
        <w:t>, 5(9), pp.739–746.</w:t>
      </w:r>
    </w:p>
    <w:p w14:paraId="5F2E8BE9" w14:textId="77777777" w:rsidR="000E744E" w:rsidRDefault="000E744E" w:rsidP="000E744E">
      <w:pPr>
        <w:pStyle w:val="NormalWeb"/>
      </w:pPr>
      <w:r>
        <w:rPr>
          <w:rFonts w:hAnsi="Symbol"/>
        </w:rPr>
        <w:t></w:t>
      </w:r>
      <w:r>
        <w:t xml:space="preserve">  Frewen, P.A., Rogers, N. and Lanius, R.A. (2020) ‘Mindfulness and meditation for trauma-related dissociation and post-traumatic stress disorder: theoretical and neurophysiological perspectives’, </w:t>
      </w:r>
      <w:r>
        <w:rPr>
          <w:rStyle w:val="Emphasis"/>
          <w:rFonts w:eastAsiaTheme="majorEastAsia"/>
        </w:rPr>
        <w:t>Frontiers in Psychology</w:t>
      </w:r>
      <w:r>
        <w:t>, 11, 172.</w:t>
      </w:r>
    </w:p>
    <w:p w14:paraId="17BA4FD9" w14:textId="77777777" w:rsidR="000E744E" w:rsidRDefault="000E744E" w:rsidP="000E744E">
      <w:pPr>
        <w:pStyle w:val="NormalWeb"/>
      </w:pPr>
      <w:r>
        <w:rPr>
          <w:rFonts w:hAnsi="Symbol"/>
        </w:rPr>
        <w:t></w:t>
      </w:r>
      <w:r>
        <w:t xml:space="preserve">  Greenberg, N., Docherty, M., Gnanapragasam, S. and Wessely, S. (2020) ‘Managing mental health challenges faced by healthcare workers during COVID-19 pandemic’, </w:t>
      </w:r>
      <w:r>
        <w:rPr>
          <w:rStyle w:val="Emphasis"/>
          <w:rFonts w:eastAsiaTheme="majorEastAsia"/>
        </w:rPr>
        <w:t>BMJ</w:t>
      </w:r>
      <w:r>
        <w:t>, 368, m1211.</w:t>
      </w:r>
    </w:p>
    <w:p w14:paraId="61960861" w14:textId="77777777" w:rsidR="000E744E" w:rsidRDefault="000E744E" w:rsidP="000E744E">
      <w:pPr>
        <w:pStyle w:val="NormalWeb"/>
      </w:pPr>
      <w:r>
        <w:rPr>
          <w:rFonts w:hAnsi="Symbol"/>
        </w:rPr>
        <w:t></w:t>
      </w:r>
      <w:r>
        <w:t xml:space="preserve">  Lai, J., Ma, S., Wang, Y., Cai, Z., Hu, J., Wei, N., Wu, J., Du, H., Chen, T., Li, R., Tan, H., Kang, L., Yao, L., Huang, M., Wang, H., Wang, G., Liu, Z. and Hu, S. (2020) ‘Factors associated with mental health outcomes among healthcare workers exposed to coronavirus disease 2019’, </w:t>
      </w:r>
      <w:r>
        <w:rPr>
          <w:rStyle w:val="Emphasis"/>
          <w:rFonts w:eastAsiaTheme="majorEastAsia"/>
        </w:rPr>
        <w:t>JAMA Network Open</w:t>
      </w:r>
      <w:r>
        <w:t>, 3(3), e203976.</w:t>
      </w:r>
    </w:p>
    <w:p w14:paraId="53CC5531" w14:textId="77777777" w:rsidR="000E744E" w:rsidRDefault="000E744E" w:rsidP="000E744E">
      <w:pPr>
        <w:pStyle w:val="NormalWeb"/>
      </w:pPr>
      <w:r>
        <w:rPr>
          <w:rFonts w:hAnsi="Symbol"/>
        </w:rPr>
        <w:t></w:t>
      </w:r>
      <w:r>
        <w:t xml:space="preserve">  Morgantini, L.A., Naha, U., Wang, H., Francavilla, S., Acar, Ö., Flores, J.M., Crivellaro, S., Moreira, D., Abern, M., Eklund, M., Vigneswaran, H.T. and Weine, S.M. (2020) ‘Factors contributing to healthcare professional burnout during the COVID-19 pandemic: a rapid turnaround global survey’, </w:t>
      </w:r>
      <w:proofErr w:type="spellStart"/>
      <w:r>
        <w:rPr>
          <w:rStyle w:val="Emphasis"/>
          <w:rFonts w:eastAsiaTheme="majorEastAsia"/>
        </w:rPr>
        <w:t>PLoS</w:t>
      </w:r>
      <w:proofErr w:type="spellEnd"/>
      <w:r>
        <w:rPr>
          <w:rStyle w:val="Emphasis"/>
          <w:rFonts w:eastAsiaTheme="majorEastAsia"/>
        </w:rPr>
        <w:t xml:space="preserve"> ONE</w:t>
      </w:r>
      <w:r>
        <w:t>, 15(9), e0238217.</w:t>
      </w:r>
    </w:p>
    <w:p w14:paraId="60ED1E7A" w14:textId="77777777" w:rsidR="000E744E" w:rsidRDefault="000E744E" w:rsidP="000E744E">
      <w:pPr>
        <w:pStyle w:val="NormalWeb"/>
      </w:pPr>
      <w:r>
        <w:rPr>
          <w:rFonts w:hAnsi="Symbol"/>
        </w:rPr>
        <w:t></w:t>
      </w:r>
      <w:r>
        <w:t xml:space="preserve">  Rossi, R., Socci, V., Pacitti, F., Di Lorenzo, G., Di Marco, A., </w:t>
      </w:r>
      <w:proofErr w:type="spellStart"/>
      <w:r>
        <w:t>Siracusano</w:t>
      </w:r>
      <w:proofErr w:type="spellEnd"/>
      <w:r>
        <w:t xml:space="preserve">, A. and Rossi, A. (2020) ‘Mental health outcomes among frontline and second-line health care workers during the coronavirus disease 2019 (COVID-19) pandemic in Italy’, </w:t>
      </w:r>
      <w:r>
        <w:rPr>
          <w:rStyle w:val="Emphasis"/>
          <w:rFonts w:eastAsiaTheme="majorEastAsia"/>
        </w:rPr>
        <w:t>JAMA Network Open</w:t>
      </w:r>
      <w:r>
        <w:t>, 3(5), e2010185.</w:t>
      </w:r>
    </w:p>
    <w:p w14:paraId="03B71AD2" w14:textId="77777777" w:rsidR="000E744E" w:rsidRDefault="000E744E" w:rsidP="000E744E">
      <w:pPr>
        <w:pStyle w:val="NormalWeb"/>
      </w:pPr>
      <w:r>
        <w:rPr>
          <w:rFonts w:hAnsi="Symbol"/>
        </w:rPr>
        <w:t></w:t>
      </w:r>
      <w:r>
        <w:t xml:space="preserve">  Shanafelt, T., Ripp, J. and </w:t>
      </w:r>
      <w:proofErr w:type="spellStart"/>
      <w:r>
        <w:t>Trockel</w:t>
      </w:r>
      <w:proofErr w:type="spellEnd"/>
      <w:r>
        <w:t xml:space="preserve">, M. (2020) ‘Understanding and addressing sources of anxiety among healthcare professionals during the COVID-19 pandemic’, </w:t>
      </w:r>
      <w:r>
        <w:rPr>
          <w:rStyle w:val="Emphasis"/>
          <w:rFonts w:eastAsiaTheme="majorEastAsia"/>
        </w:rPr>
        <w:t>JAMA</w:t>
      </w:r>
      <w:r>
        <w:t>, 323(21), pp.2133–2134.</w:t>
      </w:r>
    </w:p>
    <w:p w14:paraId="228C9E5E" w14:textId="77777777" w:rsidR="000E744E" w:rsidRDefault="000E744E" w:rsidP="000E744E">
      <w:pPr>
        <w:pStyle w:val="NormalWeb"/>
      </w:pPr>
      <w:r>
        <w:rPr>
          <w:rFonts w:hAnsi="Symbol"/>
        </w:rPr>
        <w:lastRenderedPageBreak/>
        <w:t></w:t>
      </w:r>
      <w:r>
        <w:t xml:space="preserve">  Shaukat, N., Ali, D.M. and Razzak, J. (2020) ‘Physical and mental health impacts of COVID-19 on healthcare workers: a scoping review’, </w:t>
      </w:r>
      <w:r>
        <w:rPr>
          <w:rStyle w:val="Emphasis"/>
          <w:rFonts w:eastAsiaTheme="majorEastAsia"/>
        </w:rPr>
        <w:t>International Journal of Emergency Medicine</w:t>
      </w:r>
      <w:r>
        <w:t>, 13(1), 40.</w:t>
      </w:r>
    </w:p>
    <w:p w14:paraId="07A438D8" w14:textId="77777777" w:rsidR="000E744E" w:rsidRDefault="000E744E" w:rsidP="000E744E">
      <w:pPr>
        <w:pStyle w:val="NormalWeb"/>
      </w:pPr>
      <w:r>
        <w:rPr>
          <w:rFonts w:hAnsi="Symbol"/>
        </w:rPr>
        <w:t></w:t>
      </w:r>
      <w:r>
        <w:t xml:space="preserve">  Spoorthy, M.S., Pratapa, S.K. and Mahant, S. (2020) ‘Mental health problems faced by healthcare workers due to the COVID-19 pandemic – a review’, </w:t>
      </w:r>
      <w:r>
        <w:rPr>
          <w:rStyle w:val="Emphasis"/>
          <w:rFonts w:eastAsiaTheme="majorEastAsia"/>
        </w:rPr>
        <w:t>Asian Journal of Psychiatry</w:t>
      </w:r>
      <w:r>
        <w:t>, 51, 102119.</w:t>
      </w:r>
    </w:p>
    <w:p w14:paraId="42256EE4" w14:textId="77777777" w:rsidR="000E744E" w:rsidRDefault="000E744E" w:rsidP="000E744E">
      <w:pPr>
        <w:pStyle w:val="NormalWeb"/>
      </w:pPr>
      <w:r>
        <w:rPr>
          <w:rFonts w:hAnsi="Symbol"/>
        </w:rPr>
        <w:t></w:t>
      </w:r>
      <w:r>
        <w:t xml:space="preserve">  West, C.P., Dyrbye, L.N. and Shanafelt, T.D. (2018) ‘Physician burnout: contributors, consequences and solutions’, </w:t>
      </w:r>
      <w:r>
        <w:rPr>
          <w:rStyle w:val="Emphasis"/>
          <w:rFonts w:eastAsiaTheme="majorEastAsia"/>
        </w:rPr>
        <w:t>Journal of Internal Medicine</w:t>
      </w:r>
      <w:r>
        <w:t>, 283(6), pp.516–529.</w:t>
      </w:r>
    </w:p>
    <w:p w14:paraId="311BF20D" w14:textId="77777777" w:rsidR="000E744E" w:rsidRDefault="000E744E" w:rsidP="000E744E">
      <w:pPr>
        <w:pStyle w:val="NormalWeb"/>
      </w:pPr>
      <w:r>
        <w:rPr>
          <w:rFonts w:hAnsi="Symbol"/>
        </w:rPr>
        <w:t></w:t>
      </w:r>
      <w:r>
        <w:t xml:space="preserve">  Wu, T., Jia, X., Shi, H., Niu, J., Yin, X., Xie, J. and Wang, X. (2020) ‘Prevalence of mental health problems during the COVID-19 pandemic: a systematic review and meta-analysis’, </w:t>
      </w:r>
      <w:r>
        <w:rPr>
          <w:rStyle w:val="Emphasis"/>
          <w:rFonts w:eastAsiaTheme="majorEastAsia"/>
        </w:rPr>
        <w:t>Journal of Affective Disorders</w:t>
      </w:r>
      <w:r>
        <w:t>, 281, pp.91–98.</w:t>
      </w:r>
    </w:p>
    <w:p w14:paraId="1821B2AB" w14:textId="77777777" w:rsidR="000E744E" w:rsidRDefault="000E744E" w:rsidP="000E744E">
      <w:pPr>
        <w:pStyle w:val="NormalWeb"/>
      </w:pPr>
      <w:r>
        <w:rPr>
          <w:rFonts w:hAnsi="Symbol"/>
        </w:rPr>
        <w:t></w:t>
      </w:r>
      <w:r>
        <w:t xml:space="preserve">  Zhang, C., Yang, L., Liu, S., Ma, S., Wang, Y., Cai, Z., Du, H., Li, R., Kang, L., Su, M., Zhang, J., Liu, Z. and Zhang, B. (2020) ‘Survey of insomnia and related social psychological factors among medical staff involved in the 2019 novel coronavirus disease outbreak’, </w:t>
      </w:r>
      <w:r>
        <w:rPr>
          <w:rStyle w:val="Emphasis"/>
          <w:rFonts w:eastAsiaTheme="majorEastAsia"/>
        </w:rPr>
        <w:t>Frontiers in Psychiatry</w:t>
      </w:r>
      <w:r>
        <w:t>, 11, 306.</w:t>
      </w:r>
    </w:p>
    <w:p w14:paraId="5B38DBE4" w14:textId="77777777" w:rsidR="000E744E" w:rsidRPr="00E3462C" w:rsidRDefault="000E744E" w:rsidP="00AE4FDC">
      <w:pPr>
        <w:numPr>
          <w:ilvl w:val="0"/>
          <w:numId w:val="21"/>
        </w:numPr>
        <w:spacing w:before="100" w:beforeAutospacing="1" w:after="100" w:afterAutospacing="1" w:line="240" w:lineRule="auto"/>
        <w:rPr>
          <w:rFonts w:ascii="Times New Roman" w:eastAsia="Times New Roman" w:hAnsi="Times New Roman" w:cs="Times New Roman"/>
          <w:kern w:val="0"/>
          <w:lang w:eastAsia="en-GB"/>
          <w14:ligatures w14:val="none"/>
        </w:rPr>
      </w:pPr>
    </w:p>
    <w:p w14:paraId="273A8D11" w14:textId="77777777" w:rsidR="00AE4FDC" w:rsidRDefault="00AE4FDC" w:rsidP="00B528A0">
      <w:pPr>
        <w:pStyle w:val="NormalWeb"/>
      </w:pPr>
    </w:p>
    <w:p w14:paraId="1F3892CE" w14:textId="77777777" w:rsidR="00581A4D" w:rsidRDefault="00581A4D" w:rsidP="0063542E">
      <w:pPr>
        <w:pStyle w:val="NormalWeb"/>
      </w:pPr>
    </w:p>
    <w:p w14:paraId="3DC10C36" w14:textId="77777777" w:rsidR="0063542E" w:rsidRDefault="0063542E" w:rsidP="00CB157C">
      <w:pPr>
        <w:tabs>
          <w:tab w:val="left" w:pos="284"/>
          <w:tab w:val="left" w:pos="567"/>
          <w:tab w:val="left" w:pos="993"/>
        </w:tabs>
        <w:spacing w:before="100" w:beforeAutospacing="1" w:after="100" w:afterAutospacing="1" w:line="360" w:lineRule="auto"/>
        <w:ind w:left="850" w:hanging="851"/>
        <w:rPr>
          <w:rFonts w:ascii="Arial" w:eastAsia="Times New Roman" w:hAnsi="Arial" w:cs="Arial"/>
          <w:kern w:val="0"/>
          <w:sz w:val="22"/>
          <w:szCs w:val="22"/>
          <w:lang w:eastAsia="en-GB"/>
          <w14:ligatures w14:val="none"/>
        </w:rPr>
      </w:pPr>
    </w:p>
    <w:p w14:paraId="52171E16" w14:textId="77777777" w:rsidR="00AF36EA" w:rsidRDefault="00AF36EA" w:rsidP="00CB157C">
      <w:pPr>
        <w:tabs>
          <w:tab w:val="left" w:pos="284"/>
          <w:tab w:val="left" w:pos="567"/>
          <w:tab w:val="left" w:pos="993"/>
        </w:tabs>
        <w:spacing w:before="100" w:beforeAutospacing="1" w:after="100" w:afterAutospacing="1" w:line="360" w:lineRule="auto"/>
        <w:ind w:left="850" w:hanging="851"/>
        <w:rPr>
          <w:rFonts w:ascii="Arial" w:eastAsia="Times New Roman" w:hAnsi="Arial" w:cs="Arial"/>
          <w:kern w:val="0"/>
          <w:sz w:val="22"/>
          <w:szCs w:val="22"/>
          <w:lang w:eastAsia="en-GB"/>
          <w14:ligatures w14:val="none"/>
        </w:rPr>
      </w:pPr>
    </w:p>
    <w:p w14:paraId="05F71F12" w14:textId="75646FE7" w:rsidR="00493AE4" w:rsidRPr="000B4D3C" w:rsidRDefault="00493AE4" w:rsidP="002865F0">
      <w:pPr>
        <w:tabs>
          <w:tab w:val="left" w:pos="284"/>
          <w:tab w:val="left" w:pos="567"/>
          <w:tab w:val="left" w:pos="993"/>
        </w:tabs>
        <w:spacing w:before="100" w:beforeAutospacing="1" w:after="100" w:afterAutospacing="1" w:line="360" w:lineRule="auto"/>
        <w:ind w:left="1702" w:hanging="851"/>
        <w:rPr>
          <w:rFonts w:ascii="Arial" w:eastAsia="Times New Roman" w:hAnsi="Arial" w:cs="Arial"/>
          <w:kern w:val="0"/>
          <w:sz w:val="32"/>
          <w:szCs w:val="32"/>
          <w:lang w:eastAsia="en-GB"/>
          <w14:ligatures w14:val="none"/>
        </w:rPr>
      </w:pPr>
    </w:p>
    <w:p w14:paraId="001C7580" w14:textId="4C693D5E" w:rsidR="00764AE9" w:rsidRDefault="00764AE9" w:rsidP="00CC731D">
      <w:pPr>
        <w:spacing w:before="100" w:beforeAutospacing="1" w:after="100" w:afterAutospacing="1" w:line="360" w:lineRule="auto"/>
        <w:ind w:left="851" w:hanging="851"/>
        <w:rPr>
          <w:rFonts w:ascii="Arial" w:eastAsia="Times New Roman" w:hAnsi="Arial" w:cs="Arial"/>
          <w:b/>
          <w:bCs/>
          <w:kern w:val="0"/>
          <w:sz w:val="28"/>
          <w:szCs w:val="28"/>
          <w:lang w:eastAsia="en-GB"/>
          <w14:ligatures w14:val="none"/>
        </w:rPr>
      </w:pPr>
    </w:p>
    <w:p w14:paraId="6E0A749A" w14:textId="5207AF64" w:rsidR="00824D63" w:rsidRPr="00824D63" w:rsidRDefault="00824D63" w:rsidP="00CC731D">
      <w:pPr>
        <w:spacing w:before="100" w:beforeAutospacing="1" w:after="100" w:afterAutospacing="1" w:line="360" w:lineRule="auto"/>
        <w:ind w:left="851" w:hanging="851"/>
        <w:rPr>
          <w:rFonts w:ascii="Arial" w:eastAsia="Times New Roman" w:hAnsi="Arial" w:cs="Arial"/>
          <w:b/>
          <w:bCs/>
          <w:kern w:val="0"/>
          <w:sz w:val="28"/>
          <w:szCs w:val="28"/>
          <w:lang w:eastAsia="en-GB"/>
          <w14:ligatures w14:val="none"/>
        </w:rPr>
      </w:pPr>
    </w:p>
    <w:p w14:paraId="6E82B3BA" w14:textId="6B19ED2E" w:rsidR="00662D9D" w:rsidRPr="004D02E0" w:rsidRDefault="00662D9D" w:rsidP="00CC731D">
      <w:pPr>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p>
    <w:p w14:paraId="68B91A7D" w14:textId="288F19C6" w:rsidR="00224F8F" w:rsidRPr="00224F8F" w:rsidRDefault="006B76E3" w:rsidP="00D65DB7">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p>
    <w:p w14:paraId="5ADE12F2" w14:textId="714D3392" w:rsidR="0000573A" w:rsidRPr="00265A8F" w:rsidRDefault="0000573A" w:rsidP="000F4796">
      <w:pPr>
        <w:tabs>
          <w:tab w:val="left" w:pos="426"/>
          <w:tab w:val="left" w:pos="851"/>
        </w:tabs>
        <w:spacing w:before="100" w:beforeAutospacing="1" w:after="100" w:afterAutospacing="1" w:line="360" w:lineRule="auto"/>
        <w:ind w:left="851" w:hanging="851"/>
        <w:rPr>
          <w:rFonts w:ascii="Arial" w:eastAsia="Times New Roman" w:hAnsi="Arial" w:cs="Arial"/>
          <w:b/>
          <w:bCs/>
          <w:kern w:val="0"/>
          <w:sz w:val="40"/>
          <w:szCs w:val="40"/>
          <w:lang w:eastAsia="en-GB"/>
          <w14:ligatures w14:val="none"/>
        </w:rPr>
      </w:pPr>
    </w:p>
    <w:p w14:paraId="6026863A" w14:textId="77777777" w:rsidR="0000573A" w:rsidRPr="00311491" w:rsidRDefault="0000573A" w:rsidP="000F4796">
      <w:pPr>
        <w:tabs>
          <w:tab w:val="left" w:pos="426"/>
          <w:tab w:val="left" w:pos="851"/>
        </w:tabs>
        <w:spacing w:line="360" w:lineRule="auto"/>
        <w:ind w:left="851" w:hanging="851"/>
        <w:rPr>
          <w:rFonts w:ascii="Arial" w:hAnsi="Arial" w:cs="Arial"/>
          <w:sz w:val="22"/>
          <w:szCs w:val="22"/>
        </w:rPr>
      </w:pPr>
    </w:p>
    <w:sectPr w:rsidR="0000573A" w:rsidRPr="003114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iragino Sans CNS W3">
    <w:altName w:val="Yu Gothic"/>
    <w:charset w:val="80"/>
    <w:family w:val="swiss"/>
    <w:pitch w:val="variable"/>
    <w:sig w:usb0="A00002FF" w:usb1="28CFFDFA" w:usb2="00000016" w:usb3="00000000" w:csb0="00120005"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45D52"/>
    <w:multiLevelType w:val="multilevel"/>
    <w:tmpl w:val="A4C83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A812E3"/>
    <w:multiLevelType w:val="multilevel"/>
    <w:tmpl w:val="A2B81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5033CC"/>
    <w:multiLevelType w:val="multilevel"/>
    <w:tmpl w:val="B2586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490ACD"/>
    <w:multiLevelType w:val="multilevel"/>
    <w:tmpl w:val="161E0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AC43DB"/>
    <w:multiLevelType w:val="multilevel"/>
    <w:tmpl w:val="E2F8E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99263E"/>
    <w:multiLevelType w:val="multilevel"/>
    <w:tmpl w:val="8684D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320557"/>
    <w:multiLevelType w:val="multilevel"/>
    <w:tmpl w:val="33FEE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5224A3"/>
    <w:multiLevelType w:val="multilevel"/>
    <w:tmpl w:val="763E8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9649DF"/>
    <w:multiLevelType w:val="multilevel"/>
    <w:tmpl w:val="52305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C8524A"/>
    <w:multiLevelType w:val="multilevel"/>
    <w:tmpl w:val="39E8D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D8188F"/>
    <w:multiLevelType w:val="multilevel"/>
    <w:tmpl w:val="CBE81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B13070"/>
    <w:multiLevelType w:val="multilevel"/>
    <w:tmpl w:val="E27EA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0D0477"/>
    <w:multiLevelType w:val="multilevel"/>
    <w:tmpl w:val="E2F6A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996A72"/>
    <w:multiLevelType w:val="multilevel"/>
    <w:tmpl w:val="D0A84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193A28"/>
    <w:multiLevelType w:val="multilevel"/>
    <w:tmpl w:val="87FA0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6FB7EED"/>
    <w:multiLevelType w:val="multilevel"/>
    <w:tmpl w:val="4560D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AD2317"/>
    <w:multiLevelType w:val="multilevel"/>
    <w:tmpl w:val="E24C1CD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B001A2"/>
    <w:multiLevelType w:val="multilevel"/>
    <w:tmpl w:val="9ADA1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0F124FB"/>
    <w:multiLevelType w:val="multilevel"/>
    <w:tmpl w:val="CA908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8525D4"/>
    <w:multiLevelType w:val="multilevel"/>
    <w:tmpl w:val="EAE25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610A01"/>
    <w:multiLevelType w:val="multilevel"/>
    <w:tmpl w:val="D3B21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6120261">
    <w:abstractNumId w:val="5"/>
  </w:num>
  <w:num w:numId="2" w16cid:durableId="2024670880">
    <w:abstractNumId w:val="19"/>
  </w:num>
  <w:num w:numId="3" w16cid:durableId="1564636155">
    <w:abstractNumId w:val="11"/>
  </w:num>
  <w:num w:numId="4" w16cid:durableId="1749687531">
    <w:abstractNumId w:val="7"/>
  </w:num>
  <w:num w:numId="5" w16cid:durableId="755786753">
    <w:abstractNumId w:val="2"/>
  </w:num>
  <w:num w:numId="6" w16cid:durableId="2125341640">
    <w:abstractNumId w:val="9"/>
  </w:num>
  <w:num w:numId="7" w16cid:durableId="1382023538">
    <w:abstractNumId w:val="13"/>
  </w:num>
  <w:num w:numId="8" w16cid:durableId="1637833038">
    <w:abstractNumId w:val="6"/>
  </w:num>
  <w:num w:numId="9" w16cid:durableId="75171558">
    <w:abstractNumId w:val="4"/>
  </w:num>
  <w:num w:numId="10" w16cid:durableId="59057556">
    <w:abstractNumId w:val="10"/>
  </w:num>
  <w:num w:numId="11" w16cid:durableId="927537317">
    <w:abstractNumId w:val="15"/>
  </w:num>
  <w:num w:numId="12" w16cid:durableId="1670593305">
    <w:abstractNumId w:val="8"/>
  </w:num>
  <w:num w:numId="13" w16cid:durableId="821578743">
    <w:abstractNumId w:val="18"/>
  </w:num>
  <w:num w:numId="14" w16cid:durableId="787043086">
    <w:abstractNumId w:val="0"/>
  </w:num>
  <w:num w:numId="15" w16cid:durableId="2088572609">
    <w:abstractNumId w:val="12"/>
  </w:num>
  <w:num w:numId="16" w16cid:durableId="220597694">
    <w:abstractNumId w:val="1"/>
  </w:num>
  <w:num w:numId="17" w16cid:durableId="881987371">
    <w:abstractNumId w:val="16"/>
  </w:num>
  <w:num w:numId="18" w16cid:durableId="1441686867">
    <w:abstractNumId w:val="3"/>
  </w:num>
  <w:num w:numId="19" w16cid:durableId="96099621">
    <w:abstractNumId w:val="14"/>
  </w:num>
  <w:num w:numId="20" w16cid:durableId="1358890595">
    <w:abstractNumId w:val="17"/>
  </w:num>
  <w:num w:numId="21" w16cid:durableId="63506170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73A"/>
    <w:rsid w:val="0000573A"/>
    <w:rsid w:val="00052E35"/>
    <w:rsid w:val="000577EF"/>
    <w:rsid w:val="0005784A"/>
    <w:rsid w:val="00057D18"/>
    <w:rsid w:val="00063A92"/>
    <w:rsid w:val="00070933"/>
    <w:rsid w:val="000763FE"/>
    <w:rsid w:val="00080335"/>
    <w:rsid w:val="00096964"/>
    <w:rsid w:val="000A0965"/>
    <w:rsid w:val="000A18E3"/>
    <w:rsid w:val="000B21A8"/>
    <w:rsid w:val="000B4D3C"/>
    <w:rsid w:val="000E744E"/>
    <w:rsid w:val="000F4796"/>
    <w:rsid w:val="000F79C6"/>
    <w:rsid w:val="000F7B8E"/>
    <w:rsid w:val="00156AA4"/>
    <w:rsid w:val="00166203"/>
    <w:rsid w:val="001728DB"/>
    <w:rsid w:val="00177E6F"/>
    <w:rsid w:val="001A452F"/>
    <w:rsid w:val="001C6E5B"/>
    <w:rsid w:val="001D6724"/>
    <w:rsid w:val="001E290D"/>
    <w:rsid w:val="001F1C9E"/>
    <w:rsid w:val="001F44A9"/>
    <w:rsid w:val="002101FB"/>
    <w:rsid w:val="00216D46"/>
    <w:rsid w:val="00222CC1"/>
    <w:rsid w:val="00224F8F"/>
    <w:rsid w:val="002340EA"/>
    <w:rsid w:val="00246060"/>
    <w:rsid w:val="00251765"/>
    <w:rsid w:val="00262AC2"/>
    <w:rsid w:val="00264C0B"/>
    <w:rsid w:val="00265A8F"/>
    <w:rsid w:val="00282954"/>
    <w:rsid w:val="002865F0"/>
    <w:rsid w:val="002B5D84"/>
    <w:rsid w:val="002C587F"/>
    <w:rsid w:val="002E2CF2"/>
    <w:rsid w:val="002E76AA"/>
    <w:rsid w:val="002F2BCA"/>
    <w:rsid w:val="002F611F"/>
    <w:rsid w:val="00310AE1"/>
    <w:rsid w:val="00311491"/>
    <w:rsid w:val="0031165C"/>
    <w:rsid w:val="00325A67"/>
    <w:rsid w:val="00344C89"/>
    <w:rsid w:val="00344CBD"/>
    <w:rsid w:val="0034564A"/>
    <w:rsid w:val="0034676B"/>
    <w:rsid w:val="00346892"/>
    <w:rsid w:val="00373D83"/>
    <w:rsid w:val="003763E6"/>
    <w:rsid w:val="003A4D84"/>
    <w:rsid w:val="003A6108"/>
    <w:rsid w:val="003B3E6C"/>
    <w:rsid w:val="003B5F71"/>
    <w:rsid w:val="003D2BE0"/>
    <w:rsid w:val="003D42DD"/>
    <w:rsid w:val="003D4306"/>
    <w:rsid w:val="003E51E7"/>
    <w:rsid w:val="0041570C"/>
    <w:rsid w:val="00436B0D"/>
    <w:rsid w:val="00445FCF"/>
    <w:rsid w:val="0044664B"/>
    <w:rsid w:val="00447D43"/>
    <w:rsid w:val="00450D65"/>
    <w:rsid w:val="00462A4E"/>
    <w:rsid w:val="004672EC"/>
    <w:rsid w:val="00480B72"/>
    <w:rsid w:val="00493AE4"/>
    <w:rsid w:val="004B5720"/>
    <w:rsid w:val="004B7C98"/>
    <w:rsid w:val="004D02E0"/>
    <w:rsid w:val="004D0938"/>
    <w:rsid w:val="004D1EBC"/>
    <w:rsid w:val="004E3A46"/>
    <w:rsid w:val="00505F9F"/>
    <w:rsid w:val="00511697"/>
    <w:rsid w:val="005161F2"/>
    <w:rsid w:val="00526830"/>
    <w:rsid w:val="00543960"/>
    <w:rsid w:val="00570782"/>
    <w:rsid w:val="00571114"/>
    <w:rsid w:val="00581A4D"/>
    <w:rsid w:val="005869F9"/>
    <w:rsid w:val="00594C1F"/>
    <w:rsid w:val="005B150F"/>
    <w:rsid w:val="005B15D4"/>
    <w:rsid w:val="005F6EF4"/>
    <w:rsid w:val="00610809"/>
    <w:rsid w:val="0063542E"/>
    <w:rsid w:val="0064619B"/>
    <w:rsid w:val="00652AE5"/>
    <w:rsid w:val="00653A1B"/>
    <w:rsid w:val="0065674A"/>
    <w:rsid w:val="00662D9D"/>
    <w:rsid w:val="006A7F0A"/>
    <w:rsid w:val="006B76E3"/>
    <w:rsid w:val="006D78B5"/>
    <w:rsid w:val="006F64DF"/>
    <w:rsid w:val="00722771"/>
    <w:rsid w:val="007306ED"/>
    <w:rsid w:val="00737FE9"/>
    <w:rsid w:val="00764AE9"/>
    <w:rsid w:val="00781537"/>
    <w:rsid w:val="007A73E3"/>
    <w:rsid w:val="007D37C2"/>
    <w:rsid w:val="007E0227"/>
    <w:rsid w:val="007F1E91"/>
    <w:rsid w:val="00802B80"/>
    <w:rsid w:val="0081736A"/>
    <w:rsid w:val="00817F0C"/>
    <w:rsid w:val="00824D63"/>
    <w:rsid w:val="00831A86"/>
    <w:rsid w:val="008527E5"/>
    <w:rsid w:val="008613EA"/>
    <w:rsid w:val="00864995"/>
    <w:rsid w:val="00893764"/>
    <w:rsid w:val="008A6173"/>
    <w:rsid w:val="008B7B40"/>
    <w:rsid w:val="008C2493"/>
    <w:rsid w:val="008C7CAD"/>
    <w:rsid w:val="008F506E"/>
    <w:rsid w:val="0092369D"/>
    <w:rsid w:val="00947B35"/>
    <w:rsid w:val="00950A07"/>
    <w:rsid w:val="00953077"/>
    <w:rsid w:val="0099306F"/>
    <w:rsid w:val="009955D4"/>
    <w:rsid w:val="009B4E19"/>
    <w:rsid w:val="009C2575"/>
    <w:rsid w:val="009D5672"/>
    <w:rsid w:val="009E4F2A"/>
    <w:rsid w:val="009F53BD"/>
    <w:rsid w:val="00A02362"/>
    <w:rsid w:val="00A20122"/>
    <w:rsid w:val="00A24A44"/>
    <w:rsid w:val="00A361D4"/>
    <w:rsid w:val="00A404CD"/>
    <w:rsid w:val="00A673E7"/>
    <w:rsid w:val="00A94C10"/>
    <w:rsid w:val="00AB63C4"/>
    <w:rsid w:val="00AC459C"/>
    <w:rsid w:val="00AC7B7E"/>
    <w:rsid w:val="00AC7D9A"/>
    <w:rsid w:val="00AE4FDC"/>
    <w:rsid w:val="00AE776B"/>
    <w:rsid w:val="00AE78BE"/>
    <w:rsid w:val="00AF1481"/>
    <w:rsid w:val="00AF3358"/>
    <w:rsid w:val="00AF36EA"/>
    <w:rsid w:val="00B15996"/>
    <w:rsid w:val="00B229F0"/>
    <w:rsid w:val="00B30CF1"/>
    <w:rsid w:val="00B40303"/>
    <w:rsid w:val="00B528A0"/>
    <w:rsid w:val="00B5703B"/>
    <w:rsid w:val="00B66F93"/>
    <w:rsid w:val="00B95F63"/>
    <w:rsid w:val="00B970A0"/>
    <w:rsid w:val="00B9791D"/>
    <w:rsid w:val="00BA781D"/>
    <w:rsid w:val="00BB65B0"/>
    <w:rsid w:val="00BB72A0"/>
    <w:rsid w:val="00BC0224"/>
    <w:rsid w:val="00BC2EF6"/>
    <w:rsid w:val="00BE3183"/>
    <w:rsid w:val="00BE7A36"/>
    <w:rsid w:val="00C04696"/>
    <w:rsid w:val="00C413B2"/>
    <w:rsid w:val="00C46834"/>
    <w:rsid w:val="00C547DC"/>
    <w:rsid w:val="00C54F9A"/>
    <w:rsid w:val="00C55E65"/>
    <w:rsid w:val="00C56068"/>
    <w:rsid w:val="00C6677A"/>
    <w:rsid w:val="00C73744"/>
    <w:rsid w:val="00C77E59"/>
    <w:rsid w:val="00C92409"/>
    <w:rsid w:val="00CA0901"/>
    <w:rsid w:val="00CA218D"/>
    <w:rsid w:val="00CB157C"/>
    <w:rsid w:val="00CC25B7"/>
    <w:rsid w:val="00CC4425"/>
    <w:rsid w:val="00CC731D"/>
    <w:rsid w:val="00CD0767"/>
    <w:rsid w:val="00CE0261"/>
    <w:rsid w:val="00CE0DE5"/>
    <w:rsid w:val="00D0711E"/>
    <w:rsid w:val="00D1722A"/>
    <w:rsid w:val="00D370F2"/>
    <w:rsid w:val="00D65DB7"/>
    <w:rsid w:val="00D803EF"/>
    <w:rsid w:val="00D9576D"/>
    <w:rsid w:val="00DA1875"/>
    <w:rsid w:val="00DF5C31"/>
    <w:rsid w:val="00E1119B"/>
    <w:rsid w:val="00E22402"/>
    <w:rsid w:val="00E24AF0"/>
    <w:rsid w:val="00E30DA3"/>
    <w:rsid w:val="00E30FC7"/>
    <w:rsid w:val="00E3462C"/>
    <w:rsid w:val="00E706EB"/>
    <w:rsid w:val="00E902FC"/>
    <w:rsid w:val="00E90321"/>
    <w:rsid w:val="00E954D9"/>
    <w:rsid w:val="00EA3CD7"/>
    <w:rsid w:val="00EC3850"/>
    <w:rsid w:val="00EE5820"/>
    <w:rsid w:val="00EF3DEA"/>
    <w:rsid w:val="00F04489"/>
    <w:rsid w:val="00F06698"/>
    <w:rsid w:val="00F11B44"/>
    <w:rsid w:val="00F1768D"/>
    <w:rsid w:val="00F321EC"/>
    <w:rsid w:val="00F36197"/>
    <w:rsid w:val="00F41FCB"/>
    <w:rsid w:val="00F42B82"/>
    <w:rsid w:val="00F43D41"/>
    <w:rsid w:val="00F523ED"/>
    <w:rsid w:val="00F82DDB"/>
    <w:rsid w:val="00F851EC"/>
    <w:rsid w:val="00F8718C"/>
    <w:rsid w:val="00FA24AA"/>
    <w:rsid w:val="00FC3E23"/>
    <w:rsid w:val="00FC694F"/>
    <w:rsid w:val="00FE616B"/>
    <w:rsid w:val="00FF6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72684B"/>
  <w15:chartTrackingRefBased/>
  <w15:docId w15:val="{E966836F-B695-48FA-BE73-77DCA845D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73A"/>
  </w:style>
  <w:style w:type="paragraph" w:styleId="Heading1">
    <w:name w:val="heading 1"/>
    <w:basedOn w:val="Normal"/>
    <w:next w:val="Normal"/>
    <w:link w:val="Heading1Char"/>
    <w:uiPriority w:val="9"/>
    <w:qFormat/>
    <w:rsid w:val="000057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57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57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57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57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57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57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57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57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7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57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57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57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57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57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57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57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573A"/>
    <w:rPr>
      <w:rFonts w:eastAsiaTheme="majorEastAsia" w:cstheme="majorBidi"/>
      <w:color w:val="272727" w:themeColor="text1" w:themeTint="D8"/>
    </w:rPr>
  </w:style>
  <w:style w:type="paragraph" w:styleId="Title">
    <w:name w:val="Title"/>
    <w:basedOn w:val="Normal"/>
    <w:next w:val="Normal"/>
    <w:link w:val="TitleChar"/>
    <w:uiPriority w:val="10"/>
    <w:qFormat/>
    <w:rsid w:val="000057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7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7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7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573A"/>
    <w:pPr>
      <w:spacing w:before="160"/>
      <w:jc w:val="center"/>
    </w:pPr>
    <w:rPr>
      <w:i/>
      <w:iCs/>
      <w:color w:val="404040" w:themeColor="text1" w:themeTint="BF"/>
    </w:rPr>
  </w:style>
  <w:style w:type="character" w:customStyle="1" w:styleId="QuoteChar">
    <w:name w:val="Quote Char"/>
    <w:basedOn w:val="DefaultParagraphFont"/>
    <w:link w:val="Quote"/>
    <w:uiPriority w:val="29"/>
    <w:rsid w:val="0000573A"/>
    <w:rPr>
      <w:i/>
      <w:iCs/>
      <w:color w:val="404040" w:themeColor="text1" w:themeTint="BF"/>
    </w:rPr>
  </w:style>
  <w:style w:type="paragraph" w:styleId="ListParagraph">
    <w:name w:val="List Paragraph"/>
    <w:basedOn w:val="Normal"/>
    <w:uiPriority w:val="34"/>
    <w:qFormat/>
    <w:rsid w:val="0000573A"/>
    <w:pPr>
      <w:ind w:left="720"/>
      <w:contextualSpacing/>
    </w:pPr>
  </w:style>
  <w:style w:type="character" w:styleId="IntenseEmphasis">
    <w:name w:val="Intense Emphasis"/>
    <w:basedOn w:val="DefaultParagraphFont"/>
    <w:uiPriority w:val="21"/>
    <w:qFormat/>
    <w:rsid w:val="0000573A"/>
    <w:rPr>
      <w:i/>
      <w:iCs/>
      <w:color w:val="0F4761" w:themeColor="accent1" w:themeShade="BF"/>
    </w:rPr>
  </w:style>
  <w:style w:type="paragraph" w:styleId="IntenseQuote">
    <w:name w:val="Intense Quote"/>
    <w:basedOn w:val="Normal"/>
    <w:next w:val="Normal"/>
    <w:link w:val="IntenseQuoteChar"/>
    <w:uiPriority w:val="30"/>
    <w:qFormat/>
    <w:rsid w:val="000057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573A"/>
    <w:rPr>
      <w:i/>
      <w:iCs/>
      <w:color w:val="0F4761" w:themeColor="accent1" w:themeShade="BF"/>
    </w:rPr>
  </w:style>
  <w:style w:type="character" w:styleId="IntenseReference">
    <w:name w:val="Intense Reference"/>
    <w:basedOn w:val="DefaultParagraphFont"/>
    <w:uiPriority w:val="32"/>
    <w:qFormat/>
    <w:rsid w:val="0000573A"/>
    <w:rPr>
      <w:b/>
      <w:bCs/>
      <w:smallCaps/>
      <w:color w:val="0F4761" w:themeColor="accent1" w:themeShade="BF"/>
      <w:spacing w:val="5"/>
    </w:rPr>
  </w:style>
  <w:style w:type="paragraph" w:styleId="NormalWeb">
    <w:name w:val="Normal (Web)"/>
    <w:basedOn w:val="Normal"/>
    <w:uiPriority w:val="99"/>
    <w:unhideWhenUsed/>
    <w:rsid w:val="000057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947B3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22402"/>
    <w:rPr>
      <w:b/>
      <w:bCs/>
    </w:rPr>
  </w:style>
  <w:style w:type="character" w:styleId="Emphasis">
    <w:name w:val="Emphasis"/>
    <w:basedOn w:val="DefaultParagraphFont"/>
    <w:uiPriority w:val="20"/>
    <w:qFormat/>
    <w:rsid w:val="0063542E"/>
    <w:rPr>
      <w:i/>
      <w:iCs/>
    </w:rPr>
  </w:style>
  <w:style w:type="character" w:styleId="Hyperlink">
    <w:name w:val="Hyperlink"/>
    <w:basedOn w:val="DefaultParagraphFont"/>
    <w:uiPriority w:val="99"/>
    <w:semiHidden/>
    <w:unhideWhenUsed/>
    <w:rsid w:val="0063542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153683">
      <w:bodyDiv w:val="1"/>
      <w:marLeft w:val="0"/>
      <w:marRight w:val="0"/>
      <w:marTop w:val="0"/>
      <w:marBottom w:val="0"/>
      <w:divBdr>
        <w:top w:val="none" w:sz="0" w:space="0" w:color="auto"/>
        <w:left w:val="none" w:sz="0" w:space="0" w:color="auto"/>
        <w:bottom w:val="none" w:sz="0" w:space="0" w:color="auto"/>
        <w:right w:val="none" w:sz="0" w:space="0" w:color="auto"/>
      </w:divBdr>
    </w:div>
    <w:div w:id="312486725">
      <w:bodyDiv w:val="1"/>
      <w:marLeft w:val="0"/>
      <w:marRight w:val="0"/>
      <w:marTop w:val="0"/>
      <w:marBottom w:val="0"/>
      <w:divBdr>
        <w:top w:val="none" w:sz="0" w:space="0" w:color="auto"/>
        <w:left w:val="none" w:sz="0" w:space="0" w:color="auto"/>
        <w:bottom w:val="none" w:sz="0" w:space="0" w:color="auto"/>
        <w:right w:val="none" w:sz="0" w:space="0" w:color="auto"/>
      </w:divBdr>
    </w:div>
    <w:div w:id="430129761">
      <w:bodyDiv w:val="1"/>
      <w:marLeft w:val="0"/>
      <w:marRight w:val="0"/>
      <w:marTop w:val="0"/>
      <w:marBottom w:val="0"/>
      <w:divBdr>
        <w:top w:val="none" w:sz="0" w:space="0" w:color="auto"/>
        <w:left w:val="none" w:sz="0" w:space="0" w:color="auto"/>
        <w:bottom w:val="none" w:sz="0" w:space="0" w:color="auto"/>
        <w:right w:val="none" w:sz="0" w:space="0" w:color="auto"/>
      </w:divBdr>
      <w:divsChild>
        <w:div w:id="1171917885">
          <w:marLeft w:val="0"/>
          <w:marRight w:val="0"/>
          <w:marTop w:val="0"/>
          <w:marBottom w:val="0"/>
          <w:divBdr>
            <w:top w:val="none" w:sz="0" w:space="0" w:color="auto"/>
            <w:left w:val="none" w:sz="0" w:space="0" w:color="auto"/>
            <w:bottom w:val="none" w:sz="0" w:space="0" w:color="auto"/>
            <w:right w:val="none" w:sz="0" w:space="0" w:color="auto"/>
          </w:divBdr>
          <w:divsChild>
            <w:div w:id="1037193157">
              <w:marLeft w:val="0"/>
              <w:marRight w:val="0"/>
              <w:marTop w:val="0"/>
              <w:marBottom w:val="0"/>
              <w:divBdr>
                <w:top w:val="none" w:sz="0" w:space="0" w:color="auto"/>
                <w:left w:val="none" w:sz="0" w:space="0" w:color="auto"/>
                <w:bottom w:val="none" w:sz="0" w:space="0" w:color="auto"/>
                <w:right w:val="none" w:sz="0" w:space="0" w:color="auto"/>
              </w:divBdr>
              <w:divsChild>
                <w:div w:id="1656447571">
                  <w:marLeft w:val="0"/>
                  <w:marRight w:val="0"/>
                  <w:marTop w:val="0"/>
                  <w:marBottom w:val="0"/>
                  <w:divBdr>
                    <w:top w:val="none" w:sz="0" w:space="0" w:color="auto"/>
                    <w:left w:val="none" w:sz="0" w:space="0" w:color="auto"/>
                    <w:bottom w:val="none" w:sz="0" w:space="0" w:color="auto"/>
                    <w:right w:val="none" w:sz="0" w:space="0" w:color="auto"/>
                  </w:divBdr>
                  <w:divsChild>
                    <w:div w:id="1196700865">
                      <w:marLeft w:val="0"/>
                      <w:marRight w:val="0"/>
                      <w:marTop w:val="0"/>
                      <w:marBottom w:val="0"/>
                      <w:divBdr>
                        <w:top w:val="none" w:sz="0" w:space="0" w:color="auto"/>
                        <w:left w:val="none" w:sz="0" w:space="0" w:color="auto"/>
                        <w:bottom w:val="none" w:sz="0" w:space="0" w:color="auto"/>
                        <w:right w:val="none" w:sz="0" w:space="0" w:color="auto"/>
                      </w:divBdr>
                      <w:divsChild>
                        <w:div w:id="1743719426">
                          <w:marLeft w:val="0"/>
                          <w:marRight w:val="0"/>
                          <w:marTop w:val="0"/>
                          <w:marBottom w:val="0"/>
                          <w:divBdr>
                            <w:top w:val="none" w:sz="0" w:space="0" w:color="auto"/>
                            <w:left w:val="none" w:sz="0" w:space="0" w:color="auto"/>
                            <w:bottom w:val="none" w:sz="0" w:space="0" w:color="auto"/>
                            <w:right w:val="none" w:sz="0" w:space="0" w:color="auto"/>
                          </w:divBdr>
                          <w:divsChild>
                            <w:div w:id="543714558">
                              <w:marLeft w:val="0"/>
                              <w:marRight w:val="0"/>
                              <w:marTop w:val="0"/>
                              <w:marBottom w:val="0"/>
                              <w:divBdr>
                                <w:top w:val="none" w:sz="0" w:space="0" w:color="auto"/>
                                <w:left w:val="none" w:sz="0" w:space="0" w:color="auto"/>
                                <w:bottom w:val="none" w:sz="0" w:space="0" w:color="auto"/>
                                <w:right w:val="none" w:sz="0" w:space="0" w:color="auto"/>
                              </w:divBdr>
                              <w:divsChild>
                                <w:div w:id="926841275">
                                  <w:marLeft w:val="0"/>
                                  <w:marRight w:val="0"/>
                                  <w:marTop w:val="0"/>
                                  <w:marBottom w:val="0"/>
                                  <w:divBdr>
                                    <w:top w:val="none" w:sz="0" w:space="0" w:color="auto"/>
                                    <w:left w:val="none" w:sz="0" w:space="0" w:color="auto"/>
                                    <w:bottom w:val="none" w:sz="0" w:space="0" w:color="auto"/>
                                    <w:right w:val="none" w:sz="0" w:space="0" w:color="auto"/>
                                  </w:divBdr>
                                  <w:divsChild>
                                    <w:div w:id="991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9956981">
          <w:marLeft w:val="0"/>
          <w:marRight w:val="0"/>
          <w:marTop w:val="0"/>
          <w:marBottom w:val="0"/>
          <w:divBdr>
            <w:top w:val="none" w:sz="0" w:space="0" w:color="auto"/>
            <w:left w:val="none" w:sz="0" w:space="0" w:color="auto"/>
            <w:bottom w:val="none" w:sz="0" w:space="0" w:color="auto"/>
            <w:right w:val="none" w:sz="0" w:space="0" w:color="auto"/>
          </w:divBdr>
          <w:divsChild>
            <w:div w:id="460415718">
              <w:marLeft w:val="0"/>
              <w:marRight w:val="0"/>
              <w:marTop w:val="0"/>
              <w:marBottom w:val="0"/>
              <w:divBdr>
                <w:top w:val="none" w:sz="0" w:space="0" w:color="auto"/>
                <w:left w:val="none" w:sz="0" w:space="0" w:color="auto"/>
                <w:bottom w:val="none" w:sz="0" w:space="0" w:color="auto"/>
                <w:right w:val="none" w:sz="0" w:space="0" w:color="auto"/>
              </w:divBdr>
              <w:divsChild>
                <w:div w:id="904803089">
                  <w:marLeft w:val="0"/>
                  <w:marRight w:val="0"/>
                  <w:marTop w:val="0"/>
                  <w:marBottom w:val="0"/>
                  <w:divBdr>
                    <w:top w:val="none" w:sz="0" w:space="0" w:color="auto"/>
                    <w:left w:val="none" w:sz="0" w:space="0" w:color="auto"/>
                    <w:bottom w:val="none" w:sz="0" w:space="0" w:color="auto"/>
                    <w:right w:val="none" w:sz="0" w:space="0" w:color="auto"/>
                  </w:divBdr>
                  <w:divsChild>
                    <w:div w:id="1666594107">
                      <w:marLeft w:val="0"/>
                      <w:marRight w:val="0"/>
                      <w:marTop w:val="0"/>
                      <w:marBottom w:val="0"/>
                      <w:divBdr>
                        <w:top w:val="none" w:sz="0" w:space="0" w:color="auto"/>
                        <w:left w:val="none" w:sz="0" w:space="0" w:color="auto"/>
                        <w:bottom w:val="none" w:sz="0" w:space="0" w:color="auto"/>
                        <w:right w:val="none" w:sz="0" w:space="0" w:color="auto"/>
                      </w:divBdr>
                      <w:divsChild>
                        <w:div w:id="1335718028">
                          <w:marLeft w:val="0"/>
                          <w:marRight w:val="0"/>
                          <w:marTop w:val="0"/>
                          <w:marBottom w:val="0"/>
                          <w:divBdr>
                            <w:top w:val="none" w:sz="0" w:space="0" w:color="auto"/>
                            <w:left w:val="none" w:sz="0" w:space="0" w:color="auto"/>
                            <w:bottom w:val="none" w:sz="0" w:space="0" w:color="auto"/>
                            <w:right w:val="none" w:sz="0" w:space="0" w:color="auto"/>
                          </w:divBdr>
                          <w:divsChild>
                            <w:div w:id="1071319273">
                              <w:marLeft w:val="0"/>
                              <w:marRight w:val="0"/>
                              <w:marTop w:val="0"/>
                              <w:marBottom w:val="0"/>
                              <w:divBdr>
                                <w:top w:val="none" w:sz="0" w:space="0" w:color="auto"/>
                                <w:left w:val="none" w:sz="0" w:space="0" w:color="auto"/>
                                <w:bottom w:val="none" w:sz="0" w:space="0" w:color="auto"/>
                                <w:right w:val="none" w:sz="0" w:space="0" w:color="auto"/>
                              </w:divBdr>
                              <w:divsChild>
                                <w:div w:id="333188665">
                                  <w:marLeft w:val="0"/>
                                  <w:marRight w:val="0"/>
                                  <w:marTop w:val="0"/>
                                  <w:marBottom w:val="0"/>
                                  <w:divBdr>
                                    <w:top w:val="none" w:sz="0" w:space="0" w:color="auto"/>
                                    <w:left w:val="none" w:sz="0" w:space="0" w:color="auto"/>
                                    <w:bottom w:val="none" w:sz="0" w:space="0" w:color="auto"/>
                                    <w:right w:val="none" w:sz="0" w:space="0" w:color="auto"/>
                                  </w:divBdr>
                                  <w:divsChild>
                                    <w:div w:id="1795250983">
                                      <w:marLeft w:val="0"/>
                                      <w:marRight w:val="0"/>
                                      <w:marTop w:val="0"/>
                                      <w:marBottom w:val="0"/>
                                      <w:divBdr>
                                        <w:top w:val="none" w:sz="0" w:space="0" w:color="auto"/>
                                        <w:left w:val="none" w:sz="0" w:space="0" w:color="auto"/>
                                        <w:bottom w:val="none" w:sz="0" w:space="0" w:color="auto"/>
                                        <w:right w:val="none" w:sz="0" w:space="0" w:color="auto"/>
                                      </w:divBdr>
                                      <w:divsChild>
                                        <w:div w:id="14196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387344">
          <w:marLeft w:val="0"/>
          <w:marRight w:val="0"/>
          <w:marTop w:val="0"/>
          <w:marBottom w:val="0"/>
          <w:divBdr>
            <w:top w:val="none" w:sz="0" w:space="0" w:color="auto"/>
            <w:left w:val="none" w:sz="0" w:space="0" w:color="auto"/>
            <w:bottom w:val="none" w:sz="0" w:space="0" w:color="auto"/>
            <w:right w:val="none" w:sz="0" w:space="0" w:color="auto"/>
          </w:divBdr>
          <w:divsChild>
            <w:div w:id="233860621">
              <w:marLeft w:val="0"/>
              <w:marRight w:val="0"/>
              <w:marTop w:val="0"/>
              <w:marBottom w:val="0"/>
              <w:divBdr>
                <w:top w:val="none" w:sz="0" w:space="0" w:color="auto"/>
                <w:left w:val="none" w:sz="0" w:space="0" w:color="auto"/>
                <w:bottom w:val="none" w:sz="0" w:space="0" w:color="auto"/>
                <w:right w:val="none" w:sz="0" w:space="0" w:color="auto"/>
              </w:divBdr>
              <w:divsChild>
                <w:div w:id="1171868414">
                  <w:marLeft w:val="0"/>
                  <w:marRight w:val="0"/>
                  <w:marTop w:val="0"/>
                  <w:marBottom w:val="0"/>
                  <w:divBdr>
                    <w:top w:val="none" w:sz="0" w:space="0" w:color="auto"/>
                    <w:left w:val="none" w:sz="0" w:space="0" w:color="auto"/>
                    <w:bottom w:val="none" w:sz="0" w:space="0" w:color="auto"/>
                    <w:right w:val="none" w:sz="0" w:space="0" w:color="auto"/>
                  </w:divBdr>
                  <w:divsChild>
                    <w:div w:id="1063795765">
                      <w:marLeft w:val="0"/>
                      <w:marRight w:val="0"/>
                      <w:marTop w:val="0"/>
                      <w:marBottom w:val="0"/>
                      <w:divBdr>
                        <w:top w:val="none" w:sz="0" w:space="0" w:color="auto"/>
                        <w:left w:val="none" w:sz="0" w:space="0" w:color="auto"/>
                        <w:bottom w:val="none" w:sz="0" w:space="0" w:color="auto"/>
                        <w:right w:val="none" w:sz="0" w:space="0" w:color="auto"/>
                      </w:divBdr>
                      <w:divsChild>
                        <w:div w:id="511265212">
                          <w:marLeft w:val="0"/>
                          <w:marRight w:val="0"/>
                          <w:marTop w:val="0"/>
                          <w:marBottom w:val="0"/>
                          <w:divBdr>
                            <w:top w:val="none" w:sz="0" w:space="0" w:color="auto"/>
                            <w:left w:val="none" w:sz="0" w:space="0" w:color="auto"/>
                            <w:bottom w:val="none" w:sz="0" w:space="0" w:color="auto"/>
                            <w:right w:val="none" w:sz="0" w:space="0" w:color="auto"/>
                          </w:divBdr>
                          <w:divsChild>
                            <w:div w:id="2014406087">
                              <w:marLeft w:val="0"/>
                              <w:marRight w:val="0"/>
                              <w:marTop w:val="0"/>
                              <w:marBottom w:val="0"/>
                              <w:divBdr>
                                <w:top w:val="none" w:sz="0" w:space="0" w:color="auto"/>
                                <w:left w:val="none" w:sz="0" w:space="0" w:color="auto"/>
                                <w:bottom w:val="none" w:sz="0" w:space="0" w:color="auto"/>
                                <w:right w:val="none" w:sz="0" w:space="0" w:color="auto"/>
                              </w:divBdr>
                              <w:divsChild>
                                <w:div w:id="604193069">
                                  <w:marLeft w:val="0"/>
                                  <w:marRight w:val="0"/>
                                  <w:marTop w:val="0"/>
                                  <w:marBottom w:val="0"/>
                                  <w:divBdr>
                                    <w:top w:val="none" w:sz="0" w:space="0" w:color="auto"/>
                                    <w:left w:val="none" w:sz="0" w:space="0" w:color="auto"/>
                                    <w:bottom w:val="none" w:sz="0" w:space="0" w:color="auto"/>
                                    <w:right w:val="none" w:sz="0" w:space="0" w:color="auto"/>
                                  </w:divBdr>
                                  <w:divsChild>
                                    <w:div w:id="98416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2064744">
      <w:bodyDiv w:val="1"/>
      <w:marLeft w:val="0"/>
      <w:marRight w:val="0"/>
      <w:marTop w:val="0"/>
      <w:marBottom w:val="0"/>
      <w:divBdr>
        <w:top w:val="none" w:sz="0" w:space="0" w:color="auto"/>
        <w:left w:val="none" w:sz="0" w:space="0" w:color="auto"/>
        <w:bottom w:val="none" w:sz="0" w:space="0" w:color="auto"/>
        <w:right w:val="none" w:sz="0" w:space="0" w:color="auto"/>
      </w:divBdr>
    </w:div>
    <w:div w:id="715200069">
      <w:bodyDiv w:val="1"/>
      <w:marLeft w:val="0"/>
      <w:marRight w:val="0"/>
      <w:marTop w:val="0"/>
      <w:marBottom w:val="0"/>
      <w:divBdr>
        <w:top w:val="none" w:sz="0" w:space="0" w:color="auto"/>
        <w:left w:val="none" w:sz="0" w:space="0" w:color="auto"/>
        <w:bottom w:val="none" w:sz="0" w:space="0" w:color="auto"/>
        <w:right w:val="none" w:sz="0" w:space="0" w:color="auto"/>
      </w:divBdr>
    </w:div>
    <w:div w:id="730419855">
      <w:bodyDiv w:val="1"/>
      <w:marLeft w:val="0"/>
      <w:marRight w:val="0"/>
      <w:marTop w:val="0"/>
      <w:marBottom w:val="0"/>
      <w:divBdr>
        <w:top w:val="none" w:sz="0" w:space="0" w:color="auto"/>
        <w:left w:val="none" w:sz="0" w:space="0" w:color="auto"/>
        <w:bottom w:val="none" w:sz="0" w:space="0" w:color="auto"/>
        <w:right w:val="none" w:sz="0" w:space="0" w:color="auto"/>
      </w:divBdr>
    </w:div>
    <w:div w:id="889731033">
      <w:bodyDiv w:val="1"/>
      <w:marLeft w:val="0"/>
      <w:marRight w:val="0"/>
      <w:marTop w:val="0"/>
      <w:marBottom w:val="0"/>
      <w:divBdr>
        <w:top w:val="none" w:sz="0" w:space="0" w:color="auto"/>
        <w:left w:val="none" w:sz="0" w:space="0" w:color="auto"/>
        <w:bottom w:val="none" w:sz="0" w:space="0" w:color="auto"/>
        <w:right w:val="none" w:sz="0" w:space="0" w:color="auto"/>
      </w:divBdr>
    </w:div>
    <w:div w:id="900140447">
      <w:bodyDiv w:val="1"/>
      <w:marLeft w:val="0"/>
      <w:marRight w:val="0"/>
      <w:marTop w:val="0"/>
      <w:marBottom w:val="0"/>
      <w:divBdr>
        <w:top w:val="none" w:sz="0" w:space="0" w:color="auto"/>
        <w:left w:val="none" w:sz="0" w:space="0" w:color="auto"/>
        <w:bottom w:val="none" w:sz="0" w:space="0" w:color="auto"/>
        <w:right w:val="none" w:sz="0" w:space="0" w:color="auto"/>
      </w:divBdr>
    </w:div>
    <w:div w:id="973871273">
      <w:bodyDiv w:val="1"/>
      <w:marLeft w:val="0"/>
      <w:marRight w:val="0"/>
      <w:marTop w:val="0"/>
      <w:marBottom w:val="0"/>
      <w:divBdr>
        <w:top w:val="none" w:sz="0" w:space="0" w:color="auto"/>
        <w:left w:val="none" w:sz="0" w:space="0" w:color="auto"/>
        <w:bottom w:val="none" w:sz="0" w:space="0" w:color="auto"/>
        <w:right w:val="none" w:sz="0" w:space="0" w:color="auto"/>
      </w:divBdr>
    </w:div>
    <w:div w:id="976224696">
      <w:bodyDiv w:val="1"/>
      <w:marLeft w:val="0"/>
      <w:marRight w:val="0"/>
      <w:marTop w:val="0"/>
      <w:marBottom w:val="0"/>
      <w:divBdr>
        <w:top w:val="none" w:sz="0" w:space="0" w:color="auto"/>
        <w:left w:val="none" w:sz="0" w:space="0" w:color="auto"/>
        <w:bottom w:val="none" w:sz="0" w:space="0" w:color="auto"/>
        <w:right w:val="none" w:sz="0" w:space="0" w:color="auto"/>
      </w:divBdr>
    </w:div>
    <w:div w:id="993021273">
      <w:bodyDiv w:val="1"/>
      <w:marLeft w:val="0"/>
      <w:marRight w:val="0"/>
      <w:marTop w:val="0"/>
      <w:marBottom w:val="0"/>
      <w:divBdr>
        <w:top w:val="none" w:sz="0" w:space="0" w:color="auto"/>
        <w:left w:val="none" w:sz="0" w:space="0" w:color="auto"/>
        <w:bottom w:val="none" w:sz="0" w:space="0" w:color="auto"/>
        <w:right w:val="none" w:sz="0" w:space="0" w:color="auto"/>
      </w:divBdr>
    </w:div>
    <w:div w:id="1142967562">
      <w:bodyDiv w:val="1"/>
      <w:marLeft w:val="0"/>
      <w:marRight w:val="0"/>
      <w:marTop w:val="0"/>
      <w:marBottom w:val="0"/>
      <w:divBdr>
        <w:top w:val="none" w:sz="0" w:space="0" w:color="auto"/>
        <w:left w:val="none" w:sz="0" w:space="0" w:color="auto"/>
        <w:bottom w:val="none" w:sz="0" w:space="0" w:color="auto"/>
        <w:right w:val="none" w:sz="0" w:space="0" w:color="auto"/>
      </w:divBdr>
    </w:div>
    <w:div w:id="1268152412">
      <w:bodyDiv w:val="1"/>
      <w:marLeft w:val="0"/>
      <w:marRight w:val="0"/>
      <w:marTop w:val="0"/>
      <w:marBottom w:val="0"/>
      <w:divBdr>
        <w:top w:val="none" w:sz="0" w:space="0" w:color="auto"/>
        <w:left w:val="none" w:sz="0" w:space="0" w:color="auto"/>
        <w:bottom w:val="none" w:sz="0" w:space="0" w:color="auto"/>
        <w:right w:val="none" w:sz="0" w:space="0" w:color="auto"/>
      </w:divBdr>
    </w:div>
    <w:div w:id="1320575157">
      <w:bodyDiv w:val="1"/>
      <w:marLeft w:val="0"/>
      <w:marRight w:val="0"/>
      <w:marTop w:val="0"/>
      <w:marBottom w:val="0"/>
      <w:divBdr>
        <w:top w:val="none" w:sz="0" w:space="0" w:color="auto"/>
        <w:left w:val="none" w:sz="0" w:space="0" w:color="auto"/>
        <w:bottom w:val="none" w:sz="0" w:space="0" w:color="auto"/>
        <w:right w:val="none" w:sz="0" w:space="0" w:color="auto"/>
      </w:divBdr>
    </w:div>
    <w:div w:id="1366296015">
      <w:bodyDiv w:val="1"/>
      <w:marLeft w:val="0"/>
      <w:marRight w:val="0"/>
      <w:marTop w:val="0"/>
      <w:marBottom w:val="0"/>
      <w:divBdr>
        <w:top w:val="none" w:sz="0" w:space="0" w:color="auto"/>
        <w:left w:val="none" w:sz="0" w:space="0" w:color="auto"/>
        <w:bottom w:val="none" w:sz="0" w:space="0" w:color="auto"/>
        <w:right w:val="none" w:sz="0" w:space="0" w:color="auto"/>
      </w:divBdr>
    </w:div>
    <w:div w:id="1392579359">
      <w:bodyDiv w:val="1"/>
      <w:marLeft w:val="0"/>
      <w:marRight w:val="0"/>
      <w:marTop w:val="0"/>
      <w:marBottom w:val="0"/>
      <w:divBdr>
        <w:top w:val="none" w:sz="0" w:space="0" w:color="auto"/>
        <w:left w:val="none" w:sz="0" w:space="0" w:color="auto"/>
        <w:bottom w:val="none" w:sz="0" w:space="0" w:color="auto"/>
        <w:right w:val="none" w:sz="0" w:space="0" w:color="auto"/>
      </w:divBdr>
    </w:div>
    <w:div w:id="1437604222">
      <w:bodyDiv w:val="1"/>
      <w:marLeft w:val="0"/>
      <w:marRight w:val="0"/>
      <w:marTop w:val="0"/>
      <w:marBottom w:val="0"/>
      <w:divBdr>
        <w:top w:val="none" w:sz="0" w:space="0" w:color="auto"/>
        <w:left w:val="none" w:sz="0" w:space="0" w:color="auto"/>
        <w:bottom w:val="none" w:sz="0" w:space="0" w:color="auto"/>
        <w:right w:val="none" w:sz="0" w:space="0" w:color="auto"/>
      </w:divBdr>
    </w:div>
    <w:div w:id="1635482054">
      <w:bodyDiv w:val="1"/>
      <w:marLeft w:val="0"/>
      <w:marRight w:val="0"/>
      <w:marTop w:val="0"/>
      <w:marBottom w:val="0"/>
      <w:divBdr>
        <w:top w:val="none" w:sz="0" w:space="0" w:color="auto"/>
        <w:left w:val="none" w:sz="0" w:space="0" w:color="auto"/>
        <w:bottom w:val="none" w:sz="0" w:space="0" w:color="auto"/>
        <w:right w:val="none" w:sz="0" w:space="0" w:color="auto"/>
      </w:divBdr>
    </w:div>
    <w:div w:id="1673678136">
      <w:bodyDiv w:val="1"/>
      <w:marLeft w:val="0"/>
      <w:marRight w:val="0"/>
      <w:marTop w:val="0"/>
      <w:marBottom w:val="0"/>
      <w:divBdr>
        <w:top w:val="none" w:sz="0" w:space="0" w:color="auto"/>
        <w:left w:val="none" w:sz="0" w:space="0" w:color="auto"/>
        <w:bottom w:val="none" w:sz="0" w:space="0" w:color="auto"/>
        <w:right w:val="none" w:sz="0" w:space="0" w:color="auto"/>
      </w:divBdr>
    </w:div>
    <w:div w:id="1692956259">
      <w:bodyDiv w:val="1"/>
      <w:marLeft w:val="0"/>
      <w:marRight w:val="0"/>
      <w:marTop w:val="0"/>
      <w:marBottom w:val="0"/>
      <w:divBdr>
        <w:top w:val="none" w:sz="0" w:space="0" w:color="auto"/>
        <w:left w:val="none" w:sz="0" w:space="0" w:color="auto"/>
        <w:bottom w:val="none" w:sz="0" w:space="0" w:color="auto"/>
        <w:right w:val="none" w:sz="0" w:space="0" w:color="auto"/>
      </w:divBdr>
    </w:div>
    <w:div w:id="1753577783">
      <w:bodyDiv w:val="1"/>
      <w:marLeft w:val="0"/>
      <w:marRight w:val="0"/>
      <w:marTop w:val="0"/>
      <w:marBottom w:val="0"/>
      <w:divBdr>
        <w:top w:val="none" w:sz="0" w:space="0" w:color="auto"/>
        <w:left w:val="none" w:sz="0" w:space="0" w:color="auto"/>
        <w:bottom w:val="none" w:sz="0" w:space="0" w:color="auto"/>
        <w:right w:val="none" w:sz="0" w:space="0" w:color="auto"/>
      </w:divBdr>
    </w:div>
    <w:div w:id="1800877130">
      <w:bodyDiv w:val="1"/>
      <w:marLeft w:val="0"/>
      <w:marRight w:val="0"/>
      <w:marTop w:val="0"/>
      <w:marBottom w:val="0"/>
      <w:divBdr>
        <w:top w:val="none" w:sz="0" w:space="0" w:color="auto"/>
        <w:left w:val="none" w:sz="0" w:space="0" w:color="auto"/>
        <w:bottom w:val="none" w:sz="0" w:space="0" w:color="auto"/>
        <w:right w:val="none" w:sz="0" w:space="0" w:color="auto"/>
      </w:divBdr>
    </w:div>
    <w:div w:id="2007130389">
      <w:bodyDiv w:val="1"/>
      <w:marLeft w:val="0"/>
      <w:marRight w:val="0"/>
      <w:marTop w:val="0"/>
      <w:marBottom w:val="0"/>
      <w:divBdr>
        <w:top w:val="none" w:sz="0" w:space="0" w:color="auto"/>
        <w:left w:val="none" w:sz="0" w:space="0" w:color="auto"/>
        <w:bottom w:val="none" w:sz="0" w:space="0" w:color="auto"/>
        <w:right w:val="none" w:sz="0" w:space="0" w:color="auto"/>
      </w:divBdr>
    </w:div>
    <w:div w:id="2033139992">
      <w:bodyDiv w:val="1"/>
      <w:marLeft w:val="0"/>
      <w:marRight w:val="0"/>
      <w:marTop w:val="0"/>
      <w:marBottom w:val="0"/>
      <w:divBdr>
        <w:top w:val="none" w:sz="0" w:space="0" w:color="auto"/>
        <w:left w:val="none" w:sz="0" w:space="0" w:color="auto"/>
        <w:bottom w:val="none" w:sz="0" w:space="0" w:color="auto"/>
        <w:right w:val="none" w:sz="0" w:space="0" w:color="auto"/>
      </w:divBdr>
    </w:div>
    <w:div w:id="2122918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docs/default-source/coronaviruse/mental-health-considerations.pdf"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42</Pages>
  <Words>13016</Words>
  <Characters>74193</Characters>
  <Application>Microsoft Office Word</Application>
  <DocSecurity>0</DocSecurity>
  <Lines>618</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 no1</dc:creator>
  <cp:keywords/>
  <dc:description/>
  <cp:lastModifiedBy>Sabha Akhtar</cp:lastModifiedBy>
  <cp:revision>2</cp:revision>
  <dcterms:created xsi:type="dcterms:W3CDTF">2025-09-21T19:28:00Z</dcterms:created>
  <dcterms:modified xsi:type="dcterms:W3CDTF">2025-09-21T19:28:00Z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49978c73-6d99-4515-8232-d3e0032885f3</vt:lpwstr>
  </property>
</Properties>
</file>