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Default Extension="png" ContentType="image/png"/>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0085cd98a7d8478e" /><Relationship Type="http://schemas.openxmlformats.org/package/2006/relationships/metadata/core-properties" Target="package/services/metadata/core-properties/dbf3aebb2513411ea14c180e99715b0d.psmdcp" Id="R9a811db516044212"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xmlns:a14="http://schemas.microsoft.com/office/drawing/2010/main" mc:Ignorable="wp14">
  <w:body>
    <w:p xmlns:wp14="http://schemas.microsoft.com/office/word/2010/wordml" w:rsidP="06E11AC4" w:rsidRDefault="00000000" w14:paraId="694ACDDE" wp14:textId="1727628D">
      <w:pPr>
        <w:pStyle w:val="Normal"/>
        <w:rPr>
          <w:noProof w:val="0"/>
          <w:lang w:val="en-US"/>
        </w:rPr>
      </w:pPr>
      <w:r w:rsidR="63F71A1F">
        <w:drawing>
          <wp:inline xmlns:wp14="http://schemas.microsoft.com/office/word/2010/wordprocessingDrawing" wp14:editId="3586639A" wp14:anchorId="64E5CDA2">
            <wp:extent cx="1810003" cy="724001"/>
            <wp:effectExtent l="0" t="0" r="0" b="0"/>
            <wp:docPr id="1880963291"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0963291" name="Picture 1880963291"/>
                    <pic:cNvPicPr/>
                  </pic:nvPicPr>
                  <pic:blipFill>
                    <a:blip xmlns:r="http://schemas.openxmlformats.org/officeDocument/2006/relationships" r:embed="rId1477705566">
                      <a:extLst>
                        <a:ext uri="{28A0092B-C50C-407E-A947-70E740481C1C}">
                          <a14:useLocalDpi xmlns:a14="http://schemas.microsoft.com/office/drawing/2010/main"/>
                        </a:ext>
                      </a:extLst>
                    </a:blip>
                    <a:stretch>
                      <a:fillRect/>
                    </a:stretch>
                  </pic:blipFill>
                  <pic:spPr>
                    <a:xfrm>
                      <a:off x="0" y="0"/>
                      <a:ext cx="1810003" cy="724001"/>
                    </a:xfrm>
                    <a:prstGeom prst="rect">
                      <a:avLst/>
                    </a:prstGeom>
                  </pic:spPr>
                </pic:pic>
              </a:graphicData>
            </a:graphic>
          </wp:inline>
        </w:drawing>
      </w:r>
    </w:p>
    <w:p xmlns:wp14="http://schemas.microsoft.com/office/word/2010/wordml" w:rsidP="06E11AC4" w:rsidRDefault="00000000" w14:paraId="16CB4E27" wp14:textId="6A6775E7">
      <w:pPr>
        <w:pStyle w:val="Normal"/>
        <w:jc w:val="left"/>
        <w:rPr>
          <w:b w:val="0"/>
          <w:bCs w:val="0"/>
          <w:rtl w:val="0"/>
        </w:rPr>
      </w:pPr>
    </w:p>
    <w:p xmlns:wp14="http://schemas.microsoft.com/office/word/2010/wordml" w:rsidRDefault="00000000" w14:paraId="00000001" wp14:textId="721EB47C">
      <w:pPr>
        <w:pStyle w:val="Title"/>
        <w:jc w:val="left"/>
        <w:rPr>
          <w:b w:val="0"/>
          <w:bCs w:val="0"/>
        </w:rPr>
      </w:pPr>
      <w:r w:rsidRPr="06E11AC4" w:rsidR="0E27CC02">
        <w:rPr>
          <w:b w:val="1"/>
          <w:bCs w:val="1"/>
        </w:rPr>
        <w:t>Student Name</w:t>
      </w:r>
      <w:r w:rsidR="0E27CC02">
        <w:rPr>
          <w:b w:val="0"/>
          <w:bCs w:val="0"/>
        </w:rPr>
        <w:t>: Lydia Sarpong</w:t>
      </w:r>
      <w:r>
        <w:rPr>
          <w:b w:val="0"/>
          <w:bCs w:val="0"/>
          <w:rtl w:val="0"/>
        </w:rPr>
        <w:t xml:space="preserve">Student Name: Lydia Sarpong</w:t>
      </w:r>
    </w:p>
    <w:p xmlns:wp14="http://schemas.microsoft.com/office/word/2010/wordml" w:rsidP="06E11AC4" w:rsidRDefault="00000000" w14:paraId="00000002" wp14:textId="330442E7">
      <w:pPr>
        <w:pStyle w:val="Normal"/>
      </w:pPr>
      <w:r w:rsidRPr="06E11AC4" w:rsidR="0E27CC02">
        <w:rPr>
          <w:b w:val="1"/>
          <w:bCs w:val="1"/>
        </w:rPr>
        <w:t>Student Number:</w:t>
      </w:r>
      <w:r w:rsidRPr="06E11AC4" w:rsidR="555836BF">
        <w:rPr>
          <w:b w:val="1"/>
          <w:bCs w:val="1"/>
        </w:rPr>
        <w:t xml:space="preserve"> </w:t>
      </w:r>
      <w:r w:rsidRPr="06E11AC4" w:rsidR="555836B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2436096</w:t>
      </w:r>
      <w:r>
        <w:rPr>
          <w:b w:val="0"/>
          <w:bCs w:val="0"/>
          <w:rtl w:val="0"/>
        </w:rPr>
        <w:t xml:space="preserve">Student Number:</w:t>
      </w:r>
    </w:p>
    <w:p xmlns:wp14="http://schemas.microsoft.com/office/word/2010/wordml" w:rsidRDefault="00000000" w14:paraId="00000003" wp14:textId="77777777">
      <w:pPr>
        <w:pStyle w:val="Title"/>
        <w:jc w:val="left"/>
        <w:rPr>
          <w:b w:val="0"/>
          <w:bCs w:val="0"/>
        </w:rPr>
      </w:pPr>
      <w:r w:rsidRPr="06E11AC4" w:rsidR="0E27CC02">
        <w:rPr>
          <w:b w:val="1"/>
          <w:bCs w:val="1"/>
        </w:rPr>
        <w:t>Module Code</w:t>
      </w:r>
      <w:r w:rsidR="0E27CC02">
        <w:rPr>
          <w:b w:val="0"/>
          <w:bCs w:val="0"/>
        </w:rPr>
        <w:t>: LCHS4003</w:t>
      </w:r>
      <w:r>
        <w:rPr>
          <w:b w:val="0"/>
          <w:bCs w:val="0"/>
          <w:rtl w:val="0"/>
        </w:rPr>
        <w:t xml:space="preserve">Module Code: LCHS4003</w:t>
      </w:r>
    </w:p>
    <w:p xmlns:wp14="http://schemas.microsoft.com/office/word/2010/wordml" w:rsidRDefault="00000000" w14:paraId="00000004" wp14:textId="77777777">
      <w:pPr>
        <w:pStyle w:val="Title"/>
        <w:jc w:val="left"/>
        <w:rPr>
          <w:b w:val="0"/>
          <w:bCs w:val="0"/>
        </w:rPr>
      </w:pPr>
      <w:r w:rsidRPr="06E11AC4" w:rsidR="0E27CC02">
        <w:rPr>
          <w:b w:val="1"/>
          <w:bCs w:val="1"/>
        </w:rPr>
        <w:t>Module Title</w:t>
      </w:r>
      <w:r w:rsidR="0E27CC02">
        <w:rPr>
          <w:b w:val="0"/>
          <w:bCs w:val="0"/>
        </w:rPr>
        <w:t>: Introduction to Health and Social Care</w:t>
      </w:r>
      <w:r>
        <w:rPr>
          <w:b w:val="0"/>
          <w:bCs w:val="0"/>
          <w:rtl w:val="0"/>
        </w:rPr>
        <w:t xml:space="preserve">Module Title: Introduction to Health and Social Care</w:t>
      </w:r>
    </w:p>
    <w:p xmlns:wp14="http://schemas.microsoft.com/office/word/2010/wordml" w:rsidRDefault="00000000" w14:paraId="00000005" wp14:textId="77777777">
      <w:pPr>
        <w:pStyle w:val="Title"/>
        <w:jc w:val="left"/>
        <w:rPr>
          <w:b w:val="0"/>
          <w:bCs w:val="0"/>
        </w:rPr>
      </w:pPr>
      <w:r w:rsidRPr="06E11AC4" w:rsidR="0E27CC02">
        <w:rPr>
          <w:b w:val="1"/>
          <w:bCs w:val="1"/>
        </w:rPr>
        <w:t>Lecturer:</w:t>
      </w:r>
      <w:r w:rsidR="0E27CC02">
        <w:rPr>
          <w:b w:val="0"/>
          <w:bCs w:val="0"/>
        </w:rPr>
        <w:t xml:space="preserve"> Muhammad Aliyu </w:t>
      </w:r>
      <w:r>
        <w:rPr>
          <w:b w:val="0"/>
          <w:bCs w:val="0"/>
          <w:rtl w:val="0"/>
        </w:rPr>
        <w:t xml:space="preserve">Lecturer: Muhammad Aliyu </w:t>
      </w:r>
    </w:p>
    <w:p xmlns:wp14="http://schemas.microsoft.com/office/word/2010/wordml" w:rsidRDefault="00000000" w14:paraId="00000006" wp14:textId="77777777">
      <w:pPr>
        <w:pStyle w:val="Title"/>
        <w:jc w:val="left"/>
      </w:pPr>
      <w:bookmarkStart w:name="_heading=h.9j74uich9q1p" w:colFirst="0" w:colLast="0" w:id="5"/>
      <w:r w:rsidR="0E27CC02">
        <w:rPr>
          <w:b w:val="0"/>
          <w:bCs w:val="0"/>
        </w:rPr>
        <w:t xml:space="preserve"> Component 1: Portfolio–Two Tasks</w:t>
      </w:r>
      <w:bookmarkEnd w:id="5"/>
      <w:r>
        <w:rPr>
          <w:b w:val="0"/>
          <w:bCs w:val="0"/>
          <w:rtl w:val="0"/>
        </w:rPr>
        <w:t xml:space="preserve">Assignment Title: Component 1: Portfolio–Two Tasks</w:t>
      </w:r>
      <w:r>
        <w:rPr>
          <w:rtl w:val="0"/>
        </w:rPr>
      </w:r>
    </w:p>
    <w:p xmlns:wp14="http://schemas.microsoft.com/office/word/2010/wordml" w:rsidP="74AB7E8F" w:rsidRDefault="00000000" w14:paraId="0150D45A" wp14:textId="49686BBD">
      <w:pPr>
        <w:pStyle w:val="Normal"/>
      </w:pPr>
    </w:p>
    <w:p xmlns:wp14="http://schemas.microsoft.com/office/word/2010/wordml" w:rsidP="74AB7E8F" w:rsidRDefault="00000000" w14:paraId="4BD900DA" wp14:textId="6F1A75F5">
      <w:pPr>
        <w:pStyle w:val="Normal"/>
      </w:pPr>
    </w:p>
    <w:p xmlns:wp14="http://schemas.microsoft.com/office/word/2010/wordml" w:rsidP="74AB7E8F" w:rsidRDefault="00000000" w14:paraId="761EE583" wp14:textId="5AA47A57">
      <w:pPr>
        <w:pStyle w:val="Normal"/>
      </w:pPr>
    </w:p>
    <w:p xmlns:wp14="http://schemas.microsoft.com/office/word/2010/wordml" w:rsidP="74AB7E8F" w:rsidRDefault="00000000" w14:paraId="12A21715" wp14:textId="177BE282">
      <w:pPr>
        <w:pStyle w:val="Normal"/>
      </w:pPr>
    </w:p>
    <w:p xmlns:wp14="http://schemas.microsoft.com/office/word/2010/wordml" w:rsidP="74AB7E8F" w:rsidRDefault="00000000" w14:paraId="2AE78B0B" wp14:textId="67EA5D37">
      <w:pPr>
        <w:pStyle w:val="Normal"/>
      </w:pPr>
    </w:p>
    <w:p xmlns:wp14="http://schemas.microsoft.com/office/word/2010/wordml" w:rsidP="74AB7E8F" w:rsidRDefault="00000000" w14:paraId="3B2DD56D" wp14:textId="237FEE0D">
      <w:pPr>
        <w:pStyle w:val="Normal"/>
      </w:pPr>
    </w:p>
    <w:p xmlns:wp14="http://schemas.microsoft.com/office/word/2010/wordml" w:rsidP="74AB7E8F" w:rsidRDefault="00000000" w14:paraId="2F765F46" wp14:textId="0F9D9F87">
      <w:pPr>
        <w:pStyle w:val="Normal"/>
      </w:pPr>
    </w:p>
    <w:p xmlns:wp14="http://schemas.microsoft.com/office/word/2010/wordml" w:rsidP="74AB7E8F" w:rsidRDefault="00000000" w14:paraId="28280743" wp14:textId="128B9A4F">
      <w:pPr>
        <w:pStyle w:val="Normal"/>
      </w:pPr>
    </w:p>
    <w:p xmlns:wp14="http://schemas.microsoft.com/office/word/2010/wordml" w:rsidP="74AB7E8F" w:rsidRDefault="00000000" w14:paraId="6499949C" wp14:textId="7F1C592D">
      <w:pPr>
        <w:pStyle w:val="Normal"/>
      </w:pPr>
    </w:p>
    <w:p xmlns:wp14="http://schemas.microsoft.com/office/word/2010/wordml" w:rsidP="74AB7E8F" w:rsidRDefault="00000000" w14:paraId="6C63D762" wp14:textId="533FE29E">
      <w:pPr>
        <w:pStyle w:val="Normal"/>
      </w:pPr>
    </w:p>
    <w:p xmlns:wp14="http://schemas.microsoft.com/office/word/2010/wordml" w:rsidP="74AB7E8F" w:rsidRDefault="00000000" w14:paraId="1164E39D" wp14:textId="4CF61B5A">
      <w:pPr>
        <w:pStyle w:val="Normal"/>
      </w:pPr>
    </w:p>
    <w:p xmlns:wp14="http://schemas.microsoft.com/office/word/2010/wordml" w:rsidP="74AB7E8F" w:rsidRDefault="00000000" w14:paraId="00B79749" wp14:textId="03E9C511">
      <w:pPr>
        <w:pStyle w:val="Normal"/>
      </w:pPr>
    </w:p>
    <w:p xmlns:wp14="http://schemas.microsoft.com/office/word/2010/wordml" w:rsidP="74AB7E8F" w:rsidRDefault="00000000" w14:paraId="515B5682" wp14:textId="4C2938B8">
      <w:pPr>
        <w:pStyle w:val="Normal"/>
      </w:pPr>
    </w:p>
    <w:p xmlns:wp14="http://schemas.microsoft.com/office/word/2010/wordml" w:rsidP="74AB7E8F" w:rsidRDefault="00000000" w14:paraId="2DBC2459" wp14:textId="66AD03EC">
      <w:pPr>
        <w:pStyle w:val="Normal"/>
      </w:pPr>
    </w:p>
    <w:p xmlns:wp14="http://schemas.microsoft.com/office/word/2010/wordml" w:rsidP="74AB7E8F" w:rsidRDefault="00000000" w14:paraId="340E9BE4" wp14:textId="44230FB1">
      <w:pPr>
        <w:pStyle w:val="Normal"/>
      </w:pPr>
    </w:p>
    <w:p xmlns:wp14="http://schemas.microsoft.com/office/word/2010/wordml" w:rsidP="74AB7E8F" w:rsidRDefault="00000000" w14:paraId="4A25F709" wp14:textId="29E40060">
      <w:pPr>
        <w:pStyle w:val="Normal"/>
      </w:pPr>
    </w:p>
    <w:p xmlns:wp14="http://schemas.microsoft.com/office/word/2010/wordml" w:rsidP="74AB7E8F" w:rsidRDefault="00000000" w14:paraId="5CF5DF88" wp14:textId="5658EA4C">
      <w:pPr>
        <w:pStyle w:val="Normal"/>
      </w:pPr>
    </w:p>
    <w:p xmlns:wp14="http://schemas.microsoft.com/office/word/2010/wordml" w:rsidP="74AB7E8F" w:rsidRDefault="00000000" w14:paraId="5EDBECCE" wp14:textId="2BE6B57A">
      <w:pPr>
        <w:pStyle w:val="Normal"/>
      </w:pPr>
    </w:p>
    <w:p xmlns:wp14="http://schemas.microsoft.com/office/word/2010/wordml" w:rsidP="74AB7E8F" w:rsidRDefault="00000000" w14:paraId="673DFC75" wp14:textId="518C5824">
      <w:pPr>
        <w:pStyle w:val="Normal"/>
      </w:pPr>
    </w:p>
    <w:p xmlns:wp14="http://schemas.microsoft.com/office/word/2010/wordml" w:rsidP="74AB7E8F" w:rsidRDefault="00000000" w14:paraId="13B8F257" wp14:textId="7C5D7774">
      <w:pPr>
        <w:pStyle w:val="Normal"/>
      </w:pPr>
    </w:p>
    <w:p xmlns:wp14="http://schemas.microsoft.com/office/word/2010/wordml" w:rsidP="74AB7E8F" w:rsidRDefault="00000000" w14:paraId="00000008" wp14:textId="22CEA3B5">
      <w:pPr>
        <w:pStyle w:val="Heading1"/>
      </w:pPr>
      <w:r w:rsidR="0E27CC02">
        <w:rPr/>
        <w:t xml:space="preserve">Task 1: Poster </w:t>
      </w:r>
    </w:p>
    <w:p xmlns:wp14="http://schemas.microsoft.com/office/word/2010/wordml" w:rsidP="06E11AC4" w:rsidRDefault="00000000" w14:paraId="48DAF71A" wp14:textId="2EE2E989">
      <w:pPr>
        <w:pStyle w:val="Normal"/>
        <w:keepNext w:val="0"/>
        <w:keepLines w:val="0"/>
        <w:spacing w:line="240" w:lineRule="auto"/>
      </w:pPr>
      <w:r w:rsidRPr="626AC1EB" w:rsidR="2DFDBE0C">
        <w:rPr>
          <w:rFonts w:ascii="Arial" w:hAnsi="Arial" w:eastAsia="Arial" w:cs="Arial"/>
          <w:b w:val="0"/>
          <w:bCs w:val="0"/>
          <w:i w:val="0"/>
          <w:iCs w:val="0"/>
          <w:caps w:val="0"/>
          <w:smallCaps w:val="0"/>
          <w:strike w:val="0"/>
          <w:dstrike w:val="0"/>
          <w:noProof w:val="0"/>
          <w:color w:val="000000" w:themeColor="text1" w:themeTint="FF" w:themeShade="FF"/>
          <w:sz w:val="20"/>
          <w:szCs w:val="20"/>
          <w:u w:val="none"/>
          <w:vertAlign w:val="superscript"/>
          <w:lang w:val="en-US"/>
        </w:rPr>
        <w:t xml:space="preserve"> </w:t>
      </w:r>
      <w:r w:rsidR="0E3C3439">
        <w:drawing>
          <wp:inline xmlns:wp14="http://schemas.microsoft.com/office/word/2010/wordprocessingDrawing" wp14:editId="40F8615E" wp14:anchorId="052F83C5">
            <wp:extent cx="6238875" cy="5553075"/>
            <wp:effectExtent l="0" t="0" r="0" b="0"/>
            <wp:docPr id="118304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30439" name="Picture 11830439"/>
                    <pic:cNvPicPr/>
                  </pic:nvPicPr>
                  <pic:blipFill>
                    <a:blip xmlns:r="http://schemas.openxmlformats.org/officeDocument/2006/relationships" r:embed="rId246507884">
                      <a:extLst>
                        <a:ext uri="{28A0092B-C50C-407E-A947-70E740481C1C}">
                          <a14:useLocalDpi xmlns:a14="http://schemas.microsoft.com/office/drawing/2010/main"/>
                        </a:ext>
                      </a:extLst>
                    </a:blip>
                    <a:stretch>
                      <a:fillRect/>
                    </a:stretch>
                  </pic:blipFill>
                  <pic:spPr>
                    <a:xfrm rot="0">
                      <a:off x="0" y="0"/>
                      <a:ext cx="6238875" cy="5553075"/>
                    </a:xfrm>
                    <a:prstGeom prst="rect">
                      <a:avLst/>
                    </a:prstGeom>
                  </pic:spPr>
                </pic:pic>
              </a:graphicData>
            </a:graphic>
          </wp:inline>
        </w:drawing>
      </w:r>
    </w:p>
    <w:p xmlns:wp14="http://schemas.microsoft.com/office/word/2010/wordml" w:rsidP="06E11AC4" w:rsidRDefault="00000000" w14:paraId="5D45605A" wp14:textId="31F9BD64">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3F03BF68" wp14:textId="44D6E922">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079ACC79" wp14:textId="39443F74">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378940C4" wp14:textId="50B9788C">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1FF3629D" wp14:textId="1697B1AA">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122C1861" wp14:textId="527CB3CD">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3BA9AD93" wp14:textId="39280ABA">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15E62C20" wp14:textId="5CBDED3F">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699850FC" wp14:textId="5272FB95">
      <w:pPr>
        <w:pStyle w:val="Normal"/>
        <w:suppressLineNumbers w:val="0"/>
        <w:bidi w:val="0"/>
        <w:spacing w:before="0" w:beforeAutospacing="off" w:after="0" w:afterAutospacing="off" w:line="360" w:lineRule="auto"/>
        <w:ind w:left="0" w:right="0"/>
        <w:jc w:val="both"/>
        <w:rPr>
          <w:b w:val="1"/>
          <w:bCs w:val="1"/>
          <w:u w:val="single"/>
        </w:rPr>
      </w:pPr>
    </w:p>
    <w:p xmlns:wp14="http://schemas.microsoft.com/office/word/2010/wordml" w:rsidP="06E11AC4" w:rsidRDefault="00000000" w14:paraId="61EFA042" wp14:textId="1165CDD6">
      <w:pPr>
        <w:pStyle w:val="Normal"/>
        <w:suppressLineNumbers w:val="0"/>
        <w:bidi w:val="0"/>
        <w:spacing w:before="0" w:beforeAutospacing="off" w:after="0" w:afterAutospacing="off" w:line="360" w:lineRule="auto"/>
        <w:ind w:left="0" w:right="0"/>
        <w:jc w:val="both"/>
        <w:rPr>
          <w:b w:val="1"/>
          <w:bCs w:val="1"/>
          <w:u w:val="single"/>
        </w:rPr>
      </w:pPr>
      <w:r w:rsidRPr="06E11AC4" w:rsidR="09C637EE">
        <w:rPr>
          <w:b w:val="1"/>
          <w:bCs w:val="1"/>
          <w:u w:val="single"/>
        </w:rPr>
        <w:t xml:space="preserve">Task 2: Essay on social care services </w:t>
      </w:r>
    </w:p>
    <w:p xmlns:wp14="http://schemas.microsoft.com/office/word/2010/wordml" w:rsidP="74AB7E8F" w:rsidRDefault="00000000" w14:paraId="3CF43D6A" wp14:textId="06D6D22A">
      <w:pPr>
        <w:pStyle w:val="Normal"/>
        <w:keepNext w:val="0"/>
        <w:keepLines w:val="0"/>
        <w:spacing w:line="240" w:lineRule="auto"/>
      </w:pPr>
      <w:r w:rsidR="62185EA3">
        <w:rPr/>
        <w:t>The residential care homes are a relevant social care</w:t>
      </w:r>
      <w:r w:rsidR="62185EA3">
        <w:rPr/>
        <w:t xml:space="preserve"> service, which provides personal care and emotional support to persons who cannot live independently (Lynch </w:t>
      </w:r>
      <w:r w:rsidRPr="06E11AC4" w:rsidR="62185EA3">
        <w:rPr>
          <w:i w:val="1"/>
          <w:iCs w:val="1"/>
        </w:rPr>
        <w:t>et al.</w:t>
      </w:r>
      <w:r w:rsidR="62185EA3">
        <w:rPr/>
        <w:t xml:space="preserve">, 2022). The services </w:t>
      </w:r>
      <w:r w:rsidR="62185EA3">
        <w:rPr/>
        <w:t>predominantly serve</w:t>
      </w:r>
      <w:r w:rsidR="62185EA3">
        <w:rPr/>
        <w:t xml:space="preserve"> the elderly and individuals with complex care needs by fostering safety, </w:t>
      </w:r>
      <w:r w:rsidR="62185EA3">
        <w:rPr/>
        <w:t>dignity</w:t>
      </w:r>
      <w:r w:rsidR="62185EA3">
        <w:rPr/>
        <w:t xml:space="preserve"> and wellbeing. Residential care houses play </w:t>
      </w:r>
      <w:r w:rsidR="62185EA3">
        <w:rPr/>
        <w:t>an important role</w:t>
      </w:r>
      <w:r w:rsidR="62185EA3">
        <w:rPr/>
        <w:t xml:space="preserve"> in the provision of health and social care in modern society.</w:t>
      </w:r>
    </w:p>
    <w:p w:rsidR="06E11AC4" w:rsidP="06E11AC4" w:rsidRDefault="06E11AC4" w14:paraId="73F91278" w14:textId="33FC4F48">
      <w:pPr>
        <w:keepNext w:val="0"/>
        <w:keepLines w:val="0"/>
        <w:spacing w:line="240" w:lineRule="auto"/>
        <w:rPr>
          <w:b w:val="1"/>
          <w:bCs w:val="1"/>
        </w:rPr>
      </w:pPr>
    </w:p>
    <w:p xmlns:wp14="http://schemas.microsoft.com/office/word/2010/wordml" w:rsidP="74AB7E8F" w:rsidRDefault="00000000" w14:paraId="0000001B" wp14:textId="77777777">
      <w:pPr>
        <w:keepNext w:val="0"/>
        <w:keepLines w:val="0"/>
        <w:spacing w:line="240" w:lineRule="auto"/>
        <w:rPr>
          <w:b w:val="1"/>
          <w:bCs w:val="1"/>
        </w:rPr>
      </w:pPr>
      <w:r w:rsidRPr="74AB7E8F" w:rsidR="74AB7E8F">
        <w:rPr>
          <w:b w:val="1"/>
          <w:bCs w:val="1"/>
        </w:rPr>
        <w:t xml:space="preserve">Origins of the service and the historical context that shaped its development </w:t>
      </w:r>
    </w:p>
    <w:p xmlns:wp14="http://schemas.microsoft.com/office/word/2010/wordml" w:rsidP="74AB7E8F" w:rsidRDefault="00000000" w14:paraId="0000001C" wp14:textId="77777777">
      <w:pPr>
        <w:keepNext w:val="0"/>
        <w:keepLines w:val="0"/>
        <w:spacing w:line="240" w:lineRule="auto"/>
      </w:pPr>
      <w:r w:rsidR="74AB7E8F">
        <w:rPr/>
        <w:t>Residential care homes can be traced back to the days of the Poor Laws, where older people and those vulnerable to take care of themselves were dealt with by placing them in workhouses, where living conditions and care for their personal well-being were often poor. In the aftermath of the social and economic consequences of the Second World War, the reforms that would be provided by the Labour Government established the Welfare State and better health and social care services (Crafts, 2024). Five key social problems existed as shown by the Beveridge Report of 1942, and they were disease, want and squalor, which discussed the purpose of improved care and supportive systems (BBC, 2019). As a result, residential care services formed progressively into more systematic and controlled settings, whereby the needs of individuals were addressed. Legislation and social care reforms have, over the years, changed residential care to one that promotes dignity, wellbeing, independence and person-centred care to the service users.</w:t>
      </w:r>
    </w:p>
    <w:p w:rsidR="74AB7E8F" w:rsidP="74AB7E8F" w:rsidRDefault="74AB7E8F" w14:paraId="2BB31026" w14:textId="0DB8BF10">
      <w:pPr>
        <w:keepNext w:val="0"/>
        <w:keepLines w:val="0"/>
        <w:spacing w:line="240" w:lineRule="auto"/>
        <w:rPr>
          <w:b w:val="1"/>
          <w:bCs w:val="1"/>
          <w:rtl w:val="0"/>
        </w:rPr>
      </w:pPr>
    </w:p>
    <w:p xmlns:wp14="http://schemas.microsoft.com/office/word/2010/wordml" w:rsidP="74AB7E8F" w:rsidRDefault="00000000" w14:paraId="0000001D" wp14:textId="77777777">
      <w:pPr>
        <w:keepNext w:val="0"/>
        <w:keepLines w:val="0"/>
        <w:spacing w:line="240" w:lineRule="auto"/>
        <w:rPr>
          <w:b w:val="1"/>
          <w:bCs w:val="1"/>
        </w:rPr>
      </w:pPr>
      <w:r w:rsidRPr="74AB7E8F" w:rsidR="74AB7E8F">
        <w:rPr>
          <w:b w:val="1"/>
          <w:bCs w:val="1"/>
        </w:rPr>
        <w:t xml:space="preserve">Critical evaluation of how the service functions today </w:t>
      </w:r>
    </w:p>
    <w:p xmlns:wp14="http://schemas.microsoft.com/office/word/2010/wordml" w:rsidP="74AB7E8F" w:rsidRDefault="00000000" w14:paraId="0000001E" wp14:textId="77777777">
      <w:pPr>
        <w:keepNext w:val="0"/>
        <w:keepLines w:val="0"/>
        <w:spacing w:line="240" w:lineRule="auto"/>
      </w:pPr>
      <w:r w:rsidR="74AB7E8F">
        <w:rPr/>
        <w:t>In the present day, residential care homes offer lodging, care of the body, emotions and assistance in activities of daily living to those who need constant attention. With person-centred approaches, modern residential care is directed and defined by the fact that it is arranged in terms of the preferences and choices of people and the special needs of individuals. The Care Act 2014 emphasises promoting wellbeing, safeguarding vulnerable adults and involving service users in decisions about their care (Johnson and Boland, 2019). In addition, residential care homes adopt a partnership working model in which care staff and healthcare professionals, families and other agencies work together providing coordinated support. Nevertheless, these advantages are coupled with different challenges impacting the quality of the service that extend to staff shortages, heightened demand and financial strain that the sector encounters. Hence, there is a need to have continuous improvement, effective leadership and quality assurance in order to achieve safe, responsive and high-quality care delivery.</w:t>
      </w:r>
    </w:p>
    <w:p w:rsidR="74AB7E8F" w:rsidP="74AB7E8F" w:rsidRDefault="74AB7E8F" w14:paraId="536BB011" w14:textId="55B618B2">
      <w:pPr>
        <w:keepNext w:val="0"/>
        <w:keepLines w:val="0"/>
        <w:spacing w:line="240" w:lineRule="auto"/>
        <w:rPr>
          <w:b w:val="1"/>
          <w:bCs w:val="1"/>
          <w:rtl w:val="0"/>
        </w:rPr>
      </w:pPr>
    </w:p>
    <w:p xmlns:wp14="http://schemas.microsoft.com/office/word/2010/wordml" w:rsidP="74AB7E8F" w:rsidRDefault="00000000" w14:paraId="0000001F" wp14:textId="77777777">
      <w:pPr>
        <w:keepNext w:val="0"/>
        <w:keepLines w:val="0"/>
        <w:spacing w:line="240" w:lineRule="auto"/>
        <w:rPr>
          <w:b w:val="1"/>
          <w:bCs w:val="1"/>
        </w:rPr>
      </w:pPr>
      <w:r w:rsidRPr="74AB7E8F" w:rsidR="74AB7E8F">
        <w:rPr>
          <w:b w:val="1"/>
          <w:bCs w:val="1"/>
        </w:rPr>
        <w:t>Significance in enhancing the quality of life of service users</w:t>
      </w:r>
    </w:p>
    <w:p xmlns:wp14="http://schemas.microsoft.com/office/word/2010/wordml" w:rsidP="74AB7E8F" w:rsidRDefault="00000000" w14:paraId="00000020" wp14:textId="6F4F2E0E">
      <w:pPr>
        <w:keepNext w:val="0"/>
        <w:keepLines w:val="0"/>
        <w:spacing w:line="240" w:lineRule="auto"/>
      </w:pPr>
      <w:r w:rsidR="74AB7E8F">
        <w:rPr/>
        <w:t xml:space="preserve">Residential care homes play </w:t>
      </w:r>
      <w:r w:rsidR="74AB7E8F">
        <w:rPr/>
        <w:t>an important role</w:t>
      </w:r>
      <w:r w:rsidR="74AB7E8F">
        <w:rPr/>
        <w:t xml:space="preserve"> in improving the quality of life of the service users due to the safe and supportive environment that </w:t>
      </w:r>
      <w:r w:rsidR="74AB7E8F">
        <w:rPr/>
        <w:t>facilitates</w:t>
      </w:r>
      <w:r w:rsidR="74AB7E8F">
        <w:rPr/>
        <w:t xml:space="preserve"> physical, </w:t>
      </w:r>
      <w:r w:rsidR="74AB7E8F">
        <w:rPr/>
        <w:t>emotional</w:t>
      </w:r>
      <w:r w:rsidR="74AB7E8F">
        <w:rPr/>
        <w:t xml:space="preserve"> and social well-being (Zhao </w:t>
      </w:r>
      <w:r w:rsidRPr="74AB7E8F" w:rsidR="74AB7E8F">
        <w:rPr>
          <w:i w:val="1"/>
          <w:iCs w:val="1"/>
        </w:rPr>
        <w:t>et al.</w:t>
      </w:r>
      <w:r w:rsidR="74AB7E8F">
        <w:rPr/>
        <w:t>, 2023). Person-</w:t>
      </w:r>
      <w:r w:rsidR="74AB7E8F">
        <w:rPr/>
        <w:t>centred</w:t>
      </w:r>
      <w:r w:rsidR="74AB7E8F">
        <w:rPr/>
        <w:t xml:space="preserve"> care </w:t>
      </w:r>
      <w:r w:rsidR="74AB7E8F">
        <w:rPr/>
        <w:t>facilitates</w:t>
      </w:r>
      <w:r w:rsidR="74AB7E8F">
        <w:rPr/>
        <w:t xml:space="preserve"> people to be involved in decision-making related to their care, which in turn promotes dignity, </w:t>
      </w:r>
      <w:r w:rsidR="74AB7E8F">
        <w:rPr/>
        <w:t>independence</w:t>
      </w:r>
      <w:r w:rsidR="74AB7E8F">
        <w:rPr/>
        <w:t xml:space="preserve"> and control of their lives. Social isolation is also </w:t>
      </w:r>
      <w:r w:rsidR="74AB7E8F">
        <w:rPr/>
        <w:t>minimised</w:t>
      </w:r>
      <w:r w:rsidR="74AB7E8F">
        <w:rPr/>
        <w:t xml:space="preserve"> in residential care since there is social interaction, recreational </w:t>
      </w:r>
      <w:r w:rsidR="74AB7E8F">
        <w:rPr/>
        <w:t>activities</w:t>
      </w:r>
      <w:r w:rsidR="74AB7E8F">
        <w:rPr/>
        <w:t xml:space="preserve"> and community </w:t>
      </w:r>
      <w:r w:rsidR="74AB7E8F">
        <w:rPr/>
        <w:t>socialisation</w:t>
      </w:r>
      <w:r w:rsidR="74AB7E8F">
        <w:rPr/>
        <w:t xml:space="preserve">. Moreover, trained experts provide direct </w:t>
      </w:r>
      <w:r w:rsidR="74AB7E8F">
        <w:rPr/>
        <w:t>assistance</w:t>
      </w:r>
      <w:r w:rsidR="74AB7E8F">
        <w:rPr/>
        <w:t xml:space="preserve">, including medication administration, personal care, and emotional health, to make sure that the multiple needs of service users are addressed successfully. With the focus on dignity, </w:t>
      </w:r>
      <w:r w:rsidR="74AB7E8F">
        <w:rPr/>
        <w:t>compassion</w:t>
      </w:r>
      <w:r w:rsidR="74AB7E8F">
        <w:rPr/>
        <w:t xml:space="preserve"> and respect, people feel valued and safe, which enhances well-being, confidence, and ultimate satisfaction with life while allowing them to enjoy meaningful and fulfilling lives.</w:t>
      </w:r>
    </w:p>
    <w:p w:rsidR="74AB7E8F" w:rsidP="74AB7E8F" w:rsidRDefault="74AB7E8F" w14:paraId="45C6C80B" w14:textId="45E54DB9">
      <w:pPr>
        <w:keepNext w:val="0"/>
        <w:keepLines w:val="0"/>
        <w:spacing w:line="240" w:lineRule="auto"/>
        <w:rPr>
          <w:b w:val="1"/>
          <w:bCs w:val="1"/>
          <w:rtl w:val="0"/>
        </w:rPr>
      </w:pPr>
    </w:p>
    <w:p xmlns:wp14="http://schemas.microsoft.com/office/word/2010/wordml" w:rsidP="74AB7E8F" w:rsidRDefault="00000000" w14:paraId="00000021" wp14:textId="77777777">
      <w:pPr>
        <w:keepNext w:val="0"/>
        <w:keepLines w:val="0"/>
        <w:spacing w:line="240" w:lineRule="auto"/>
        <w:rPr>
          <w:b w:val="1"/>
          <w:bCs w:val="1"/>
        </w:rPr>
      </w:pPr>
      <w:r w:rsidRPr="74AB7E8F" w:rsidR="74AB7E8F">
        <w:rPr>
          <w:b w:val="1"/>
          <w:bCs w:val="1"/>
        </w:rPr>
        <w:t>Conclusion</w:t>
      </w:r>
    </w:p>
    <w:p xmlns:wp14="http://schemas.microsoft.com/office/word/2010/wordml" w:rsidP="74AB7E8F" w:rsidRDefault="00000000" w14:paraId="00000022" wp14:textId="77777777">
      <w:pPr>
        <w:keepNext w:val="0"/>
        <w:keepLines w:val="0"/>
        <w:spacing w:line="240" w:lineRule="auto"/>
        <w:rPr>
          <w:b w:val="1"/>
          <w:bCs w:val="1"/>
        </w:rPr>
      </w:pPr>
      <w:r w:rsidR="74AB7E8F">
        <w:rPr/>
        <w:t xml:space="preserve">Residential care homes changed their simple institutional care into person-focused services with dignity, well-being and independence. Their historical progression reflects general shifts in policy of health and social care in the UK. Regardless of challenges, residential care homes continue to be needed to support vulnerable people and increase their quality of life based on high-quality, safe, and compassionate care.</w:t>
      </w:r>
      <w:r>
        <w:br w:type="page"/>
      </w:r>
      <w:r>
        <w:rPr>
          <w:rtl w:val="0"/>
        </w:rPr>
      </w:r>
    </w:p>
    <w:p xmlns:wp14="http://schemas.microsoft.com/office/word/2010/wordml" w:rsidP="74AB7E8F" w:rsidRDefault="00000000" w14:paraId="00000023" wp14:textId="32EB7E3C">
      <w:pPr>
        <w:pStyle w:val="Heading1"/>
        <w:keepNext w:val="0"/>
        <w:keepLines w:val="0"/>
        <w:spacing w:line="240" w:lineRule="auto"/>
        <w:rPr>
          <w:rtl w:val="0"/>
        </w:rPr>
      </w:pPr>
      <w:r w:rsidR="3B40D4B7">
        <w:rPr/>
        <w:t xml:space="preserve">References </w:t>
      </w:r>
    </w:p>
    <w:p w:rsidR="74AB7E8F" w:rsidP="74AB7E8F" w:rsidRDefault="74AB7E8F" w14:paraId="17891FF1" w14:textId="295C5F82">
      <w:pPr>
        <w:keepNext w:val="0"/>
        <w:keepLines w:val="0"/>
        <w:spacing w:line="240" w:lineRule="auto"/>
        <w:rPr>
          <w:rtl w:val="0"/>
        </w:rPr>
      </w:pPr>
    </w:p>
    <w:p xmlns:wp14="http://schemas.microsoft.com/office/word/2010/wordml" w:rsidP="74AB7E8F" w:rsidRDefault="00000000" w14:paraId="00000026" wp14:textId="057070F5">
      <w:pPr>
        <w:keepNext w:val="0"/>
        <w:keepLines w:val="0"/>
        <w:spacing w:after="240" w:line="240" w:lineRule="auto"/>
      </w:pPr>
      <w:r w:rsidR="74AB7E8F">
        <w:rPr/>
        <w:t xml:space="preserve">Boyd, A., Sampson, F.C., Bell, F., Spaight, R., Rosser, A., Coster, J., Millins, M. and </w:t>
      </w:r>
      <w:r w:rsidR="74AB7E8F">
        <w:rPr/>
        <w:t>Pilbery</w:t>
      </w:r>
      <w:r w:rsidR="74AB7E8F">
        <w:rPr/>
        <w:t>, R. (2024) ‘How consistent are pre-alert guidelines? A review of UK ambulance service guidelines</w:t>
      </w:r>
      <w:r w:rsidR="74AB7E8F">
        <w:rPr/>
        <w:t>’,</w:t>
      </w:r>
      <w:r w:rsidR="74AB7E8F">
        <w:rPr/>
        <w:t xml:space="preserve"> </w:t>
      </w:r>
      <w:r w:rsidRPr="74AB7E8F" w:rsidR="74AB7E8F">
        <w:rPr>
          <w:i w:val="1"/>
          <w:iCs w:val="1"/>
        </w:rPr>
        <w:t>British paramedic journal</w:t>
      </w:r>
      <w:r w:rsidR="74AB7E8F">
        <w:rPr/>
        <w:t xml:space="preserve">, 8(4), pp. 30–37. Available at: </w:t>
      </w:r>
      <w:hyperlink r:id="R3a0e57822cc54cd5">
        <w:r w:rsidRPr="74AB7E8F" w:rsidR="74AB7E8F">
          <w:rPr>
            <w:rStyle w:val="Hyperlink"/>
          </w:rPr>
          <w:t>https://doi.org/10.29045/14784726.2024.3.8.4.30</w:t>
        </w:r>
      </w:hyperlink>
      <w:r w:rsidR="74AB7E8F">
        <w:rPr/>
        <w:t>.</w:t>
      </w:r>
    </w:p>
    <w:p w:rsidR="74AB7E8F" w:rsidP="74AB7E8F" w:rsidRDefault="74AB7E8F" w14:paraId="4D581C8A" w14:textId="7B017A74">
      <w:pPr>
        <w:keepNext w:val="0"/>
        <w:keepLines w:val="0"/>
        <w:spacing w:after="240" w:line="240" w:lineRule="auto"/>
      </w:pPr>
      <w:r w:rsidR="74AB7E8F">
        <w:rPr/>
        <w:t xml:space="preserve">EMS Museum (2023) </w:t>
      </w:r>
      <w:r w:rsidRPr="74AB7E8F" w:rsidR="74AB7E8F">
        <w:rPr>
          <w:i w:val="1"/>
          <w:iCs w:val="1"/>
        </w:rPr>
        <w:t>From Horse-drawn to Helicopters</w:t>
      </w:r>
      <w:r w:rsidR="74AB7E8F">
        <w:rPr/>
        <w:t xml:space="preserve">, </w:t>
      </w:r>
      <w:r w:rsidRPr="74AB7E8F" w:rsidR="74AB7E8F">
        <w:rPr>
          <w:i w:val="1"/>
          <w:iCs w:val="1"/>
        </w:rPr>
        <w:t>EMS Museum</w:t>
      </w:r>
      <w:r w:rsidR="74AB7E8F">
        <w:rPr/>
        <w:t>.</w:t>
      </w:r>
      <w:r w:rsidR="74AB7E8F">
        <w:rPr/>
        <w:t xml:space="preserve"> Available at: </w:t>
      </w:r>
      <w:hyperlink r:id="Re4d9e53bb1194393">
        <w:r w:rsidRPr="74AB7E8F" w:rsidR="74AB7E8F">
          <w:rPr>
            <w:rStyle w:val="Hyperlink"/>
          </w:rPr>
          <w:t>https://emsmuseum.org/collections/from-horse-drawn-to-helicopters/</w:t>
        </w:r>
      </w:hyperlink>
    </w:p>
    <w:p w:rsidR="74AB7E8F" w:rsidP="74AB7E8F" w:rsidRDefault="74AB7E8F" w14:paraId="625D6790" w14:textId="1F77811A">
      <w:pPr>
        <w:keepNext w:val="0"/>
        <w:keepLines w:val="0"/>
        <w:spacing w:after="240" w:line="240" w:lineRule="auto"/>
      </w:pPr>
      <w:r w:rsidR="74AB7E8F">
        <w:rPr/>
        <w:t xml:space="preserve">Evans, B., Khanom, A., Edwards, A., Edwards, B., Farr, A., Foster, T., Fothergill, R., Gripper, P., Gunson, I., Porter, A., Rees, N., Scott, J., Snooks, H. and Watkins, A. (2023) ‘Experiences and views of people who frequently call emergency ambulance services: A qualitative study of UK service users’, </w:t>
      </w:r>
      <w:r w:rsidRPr="74AB7E8F" w:rsidR="74AB7E8F">
        <w:rPr>
          <w:i w:val="1"/>
          <w:iCs w:val="1"/>
        </w:rPr>
        <w:t>Health Expectations</w:t>
      </w:r>
      <w:r w:rsidR="74AB7E8F">
        <w:rPr/>
        <w:t xml:space="preserve">, 27(1). Available at: </w:t>
      </w:r>
      <w:hyperlink r:id="Rc9bbe35569e94be4">
        <w:r w:rsidRPr="74AB7E8F" w:rsidR="74AB7E8F">
          <w:rPr>
            <w:rStyle w:val="Hyperlink"/>
          </w:rPr>
          <w:t>https://doi.org/10.1111/hex.13856</w:t>
        </w:r>
      </w:hyperlink>
      <w:r w:rsidR="74AB7E8F">
        <w:rPr/>
        <w:t>.</w:t>
      </w:r>
    </w:p>
    <w:p w:rsidR="74AB7E8F" w:rsidP="74AB7E8F" w:rsidRDefault="74AB7E8F" w14:paraId="5C8BE504" w14:textId="45689729">
      <w:pPr>
        <w:keepNext w:val="0"/>
        <w:keepLines w:val="0"/>
        <w:spacing w:after="240" w:line="240" w:lineRule="auto"/>
      </w:pPr>
      <w:r w:rsidR="74AB7E8F">
        <w:rPr/>
        <w:t xml:space="preserve">Izdebski, Z., Kozakiewicz, A., </w:t>
      </w:r>
      <w:r w:rsidR="74AB7E8F">
        <w:rPr/>
        <w:t>Białorudzki</w:t>
      </w:r>
      <w:r w:rsidR="74AB7E8F">
        <w:rPr/>
        <w:t xml:space="preserve">, M., Dec-Pietrowska, J. and Mazur, J. (2023) ‘Occupational burnout in healthcare workers, stress and other symptoms of work overload during the COVID-19 pandemic in </w:t>
      </w:r>
      <w:r w:rsidR="74AB7E8F">
        <w:rPr/>
        <w:t>poland</w:t>
      </w:r>
      <w:r w:rsidR="74AB7E8F">
        <w:rPr/>
        <w:t xml:space="preserve">’, </w:t>
      </w:r>
      <w:r w:rsidRPr="74AB7E8F" w:rsidR="74AB7E8F">
        <w:rPr>
          <w:i w:val="1"/>
          <w:iCs w:val="1"/>
        </w:rPr>
        <w:t>International Journal of Environmental Research and Public Health</w:t>
      </w:r>
      <w:r w:rsidR="74AB7E8F">
        <w:rPr/>
        <w:t xml:space="preserve">, 20(3), p. 2428. Available at: </w:t>
      </w:r>
      <w:hyperlink r:id="R13f09ae1a2f74891">
        <w:r w:rsidRPr="74AB7E8F" w:rsidR="74AB7E8F">
          <w:rPr>
            <w:rStyle w:val="Hyperlink"/>
          </w:rPr>
          <w:t>https://doi.org/10.3390/ijerph20032428</w:t>
        </w:r>
      </w:hyperlink>
      <w:r w:rsidR="74AB7E8F">
        <w:rPr/>
        <w:t>.</w:t>
      </w:r>
    </w:p>
    <w:p w:rsidR="74AB7E8F" w:rsidP="74AB7E8F" w:rsidRDefault="74AB7E8F" w14:paraId="0EC5927C" w14:textId="231239C3">
      <w:pPr>
        <w:keepNext w:val="0"/>
        <w:keepLines w:val="0"/>
        <w:spacing w:after="240" w:line="240" w:lineRule="auto"/>
      </w:pPr>
      <w:r w:rsidR="74AB7E8F">
        <w:rPr/>
        <w:t xml:space="preserve">Khan, N. (2022) ‘Ambulance response times: the NHS’s falling house of cards’, </w:t>
      </w:r>
      <w:r w:rsidRPr="74AB7E8F" w:rsidR="74AB7E8F">
        <w:rPr>
          <w:i w:val="1"/>
          <w:iCs w:val="1"/>
        </w:rPr>
        <w:t>British Journal of General Practice</w:t>
      </w:r>
      <w:r w:rsidR="74AB7E8F">
        <w:rPr/>
        <w:t xml:space="preserve">, 72(722), pp. 436–437. Available at: </w:t>
      </w:r>
      <w:hyperlink r:id="R17c4345bf9a04689">
        <w:r w:rsidRPr="74AB7E8F" w:rsidR="74AB7E8F">
          <w:rPr>
            <w:rStyle w:val="Hyperlink"/>
          </w:rPr>
          <w:t>https://doi.org/10.3399/bjgp22x720605</w:t>
        </w:r>
      </w:hyperlink>
      <w:r w:rsidR="74AB7E8F">
        <w:rPr/>
        <w:t>.</w:t>
      </w:r>
    </w:p>
    <w:p xmlns:wp14="http://schemas.microsoft.com/office/word/2010/wordml" w:rsidP="74AB7E8F" w:rsidRDefault="00000000" w14:paraId="0000002E" wp14:textId="6CED2B2E">
      <w:pPr>
        <w:keepNext w:val="0"/>
        <w:keepLines w:val="0"/>
        <w:spacing w:after="240" w:line="240" w:lineRule="auto"/>
      </w:pPr>
      <w:r w:rsidR="74AB7E8F">
        <w:rPr/>
        <w:t xml:space="preserve">Moore, H.E., Siriwardena, A.N., Gussy, M. and Spaight, R. (2022) ‘Mental Health Emergencies Attended by Ambulances in the United Kingdom and the Implications for Health Service delivery: a cross-sectional Study’, </w:t>
      </w:r>
      <w:r w:rsidRPr="74AB7E8F" w:rsidR="74AB7E8F">
        <w:rPr>
          <w:i w:val="1"/>
          <w:iCs w:val="1"/>
        </w:rPr>
        <w:t>Journal of Health Services Research &amp; Policy</w:t>
      </w:r>
      <w:r w:rsidR="74AB7E8F">
        <w:rPr/>
        <w:t xml:space="preserve">, 28(2). Available at: </w:t>
      </w:r>
      <w:hyperlink r:id="R446e241b760c4a91">
        <w:r w:rsidRPr="74AB7E8F" w:rsidR="74AB7E8F">
          <w:rPr>
            <w:rStyle w:val="Hyperlink"/>
          </w:rPr>
          <w:t>https://doi.org/10.1177/13558196221119913</w:t>
        </w:r>
      </w:hyperlink>
      <w:r w:rsidR="74AB7E8F">
        <w:rPr/>
        <w:t>.</w:t>
      </w:r>
    </w:p>
    <w:p w:rsidR="74AB7E8F" w:rsidP="74AB7E8F" w:rsidRDefault="74AB7E8F" w14:paraId="1D1DAE48" w14:textId="275E88C5">
      <w:pPr>
        <w:keepNext w:val="0"/>
        <w:keepLines w:val="0"/>
        <w:spacing w:after="240" w:line="240" w:lineRule="auto"/>
      </w:pPr>
      <w:r w:rsidR="74AB7E8F">
        <w:rPr/>
        <w:t xml:space="preserve">NHS England (2019) </w:t>
      </w:r>
      <w:r w:rsidRPr="74AB7E8F" w:rsidR="74AB7E8F">
        <w:rPr>
          <w:i w:val="1"/>
          <w:iCs w:val="1"/>
        </w:rPr>
        <w:t>NHS England» About urgent and emergency care</w:t>
      </w:r>
      <w:r w:rsidR="74AB7E8F">
        <w:rPr/>
        <w:t xml:space="preserve">, </w:t>
      </w:r>
      <w:r w:rsidRPr="74AB7E8F" w:rsidR="74AB7E8F">
        <w:rPr>
          <w:i w:val="1"/>
          <w:iCs w:val="1"/>
        </w:rPr>
        <w:t>England.nhs.uk</w:t>
      </w:r>
      <w:r w:rsidR="74AB7E8F">
        <w:rPr/>
        <w:t xml:space="preserve">. Available at: </w:t>
      </w:r>
      <w:hyperlink r:id="R66e6defc092d4fad">
        <w:r w:rsidRPr="74AB7E8F" w:rsidR="74AB7E8F">
          <w:rPr>
            <w:rStyle w:val="Hyperlink"/>
          </w:rPr>
          <w:t>https://www.england.nhs.uk/urgent-emergency-care/about-uec/</w:t>
        </w:r>
      </w:hyperlink>
    </w:p>
    <w:p w:rsidR="74AB7E8F" w:rsidP="74AB7E8F" w:rsidRDefault="74AB7E8F" w14:paraId="363A7B45" w14:textId="69EF1A50">
      <w:pPr>
        <w:keepNext w:val="0"/>
        <w:keepLines w:val="0"/>
        <w:spacing w:after="240" w:line="240" w:lineRule="auto"/>
      </w:pPr>
      <w:r w:rsidR="74AB7E8F">
        <w:rPr/>
        <w:t xml:space="preserve">NHS England (2023) </w:t>
      </w:r>
      <w:r w:rsidRPr="74AB7E8F" w:rsidR="74AB7E8F">
        <w:rPr>
          <w:i w:val="1"/>
          <w:iCs w:val="1"/>
        </w:rPr>
        <w:t>NHS England» Ambulance</w:t>
      </w:r>
      <w:r w:rsidR="74AB7E8F">
        <w:rPr/>
        <w:t xml:space="preserve">, </w:t>
      </w:r>
      <w:r w:rsidRPr="74AB7E8F" w:rsidR="74AB7E8F">
        <w:rPr>
          <w:i w:val="1"/>
          <w:iCs w:val="1"/>
        </w:rPr>
        <w:t>www.england.nhs.uk</w:t>
      </w:r>
      <w:r w:rsidR="74AB7E8F">
        <w:rPr/>
        <w:t xml:space="preserve">. Available at: </w:t>
      </w:r>
      <w:hyperlink r:id="R5f9955a8d6064541">
        <w:r w:rsidRPr="74AB7E8F" w:rsidR="74AB7E8F">
          <w:rPr>
            <w:rStyle w:val="Hyperlink"/>
          </w:rPr>
          <w:t>https://www.england.nhs.uk/urgent-emergency-care/improving-ambulance-services/</w:t>
        </w:r>
      </w:hyperlink>
    </w:p>
    <w:p w:rsidR="74AB7E8F" w:rsidP="74AB7E8F" w:rsidRDefault="74AB7E8F" w14:paraId="4FF5BA10" w14:textId="5E7A7BF9">
      <w:pPr>
        <w:keepNext w:val="0"/>
        <w:keepLines w:val="0"/>
        <w:spacing w:after="240" w:line="240" w:lineRule="auto"/>
      </w:pPr>
      <w:r w:rsidR="74AB7E8F">
        <w:rPr/>
        <w:t xml:space="preserve">NHS England (2024) </w:t>
      </w:r>
      <w:r w:rsidRPr="74AB7E8F" w:rsidR="74AB7E8F">
        <w:rPr>
          <w:i w:val="1"/>
          <w:iCs w:val="1"/>
        </w:rPr>
        <w:t>Evolving to meet a changing world</w:t>
      </w:r>
      <w:r w:rsidR="74AB7E8F">
        <w:rPr/>
        <w:t xml:space="preserve">, </w:t>
      </w:r>
      <w:r w:rsidRPr="74AB7E8F" w:rsidR="74AB7E8F">
        <w:rPr>
          <w:i w:val="1"/>
          <w:iCs w:val="1"/>
        </w:rPr>
        <w:t>NHS England</w:t>
      </w:r>
      <w:r w:rsidR="74AB7E8F">
        <w:rPr/>
        <w:t xml:space="preserve">. Available at: </w:t>
      </w:r>
      <w:hyperlink r:id="Red7abd82b1424e63">
        <w:r w:rsidRPr="74AB7E8F" w:rsidR="74AB7E8F">
          <w:rPr>
            <w:rStyle w:val="Hyperlink"/>
          </w:rPr>
          <w:t>https://www.england.nhs.uk/future-of-human-resources-and-organisational-development/the-future-of-nhs-human-resources-and-organisational-development-report/evolving-to-meet-a-changing-world/</w:t>
        </w:r>
      </w:hyperlink>
    </w:p>
    <w:p w:rsidR="74AB7E8F" w:rsidP="74AB7E8F" w:rsidRDefault="74AB7E8F" w14:paraId="1FA6713B" w14:textId="04758952">
      <w:pPr>
        <w:keepNext w:val="0"/>
        <w:keepLines w:val="0"/>
        <w:spacing w:after="240" w:line="240" w:lineRule="auto"/>
      </w:pPr>
      <w:r w:rsidR="74AB7E8F">
        <w:rPr/>
        <w:t>Pilbery</w:t>
      </w:r>
      <w:r w:rsidR="74AB7E8F">
        <w:rPr/>
        <w:t xml:space="preserve">, R., Sampson, F.C., Herbert, E., Goodacre, S., Bell, F., Spaight, R., Rosser, A., Webster, P., Millins, M., Pountney, A., Coster, J., Long, J., O’Hara, R., Foster, A., Miles, J., Turner, J. and Boyd, A. (2025) ‘What factors predict ambulance </w:t>
      </w:r>
      <w:r w:rsidR="74AB7E8F">
        <w:rPr/>
        <w:t>prealerts</w:t>
      </w:r>
      <w:r w:rsidR="74AB7E8F">
        <w:rPr/>
        <w:t xml:space="preserve"> to the emergency department? Retrospective observational study from three UK ambulance </w:t>
      </w:r>
      <w:r w:rsidR="74AB7E8F">
        <w:rPr/>
        <w:t>services’,</w:t>
      </w:r>
      <w:r w:rsidR="74AB7E8F">
        <w:rPr/>
        <w:t xml:space="preserve"> </w:t>
      </w:r>
      <w:r w:rsidRPr="74AB7E8F" w:rsidR="74AB7E8F">
        <w:rPr>
          <w:i w:val="1"/>
          <w:iCs w:val="1"/>
        </w:rPr>
        <w:t>BMJ Open</w:t>
      </w:r>
      <w:r w:rsidR="74AB7E8F">
        <w:rPr/>
        <w:t xml:space="preserve">, 15(3), p. e097122. Available at: </w:t>
      </w:r>
      <w:hyperlink r:id="R2da26953edce4705">
        <w:r w:rsidRPr="74AB7E8F" w:rsidR="74AB7E8F">
          <w:rPr>
            <w:rStyle w:val="Hyperlink"/>
          </w:rPr>
          <w:t>https://doi.org/10.1136/bmjopen-2024-097122</w:t>
        </w:r>
      </w:hyperlink>
      <w:r w:rsidR="74AB7E8F">
        <w:rPr/>
        <w:t>.</w:t>
      </w:r>
    </w:p>
    <w:p w:rsidR="74AB7E8F" w:rsidP="74AB7E8F" w:rsidRDefault="74AB7E8F" w14:paraId="6A4F560F" w14:textId="250D8BC2">
      <w:pPr>
        <w:keepNext w:val="0"/>
        <w:keepLines w:val="0"/>
        <w:spacing w:after="240" w:line="240" w:lineRule="auto"/>
      </w:pPr>
      <w:r w:rsidR="74AB7E8F">
        <w:rPr/>
        <w:t xml:space="preserve">Wynter, R. and Ewen, S. (2024) ‘Choreographing urban ambulance in Britain, c.1870–1920: movement, gender, biological time and the city’, </w:t>
      </w:r>
      <w:r w:rsidRPr="74AB7E8F" w:rsidR="74AB7E8F">
        <w:rPr>
          <w:i w:val="1"/>
          <w:iCs w:val="1"/>
        </w:rPr>
        <w:t>Social history</w:t>
      </w:r>
      <w:r w:rsidR="74AB7E8F">
        <w:rPr/>
        <w:t xml:space="preserve">, 49(1), pp. 78–105. Available at: </w:t>
      </w:r>
      <w:hyperlink r:id="Rb14ebdb0870f420b">
        <w:r w:rsidRPr="74AB7E8F" w:rsidR="74AB7E8F">
          <w:rPr>
            <w:rStyle w:val="Hyperlink"/>
          </w:rPr>
          <w:t>https://doi.org/10.1080/03071022.2024.2281151</w:t>
        </w:r>
      </w:hyperlink>
      <w:r w:rsidR="74AB7E8F">
        <w:rPr/>
        <w:t>.</w:t>
      </w:r>
    </w:p>
    <w:p w:rsidR="74AB7E8F" w:rsidP="74AB7E8F" w:rsidRDefault="74AB7E8F" w14:paraId="5BC7299A" w14:textId="511B333D">
      <w:pPr>
        <w:keepNext w:val="0"/>
        <w:keepLines w:val="0"/>
        <w:spacing w:after="240" w:line="240" w:lineRule="auto"/>
      </w:pPr>
      <w:r w:rsidR="74AB7E8F">
        <w:rPr/>
        <w:t xml:space="preserve">BBC (2019) </w:t>
      </w:r>
      <w:r w:rsidRPr="74AB7E8F" w:rsidR="74AB7E8F">
        <w:rPr>
          <w:i w:val="1"/>
          <w:iCs w:val="1"/>
        </w:rPr>
        <w:t xml:space="preserve">Effectiveness of the </w:t>
      </w:r>
      <w:r w:rsidRPr="74AB7E8F" w:rsidR="74AB7E8F">
        <w:rPr>
          <w:i w:val="1"/>
          <w:iCs w:val="1"/>
        </w:rPr>
        <w:t>Labour</w:t>
      </w:r>
      <w:r w:rsidRPr="74AB7E8F" w:rsidR="74AB7E8F">
        <w:rPr>
          <w:i w:val="1"/>
          <w:iCs w:val="1"/>
        </w:rPr>
        <w:t xml:space="preserve"> social welfare reforms, 1945–51 - Revision 3 - Higher History - BBC Bitesize</w:t>
      </w:r>
      <w:r w:rsidR="74AB7E8F">
        <w:rPr/>
        <w:t xml:space="preserve">, </w:t>
      </w:r>
      <w:r w:rsidRPr="74AB7E8F" w:rsidR="74AB7E8F">
        <w:rPr>
          <w:i w:val="1"/>
          <w:iCs w:val="1"/>
        </w:rPr>
        <w:t>BBC Bitesize</w:t>
      </w:r>
      <w:r w:rsidR="74AB7E8F">
        <w:rPr/>
        <w:t xml:space="preserve">. Available at: </w:t>
      </w:r>
      <w:hyperlink r:id="R05b1b8a42c294b11">
        <w:r w:rsidRPr="74AB7E8F" w:rsidR="74AB7E8F">
          <w:rPr>
            <w:rStyle w:val="Hyperlink"/>
          </w:rPr>
          <w:t>https://www.bbc.co.uk/bitesize/guides/zwhsfg8/revision/3</w:t>
        </w:r>
      </w:hyperlink>
    </w:p>
    <w:p w:rsidR="74AB7E8F" w:rsidP="74AB7E8F" w:rsidRDefault="74AB7E8F" w14:paraId="52A89692" w14:textId="327CE892">
      <w:pPr>
        <w:keepNext w:val="0"/>
        <w:keepLines w:val="0"/>
        <w:spacing w:after="220" w:line="240" w:lineRule="auto"/>
      </w:pPr>
      <w:r w:rsidR="74AB7E8F">
        <w:rPr/>
        <w:t xml:space="preserve">Bouaziz, G., Brulin, D. and Campo, E. (2022) ‘Technological Solutions for Social Isolation Monitoring of the Elderly: A Survey of Selected Projects from Academia and Industry’, </w:t>
      </w:r>
      <w:r w:rsidRPr="74AB7E8F" w:rsidR="74AB7E8F">
        <w:rPr>
          <w:i w:val="1"/>
          <w:iCs w:val="1"/>
        </w:rPr>
        <w:t>Sensors</w:t>
      </w:r>
      <w:r w:rsidR="74AB7E8F">
        <w:rPr/>
        <w:t xml:space="preserve">, 22(22), p. 8802. Available at: </w:t>
      </w:r>
      <w:hyperlink r:id="Rcea5693e155c4aae">
        <w:r w:rsidRPr="74AB7E8F" w:rsidR="74AB7E8F">
          <w:rPr>
            <w:rStyle w:val="Hyperlink"/>
          </w:rPr>
          <w:t>https://doi.org/10.3390/s22228802</w:t>
        </w:r>
      </w:hyperlink>
      <w:r w:rsidR="74AB7E8F">
        <w:rPr/>
        <w:t>.</w:t>
      </w:r>
    </w:p>
    <w:p w:rsidR="74AB7E8F" w:rsidP="74AB7E8F" w:rsidRDefault="74AB7E8F" w14:paraId="6A399309" w14:textId="1DDCF3F4">
      <w:pPr>
        <w:keepNext w:val="0"/>
        <w:keepLines w:val="0"/>
        <w:spacing w:after="220" w:line="240" w:lineRule="auto"/>
      </w:pPr>
      <w:r w:rsidR="74AB7E8F">
        <w:rPr/>
        <w:t xml:space="preserve">Crafts, N. (2024) ‘The Welfare State and inequality: Were the UK Reforms of the 1940s a success?’, </w:t>
      </w:r>
      <w:r w:rsidRPr="74AB7E8F" w:rsidR="74AB7E8F">
        <w:rPr>
          <w:i w:val="1"/>
          <w:iCs w:val="1"/>
        </w:rPr>
        <w:t>Oxford Open Economics</w:t>
      </w:r>
      <w:r w:rsidR="74AB7E8F">
        <w:rPr/>
        <w:t xml:space="preserve">, 3(Supplement_1), pp. i1191–i1200. Available at: </w:t>
      </w:r>
      <w:hyperlink r:id="R78f9f2f6b52c4997">
        <w:r w:rsidRPr="74AB7E8F" w:rsidR="74AB7E8F">
          <w:rPr>
            <w:rStyle w:val="Hyperlink"/>
          </w:rPr>
          <w:t>https://doi.org/10.1093/ooec/odad054</w:t>
        </w:r>
      </w:hyperlink>
      <w:r w:rsidR="74AB7E8F">
        <w:rPr/>
        <w:t>.</w:t>
      </w:r>
    </w:p>
    <w:p w:rsidR="74AB7E8F" w:rsidP="74AB7E8F" w:rsidRDefault="74AB7E8F" w14:paraId="2E4521C6" w14:textId="3FEEAA4D">
      <w:pPr>
        <w:keepNext w:val="0"/>
        <w:keepLines w:val="0"/>
        <w:spacing w:after="220" w:line="240" w:lineRule="auto"/>
      </w:pPr>
      <w:r w:rsidR="74AB7E8F">
        <w:rPr/>
        <w:t xml:space="preserve">Johnson, </w:t>
      </w:r>
      <w:r w:rsidR="74AB7E8F">
        <w:rPr/>
        <w:t>K.</w:t>
      </w:r>
      <w:r w:rsidR="74AB7E8F">
        <w:rPr/>
        <w:t xml:space="preserve"> and Boland, B. (2019) ‘Adult Safeguarding under the Care Act 2014’, </w:t>
      </w:r>
      <w:r w:rsidRPr="74AB7E8F" w:rsidR="74AB7E8F">
        <w:rPr>
          <w:i w:val="1"/>
          <w:iCs w:val="1"/>
        </w:rPr>
        <w:t>BJPsych</w:t>
      </w:r>
      <w:r w:rsidRPr="74AB7E8F" w:rsidR="74AB7E8F">
        <w:rPr>
          <w:i w:val="1"/>
          <w:iCs w:val="1"/>
        </w:rPr>
        <w:t xml:space="preserve"> Bulletin</w:t>
      </w:r>
      <w:r w:rsidR="74AB7E8F">
        <w:rPr/>
        <w:t xml:space="preserve">, 43(1), pp. 38–42. Available at: </w:t>
      </w:r>
      <w:hyperlink r:id="R3f3de9c1ee31458b">
        <w:r w:rsidRPr="74AB7E8F" w:rsidR="74AB7E8F">
          <w:rPr>
            <w:rStyle w:val="Hyperlink"/>
          </w:rPr>
          <w:t>https://doi.org/10.1192/bjb.2018.71</w:t>
        </w:r>
      </w:hyperlink>
      <w:r w:rsidR="74AB7E8F">
        <w:rPr/>
        <w:t>.</w:t>
      </w:r>
    </w:p>
    <w:p w:rsidR="74AB7E8F" w:rsidP="74AB7E8F" w:rsidRDefault="74AB7E8F" w14:paraId="5EBE9095" w14:textId="7A1C545C">
      <w:pPr>
        <w:keepNext w:val="0"/>
        <w:keepLines w:val="0"/>
        <w:spacing w:after="220" w:line="240" w:lineRule="auto"/>
      </w:pPr>
      <w:r w:rsidR="74AB7E8F">
        <w:rPr/>
        <w:t xml:space="preserve">Lynch, B., Ryan, A.A., O’Neill, </w:t>
      </w:r>
      <w:r w:rsidR="74AB7E8F">
        <w:rPr/>
        <w:t>M.</w:t>
      </w:r>
      <w:r w:rsidR="74AB7E8F">
        <w:rPr/>
        <w:t xml:space="preserve"> and Penney, S. (2022) ‘The Factors That</w:t>
      </w:r>
      <w:r w:rsidR="2F0904D0">
        <w:rPr/>
        <w:t xml:space="preserve"> </w:t>
      </w:r>
      <w:r w:rsidR="74AB7E8F">
        <w:rPr/>
        <w:t xml:space="preserve">Influence Care Home Residents’ and Families’ Engagement with decision-making about Their Care and support: an Integrative Review of the Literature’, </w:t>
      </w:r>
      <w:r w:rsidRPr="74AB7E8F" w:rsidR="74AB7E8F">
        <w:rPr>
          <w:i w:val="1"/>
          <w:iCs w:val="1"/>
        </w:rPr>
        <w:t>BMC Geriatrics</w:t>
      </w:r>
      <w:r w:rsidR="74AB7E8F">
        <w:rPr/>
        <w:t xml:space="preserve">, 22(1). Available at: </w:t>
      </w:r>
      <w:hyperlink r:id="R83a1a9e5d0a14391">
        <w:r w:rsidRPr="74AB7E8F" w:rsidR="74AB7E8F">
          <w:rPr>
            <w:rStyle w:val="Hyperlink"/>
          </w:rPr>
          <w:t>https://doi.org/10.1186/s12877-022-03503-8</w:t>
        </w:r>
      </w:hyperlink>
      <w:r w:rsidR="74AB7E8F">
        <w:rPr/>
        <w:t>.</w:t>
      </w:r>
    </w:p>
    <w:p w:rsidR="74AB7E8F" w:rsidP="74AB7E8F" w:rsidRDefault="74AB7E8F" w14:paraId="5F2E08B0" w14:textId="4FFAE065">
      <w:pPr>
        <w:keepNext w:val="0"/>
        <w:keepLines w:val="0"/>
        <w:spacing w:after="220" w:line="240" w:lineRule="auto"/>
      </w:pPr>
      <w:r w:rsidR="74AB7E8F">
        <w:rPr/>
        <w:t xml:space="preserve">Zhao, D., Niu, M., Zhang, S., Shi, Y., Zhang, L., Song, Y., Ma, R. and Wang, P. (2023) ‘Factors associated with adaptation level in the older adult residential care facilities: a path analysis’, </w:t>
      </w:r>
      <w:r w:rsidRPr="74AB7E8F" w:rsidR="74AB7E8F">
        <w:rPr>
          <w:i w:val="1"/>
          <w:iCs w:val="1"/>
        </w:rPr>
        <w:t>Frontiers in Public Health</w:t>
      </w:r>
      <w:r w:rsidR="74AB7E8F">
        <w:rPr/>
        <w:t xml:space="preserve">, 11. Available at: </w:t>
      </w:r>
      <w:hyperlink r:id="R26f6327f4c394939">
        <w:r w:rsidRPr="74AB7E8F" w:rsidR="74AB7E8F">
          <w:rPr>
            <w:rStyle w:val="Hyperlink"/>
          </w:rPr>
          <w:t>https://doi.org/10.3389/fpubh.2023.1085399</w:t>
        </w:r>
      </w:hyperlink>
      <w:r w:rsidR="74AB7E8F">
        <w:rPr/>
        <w:t>.</w:t>
      </w:r>
    </w:p>
    <w:sectPr>
      <w:footerReference w:type="default" r:id="rId7"/>
      <w:pgSz w:w="12240" w:h="15840" w:orient="portrait"/>
      <w:pgMar w:top="1440" w:right="1440" w:bottom="1440" w:left="1440" w:header="720" w:footer="720"/>
      <w:pgNumType w:start="0"/>
      <w:titlePg w:val="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3C" wp14:textId="77777777">
    <w:pPr>
      <w:pBdr>
        <w:top w:val="nil" w:sz="0" w:space="0"/>
        <w:left w:val="nil" w:sz="0" w:space="0"/>
        <w:bottom w:val="nil" w:sz="0" w:space="0"/>
        <w:right w:val="nil" w:sz="0" w:space="0"/>
        <w:between w:val="nil" w:sz="0" w:space="0"/>
      </w:pBdr>
      <w:tabs>
        <w:tab w:val="center" w:leader="none" w:pos="4513"/>
        <w:tab w:val="right" w:leader="none" w:pos="9026"/>
      </w:tabs>
      <w:spacing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fldChar w:fldCharType="end"/>
    </w:r>
    <w:r>
      <w:rPr>
        <w:rtl w:val="0"/>
      </w:rPr>
    </w:r>
  </w:p>
  <w:p xmlns:wp14="http://schemas.microsoft.com/office/word/2010/wordml" w:rsidRDefault="00000000" w14:paraId="0000003D" wp14:textId="77777777">
    <w:pPr>
      <w:pBdr>
        <w:top w:val="nil" w:sz="0" w:space="0"/>
        <w:left w:val="nil" w:sz="0" w:space="0"/>
        <w:bottom w:val="nil" w:sz="0" w:space="0"/>
        <w:right w:val="nil" w:sz="0" w:space="0"/>
        <w:between w:val="nil" w:sz="0" w:space="0"/>
      </w:pBdr>
      <w:tabs>
        <w:tab w:val="center" w:leader="none" w:pos="4513"/>
        <w:tab w:val="right" w:leader="none" w:pos="9026"/>
      </w:tabs>
      <w:spacing w:line="240" w:lineRule="auto"/>
      <w:jc w:val="left"/>
      <w:rPr>
        <w:color w:val="000000"/>
      </w:rPr>
    </w:pPr>
    <w:r>
      <w:rPr>
        <w:rtl w:val="0"/>
      </w:rPr>
    </w:r>
  </w:p>
</w:ftr>
</file>

<file path=word/intelligence2.xml><?xml version="1.0" encoding="utf-8"?>
<int2:intelligence xmlns:int2="http://schemas.microsoft.com/office/intelligence/2020/intelligence">
  <int2:observations>
    <int2:textHash int2:hashCode="kByidkXaRxGvMx" int2:id="OEybHdHw">
      <int2:state int2:type="spell"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00CF61B6"/>
    <w:rsid w:val="00CF61B6"/>
    <w:rsid w:val="01518630"/>
    <w:rsid w:val="01B051F4"/>
    <w:rsid w:val="056F56CA"/>
    <w:rsid w:val="05962F26"/>
    <w:rsid w:val="05F8976A"/>
    <w:rsid w:val="06E11AC4"/>
    <w:rsid w:val="09C637EE"/>
    <w:rsid w:val="0C103AC0"/>
    <w:rsid w:val="0E27CC02"/>
    <w:rsid w:val="0E3C3439"/>
    <w:rsid w:val="113ECD6E"/>
    <w:rsid w:val="132D332D"/>
    <w:rsid w:val="13438758"/>
    <w:rsid w:val="1477219D"/>
    <w:rsid w:val="14FE076D"/>
    <w:rsid w:val="1675A83D"/>
    <w:rsid w:val="198BE342"/>
    <w:rsid w:val="1A74E11A"/>
    <w:rsid w:val="1B5DA8BA"/>
    <w:rsid w:val="1C61B141"/>
    <w:rsid w:val="1CAC92C8"/>
    <w:rsid w:val="1FAD9DF6"/>
    <w:rsid w:val="22E3E3BE"/>
    <w:rsid w:val="25C4971F"/>
    <w:rsid w:val="2D4EFAEA"/>
    <w:rsid w:val="2DFDBE0C"/>
    <w:rsid w:val="2E6C5EC1"/>
    <w:rsid w:val="2E6C5EC1"/>
    <w:rsid w:val="2F0904D0"/>
    <w:rsid w:val="38625BCE"/>
    <w:rsid w:val="397A961F"/>
    <w:rsid w:val="3A833F1B"/>
    <w:rsid w:val="3B40D4B7"/>
    <w:rsid w:val="3DFB50D1"/>
    <w:rsid w:val="3E6290E8"/>
    <w:rsid w:val="3FCEE722"/>
    <w:rsid w:val="426FC0CB"/>
    <w:rsid w:val="43F420B9"/>
    <w:rsid w:val="4624F85A"/>
    <w:rsid w:val="4AE131C2"/>
    <w:rsid w:val="4F30CC29"/>
    <w:rsid w:val="4F63E7D6"/>
    <w:rsid w:val="52EF92C9"/>
    <w:rsid w:val="53A95BFF"/>
    <w:rsid w:val="555836BF"/>
    <w:rsid w:val="5D7B715C"/>
    <w:rsid w:val="60EA964A"/>
    <w:rsid w:val="62185EA3"/>
    <w:rsid w:val="626AC1EB"/>
    <w:rsid w:val="63F71A1F"/>
    <w:rsid w:val="67367B2A"/>
    <w:rsid w:val="69CB0D6B"/>
    <w:rsid w:val="6EA40800"/>
    <w:rsid w:val="6FA07938"/>
    <w:rsid w:val="72EF44FB"/>
    <w:rsid w:val="735A9EC6"/>
    <w:rsid w:val="73C62270"/>
    <w:rsid w:val="73E72E20"/>
    <w:rsid w:val="7445E8D5"/>
    <w:rsid w:val="74AB7E8F"/>
    <w:rsid w:val="75CE9A02"/>
    <w:rsid w:val="761E633A"/>
    <w:rsid w:val="789DB7CF"/>
    <w:rsid w:val="7BE307BC"/>
    <w:rsid w:val="7F1B2AF3"/>
  </w:rsids>
  <w:clrSchemeMapping w:bg1="light1" w:t1="dark1" w:bg2="light2" w:t2="dark2" w:accent1="accent1" w:accent2="accent2" w:accent3="accent3" w:accent4="accent4" w:accent5="accent5" w:accent6="accent6" w:hyperlink="hyperlink" w:followedHyperlink="followedHyperlink"/>
  <w14:docId w14:val="43775CF7"/>
  <w15:docId w15:val="{5CC00FE0-2312-4413-BA60-C6791016F7DF}"/>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_GB"/>
      </w:rPr>
    </w:rPrDefault>
    <w:pPrDefault>
      <w:pPr>
        <w:spacing w:line="360" w:lineRule="auto"/>
        <w:jc w:val="both"/>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4"/>
      <w:szCs w:val="24"/>
    </w:rPr>
  </w:style>
  <w:style w:type="paragraph" w:styleId="Heading2">
    <w:name w:val="heading 2"/>
    <w:basedOn w:val="Normal"/>
    <w:next w:val="Normal"/>
    <w:pPr>
      <w:keepNext w:val="1"/>
      <w:keepLines w:val="1"/>
      <w:spacing w:before="360" w:after="120" w:lineRule="auto"/>
    </w:pPr>
    <w:rPr>
      <w:sz w:val="32"/>
      <w:szCs w:val="32"/>
    </w:rPr>
  </w:style>
  <w:style w:type="paragraph" w:styleId="Heading3">
    <w:name w:val="heading 3"/>
    <w:basedOn w:val="Normal"/>
    <w:next w:val="Normal"/>
    <w:pPr>
      <w:keepNext w:val="1"/>
      <w:keepLines w:val="1"/>
      <w:spacing w:before="320" w:after="80" w:lineRule="auto"/>
    </w:pPr>
    <w:rPr>
      <w:color w:val="434343"/>
      <w:sz w:val="28"/>
      <w:szCs w:val="28"/>
    </w:rPr>
  </w:style>
  <w:style w:type="paragraph" w:styleId="Heading4">
    <w:name w:val="heading 4"/>
    <w:basedOn w:val="Normal"/>
    <w:next w:val="Normal"/>
    <w:pPr>
      <w:keepNext w:val="1"/>
      <w:keepLines w:val="1"/>
      <w:spacing w:before="280" w:after="80" w:lineRule="auto"/>
    </w:pPr>
    <w:rPr>
      <w:color w:val="666666"/>
      <w:sz w:val="24"/>
      <w:szCs w:val="24"/>
    </w:rPr>
  </w:style>
  <w:style w:type="paragraph" w:styleId="Heading5">
    <w:name w:val="heading 5"/>
    <w:basedOn w:val="Normal"/>
    <w:next w:val="Normal"/>
    <w:pPr>
      <w:keepNext w:val="1"/>
      <w:keepLines w:val="1"/>
      <w:spacing w:before="240" w:after="80" w:lineRule="auto"/>
    </w:pPr>
    <w:rPr>
      <w:color w:val="666666"/>
    </w:rPr>
  </w:style>
  <w:style w:type="paragraph" w:styleId="Heading6">
    <w:name w:val="heading 6"/>
    <w:basedOn w:val="Normal"/>
    <w:next w:val="Normal"/>
    <w:pPr>
      <w:keepNext w:val="1"/>
      <w:keepLines w:val="1"/>
      <w:spacing w:before="240" w:after="80" w:lineRule="auto"/>
    </w:pPr>
    <w:rPr>
      <w:i w:val="1"/>
      <w:iCs w:val="1"/>
      <w:color w:val="666666"/>
    </w:rPr>
  </w:style>
  <w:style w:type="paragraph" w:styleId="Title">
    <w:name w:val="Title"/>
    <w:basedOn w:val="Normal"/>
    <w:next w:val="Normal"/>
    <w:pPr>
      <w:keepNext w:val="1"/>
      <w:keepLines w:val="1"/>
      <w:jc w:val="center"/>
    </w:pPr>
    <w:rPr>
      <w:b w:val="1"/>
      <w:bCs w:val="1"/>
    </w:rPr>
  </w:style>
  <w:style w:type="paragraph" w:styleId="Subtitle">
    <w:name w:val="Subtitle"/>
    <w:basedOn w:val="Normal"/>
    <w:next w:val="Normal"/>
    <w:pPr>
      <w:keepNext w:val="1"/>
      <w:keepLines w:val="1"/>
      <w:spacing w:after="320" w:lineRule="auto"/>
    </w:pPr>
    <w:rPr>
      <w:color w:val="666666"/>
      <w:sz w:val="30"/>
      <w:szCs w:val="30"/>
    </w:rPr>
  </w:style>
  <w:style w:type="character" w:styleId="DefaultParagraphFont" w:default="1">
    <w:uiPriority w:val="1"/>
    <w:name w:val="Default Paragraph Font"/>
    <w:semiHidden/>
    <w:unhideWhenUsed/>
    <w:rsid w:val="74AB7E8F"/>
  </w:style>
  <w:style w:type="character" w:styleId="Hyperlink">
    <w:uiPriority w:val="99"/>
    <w:name w:val="Hyperlink"/>
    <w:basedOn w:val="DefaultParagraphFont"/>
    <w:unhideWhenUsed/>
    <w:rsid w:val="74AB7E8F"/>
    <w:rPr>
      <w:color w:val="0000FF"/>
      <w:u w:val="single"/>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footer" Target="footer1.xml" Id="rId7" /><Relationship Type="http://schemas.openxmlformats.org/officeDocument/2006/relationships/hyperlink" Target="https://doi.org/10.29045/14784726.2024.3.8.4.30" TargetMode="External" Id="R3a0e57822cc54cd5" /><Relationship Type="http://schemas.openxmlformats.org/officeDocument/2006/relationships/hyperlink" Target="https://emsmuseum.org/collections/from-horse-drawn-to-helicopters/" TargetMode="External" Id="Re4d9e53bb1194393" /><Relationship Type="http://schemas.openxmlformats.org/officeDocument/2006/relationships/hyperlink" Target="https://doi.org/10.1111/hex.13856" TargetMode="External" Id="Rc9bbe35569e94be4" /><Relationship Type="http://schemas.openxmlformats.org/officeDocument/2006/relationships/hyperlink" Target="https://doi.org/10.3390/ijerph20032428" TargetMode="External" Id="R13f09ae1a2f74891" /><Relationship Type="http://schemas.openxmlformats.org/officeDocument/2006/relationships/hyperlink" Target="https://doi.org/10.3399/bjgp22x720605" TargetMode="External" Id="R17c4345bf9a04689" /><Relationship Type="http://schemas.openxmlformats.org/officeDocument/2006/relationships/hyperlink" Target="https://doi.org/10.1177/13558196221119913" TargetMode="External" Id="R446e241b760c4a91" /><Relationship Type="http://schemas.openxmlformats.org/officeDocument/2006/relationships/hyperlink" Target="https://www.england.nhs.uk/urgent-emergency-care/about-uec/" TargetMode="External" Id="R66e6defc092d4fad" /><Relationship Type="http://schemas.openxmlformats.org/officeDocument/2006/relationships/hyperlink" Target="https://www.england.nhs.uk/urgent-emergency-care/improving-ambulance-services/" TargetMode="External" Id="R5f9955a8d6064541" /><Relationship Type="http://schemas.openxmlformats.org/officeDocument/2006/relationships/hyperlink" Target="https://www.england.nhs.uk/future-of-human-resources-and-organisational-development/the-future-of-nhs-human-resources-and-organisational-development-report/evolving-to-meet-a-changing-world/" TargetMode="External" Id="Red7abd82b1424e63" /><Relationship Type="http://schemas.openxmlformats.org/officeDocument/2006/relationships/hyperlink" Target="https://doi.org/10.1136/bmjopen-2024-097122" TargetMode="External" Id="R2da26953edce4705" /><Relationship Type="http://schemas.openxmlformats.org/officeDocument/2006/relationships/hyperlink" Target="https://doi.org/10.1080/03071022.2024.2281151" TargetMode="External" Id="Rb14ebdb0870f420b" /><Relationship Type="http://schemas.openxmlformats.org/officeDocument/2006/relationships/hyperlink" Target="https://www.bbc.co.uk/bitesize/guides/zwhsfg8/revision/3" TargetMode="External" Id="R05b1b8a42c294b11" /><Relationship Type="http://schemas.openxmlformats.org/officeDocument/2006/relationships/hyperlink" Target="https://doi.org/10.3390/s22228802" TargetMode="External" Id="Rcea5693e155c4aae" /><Relationship Type="http://schemas.openxmlformats.org/officeDocument/2006/relationships/hyperlink" Target="https://doi.org/10.1093/ooec/odad054" TargetMode="External" Id="R78f9f2f6b52c4997" /><Relationship Type="http://schemas.openxmlformats.org/officeDocument/2006/relationships/hyperlink" Target="https://doi.org/10.1192/bjb.2018.71" TargetMode="External" Id="R3f3de9c1ee31458b" /><Relationship Type="http://schemas.openxmlformats.org/officeDocument/2006/relationships/hyperlink" Target="https://doi.org/10.1186/s12877-022-03503-8" TargetMode="External" Id="R83a1a9e5d0a14391" /><Relationship Type="http://schemas.openxmlformats.org/officeDocument/2006/relationships/hyperlink" Target="https://doi.org/10.3389/fpubh.2023.1085399" TargetMode="External" Id="R26f6327f4c394939" /><Relationship Type="http://schemas.microsoft.com/office/2020/10/relationships/intelligence" Target="intelligence2.xml" Id="R75a280af131b482f" /><Relationship Type="http://schemas.openxmlformats.org/officeDocument/2006/relationships/image" Target="/media/image.png" Id="rId1477705566" /><Relationship Type="http://schemas.openxmlformats.org/officeDocument/2006/relationships/image" Target="/media/image3.png" Id="rId2465078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A+HcDb2Sm/MQHDpFoDv57vUnaA==">CgMxLjAyDmguYWp4cng4Mmh1cWZvMg5oLnAxYXlpZW1nZnh4MTIOaC5tcW9nbWd1emJtbm4yDmguZGV0Z3F0ODNzeHM3Mg5oLjkweTk5bXFqZzZ3MzIOaC45ajc0dWljaDlxMXAyDmguOGI4MXRzN3UwYmI5Mg5oLmgzNTY4cHhqeXZrNzIOaC5kZzBwOHNqYWtldmc4AHIhMXkzRFpOdGEtZnZXakQydk9WQmsxT1dUUE9ZY3JSMnZJ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