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4F5EC3" w:rsidRDefault="00C558B0" w:rsidP="004F5EC3">
      <w:pPr>
        <w:spacing w:line="360" w:lineRule="auto"/>
        <w:rPr>
          <w:rFonts w:ascii="Arial" w:hAnsi="Arial" w:cs="Arial"/>
          <w:szCs w:val="24"/>
        </w:rPr>
      </w:pPr>
      <w:r w:rsidRPr="004F5EC3">
        <w:rPr>
          <w:rFonts w:ascii="Arial" w:hAnsi="Arial" w:cs="Arial"/>
          <w:noProof/>
          <w:szCs w:val="24"/>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4F5EC3" w:rsidRDefault="00C558B0" w:rsidP="004F5EC3">
      <w:pPr>
        <w:spacing w:line="360" w:lineRule="auto"/>
        <w:rPr>
          <w:rFonts w:ascii="Arial" w:hAnsi="Arial" w:cs="Arial"/>
          <w:szCs w:val="24"/>
        </w:rPr>
      </w:pPr>
    </w:p>
    <w:p w14:paraId="554C8C17" w14:textId="77777777" w:rsidR="00C558B0" w:rsidRPr="004F5EC3" w:rsidRDefault="00C558B0" w:rsidP="004F5EC3">
      <w:pPr>
        <w:spacing w:line="360" w:lineRule="auto"/>
        <w:rPr>
          <w:rFonts w:ascii="Arial" w:hAnsi="Arial" w:cs="Arial"/>
          <w:szCs w:val="24"/>
        </w:rPr>
      </w:pPr>
    </w:p>
    <w:p w14:paraId="74A7306F" w14:textId="77777777" w:rsidR="00C558B0" w:rsidRPr="004F5EC3" w:rsidRDefault="00C558B0" w:rsidP="004F5EC3">
      <w:pPr>
        <w:spacing w:line="360" w:lineRule="auto"/>
        <w:rPr>
          <w:rFonts w:ascii="Arial" w:hAnsi="Arial" w:cs="Arial"/>
          <w:sz w:val="32"/>
          <w:szCs w:val="32"/>
        </w:rPr>
      </w:pPr>
    </w:p>
    <w:p w14:paraId="4CFA099C" w14:textId="77777777" w:rsidR="00C558B0" w:rsidRPr="004F5EC3" w:rsidRDefault="00C558B0" w:rsidP="004F5EC3">
      <w:pPr>
        <w:tabs>
          <w:tab w:val="left" w:pos="6540"/>
        </w:tabs>
        <w:spacing w:line="360" w:lineRule="auto"/>
        <w:rPr>
          <w:rFonts w:ascii="Arial" w:hAnsi="Arial" w:cs="Arial"/>
          <w:sz w:val="32"/>
          <w:szCs w:val="32"/>
        </w:rPr>
      </w:pPr>
    </w:p>
    <w:p w14:paraId="2F4F861B" w14:textId="60B1A761" w:rsidR="00C558B0" w:rsidRPr="004F5EC3" w:rsidRDefault="00C558B0" w:rsidP="004F5EC3">
      <w:pPr>
        <w:tabs>
          <w:tab w:val="left" w:pos="6540"/>
        </w:tabs>
        <w:spacing w:line="360" w:lineRule="auto"/>
        <w:rPr>
          <w:rFonts w:ascii="Arial" w:hAnsi="Arial" w:cs="Arial"/>
          <w:b/>
          <w:bCs/>
          <w:sz w:val="32"/>
          <w:szCs w:val="32"/>
          <w:lang w:val="nl-NL"/>
        </w:rPr>
      </w:pPr>
      <w:r w:rsidRPr="004F5EC3">
        <w:rPr>
          <w:rFonts w:ascii="Arial" w:hAnsi="Arial" w:cs="Arial"/>
          <w:b/>
          <w:bCs/>
          <w:sz w:val="32"/>
          <w:szCs w:val="32"/>
          <w:lang w:val="nl-NL"/>
        </w:rPr>
        <w:t>Student name:</w:t>
      </w:r>
      <w:r w:rsidR="00117D74" w:rsidRPr="004F5EC3">
        <w:rPr>
          <w:rFonts w:ascii="Arial" w:hAnsi="Arial" w:cs="Arial"/>
          <w:b/>
          <w:bCs/>
          <w:sz w:val="32"/>
          <w:szCs w:val="32"/>
          <w:lang w:val="nl-NL"/>
        </w:rPr>
        <w:t xml:space="preserve"> Faridah Namukasa </w:t>
      </w:r>
    </w:p>
    <w:p w14:paraId="18D88AE2" w14:textId="7BF90026" w:rsidR="00C558B0" w:rsidRPr="004F5EC3" w:rsidRDefault="00C558B0" w:rsidP="004F5EC3">
      <w:pPr>
        <w:tabs>
          <w:tab w:val="left" w:pos="6540"/>
        </w:tabs>
        <w:spacing w:line="360" w:lineRule="auto"/>
        <w:rPr>
          <w:rFonts w:ascii="Arial" w:hAnsi="Arial" w:cs="Arial"/>
          <w:b/>
          <w:bCs/>
          <w:sz w:val="32"/>
          <w:szCs w:val="32"/>
          <w:lang w:val="nl-NL"/>
        </w:rPr>
      </w:pPr>
      <w:r w:rsidRPr="004F5EC3">
        <w:rPr>
          <w:rFonts w:ascii="Arial" w:hAnsi="Arial" w:cs="Arial"/>
          <w:b/>
          <w:bCs/>
          <w:sz w:val="32"/>
          <w:szCs w:val="32"/>
          <w:lang w:val="nl-NL"/>
        </w:rPr>
        <w:t>Student ID:</w:t>
      </w:r>
      <w:r w:rsidR="00117D74" w:rsidRPr="004F5EC3">
        <w:rPr>
          <w:rFonts w:ascii="Arial" w:hAnsi="Arial" w:cs="Arial"/>
          <w:b/>
          <w:bCs/>
          <w:sz w:val="32"/>
          <w:szCs w:val="32"/>
          <w:lang w:val="nl-NL"/>
        </w:rPr>
        <w:t xml:space="preserve"> 242</w:t>
      </w:r>
      <w:r w:rsidR="00274F17">
        <w:rPr>
          <w:rFonts w:ascii="Arial" w:hAnsi="Arial" w:cs="Arial"/>
          <w:b/>
          <w:bCs/>
          <w:sz w:val="32"/>
          <w:szCs w:val="32"/>
          <w:lang w:val="nl-NL"/>
        </w:rPr>
        <w:t>9</w:t>
      </w:r>
      <w:r w:rsidR="004F5EC3" w:rsidRPr="004F5EC3">
        <w:rPr>
          <w:rFonts w:ascii="Arial" w:hAnsi="Arial" w:cs="Arial"/>
          <w:b/>
          <w:bCs/>
          <w:sz w:val="32"/>
          <w:szCs w:val="32"/>
          <w:lang w:val="nl-NL"/>
        </w:rPr>
        <w:t>800</w:t>
      </w:r>
    </w:p>
    <w:p w14:paraId="4654C81C" w14:textId="77777777" w:rsidR="00C558B0" w:rsidRPr="004F5EC3" w:rsidRDefault="00C558B0" w:rsidP="004F5EC3">
      <w:pPr>
        <w:tabs>
          <w:tab w:val="left" w:pos="6540"/>
        </w:tabs>
        <w:spacing w:line="360" w:lineRule="auto"/>
        <w:rPr>
          <w:rFonts w:ascii="Arial" w:hAnsi="Arial" w:cs="Arial"/>
          <w:b/>
          <w:bCs/>
          <w:sz w:val="32"/>
          <w:szCs w:val="32"/>
          <w:lang w:val="nl-NL"/>
        </w:rPr>
      </w:pPr>
    </w:p>
    <w:p w14:paraId="3D8DA301" w14:textId="0D9F4626" w:rsidR="00C558B0" w:rsidRPr="004F5EC3" w:rsidRDefault="00C558B0" w:rsidP="004F5EC3">
      <w:pPr>
        <w:tabs>
          <w:tab w:val="left" w:pos="6540"/>
        </w:tabs>
        <w:spacing w:line="360" w:lineRule="auto"/>
        <w:rPr>
          <w:rFonts w:ascii="Arial" w:hAnsi="Arial" w:cs="Arial"/>
          <w:b/>
          <w:bCs/>
          <w:sz w:val="32"/>
          <w:szCs w:val="32"/>
          <w:lang w:val="nl-NL"/>
        </w:rPr>
      </w:pPr>
      <w:r w:rsidRPr="004F5EC3">
        <w:rPr>
          <w:rFonts w:ascii="Arial" w:hAnsi="Arial" w:cs="Arial"/>
          <w:b/>
          <w:bCs/>
          <w:sz w:val="32"/>
          <w:szCs w:val="32"/>
          <w:lang w:val="nl-NL"/>
        </w:rPr>
        <w:t xml:space="preserve">Module name: </w:t>
      </w:r>
      <w:r w:rsidR="00887FBB" w:rsidRPr="004F5EC3">
        <w:rPr>
          <w:rFonts w:ascii="Arial" w:hAnsi="Arial" w:cs="Arial"/>
          <w:b/>
          <w:bCs/>
          <w:sz w:val="32"/>
          <w:szCs w:val="32"/>
          <w:lang w:val="nl-NL"/>
        </w:rPr>
        <w:t>Principles of Health and Social Care Practice</w:t>
      </w:r>
    </w:p>
    <w:p w14:paraId="3E48CEF6" w14:textId="25F0E9CF" w:rsidR="00887FBB" w:rsidRPr="004F5EC3" w:rsidRDefault="00887FBB" w:rsidP="004F5EC3">
      <w:pPr>
        <w:tabs>
          <w:tab w:val="left" w:pos="6540"/>
        </w:tabs>
        <w:spacing w:line="360" w:lineRule="auto"/>
        <w:rPr>
          <w:rFonts w:ascii="Arial" w:hAnsi="Arial" w:cs="Arial"/>
          <w:b/>
          <w:bCs/>
          <w:sz w:val="32"/>
          <w:szCs w:val="32"/>
          <w:lang w:val="nl-NL"/>
        </w:rPr>
      </w:pPr>
      <w:r w:rsidRPr="004F5EC3">
        <w:rPr>
          <w:rFonts w:ascii="Arial" w:hAnsi="Arial" w:cs="Arial"/>
          <w:b/>
          <w:bCs/>
          <w:sz w:val="32"/>
          <w:szCs w:val="32"/>
          <w:lang w:val="nl-NL"/>
        </w:rPr>
        <w:t xml:space="preserve">Component: </w:t>
      </w:r>
      <w:r w:rsidR="00955F84">
        <w:rPr>
          <w:rFonts w:ascii="Arial" w:hAnsi="Arial" w:cs="Arial"/>
          <w:b/>
          <w:bCs/>
          <w:sz w:val="32"/>
          <w:szCs w:val="32"/>
          <w:lang w:val="nl-NL"/>
        </w:rPr>
        <w:t>2</w:t>
      </w:r>
    </w:p>
    <w:p w14:paraId="7DB3261D" w14:textId="54EA5EAC" w:rsidR="00C558B0" w:rsidRPr="004F5EC3" w:rsidRDefault="00C558B0" w:rsidP="004F5EC3">
      <w:pPr>
        <w:tabs>
          <w:tab w:val="left" w:pos="6540"/>
        </w:tabs>
        <w:spacing w:line="360" w:lineRule="auto"/>
        <w:rPr>
          <w:rFonts w:ascii="Arial" w:hAnsi="Arial" w:cs="Arial"/>
          <w:b/>
          <w:bCs/>
          <w:sz w:val="32"/>
          <w:szCs w:val="32"/>
        </w:rPr>
      </w:pPr>
      <w:r w:rsidRPr="004F5EC3">
        <w:rPr>
          <w:rFonts w:ascii="Arial" w:hAnsi="Arial" w:cs="Arial"/>
          <w:b/>
          <w:bCs/>
          <w:sz w:val="32"/>
          <w:szCs w:val="32"/>
        </w:rPr>
        <w:t>Module code:</w:t>
      </w:r>
      <w:r w:rsidR="00887FBB" w:rsidRPr="004F5EC3">
        <w:rPr>
          <w:rFonts w:ascii="Arial" w:hAnsi="Arial" w:cs="Arial"/>
          <w:b/>
          <w:bCs/>
          <w:sz w:val="32"/>
          <w:szCs w:val="32"/>
        </w:rPr>
        <w:t xml:space="preserve"> BMHP5016 </w:t>
      </w:r>
    </w:p>
    <w:p w14:paraId="5CCA350C" w14:textId="56BB66B7" w:rsidR="00C558B0" w:rsidRPr="004F5EC3" w:rsidRDefault="00C558B0" w:rsidP="004F5EC3">
      <w:pPr>
        <w:tabs>
          <w:tab w:val="left" w:pos="6540"/>
        </w:tabs>
        <w:spacing w:line="360" w:lineRule="auto"/>
        <w:rPr>
          <w:rFonts w:ascii="Arial" w:hAnsi="Arial" w:cs="Arial"/>
          <w:b/>
          <w:bCs/>
          <w:sz w:val="32"/>
          <w:szCs w:val="32"/>
        </w:rPr>
      </w:pPr>
      <w:r w:rsidRPr="004F5EC3">
        <w:rPr>
          <w:rFonts w:ascii="Arial" w:hAnsi="Arial" w:cs="Arial"/>
          <w:b/>
          <w:bCs/>
          <w:sz w:val="32"/>
          <w:szCs w:val="32"/>
        </w:rPr>
        <w:t>Lecturer name:</w:t>
      </w:r>
      <w:r w:rsidR="00117D74" w:rsidRPr="004F5EC3">
        <w:rPr>
          <w:rFonts w:ascii="Arial" w:hAnsi="Arial" w:cs="Arial"/>
          <w:b/>
          <w:bCs/>
          <w:sz w:val="32"/>
          <w:szCs w:val="32"/>
        </w:rPr>
        <w:t xml:space="preserve"> </w:t>
      </w:r>
      <w:r w:rsidR="00E400D9" w:rsidRPr="00E400D9">
        <w:rPr>
          <w:rFonts w:ascii="Arial" w:hAnsi="Arial" w:cs="Arial"/>
          <w:b/>
          <w:bCs/>
          <w:sz w:val="32"/>
          <w:szCs w:val="32"/>
        </w:rPr>
        <w:t>Sam Parker</w:t>
      </w:r>
    </w:p>
    <w:p w14:paraId="5461F9C8" w14:textId="77777777" w:rsidR="00C558B0" w:rsidRPr="004F5EC3" w:rsidRDefault="00C558B0" w:rsidP="004F5EC3">
      <w:pPr>
        <w:tabs>
          <w:tab w:val="left" w:pos="6540"/>
        </w:tabs>
        <w:spacing w:line="360" w:lineRule="auto"/>
        <w:rPr>
          <w:rFonts w:ascii="Arial" w:hAnsi="Arial" w:cs="Arial"/>
          <w:b/>
          <w:bCs/>
          <w:sz w:val="32"/>
          <w:szCs w:val="32"/>
        </w:rPr>
      </w:pPr>
    </w:p>
    <w:p w14:paraId="79C715ED" w14:textId="16914D07" w:rsidR="006D2F2D" w:rsidRPr="004F5EC3" w:rsidRDefault="006D2F2D" w:rsidP="004F5EC3">
      <w:pPr>
        <w:spacing w:line="360" w:lineRule="auto"/>
        <w:rPr>
          <w:rFonts w:ascii="Arial" w:hAnsi="Arial" w:cs="Arial"/>
          <w:szCs w:val="24"/>
        </w:rPr>
      </w:pPr>
      <w:r w:rsidRPr="004F5EC3">
        <w:rPr>
          <w:rFonts w:ascii="Arial" w:hAnsi="Arial" w:cs="Arial"/>
          <w:szCs w:val="24"/>
        </w:rPr>
        <w:br w:type="page"/>
      </w:r>
    </w:p>
    <w:p w14:paraId="529D6F14" w14:textId="3E9A50A5" w:rsidR="00B21FE6" w:rsidRPr="001F53A7" w:rsidRDefault="00B21FE6" w:rsidP="001F53A7">
      <w:pPr>
        <w:spacing w:line="360" w:lineRule="auto"/>
        <w:jc w:val="center"/>
        <w:rPr>
          <w:rFonts w:ascii="Arial" w:hAnsi="Arial" w:cs="Arial"/>
          <w:b/>
          <w:bCs/>
          <w:sz w:val="32"/>
          <w:szCs w:val="32"/>
          <w:u w:val="single"/>
        </w:rPr>
      </w:pPr>
      <w:r w:rsidRPr="001F53A7">
        <w:rPr>
          <w:rFonts w:ascii="Arial" w:hAnsi="Arial" w:cs="Arial"/>
          <w:b/>
          <w:bCs/>
          <w:sz w:val="32"/>
          <w:szCs w:val="32"/>
          <w:u w:val="single"/>
        </w:rPr>
        <w:lastRenderedPageBreak/>
        <w:t>Table of contents</w:t>
      </w:r>
    </w:p>
    <w:p w14:paraId="32FEE13E" w14:textId="77777777" w:rsidR="001F53A7" w:rsidRPr="001F53A7" w:rsidRDefault="001F53A7" w:rsidP="001F53A7">
      <w:pPr>
        <w:spacing w:line="360" w:lineRule="auto"/>
        <w:rPr>
          <w:rFonts w:ascii="Arial" w:hAnsi="Arial" w:cs="Arial"/>
          <w:vanish/>
          <w:szCs w:val="24"/>
        </w:rPr>
      </w:pPr>
    </w:p>
    <w:p w14:paraId="4986FAF8" w14:textId="77777777" w:rsidR="001F53A7" w:rsidRPr="001F53A7" w:rsidRDefault="001F53A7" w:rsidP="001F53A7">
      <w:pPr>
        <w:spacing w:line="360" w:lineRule="auto"/>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08"/>
        <w:gridCol w:w="231"/>
      </w:tblGrid>
      <w:tr w:rsidR="001F53A7" w:rsidRPr="00BB69F2" w14:paraId="2438F630" w14:textId="77777777">
        <w:trPr>
          <w:tblCellSpacing w:w="15" w:type="dxa"/>
        </w:trPr>
        <w:tc>
          <w:tcPr>
            <w:tcW w:w="0" w:type="auto"/>
            <w:vAlign w:val="center"/>
            <w:hideMark/>
          </w:tcPr>
          <w:p w14:paraId="5A56DA47" w14:textId="77777777" w:rsidR="001F53A7" w:rsidRPr="00BB69F2" w:rsidRDefault="001F53A7" w:rsidP="001F53A7">
            <w:pPr>
              <w:spacing w:line="360" w:lineRule="auto"/>
              <w:rPr>
                <w:rFonts w:ascii="Arial" w:hAnsi="Arial" w:cs="Arial"/>
                <w:sz w:val="28"/>
                <w:szCs w:val="28"/>
              </w:rPr>
            </w:pPr>
            <w:r w:rsidRPr="00BB69F2">
              <w:rPr>
                <w:rFonts w:ascii="Arial" w:hAnsi="Arial" w:cs="Arial"/>
                <w:b/>
                <w:bCs/>
                <w:sz w:val="28"/>
                <w:szCs w:val="28"/>
              </w:rPr>
              <w:t>Introduction</w:t>
            </w:r>
          </w:p>
        </w:tc>
        <w:tc>
          <w:tcPr>
            <w:tcW w:w="0" w:type="auto"/>
            <w:vAlign w:val="center"/>
            <w:hideMark/>
          </w:tcPr>
          <w:p w14:paraId="5100BBFF" w14:textId="77777777" w:rsidR="001F53A7" w:rsidRPr="00BB69F2" w:rsidRDefault="001F53A7" w:rsidP="001F53A7">
            <w:pPr>
              <w:spacing w:line="360" w:lineRule="auto"/>
              <w:rPr>
                <w:rFonts w:ascii="Arial" w:hAnsi="Arial" w:cs="Arial"/>
                <w:sz w:val="28"/>
                <w:szCs w:val="28"/>
              </w:rPr>
            </w:pPr>
            <w:r w:rsidRPr="00BB69F2">
              <w:rPr>
                <w:rFonts w:ascii="Arial" w:hAnsi="Arial" w:cs="Arial"/>
                <w:sz w:val="28"/>
                <w:szCs w:val="28"/>
              </w:rPr>
              <w:t>1</w:t>
            </w:r>
          </w:p>
        </w:tc>
      </w:tr>
    </w:tbl>
    <w:p w14:paraId="38494D08" w14:textId="77777777" w:rsidR="001F53A7" w:rsidRPr="001F53A7" w:rsidRDefault="001F53A7" w:rsidP="001F53A7">
      <w:pPr>
        <w:spacing w:line="360" w:lineRule="auto"/>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144"/>
        <w:gridCol w:w="209"/>
      </w:tblGrid>
      <w:tr w:rsidR="001F53A7" w:rsidRPr="001F53A7" w14:paraId="07FEA58C" w14:textId="77777777">
        <w:trPr>
          <w:tblCellSpacing w:w="15" w:type="dxa"/>
        </w:trPr>
        <w:tc>
          <w:tcPr>
            <w:tcW w:w="0" w:type="auto"/>
            <w:vAlign w:val="center"/>
            <w:hideMark/>
          </w:tcPr>
          <w:p w14:paraId="6F1CEB38" w14:textId="77777777" w:rsidR="001F53A7" w:rsidRPr="001F53A7" w:rsidRDefault="001F53A7" w:rsidP="001F53A7">
            <w:pPr>
              <w:spacing w:line="360" w:lineRule="auto"/>
              <w:rPr>
                <w:rFonts w:ascii="Arial" w:hAnsi="Arial" w:cs="Arial"/>
                <w:szCs w:val="24"/>
              </w:rPr>
            </w:pPr>
            <w:r w:rsidRPr="001F53A7">
              <w:rPr>
                <w:rFonts w:ascii="Arial" w:hAnsi="Arial" w:cs="Arial"/>
                <w:b/>
                <w:bCs/>
                <w:szCs w:val="24"/>
              </w:rPr>
              <w:t>Task 1: Person-Centred Care, Partnership Working and Ethics</w:t>
            </w:r>
          </w:p>
        </w:tc>
        <w:tc>
          <w:tcPr>
            <w:tcW w:w="0" w:type="auto"/>
            <w:vAlign w:val="center"/>
            <w:hideMark/>
          </w:tcPr>
          <w:p w14:paraId="4378AFD7"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2</w:t>
            </w:r>
          </w:p>
        </w:tc>
      </w:tr>
    </w:tbl>
    <w:p w14:paraId="4F21A88D" w14:textId="77777777" w:rsidR="001F53A7" w:rsidRPr="001F53A7" w:rsidRDefault="001F53A7" w:rsidP="001F53A7">
      <w:pPr>
        <w:spacing w:line="360" w:lineRule="auto"/>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57"/>
        <w:gridCol w:w="209"/>
      </w:tblGrid>
      <w:tr w:rsidR="001F53A7" w:rsidRPr="001F53A7" w14:paraId="17DD1139" w14:textId="77777777">
        <w:trPr>
          <w:tblCellSpacing w:w="15" w:type="dxa"/>
        </w:trPr>
        <w:tc>
          <w:tcPr>
            <w:tcW w:w="0" w:type="auto"/>
            <w:vAlign w:val="center"/>
            <w:hideMark/>
          </w:tcPr>
          <w:p w14:paraId="594C0801"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   1.1 Person-Centred Care</w:t>
            </w:r>
          </w:p>
        </w:tc>
        <w:tc>
          <w:tcPr>
            <w:tcW w:w="0" w:type="auto"/>
            <w:vAlign w:val="center"/>
            <w:hideMark/>
          </w:tcPr>
          <w:p w14:paraId="54DC05F3"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2</w:t>
            </w:r>
          </w:p>
        </w:tc>
      </w:tr>
    </w:tbl>
    <w:p w14:paraId="16EA784C" w14:textId="77777777" w:rsidR="001F53A7" w:rsidRPr="001F53A7" w:rsidRDefault="001F53A7" w:rsidP="001F53A7">
      <w:pPr>
        <w:spacing w:line="360" w:lineRule="auto"/>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591"/>
        <w:gridCol w:w="209"/>
      </w:tblGrid>
      <w:tr w:rsidR="001F53A7" w:rsidRPr="001F53A7" w14:paraId="3965DF01" w14:textId="77777777">
        <w:trPr>
          <w:tblCellSpacing w:w="15" w:type="dxa"/>
        </w:trPr>
        <w:tc>
          <w:tcPr>
            <w:tcW w:w="0" w:type="auto"/>
            <w:vAlign w:val="center"/>
            <w:hideMark/>
          </w:tcPr>
          <w:p w14:paraId="3C15C51D"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   1.2 Maslow's Hierarchy of Needs and Person-Centred Care</w:t>
            </w:r>
          </w:p>
        </w:tc>
        <w:tc>
          <w:tcPr>
            <w:tcW w:w="0" w:type="auto"/>
            <w:vAlign w:val="center"/>
            <w:hideMark/>
          </w:tcPr>
          <w:p w14:paraId="2A37CAA5"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4</w:t>
            </w:r>
          </w:p>
        </w:tc>
      </w:tr>
    </w:tbl>
    <w:p w14:paraId="1428F2A5" w14:textId="77777777" w:rsidR="001F53A7" w:rsidRPr="001F53A7" w:rsidRDefault="001F53A7" w:rsidP="001F53A7">
      <w:pPr>
        <w:spacing w:line="360" w:lineRule="auto"/>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50"/>
        <w:gridCol w:w="209"/>
      </w:tblGrid>
      <w:tr w:rsidR="001F53A7" w:rsidRPr="001F53A7" w14:paraId="0075AED0" w14:textId="77777777">
        <w:trPr>
          <w:tblCellSpacing w:w="15" w:type="dxa"/>
        </w:trPr>
        <w:tc>
          <w:tcPr>
            <w:tcW w:w="0" w:type="auto"/>
            <w:vAlign w:val="center"/>
            <w:hideMark/>
          </w:tcPr>
          <w:p w14:paraId="01F17026"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   1.3 Partnership Working</w:t>
            </w:r>
          </w:p>
        </w:tc>
        <w:tc>
          <w:tcPr>
            <w:tcW w:w="0" w:type="auto"/>
            <w:vAlign w:val="center"/>
            <w:hideMark/>
          </w:tcPr>
          <w:p w14:paraId="26680ADE"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5</w:t>
            </w:r>
          </w:p>
        </w:tc>
      </w:tr>
    </w:tbl>
    <w:p w14:paraId="3DC0029B" w14:textId="77777777" w:rsidR="001F53A7" w:rsidRPr="001F53A7" w:rsidRDefault="001F53A7" w:rsidP="001F53A7">
      <w:pPr>
        <w:spacing w:line="360" w:lineRule="auto"/>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118"/>
        <w:gridCol w:w="209"/>
      </w:tblGrid>
      <w:tr w:rsidR="001F53A7" w:rsidRPr="001F53A7" w14:paraId="40FE2F21" w14:textId="77777777">
        <w:trPr>
          <w:tblCellSpacing w:w="15" w:type="dxa"/>
        </w:trPr>
        <w:tc>
          <w:tcPr>
            <w:tcW w:w="0" w:type="auto"/>
            <w:vAlign w:val="center"/>
            <w:hideMark/>
          </w:tcPr>
          <w:p w14:paraId="0A30D220"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   1.4 Ethics in Health and Social Care</w:t>
            </w:r>
          </w:p>
        </w:tc>
        <w:tc>
          <w:tcPr>
            <w:tcW w:w="0" w:type="auto"/>
            <w:vAlign w:val="center"/>
            <w:hideMark/>
          </w:tcPr>
          <w:p w14:paraId="0DF9BE17"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7</w:t>
            </w:r>
          </w:p>
        </w:tc>
      </w:tr>
    </w:tbl>
    <w:p w14:paraId="7262D65C" w14:textId="77777777" w:rsidR="001F53A7" w:rsidRPr="001F53A7" w:rsidRDefault="001F53A7" w:rsidP="001F53A7">
      <w:pPr>
        <w:spacing w:line="360" w:lineRule="auto"/>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10"/>
        <w:gridCol w:w="209"/>
      </w:tblGrid>
      <w:tr w:rsidR="001F53A7" w:rsidRPr="001F53A7" w14:paraId="7440AEB2" w14:textId="77777777">
        <w:trPr>
          <w:tblCellSpacing w:w="15" w:type="dxa"/>
        </w:trPr>
        <w:tc>
          <w:tcPr>
            <w:tcW w:w="0" w:type="auto"/>
            <w:vAlign w:val="center"/>
            <w:hideMark/>
          </w:tcPr>
          <w:p w14:paraId="54C66B4D" w14:textId="77777777" w:rsidR="001F53A7" w:rsidRPr="001F53A7" w:rsidRDefault="001F53A7" w:rsidP="001F53A7">
            <w:pPr>
              <w:spacing w:line="360" w:lineRule="auto"/>
              <w:rPr>
                <w:rFonts w:ascii="Arial" w:hAnsi="Arial" w:cs="Arial"/>
                <w:szCs w:val="24"/>
              </w:rPr>
            </w:pPr>
            <w:r w:rsidRPr="001F53A7">
              <w:rPr>
                <w:rFonts w:ascii="Arial" w:hAnsi="Arial" w:cs="Arial"/>
                <w:b/>
                <w:bCs/>
                <w:szCs w:val="24"/>
              </w:rPr>
              <w:t>Task 2: Practical Application Through an Anonymised Case Study</w:t>
            </w:r>
          </w:p>
        </w:tc>
        <w:tc>
          <w:tcPr>
            <w:tcW w:w="0" w:type="auto"/>
            <w:vAlign w:val="center"/>
            <w:hideMark/>
          </w:tcPr>
          <w:p w14:paraId="5B0F47C1"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9</w:t>
            </w:r>
          </w:p>
        </w:tc>
      </w:tr>
    </w:tbl>
    <w:p w14:paraId="707ADEF8" w14:textId="77777777" w:rsidR="001F53A7" w:rsidRPr="001F53A7" w:rsidRDefault="001F53A7" w:rsidP="001F53A7">
      <w:pPr>
        <w:spacing w:line="360" w:lineRule="auto"/>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17"/>
        <w:gridCol w:w="209"/>
      </w:tblGrid>
      <w:tr w:rsidR="001F53A7" w:rsidRPr="001F53A7" w14:paraId="31941928" w14:textId="77777777">
        <w:trPr>
          <w:tblCellSpacing w:w="15" w:type="dxa"/>
        </w:trPr>
        <w:tc>
          <w:tcPr>
            <w:tcW w:w="0" w:type="auto"/>
            <w:vAlign w:val="center"/>
            <w:hideMark/>
          </w:tcPr>
          <w:p w14:paraId="34C8B71F"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   2.1 Case Study</w:t>
            </w:r>
          </w:p>
        </w:tc>
        <w:tc>
          <w:tcPr>
            <w:tcW w:w="0" w:type="auto"/>
            <w:vAlign w:val="center"/>
            <w:hideMark/>
          </w:tcPr>
          <w:p w14:paraId="1325F0D0"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9</w:t>
            </w:r>
          </w:p>
        </w:tc>
      </w:tr>
    </w:tbl>
    <w:p w14:paraId="1995D2D9" w14:textId="77777777" w:rsidR="001F53A7" w:rsidRPr="001F53A7" w:rsidRDefault="001F53A7" w:rsidP="001F53A7">
      <w:pPr>
        <w:spacing w:line="360" w:lineRule="auto"/>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65"/>
        <w:gridCol w:w="342"/>
      </w:tblGrid>
      <w:tr w:rsidR="001F53A7" w:rsidRPr="001F53A7" w14:paraId="01532EAE" w14:textId="77777777">
        <w:trPr>
          <w:tblCellSpacing w:w="15" w:type="dxa"/>
        </w:trPr>
        <w:tc>
          <w:tcPr>
            <w:tcW w:w="0" w:type="auto"/>
            <w:vAlign w:val="center"/>
            <w:hideMark/>
          </w:tcPr>
          <w:p w14:paraId="23C694F8"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   2.2 Application of Person-Centred Care</w:t>
            </w:r>
          </w:p>
        </w:tc>
        <w:tc>
          <w:tcPr>
            <w:tcW w:w="0" w:type="auto"/>
            <w:vAlign w:val="center"/>
            <w:hideMark/>
          </w:tcPr>
          <w:p w14:paraId="144DA22C"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10</w:t>
            </w:r>
          </w:p>
        </w:tc>
      </w:tr>
    </w:tbl>
    <w:p w14:paraId="6F3281A1" w14:textId="77777777" w:rsidR="001F53A7" w:rsidRPr="001F53A7" w:rsidRDefault="001F53A7" w:rsidP="001F53A7">
      <w:pPr>
        <w:spacing w:line="360" w:lineRule="auto"/>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037"/>
        <w:gridCol w:w="342"/>
      </w:tblGrid>
      <w:tr w:rsidR="001F53A7" w:rsidRPr="001F53A7" w14:paraId="540A8494" w14:textId="77777777">
        <w:trPr>
          <w:tblCellSpacing w:w="15" w:type="dxa"/>
        </w:trPr>
        <w:tc>
          <w:tcPr>
            <w:tcW w:w="0" w:type="auto"/>
            <w:vAlign w:val="center"/>
            <w:hideMark/>
          </w:tcPr>
          <w:p w14:paraId="7FA3F512"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   2.3 Partnership Working in Practice</w:t>
            </w:r>
          </w:p>
        </w:tc>
        <w:tc>
          <w:tcPr>
            <w:tcW w:w="0" w:type="auto"/>
            <w:vAlign w:val="center"/>
            <w:hideMark/>
          </w:tcPr>
          <w:p w14:paraId="4FFDBB62"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11</w:t>
            </w:r>
          </w:p>
        </w:tc>
      </w:tr>
    </w:tbl>
    <w:p w14:paraId="328D03C6" w14:textId="77777777" w:rsidR="001F53A7" w:rsidRPr="001F53A7" w:rsidRDefault="001F53A7" w:rsidP="001F53A7">
      <w:pPr>
        <w:spacing w:line="360" w:lineRule="auto"/>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690"/>
        <w:gridCol w:w="342"/>
      </w:tblGrid>
      <w:tr w:rsidR="001F53A7" w:rsidRPr="001F53A7" w14:paraId="03BE63BC" w14:textId="77777777">
        <w:trPr>
          <w:tblCellSpacing w:w="15" w:type="dxa"/>
        </w:trPr>
        <w:tc>
          <w:tcPr>
            <w:tcW w:w="0" w:type="auto"/>
            <w:vAlign w:val="center"/>
            <w:hideMark/>
          </w:tcPr>
          <w:p w14:paraId="66D68CE2"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   2.4 Ethical Principles in Practice</w:t>
            </w:r>
          </w:p>
        </w:tc>
        <w:tc>
          <w:tcPr>
            <w:tcW w:w="0" w:type="auto"/>
            <w:vAlign w:val="center"/>
            <w:hideMark/>
          </w:tcPr>
          <w:p w14:paraId="4FE79EA8"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12</w:t>
            </w:r>
          </w:p>
        </w:tc>
      </w:tr>
    </w:tbl>
    <w:p w14:paraId="3A04C876" w14:textId="77777777" w:rsidR="001F53A7" w:rsidRPr="001F53A7" w:rsidRDefault="001F53A7" w:rsidP="001F53A7">
      <w:pPr>
        <w:spacing w:line="360" w:lineRule="auto"/>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455"/>
        <w:gridCol w:w="342"/>
      </w:tblGrid>
      <w:tr w:rsidR="001F53A7" w:rsidRPr="001F53A7" w14:paraId="175246BE" w14:textId="77777777">
        <w:trPr>
          <w:tblCellSpacing w:w="15" w:type="dxa"/>
        </w:trPr>
        <w:tc>
          <w:tcPr>
            <w:tcW w:w="0" w:type="auto"/>
            <w:vAlign w:val="center"/>
            <w:hideMark/>
          </w:tcPr>
          <w:p w14:paraId="648B344D" w14:textId="77777777" w:rsidR="001F53A7" w:rsidRPr="001F53A7" w:rsidRDefault="001F53A7" w:rsidP="001F53A7">
            <w:pPr>
              <w:spacing w:line="360" w:lineRule="auto"/>
              <w:rPr>
                <w:rFonts w:ascii="Arial" w:hAnsi="Arial" w:cs="Arial"/>
                <w:szCs w:val="24"/>
              </w:rPr>
            </w:pPr>
            <w:r w:rsidRPr="001F53A7">
              <w:rPr>
                <w:rFonts w:ascii="Arial" w:hAnsi="Arial" w:cs="Arial"/>
                <w:b/>
                <w:bCs/>
                <w:szCs w:val="24"/>
              </w:rPr>
              <w:t>Task 3: Critical Reflection Using Gibbs' Reflective Cycle</w:t>
            </w:r>
          </w:p>
        </w:tc>
        <w:tc>
          <w:tcPr>
            <w:tcW w:w="0" w:type="auto"/>
            <w:vAlign w:val="center"/>
            <w:hideMark/>
          </w:tcPr>
          <w:p w14:paraId="4B625B38"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14</w:t>
            </w:r>
          </w:p>
        </w:tc>
      </w:tr>
    </w:tbl>
    <w:p w14:paraId="4A70A0DE" w14:textId="77777777" w:rsidR="001F53A7" w:rsidRPr="001F53A7" w:rsidRDefault="001F53A7" w:rsidP="001F53A7">
      <w:pPr>
        <w:spacing w:line="360" w:lineRule="auto"/>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76"/>
        <w:gridCol w:w="342"/>
      </w:tblGrid>
      <w:tr w:rsidR="001F53A7" w:rsidRPr="001F53A7" w14:paraId="32EAE156" w14:textId="77777777">
        <w:trPr>
          <w:tblCellSpacing w:w="15" w:type="dxa"/>
        </w:trPr>
        <w:tc>
          <w:tcPr>
            <w:tcW w:w="0" w:type="auto"/>
            <w:vAlign w:val="center"/>
            <w:hideMark/>
          </w:tcPr>
          <w:p w14:paraId="5DD8472D"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   3.1 Description</w:t>
            </w:r>
          </w:p>
        </w:tc>
        <w:tc>
          <w:tcPr>
            <w:tcW w:w="0" w:type="auto"/>
            <w:vAlign w:val="center"/>
            <w:hideMark/>
          </w:tcPr>
          <w:p w14:paraId="4D2F8414"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14</w:t>
            </w:r>
          </w:p>
        </w:tc>
      </w:tr>
    </w:tbl>
    <w:p w14:paraId="77D3738F" w14:textId="77777777" w:rsidR="001F53A7" w:rsidRPr="001F53A7" w:rsidRDefault="001F53A7" w:rsidP="001F53A7">
      <w:pPr>
        <w:spacing w:line="360" w:lineRule="auto"/>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3"/>
        <w:gridCol w:w="342"/>
      </w:tblGrid>
      <w:tr w:rsidR="001F53A7" w:rsidRPr="001F53A7" w14:paraId="6111A43D" w14:textId="77777777">
        <w:trPr>
          <w:tblCellSpacing w:w="15" w:type="dxa"/>
        </w:trPr>
        <w:tc>
          <w:tcPr>
            <w:tcW w:w="0" w:type="auto"/>
            <w:vAlign w:val="center"/>
            <w:hideMark/>
          </w:tcPr>
          <w:p w14:paraId="0605348E"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   3.2 Feelings</w:t>
            </w:r>
          </w:p>
        </w:tc>
        <w:tc>
          <w:tcPr>
            <w:tcW w:w="0" w:type="auto"/>
            <w:vAlign w:val="center"/>
            <w:hideMark/>
          </w:tcPr>
          <w:p w14:paraId="10BDEBF4"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15</w:t>
            </w:r>
          </w:p>
        </w:tc>
      </w:tr>
    </w:tbl>
    <w:p w14:paraId="7CD6A5A1" w14:textId="77777777" w:rsidR="001F53A7" w:rsidRPr="001F53A7" w:rsidRDefault="001F53A7" w:rsidP="001F53A7">
      <w:pPr>
        <w:spacing w:line="360" w:lineRule="auto"/>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97"/>
        <w:gridCol w:w="342"/>
      </w:tblGrid>
      <w:tr w:rsidR="001F53A7" w:rsidRPr="001F53A7" w14:paraId="1E882ABA" w14:textId="77777777">
        <w:trPr>
          <w:tblCellSpacing w:w="15" w:type="dxa"/>
        </w:trPr>
        <w:tc>
          <w:tcPr>
            <w:tcW w:w="0" w:type="auto"/>
            <w:vAlign w:val="center"/>
            <w:hideMark/>
          </w:tcPr>
          <w:p w14:paraId="519CF9CA"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   3.3 Evaluation</w:t>
            </w:r>
          </w:p>
        </w:tc>
        <w:tc>
          <w:tcPr>
            <w:tcW w:w="0" w:type="auto"/>
            <w:vAlign w:val="center"/>
            <w:hideMark/>
          </w:tcPr>
          <w:p w14:paraId="0E278E3B"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16</w:t>
            </w:r>
          </w:p>
        </w:tc>
      </w:tr>
    </w:tbl>
    <w:p w14:paraId="68DBEB5F" w14:textId="77777777" w:rsidR="001F53A7" w:rsidRPr="001F53A7" w:rsidRDefault="001F53A7" w:rsidP="001F53A7">
      <w:pPr>
        <w:spacing w:line="360" w:lineRule="auto"/>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70"/>
        <w:gridCol w:w="342"/>
      </w:tblGrid>
      <w:tr w:rsidR="001F53A7" w:rsidRPr="001F53A7" w14:paraId="20A32143" w14:textId="77777777">
        <w:trPr>
          <w:tblCellSpacing w:w="15" w:type="dxa"/>
        </w:trPr>
        <w:tc>
          <w:tcPr>
            <w:tcW w:w="0" w:type="auto"/>
            <w:vAlign w:val="center"/>
            <w:hideMark/>
          </w:tcPr>
          <w:p w14:paraId="57E1987E"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   3.4 Analysis</w:t>
            </w:r>
          </w:p>
        </w:tc>
        <w:tc>
          <w:tcPr>
            <w:tcW w:w="0" w:type="auto"/>
            <w:vAlign w:val="center"/>
            <w:hideMark/>
          </w:tcPr>
          <w:p w14:paraId="04A3F2B8"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17</w:t>
            </w:r>
          </w:p>
        </w:tc>
      </w:tr>
    </w:tbl>
    <w:p w14:paraId="2D3FC575" w14:textId="77777777" w:rsidR="001F53A7" w:rsidRPr="001F53A7" w:rsidRDefault="001F53A7" w:rsidP="001F53A7">
      <w:pPr>
        <w:spacing w:line="360" w:lineRule="auto"/>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63"/>
        <w:gridCol w:w="342"/>
      </w:tblGrid>
      <w:tr w:rsidR="001F53A7" w:rsidRPr="001F53A7" w14:paraId="1CF6A67B" w14:textId="77777777">
        <w:trPr>
          <w:tblCellSpacing w:w="15" w:type="dxa"/>
        </w:trPr>
        <w:tc>
          <w:tcPr>
            <w:tcW w:w="0" w:type="auto"/>
            <w:vAlign w:val="center"/>
            <w:hideMark/>
          </w:tcPr>
          <w:p w14:paraId="0286E33D"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   3.5 Conclusion</w:t>
            </w:r>
          </w:p>
        </w:tc>
        <w:tc>
          <w:tcPr>
            <w:tcW w:w="0" w:type="auto"/>
            <w:vAlign w:val="center"/>
            <w:hideMark/>
          </w:tcPr>
          <w:p w14:paraId="0BC84473"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18</w:t>
            </w:r>
          </w:p>
        </w:tc>
      </w:tr>
    </w:tbl>
    <w:p w14:paraId="3D5D77B8" w14:textId="77777777" w:rsidR="001F53A7" w:rsidRPr="001F53A7" w:rsidRDefault="001F53A7" w:rsidP="001F53A7">
      <w:pPr>
        <w:spacing w:line="360" w:lineRule="auto"/>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90"/>
        <w:gridCol w:w="342"/>
      </w:tblGrid>
      <w:tr w:rsidR="001F53A7" w:rsidRPr="001F53A7" w14:paraId="70E4EC27" w14:textId="77777777">
        <w:trPr>
          <w:tblCellSpacing w:w="15" w:type="dxa"/>
        </w:trPr>
        <w:tc>
          <w:tcPr>
            <w:tcW w:w="0" w:type="auto"/>
            <w:vAlign w:val="center"/>
            <w:hideMark/>
          </w:tcPr>
          <w:p w14:paraId="45C69D88"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   3.6 Action Plan</w:t>
            </w:r>
          </w:p>
        </w:tc>
        <w:tc>
          <w:tcPr>
            <w:tcW w:w="0" w:type="auto"/>
            <w:vAlign w:val="center"/>
            <w:hideMark/>
          </w:tcPr>
          <w:p w14:paraId="6F9637BB" w14:textId="77777777" w:rsidR="001F53A7" w:rsidRPr="001F53A7" w:rsidRDefault="001F53A7" w:rsidP="001F53A7">
            <w:pPr>
              <w:spacing w:line="360" w:lineRule="auto"/>
              <w:rPr>
                <w:rFonts w:ascii="Arial" w:hAnsi="Arial" w:cs="Arial"/>
                <w:szCs w:val="24"/>
              </w:rPr>
            </w:pPr>
            <w:r w:rsidRPr="001F53A7">
              <w:rPr>
                <w:rFonts w:ascii="Arial" w:hAnsi="Arial" w:cs="Arial"/>
                <w:szCs w:val="24"/>
              </w:rPr>
              <w:t>19</w:t>
            </w:r>
          </w:p>
        </w:tc>
      </w:tr>
    </w:tbl>
    <w:p w14:paraId="194491AD" w14:textId="77777777" w:rsidR="001F53A7" w:rsidRPr="001F53A7" w:rsidRDefault="001F53A7" w:rsidP="001F53A7">
      <w:pPr>
        <w:spacing w:line="360" w:lineRule="auto"/>
        <w:rPr>
          <w:rFonts w:ascii="Arial" w:hAnsi="Arial" w:cs="Arial"/>
          <w:vanish/>
          <w:szCs w:val="24"/>
        </w:rPr>
      </w:pPr>
    </w:p>
    <w:p w14:paraId="11176FEB" w14:textId="77777777" w:rsidR="001F53A7" w:rsidRPr="001F53A7" w:rsidRDefault="001F53A7" w:rsidP="001F53A7">
      <w:pPr>
        <w:spacing w:line="360" w:lineRule="auto"/>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85"/>
      </w:tblGrid>
      <w:tr w:rsidR="001F53A7" w:rsidRPr="001F53A7" w14:paraId="25819347" w14:textId="77777777">
        <w:trPr>
          <w:tblCellSpacing w:w="15" w:type="dxa"/>
        </w:trPr>
        <w:tc>
          <w:tcPr>
            <w:tcW w:w="0" w:type="auto"/>
            <w:vAlign w:val="center"/>
            <w:hideMark/>
          </w:tcPr>
          <w:p w14:paraId="4B2D5779" w14:textId="77777777" w:rsidR="001F53A7" w:rsidRPr="001F53A7" w:rsidRDefault="001F53A7" w:rsidP="001F53A7">
            <w:pPr>
              <w:spacing w:line="360" w:lineRule="auto"/>
              <w:rPr>
                <w:rFonts w:ascii="Arial" w:hAnsi="Arial" w:cs="Arial"/>
                <w:szCs w:val="24"/>
              </w:rPr>
            </w:pPr>
            <w:r w:rsidRPr="001F53A7">
              <w:rPr>
                <w:rFonts w:ascii="Arial" w:hAnsi="Arial" w:cs="Arial"/>
                <w:b/>
                <w:bCs/>
                <w:szCs w:val="24"/>
              </w:rPr>
              <w:t>References</w:t>
            </w:r>
          </w:p>
        </w:tc>
      </w:tr>
    </w:tbl>
    <w:p w14:paraId="327B4649" w14:textId="77777777" w:rsidR="00B21FE6" w:rsidRPr="004F5EC3" w:rsidRDefault="00B21FE6" w:rsidP="004F5EC3">
      <w:pPr>
        <w:spacing w:line="360" w:lineRule="auto"/>
        <w:rPr>
          <w:rFonts w:ascii="Arial" w:hAnsi="Arial" w:cs="Arial"/>
          <w:szCs w:val="24"/>
        </w:rPr>
      </w:pPr>
    </w:p>
    <w:p w14:paraId="3B248168" w14:textId="77777777" w:rsidR="00117D74" w:rsidRPr="00BB69F2" w:rsidRDefault="00117D74" w:rsidP="00BB69F2">
      <w:pPr>
        <w:spacing w:line="360" w:lineRule="auto"/>
        <w:jc w:val="both"/>
        <w:rPr>
          <w:rFonts w:ascii="Arial" w:eastAsia="Arial" w:hAnsi="Arial" w:cs="Arial"/>
          <w:b/>
          <w:bCs/>
          <w:szCs w:val="24"/>
        </w:rPr>
      </w:pPr>
      <w:r w:rsidRPr="00BB69F2">
        <w:rPr>
          <w:rFonts w:ascii="Arial" w:eastAsia="Arial" w:hAnsi="Arial" w:cs="Arial"/>
          <w:b/>
          <w:bCs/>
          <w:szCs w:val="24"/>
        </w:rPr>
        <w:lastRenderedPageBreak/>
        <w:t>Introduction</w:t>
      </w:r>
    </w:p>
    <w:p w14:paraId="028543C8" w14:textId="77777777" w:rsidR="00117D74" w:rsidRPr="00BB69F2" w:rsidRDefault="00117D74" w:rsidP="00BB69F2">
      <w:pPr>
        <w:spacing w:line="360" w:lineRule="auto"/>
        <w:jc w:val="both"/>
        <w:rPr>
          <w:rFonts w:ascii="Arial" w:eastAsia="Arial" w:hAnsi="Arial" w:cs="Arial"/>
          <w:szCs w:val="24"/>
        </w:rPr>
      </w:pPr>
      <w:r w:rsidRPr="00BB69F2">
        <w:rPr>
          <w:rFonts w:ascii="Arial" w:eastAsia="Arial" w:hAnsi="Arial" w:cs="Arial"/>
          <w:szCs w:val="24"/>
        </w:rPr>
        <w:t>The delivery of high-quality health and social care services within the United Kingdom (UK) increasingly depends on approaches that recognise individuals as active participants in decisions about their own care rather than passive recipients of treatment. This philosophy is reflected in the concept of person-centred care, which promotes dignity, respect, choice, independence and collaboration while ensuring that services are tailored to an individual's unique needs, preferences, values and life circumstances (NHS England, 2024). Person-centred care has become a cornerstone of contemporary health and social care policy and is embedded within professional standards and legislation, including the Care Act 2014, the Health and Care Act 2022 and the Health and Care Professions Council (HCPC) Standards of Conduct, Performance and Ethics (Care Act 2014; Health and Care Act 2022; HCPC, 2024).</w:t>
      </w:r>
    </w:p>
    <w:p w14:paraId="4D8610B2" w14:textId="77777777" w:rsidR="00117D74" w:rsidRPr="00BB69F2" w:rsidRDefault="00117D74" w:rsidP="00BB69F2">
      <w:pPr>
        <w:spacing w:line="360" w:lineRule="auto"/>
        <w:jc w:val="both"/>
        <w:rPr>
          <w:rFonts w:ascii="Arial" w:eastAsia="Arial" w:hAnsi="Arial" w:cs="Arial"/>
          <w:szCs w:val="24"/>
        </w:rPr>
      </w:pPr>
      <w:r w:rsidRPr="00BB69F2">
        <w:rPr>
          <w:rFonts w:ascii="Arial" w:eastAsia="Arial" w:hAnsi="Arial" w:cs="Arial"/>
          <w:szCs w:val="24"/>
        </w:rPr>
        <w:t>Alongside person-centred care, partnership working and ethical practice play equally significant roles in achieving safe, effective and compassionate care. Partnership working encourages collaboration between service users, families, multidisciplinary professionals and wider organisations to ensure that health and social care interventions are coordinated and holistic (Glasby and Dickinson, 2014). Ethical practice provides the moral framework that guides professional decision-making through principles such as autonomy, beneficence, non-maleficence and justice, ensuring that care is delivered fairly, respectfully and in accordance with professional codes of conduct (Beauchamp and Childress, 2019). Collectively, these principles support improved communication, continuity of care and better health outcomes while promoting equality and safeguarding vulnerable individuals.</w:t>
      </w:r>
    </w:p>
    <w:p w14:paraId="2B3B499F" w14:textId="77777777" w:rsidR="00117D74" w:rsidRPr="00BB69F2" w:rsidRDefault="00117D74" w:rsidP="00BB69F2">
      <w:pPr>
        <w:spacing w:line="360" w:lineRule="auto"/>
        <w:jc w:val="both"/>
        <w:rPr>
          <w:rFonts w:ascii="Arial" w:eastAsia="Arial" w:hAnsi="Arial" w:cs="Arial"/>
          <w:szCs w:val="24"/>
        </w:rPr>
      </w:pPr>
      <w:r w:rsidRPr="00BB69F2">
        <w:rPr>
          <w:rFonts w:ascii="Arial" w:eastAsia="Arial" w:hAnsi="Arial" w:cs="Arial"/>
          <w:szCs w:val="24"/>
        </w:rPr>
        <w:t>The increasing complexity of health needs, an ageing population and the growing prevalence of long-term conditions have reinforced the importance of integrating these principles into everyday practice (The King's Fund, 2023). Professionals are therefore expected not only to possess technical competence but also to demonstrate empathy, cultural sensitivity, effective communication and collaborative working across organisational boundaries. Applying person-centred care, partnership working and ethical decision-making enables practitioners to respond more effectively to the physical, psychological, social and emotional needs of individuals while empowering them to participate actively in their own care (NICE, 2023).</w:t>
      </w:r>
    </w:p>
    <w:p w14:paraId="1F0B3B61" w14:textId="0E776168" w:rsidR="001F53A7" w:rsidRPr="00BB69F2" w:rsidRDefault="00117D74" w:rsidP="00BB69F2">
      <w:pPr>
        <w:spacing w:line="360" w:lineRule="auto"/>
        <w:jc w:val="both"/>
        <w:rPr>
          <w:rFonts w:ascii="Arial" w:eastAsia="Arial" w:hAnsi="Arial" w:cs="Arial"/>
          <w:szCs w:val="24"/>
        </w:rPr>
      </w:pPr>
      <w:r w:rsidRPr="00BB69F2">
        <w:rPr>
          <w:rFonts w:ascii="Arial" w:eastAsia="Arial" w:hAnsi="Arial" w:cs="Arial"/>
          <w:szCs w:val="24"/>
        </w:rPr>
        <w:lastRenderedPageBreak/>
        <w:t>This assignment critically explores the concepts of person-centred care, partnership working and ethics within UK health and social care. It examines their importance to professional practice, illustrates their application through an anonymised case study and critically reflects upon their influence on professional development using Gibbs' Reflective Cycle (1988). Throughout the discussion, relevant theories, legislation, professional standards and evidence-based practice are integrated to demonstrate how these principles contribute to high-quality, compassionate and person-centred health and social care.</w:t>
      </w:r>
    </w:p>
    <w:p w14:paraId="40EB16E4" w14:textId="63ACAA31" w:rsidR="001F53A7" w:rsidRPr="00BB69F2" w:rsidRDefault="00117D74" w:rsidP="00BB69F2">
      <w:pPr>
        <w:spacing w:line="360" w:lineRule="auto"/>
        <w:jc w:val="both"/>
        <w:rPr>
          <w:rFonts w:ascii="Arial" w:eastAsia="Arial" w:hAnsi="Arial" w:cs="Arial"/>
          <w:b/>
          <w:bCs/>
          <w:szCs w:val="24"/>
        </w:rPr>
      </w:pPr>
      <w:r w:rsidRPr="00BB69F2">
        <w:rPr>
          <w:rFonts w:ascii="Arial" w:eastAsia="Arial" w:hAnsi="Arial" w:cs="Arial"/>
          <w:b/>
          <w:bCs/>
          <w:szCs w:val="24"/>
        </w:rPr>
        <w:t xml:space="preserve">    HIGH-QUALITY HEALTH AND SOCIAL CARE</w:t>
      </w:r>
    </w:p>
    <w:p w14:paraId="3F9F9E0F" w14:textId="2EB3DC32" w:rsidR="004F5EC3" w:rsidRPr="00BB69F2" w:rsidRDefault="004F5EC3" w:rsidP="00BB69F2">
      <w:pPr>
        <w:spacing w:line="360" w:lineRule="auto"/>
        <w:jc w:val="both"/>
        <w:rPr>
          <w:rFonts w:ascii="Arial" w:hAnsi="Arial" w:cs="Arial"/>
          <w:b/>
          <w:bCs/>
          <w:szCs w:val="24"/>
        </w:rPr>
      </w:pPr>
      <w:r w:rsidRPr="00BB69F2">
        <w:rPr>
          <w:rFonts w:ascii="Arial" w:hAnsi="Arial" w:cs="Arial"/>
          <w:b/>
          <w:bCs/>
          <w:szCs w:val="24"/>
        </w:rPr>
        <w:t xml:space="preserve"> Person-Centred Care, Partnership Working and Ethics in Health and Social Care</w:t>
      </w:r>
    </w:p>
    <w:p w14:paraId="0BD4EB79" w14:textId="30F7883B" w:rsidR="001F53A7" w:rsidRPr="00BB69F2" w:rsidRDefault="001F53A7" w:rsidP="00BB69F2">
      <w:pPr>
        <w:spacing w:line="360" w:lineRule="auto"/>
        <w:jc w:val="both"/>
        <w:rPr>
          <w:rFonts w:ascii="Arial" w:hAnsi="Arial" w:cs="Arial"/>
          <w:b/>
          <w:bCs/>
          <w:szCs w:val="24"/>
        </w:rPr>
      </w:pPr>
      <w:r w:rsidRPr="00BB69F2">
        <w:rPr>
          <w:rFonts w:ascii="Arial" w:hAnsi="Arial" w:cs="Arial"/>
          <w:b/>
          <w:bCs/>
          <w:szCs w:val="24"/>
        </w:rPr>
        <w:drawing>
          <wp:inline distT="0" distB="0" distL="0" distR="0" wp14:anchorId="2D9D6FC0" wp14:editId="15142407">
            <wp:extent cx="5019675" cy="5019675"/>
            <wp:effectExtent l="0" t="0" r="9525" b="9525"/>
            <wp:docPr id="11760446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23257" cy="5023257"/>
                    </a:xfrm>
                    <a:prstGeom prst="rect">
                      <a:avLst/>
                    </a:prstGeom>
                    <a:noFill/>
                    <a:ln>
                      <a:noFill/>
                    </a:ln>
                  </pic:spPr>
                </pic:pic>
              </a:graphicData>
            </a:graphic>
          </wp:inline>
        </w:drawing>
      </w:r>
    </w:p>
    <w:p w14:paraId="6DCED87B" w14:textId="77777777" w:rsidR="001F53A7" w:rsidRPr="00BB69F2" w:rsidRDefault="001F53A7" w:rsidP="00BB69F2">
      <w:pPr>
        <w:spacing w:line="360" w:lineRule="auto"/>
        <w:jc w:val="both"/>
        <w:rPr>
          <w:rFonts w:ascii="Arial" w:hAnsi="Arial" w:cs="Arial"/>
          <w:b/>
          <w:bCs/>
          <w:szCs w:val="24"/>
        </w:rPr>
      </w:pPr>
    </w:p>
    <w:p w14:paraId="697F7EFC" w14:textId="77777777" w:rsidR="004F5EC3" w:rsidRPr="00BB69F2" w:rsidRDefault="004F5EC3" w:rsidP="00BB69F2">
      <w:pPr>
        <w:spacing w:line="360" w:lineRule="auto"/>
        <w:jc w:val="both"/>
        <w:rPr>
          <w:rFonts w:ascii="Arial" w:hAnsi="Arial" w:cs="Arial"/>
          <w:b/>
          <w:bCs/>
          <w:szCs w:val="24"/>
        </w:rPr>
      </w:pPr>
      <w:r w:rsidRPr="00BB69F2">
        <w:rPr>
          <w:rFonts w:ascii="Arial" w:hAnsi="Arial" w:cs="Arial"/>
          <w:b/>
          <w:bCs/>
          <w:szCs w:val="24"/>
        </w:rPr>
        <w:t>Person-Centred Care</w:t>
      </w:r>
    </w:p>
    <w:p w14:paraId="5B378C12"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lastRenderedPageBreak/>
        <w:t xml:space="preserve">Person-centred care is a holistic approach to health and social care that places the individual at the centre of all planning, decision-making and service delivery. Rather than focusing solely on a person's illness or disability, person-centred care recognises </w:t>
      </w:r>
      <w:proofErr w:type="gramStart"/>
      <w:r w:rsidRPr="00BB69F2">
        <w:rPr>
          <w:rFonts w:ascii="Arial" w:hAnsi="Arial" w:cs="Arial"/>
          <w:szCs w:val="24"/>
        </w:rPr>
        <w:t>each individual</w:t>
      </w:r>
      <w:proofErr w:type="gramEnd"/>
      <w:r w:rsidRPr="00BB69F2">
        <w:rPr>
          <w:rFonts w:ascii="Arial" w:hAnsi="Arial" w:cs="Arial"/>
          <w:szCs w:val="24"/>
        </w:rPr>
        <w:t xml:space="preserve"> as a unique person with their own beliefs, values, preferences, cultural background and life experiences (NHS England, 2024). This approach encourages individuals to become active partners in decisions regarding their treatment and support, promoting dignity, autonomy, independence and choice.</w:t>
      </w:r>
    </w:p>
    <w:p w14:paraId="7D057869"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 xml:space="preserve">The importance of person-centred care has increased significantly within UK health and social care due to demographic changes, increasing numbers of people living with long-term conditions and growing recognition of patients' rights. The </w:t>
      </w:r>
      <w:r w:rsidRPr="00BB69F2">
        <w:rPr>
          <w:rFonts w:ascii="Arial" w:hAnsi="Arial" w:cs="Arial"/>
          <w:b/>
          <w:bCs/>
          <w:szCs w:val="24"/>
        </w:rPr>
        <w:t>Care Act 2014</w:t>
      </w:r>
      <w:r w:rsidRPr="00BB69F2">
        <w:rPr>
          <w:rFonts w:ascii="Arial" w:hAnsi="Arial" w:cs="Arial"/>
          <w:szCs w:val="24"/>
        </w:rPr>
        <w:t xml:space="preserve"> places wellbeing at the centre of adult social care by requiring local authorities to promote individual wellbeing, prevent escalating care needs and involve individuals in decisions affecting their care (Care Act, 2014). Similarly, the </w:t>
      </w:r>
      <w:r w:rsidRPr="00BB69F2">
        <w:rPr>
          <w:rFonts w:ascii="Arial" w:hAnsi="Arial" w:cs="Arial"/>
          <w:b/>
          <w:bCs/>
          <w:szCs w:val="24"/>
        </w:rPr>
        <w:t>Health and Care Act 2022</w:t>
      </w:r>
      <w:r w:rsidRPr="00BB69F2">
        <w:rPr>
          <w:rFonts w:ascii="Arial" w:hAnsi="Arial" w:cs="Arial"/>
          <w:szCs w:val="24"/>
        </w:rPr>
        <w:t xml:space="preserve"> promotes integrated care systems (ICSs), encouraging organisations to deliver coordinated, personalised and preventative services that improve health outcomes (Health and Care Act, 2022).</w:t>
      </w:r>
    </w:p>
    <w:p w14:paraId="55E9473C"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Maslow's Hierarchy of Needs provides a useful theoretical framework for understanding why person-centred care is effective. Maslow (1943) proposed that individuals have five levels of needs, ranging from basic physiological requirements to self-actualisation. Health and social care professionals should recognise that achieving positive health outcomes often depends upon meeting needs beyond physical healthcare, including emotional wellbeing, safety, belonging and self-esteem. For example, supporting an older adult to maintain social relationships may be equally important as managing their medication because social isolation can negatively affect both mental and physical health (Maslow, 1943).</w:t>
      </w:r>
    </w:p>
    <w:p w14:paraId="715EA2A2"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pict w14:anchorId="5275F8CF">
          <v:rect id="_x0000_i1312" style="width:0;height:1.5pt" o:hralign="center" o:hrstd="t" o:hr="t" fillcolor="#a0a0a0" stroked="f"/>
        </w:pict>
      </w:r>
    </w:p>
    <w:p w14:paraId="30FF40CF" w14:textId="77777777" w:rsidR="001F53A7" w:rsidRPr="00BB69F2" w:rsidRDefault="001F53A7" w:rsidP="00BB69F2">
      <w:pPr>
        <w:spacing w:line="360" w:lineRule="auto"/>
        <w:jc w:val="both"/>
        <w:rPr>
          <w:rFonts w:ascii="Arial" w:hAnsi="Arial" w:cs="Arial"/>
          <w:b/>
          <w:bCs/>
          <w:szCs w:val="24"/>
        </w:rPr>
      </w:pPr>
    </w:p>
    <w:p w14:paraId="25EA2984" w14:textId="77777777" w:rsidR="001F53A7" w:rsidRPr="00BB69F2" w:rsidRDefault="001F53A7" w:rsidP="00BB69F2">
      <w:pPr>
        <w:spacing w:line="360" w:lineRule="auto"/>
        <w:jc w:val="both"/>
        <w:rPr>
          <w:rFonts w:ascii="Arial" w:hAnsi="Arial" w:cs="Arial"/>
          <w:b/>
          <w:bCs/>
          <w:szCs w:val="24"/>
        </w:rPr>
      </w:pPr>
    </w:p>
    <w:p w14:paraId="569218E3" w14:textId="4B6612C0" w:rsidR="004F5EC3" w:rsidRPr="00BB69F2" w:rsidRDefault="004F5EC3" w:rsidP="00BB69F2">
      <w:pPr>
        <w:spacing w:line="360" w:lineRule="auto"/>
        <w:jc w:val="both"/>
        <w:rPr>
          <w:rFonts w:ascii="Arial" w:hAnsi="Arial" w:cs="Arial"/>
          <w:b/>
          <w:bCs/>
          <w:szCs w:val="24"/>
        </w:rPr>
      </w:pPr>
      <w:r w:rsidRPr="00BB69F2">
        <w:rPr>
          <w:rFonts w:ascii="Arial" w:hAnsi="Arial" w:cs="Arial"/>
          <w:b/>
          <w:bCs/>
          <w:szCs w:val="24"/>
        </w:rPr>
        <w:t>Figure 2. Maslow's Hierarchy of Needs and Person-Centred Care</w:t>
      </w:r>
    </w:p>
    <w:p w14:paraId="24BF75E0" w14:textId="6977B883" w:rsidR="004F5EC3" w:rsidRPr="00BB69F2" w:rsidRDefault="004F5EC3" w:rsidP="00BB69F2">
      <w:pPr>
        <w:spacing w:line="360" w:lineRule="auto"/>
        <w:jc w:val="both"/>
        <w:rPr>
          <w:rFonts w:ascii="Arial" w:hAnsi="Arial" w:cs="Arial"/>
          <w:szCs w:val="24"/>
        </w:rPr>
      </w:pPr>
      <w:r w:rsidRPr="00BB69F2">
        <w:rPr>
          <w:rFonts w:ascii="Arial" w:hAnsi="Arial" w:cs="Arial"/>
          <w:szCs w:val="24"/>
        </w:rPr>
        <w:t xml:space="preserve">                 </w:t>
      </w:r>
    </w:p>
    <w:p w14:paraId="5BDF03D5" w14:textId="29976C86" w:rsidR="001F53A7" w:rsidRPr="00BB69F2" w:rsidRDefault="001F53A7" w:rsidP="00BB69F2">
      <w:pPr>
        <w:spacing w:line="360" w:lineRule="auto"/>
        <w:jc w:val="both"/>
        <w:rPr>
          <w:rFonts w:ascii="Arial" w:hAnsi="Arial" w:cs="Arial"/>
          <w:szCs w:val="24"/>
        </w:rPr>
      </w:pPr>
      <w:r w:rsidRPr="00BB69F2">
        <w:rPr>
          <w:rFonts w:ascii="Arial" w:hAnsi="Arial" w:cs="Arial"/>
          <w:szCs w:val="24"/>
        </w:rPr>
        <w:lastRenderedPageBreak/>
        <w:drawing>
          <wp:inline distT="0" distB="0" distL="0" distR="0" wp14:anchorId="7E0D3609" wp14:editId="2BEC76D4">
            <wp:extent cx="5731510" cy="5250180"/>
            <wp:effectExtent l="0" t="0" r="2540" b="7620"/>
            <wp:docPr id="10636162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250180"/>
                    </a:xfrm>
                    <a:prstGeom prst="rect">
                      <a:avLst/>
                    </a:prstGeom>
                    <a:noFill/>
                    <a:ln>
                      <a:noFill/>
                    </a:ln>
                  </pic:spPr>
                </pic:pic>
              </a:graphicData>
            </a:graphic>
          </wp:inline>
        </w:drawing>
      </w:r>
    </w:p>
    <w:p w14:paraId="45AF6A58" w14:textId="77777777" w:rsidR="00E400D9" w:rsidRPr="00BB69F2" w:rsidRDefault="00E400D9" w:rsidP="00BB69F2">
      <w:pPr>
        <w:spacing w:line="360" w:lineRule="auto"/>
        <w:jc w:val="both"/>
        <w:rPr>
          <w:rFonts w:ascii="Arial" w:hAnsi="Arial" w:cs="Arial"/>
          <w:szCs w:val="24"/>
        </w:rPr>
      </w:pPr>
    </w:p>
    <w:p w14:paraId="6019E552" w14:textId="77777777" w:rsidR="004F5EC3" w:rsidRPr="00BB69F2" w:rsidRDefault="004F5EC3" w:rsidP="00BB69F2">
      <w:pPr>
        <w:spacing w:line="360" w:lineRule="auto"/>
        <w:jc w:val="both"/>
        <w:rPr>
          <w:rFonts w:ascii="Arial" w:hAnsi="Arial" w:cs="Arial"/>
          <w:szCs w:val="24"/>
        </w:rPr>
      </w:pPr>
      <w:r w:rsidRPr="00BB69F2">
        <w:rPr>
          <w:rFonts w:ascii="Arial" w:hAnsi="Arial" w:cs="Arial"/>
          <w:b/>
          <w:bCs/>
          <w:szCs w:val="24"/>
        </w:rPr>
        <w:t>Figure 2.</w:t>
      </w:r>
      <w:r w:rsidRPr="00BB69F2">
        <w:rPr>
          <w:rFonts w:ascii="Arial" w:hAnsi="Arial" w:cs="Arial"/>
          <w:szCs w:val="24"/>
        </w:rPr>
        <w:t xml:space="preserve"> Adapted from Maslow (1943).</w:t>
      </w:r>
    </w:p>
    <w:p w14:paraId="5C7F578D"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Health professionals who understand this hierarchy are better equipped to deliver holistic care that addresses the whole person rather than treating medical conditions alone. Consequently, person-centred care contributes to greater patient satisfaction, improved adherence to treatment, enhanced quality of life and better long-term health outcomes (NICE, 2023).</w:t>
      </w:r>
    </w:p>
    <w:p w14:paraId="1C4E911E"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pict w14:anchorId="12D70E6B">
          <v:rect id="_x0000_i1313" style="width:0;height:1.5pt" o:hralign="center" o:hrstd="t" o:hr="t" fillcolor="#a0a0a0" stroked="f"/>
        </w:pict>
      </w:r>
    </w:p>
    <w:p w14:paraId="0D21FE06" w14:textId="77777777" w:rsidR="004F5EC3" w:rsidRPr="00BB69F2" w:rsidRDefault="004F5EC3" w:rsidP="00BB69F2">
      <w:pPr>
        <w:spacing w:line="360" w:lineRule="auto"/>
        <w:jc w:val="both"/>
        <w:rPr>
          <w:rFonts w:ascii="Arial" w:hAnsi="Arial" w:cs="Arial"/>
          <w:b/>
          <w:bCs/>
          <w:szCs w:val="24"/>
        </w:rPr>
      </w:pPr>
      <w:r w:rsidRPr="00BB69F2">
        <w:rPr>
          <w:rFonts w:ascii="Arial" w:hAnsi="Arial" w:cs="Arial"/>
          <w:b/>
          <w:bCs/>
          <w:szCs w:val="24"/>
        </w:rPr>
        <w:t>Partnership Working</w:t>
      </w:r>
    </w:p>
    <w:p w14:paraId="6C1AE2A6"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 xml:space="preserve">Partnership working refers to collaboration between individuals, families, carers and professionals from different organisations to achieve shared goals that improve health </w:t>
      </w:r>
      <w:r w:rsidRPr="00BB69F2">
        <w:rPr>
          <w:rFonts w:ascii="Arial" w:hAnsi="Arial" w:cs="Arial"/>
          <w:szCs w:val="24"/>
        </w:rPr>
        <w:lastRenderedPageBreak/>
        <w:t>and wellbeing (Glasby and Dickinson, 2014). Within the UK, partnership working is fundamental to integrated care because many individuals require support from multiple professionals simultaneously, including doctors, nurses, occupational therapists, physiotherapists, social workers and voluntary organisations.</w:t>
      </w:r>
    </w:p>
    <w:p w14:paraId="5E75FC87"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Effective partnership working enables professionals to combine their knowledge, skills and expertise to deliver coordinated care while avoiding duplication of services. It also promotes continuity of care through effective communication, information sharing and joint decision-making. The NHS Long Term Plan identifies integrated partnership working as essential for improving patient outcomes, reducing inequalities and delivering sustainable healthcare services (NHS England, 2019).</w:t>
      </w:r>
    </w:p>
    <w:p w14:paraId="6F65BB8E"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Despite these benefits, partnership working presents several challenges. Differences in professional cultures, organisational priorities, communication methods and information-sharing procedures may delay decision-making or create fragmented care. Furthermore, concerns regarding confidentiality and data protection can sometimes discourage professionals from sharing important information. To overcome these barriers, professionals must understand their legal responsibilities under the UK General Data Protection Regulation (UK GDPR) and work collaboratively while maintaining patient confidentiality (Information Commissioner's Office, 2023).</w:t>
      </w:r>
    </w:p>
    <w:p w14:paraId="2CD921BC"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pict w14:anchorId="5F50E3F4">
          <v:rect id="_x0000_i1314" style="width:0;height:1.5pt" o:hralign="center" o:hrstd="t" o:hr="t" fillcolor="#a0a0a0" stroked="f"/>
        </w:pict>
      </w:r>
    </w:p>
    <w:p w14:paraId="20EFF98C" w14:textId="77777777" w:rsidR="004F5EC3" w:rsidRPr="00BB69F2" w:rsidRDefault="004F5EC3" w:rsidP="00BB69F2">
      <w:pPr>
        <w:spacing w:line="360" w:lineRule="auto"/>
        <w:jc w:val="both"/>
        <w:rPr>
          <w:rFonts w:ascii="Arial" w:hAnsi="Arial" w:cs="Arial"/>
          <w:b/>
          <w:bCs/>
          <w:szCs w:val="24"/>
        </w:rPr>
      </w:pPr>
      <w:r w:rsidRPr="00BB69F2">
        <w:rPr>
          <w:rFonts w:ascii="Arial" w:hAnsi="Arial" w:cs="Arial"/>
          <w:b/>
          <w:bCs/>
          <w:szCs w:val="24"/>
        </w:rPr>
        <w:t>Figure 3. Partnership Working in Health and Social Care</w:t>
      </w:r>
    </w:p>
    <w:p w14:paraId="3FAE47E7" w14:textId="17831D3A" w:rsidR="00E400D9" w:rsidRPr="00BB69F2" w:rsidRDefault="00E400D9" w:rsidP="00BB69F2">
      <w:pPr>
        <w:spacing w:line="360" w:lineRule="auto"/>
        <w:jc w:val="both"/>
        <w:rPr>
          <w:rFonts w:ascii="Arial" w:hAnsi="Arial" w:cs="Arial"/>
          <w:b/>
          <w:bCs/>
          <w:szCs w:val="24"/>
        </w:rPr>
      </w:pPr>
      <w:r w:rsidRPr="00BB69F2">
        <w:rPr>
          <w:rFonts w:ascii="Arial" w:hAnsi="Arial" w:cs="Arial"/>
          <w:b/>
          <w:bCs/>
          <w:szCs w:val="24"/>
        </w:rPr>
        <w:lastRenderedPageBreak/>
        <w:drawing>
          <wp:inline distT="0" distB="0" distL="0" distR="0" wp14:anchorId="6E57F711" wp14:editId="24923189">
            <wp:extent cx="5731510" cy="3765550"/>
            <wp:effectExtent l="0" t="0" r="2540" b="6350"/>
            <wp:docPr id="19728359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765550"/>
                    </a:xfrm>
                    <a:prstGeom prst="rect">
                      <a:avLst/>
                    </a:prstGeom>
                    <a:noFill/>
                    <a:ln>
                      <a:noFill/>
                    </a:ln>
                  </pic:spPr>
                </pic:pic>
              </a:graphicData>
            </a:graphic>
          </wp:inline>
        </w:drawing>
      </w:r>
    </w:p>
    <w:p w14:paraId="4AE92D3A" w14:textId="77777777" w:rsidR="00E400D9" w:rsidRPr="00BB69F2" w:rsidRDefault="00E400D9" w:rsidP="00BB69F2">
      <w:pPr>
        <w:spacing w:line="360" w:lineRule="auto"/>
        <w:jc w:val="both"/>
        <w:rPr>
          <w:rFonts w:ascii="Arial" w:hAnsi="Arial" w:cs="Arial"/>
          <w:b/>
          <w:bCs/>
          <w:szCs w:val="24"/>
        </w:rPr>
      </w:pPr>
    </w:p>
    <w:p w14:paraId="36A44E15" w14:textId="77777777" w:rsidR="004F5EC3" w:rsidRPr="00BB69F2" w:rsidRDefault="004F5EC3" w:rsidP="00BB69F2">
      <w:pPr>
        <w:spacing w:line="360" w:lineRule="auto"/>
        <w:jc w:val="both"/>
        <w:rPr>
          <w:rFonts w:ascii="Arial" w:hAnsi="Arial" w:cs="Arial"/>
          <w:szCs w:val="24"/>
        </w:rPr>
      </w:pPr>
      <w:r w:rsidRPr="00BB69F2">
        <w:rPr>
          <w:rFonts w:ascii="Arial" w:hAnsi="Arial" w:cs="Arial"/>
          <w:b/>
          <w:bCs/>
          <w:szCs w:val="24"/>
        </w:rPr>
        <w:t>Figure 3.</w:t>
      </w:r>
      <w:r w:rsidRPr="00BB69F2">
        <w:rPr>
          <w:rFonts w:ascii="Arial" w:hAnsi="Arial" w:cs="Arial"/>
          <w:szCs w:val="24"/>
        </w:rPr>
        <w:t xml:space="preserve"> Illustration of multidisciplinary partnership working within UK health and social care.</w:t>
      </w:r>
    </w:p>
    <w:p w14:paraId="58544761"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pict w14:anchorId="3D45F39D">
          <v:rect id="_x0000_i1315" style="width:0;height:1.5pt" o:hralign="center" o:hrstd="t" o:hr="t" fillcolor="#a0a0a0" stroked="f"/>
        </w:pict>
      </w:r>
    </w:p>
    <w:p w14:paraId="34434694" w14:textId="77777777" w:rsidR="004F5EC3" w:rsidRPr="00BB69F2" w:rsidRDefault="004F5EC3" w:rsidP="00BB69F2">
      <w:pPr>
        <w:spacing w:line="360" w:lineRule="auto"/>
        <w:jc w:val="both"/>
        <w:rPr>
          <w:rFonts w:ascii="Arial" w:hAnsi="Arial" w:cs="Arial"/>
          <w:b/>
          <w:bCs/>
          <w:szCs w:val="24"/>
        </w:rPr>
      </w:pPr>
      <w:r w:rsidRPr="00BB69F2">
        <w:rPr>
          <w:rFonts w:ascii="Arial" w:hAnsi="Arial" w:cs="Arial"/>
          <w:b/>
          <w:bCs/>
          <w:szCs w:val="24"/>
        </w:rPr>
        <w:t>Ethics in Health and Social Care</w:t>
      </w:r>
    </w:p>
    <w:p w14:paraId="13F77CA7"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Ethics refers to the moral principles that guide professional behaviour and decision-making within health and social care practice. Ethical practice ensures that professionals act in the best interests of individuals while respecting their dignity, rights and autonomy. Beauchamp and Childress (2019) identify four fundamental ethical principles: autonomy, beneficence, non-maleficence and justice.</w:t>
      </w:r>
    </w:p>
    <w:p w14:paraId="1875C0D4" w14:textId="77777777" w:rsidR="004F5EC3" w:rsidRPr="00BB69F2" w:rsidRDefault="004F5EC3" w:rsidP="00BB69F2">
      <w:pPr>
        <w:spacing w:line="360" w:lineRule="auto"/>
        <w:jc w:val="both"/>
        <w:rPr>
          <w:rFonts w:ascii="Arial" w:hAnsi="Arial" w:cs="Arial"/>
          <w:szCs w:val="24"/>
        </w:rPr>
      </w:pPr>
      <w:r w:rsidRPr="00BB69F2">
        <w:rPr>
          <w:rFonts w:ascii="Arial" w:hAnsi="Arial" w:cs="Arial"/>
          <w:b/>
          <w:bCs/>
          <w:szCs w:val="24"/>
        </w:rPr>
        <w:t>Autonomy</w:t>
      </w:r>
      <w:r w:rsidRPr="00BB69F2">
        <w:rPr>
          <w:rFonts w:ascii="Arial" w:hAnsi="Arial" w:cs="Arial"/>
          <w:szCs w:val="24"/>
        </w:rPr>
        <w:t xml:space="preserve"> requires professionals to respect individuals' rights to make informed decisions regarding their own care. </w:t>
      </w:r>
      <w:r w:rsidRPr="00BB69F2">
        <w:rPr>
          <w:rFonts w:ascii="Arial" w:hAnsi="Arial" w:cs="Arial"/>
          <w:b/>
          <w:bCs/>
          <w:szCs w:val="24"/>
        </w:rPr>
        <w:t>Beneficence</w:t>
      </w:r>
      <w:r w:rsidRPr="00BB69F2">
        <w:rPr>
          <w:rFonts w:ascii="Arial" w:hAnsi="Arial" w:cs="Arial"/>
          <w:szCs w:val="24"/>
        </w:rPr>
        <w:t xml:space="preserve"> requires practitioners to act in ways that promote wellbeing, while </w:t>
      </w:r>
      <w:r w:rsidRPr="00BB69F2">
        <w:rPr>
          <w:rFonts w:ascii="Arial" w:hAnsi="Arial" w:cs="Arial"/>
          <w:b/>
          <w:bCs/>
          <w:szCs w:val="24"/>
        </w:rPr>
        <w:t>non-maleficence</w:t>
      </w:r>
      <w:r w:rsidRPr="00BB69F2">
        <w:rPr>
          <w:rFonts w:ascii="Arial" w:hAnsi="Arial" w:cs="Arial"/>
          <w:szCs w:val="24"/>
        </w:rPr>
        <w:t xml:space="preserve"> emphasises avoiding harm. Finally, </w:t>
      </w:r>
      <w:r w:rsidRPr="00BB69F2">
        <w:rPr>
          <w:rFonts w:ascii="Arial" w:hAnsi="Arial" w:cs="Arial"/>
          <w:b/>
          <w:bCs/>
          <w:szCs w:val="24"/>
        </w:rPr>
        <w:t>justice</w:t>
      </w:r>
      <w:r w:rsidRPr="00BB69F2">
        <w:rPr>
          <w:rFonts w:ascii="Arial" w:hAnsi="Arial" w:cs="Arial"/>
          <w:szCs w:val="24"/>
        </w:rPr>
        <w:t xml:space="preserve"> requires fairness and equality in access to healthcare services regardless of age, ethnicity, disability, gender or socioeconomic background (Beauchamp and Childress, 2019).</w:t>
      </w:r>
    </w:p>
    <w:p w14:paraId="7873344B"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lastRenderedPageBreak/>
        <w:t>Ethical principles underpin professional standards published by the Health and Care Professions Council (HCPC, 2024) and the Nursing and Midwifery Council (NMC, 2018). These standards require professionals to maintain confidentiality, communicate respectfully, obtain informed consent and deliver compassionate, evidence-based care. Ethical practice also supports person-centred care by ensuring individuals are treated with dignity, involved in decisions and empowered to exercise choice throughout their healthcare journey.</w:t>
      </w:r>
    </w:p>
    <w:p w14:paraId="76AA12AF"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Collectively, person-centred care, partnership working and ethics provide the foundation for safe, compassionate and effective health and social care practice. Their integration enables professionals to deliver holistic, coordinated and equitable services while supporting individuals to achieve the best possible health and wellbeing outcomes.</w:t>
      </w:r>
    </w:p>
    <w:p w14:paraId="1E243764" w14:textId="77777777" w:rsidR="006D2F2D" w:rsidRPr="00BB69F2" w:rsidRDefault="006D2F2D" w:rsidP="00BB69F2">
      <w:pPr>
        <w:spacing w:line="360" w:lineRule="auto"/>
        <w:jc w:val="both"/>
        <w:rPr>
          <w:rFonts w:ascii="Arial" w:hAnsi="Arial" w:cs="Arial"/>
          <w:szCs w:val="24"/>
        </w:rPr>
      </w:pPr>
    </w:p>
    <w:p w14:paraId="65AF239D" w14:textId="77777777" w:rsidR="004F5EC3" w:rsidRPr="00BB69F2" w:rsidRDefault="004F5EC3" w:rsidP="00BB69F2">
      <w:pPr>
        <w:spacing w:line="360" w:lineRule="auto"/>
        <w:jc w:val="both"/>
        <w:rPr>
          <w:rFonts w:ascii="Arial" w:hAnsi="Arial" w:cs="Arial"/>
          <w:szCs w:val="24"/>
        </w:rPr>
      </w:pPr>
    </w:p>
    <w:p w14:paraId="1F2F7057" w14:textId="77777777" w:rsidR="004F5EC3" w:rsidRPr="00BB69F2" w:rsidRDefault="004F5EC3" w:rsidP="00BB69F2">
      <w:pPr>
        <w:spacing w:line="360" w:lineRule="auto"/>
        <w:jc w:val="both"/>
        <w:rPr>
          <w:rFonts w:ascii="Arial" w:hAnsi="Arial" w:cs="Arial"/>
          <w:szCs w:val="24"/>
        </w:rPr>
      </w:pPr>
    </w:p>
    <w:p w14:paraId="5ADBE878" w14:textId="77777777" w:rsidR="004F5EC3" w:rsidRPr="00BB69F2" w:rsidRDefault="004F5EC3" w:rsidP="00BB69F2">
      <w:pPr>
        <w:spacing w:line="360" w:lineRule="auto"/>
        <w:jc w:val="both"/>
        <w:rPr>
          <w:rFonts w:ascii="Arial" w:hAnsi="Arial" w:cs="Arial"/>
          <w:szCs w:val="24"/>
        </w:rPr>
      </w:pPr>
    </w:p>
    <w:p w14:paraId="51560334" w14:textId="77777777" w:rsidR="004F5EC3" w:rsidRPr="00BB69F2" w:rsidRDefault="004F5EC3" w:rsidP="00BB69F2">
      <w:pPr>
        <w:spacing w:line="360" w:lineRule="auto"/>
        <w:jc w:val="both"/>
        <w:rPr>
          <w:rFonts w:ascii="Arial" w:hAnsi="Arial" w:cs="Arial"/>
          <w:szCs w:val="24"/>
        </w:rPr>
      </w:pPr>
    </w:p>
    <w:p w14:paraId="1C947D0A" w14:textId="77777777" w:rsidR="004F5EC3" w:rsidRPr="00BB69F2" w:rsidRDefault="004F5EC3" w:rsidP="00BB69F2">
      <w:pPr>
        <w:spacing w:line="360" w:lineRule="auto"/>
        <w:jc w:val="both"/>
        <w:rPr>
          <w:rFonts w:ascii="Arial" w:hAnsi="Arial" w:cs="Arial"/>
          <w:szCs w:val="24"/>
        </w:rPr>
      </w:pPr>
    </w:p>
    <w:p w14:paraId="5EE42D41" w14:textId="77777777" w:rsidR="004F5EC3" w:rsidRPr="00BB69F2" w:rsidRDefault="004F5EC3" w:rsidP="00BB69F2">
      <w:pPr>
        <w:spacing w:line="360" w:lineRule="auto"/>
        <w:jc w:val="both"/>
        <w:rPr>
          <w:rFonts w:ascii="Arial" w:hAnsi="Arial" w:cs="Arial"/>
          <w:szCs w:val="24"/>
        </w:rPr>
      </w:pPr>
    </w:p>
    <w:p w14:paraId="5AF16C33" w14:textId="77777777" w:rsidR="004F5EC3" w:rsidRPr="00BB69F2" w:rsidRDefault="004F5EC3" w:rsidP="00BB69F2">
      <w:pPr>
        <w:spacing w:line="360" w:lineRule="auto"/>
        <w:jc w:val="both"/>
        <w:rPr>
          <w:rFonts w:ascii="Arial" w:hAnsi="Arial" w:cs="Arial"/>
          <w:szCs w:val="24"/>
        </w:rPr>
      </w:pPr>
    </w:p>
    <w:p w14:paraId="391F450E" w14:textId="77777777" w:rsidR="004F5EC3" w:rsidRPr="00BB69F2" w:rsidRDefault="004F5EC3" w:rsidP="00BB69F2">
      <w:pPr>
        <w:spacing w:line="360" w:lineRule="auto"/>
        <w:jc w:val="both"/>
        <w:rPr>
          <w:rFonts w:ascii="Arial" w:hAnsi="Arial" w:cs="Arial"/>
          <w:szCs w:val="24"/>
        </w:rPr>
      </w:pPr>
    </w:p>
    <w:p w14:paraId="12F9E1E9" w14:textId="77777777" w:rsidR="004F5EC3" w:rsidRPr="00BB69F2" w:rsidRDefault="004F5EC3" w:rsidP="00BB69F2">
      <w:pPr>
        <w:spacing w:line="360" w:lineRule="auto"/>
        <w:jc w:val="both"/>
        <w:rPr>
          <w:rFonts w:ascii="Arial" w:hAnsi="Arial" w:cs="Arial"/>
          <w:szCs w:val="24"/>
        </w:rPr>
      </w:pPr>
    </w:p>
    <w:p w14:paraId="4CF28801" w14:textId="77777777" w:rsidR="004F5EC3" w:rsidRPr="00BB69F2" w:rsidRDefault="004F5EC3" w:rsidP="00BB69F2">
      <w:pPr>
        <w:spacing w:line="360" w:lineRule="auto"/>
        <w:jc w:val="both"/>
        <w:rPr>
          <w:rFonts w:ascii="Arial" w:hAnsi="Arial" w:cs="Arial"/>
          <w:szCs w:val="24"/>
        </w:rPr>
      </w:pPr>
    </w:p>
    <w:p w14:paraId="4BF337F6" w14:textId="77777777" w:rsidR="004F5EC3" w:rsidRPr="00BB69F2" w:rsidRDefault="004F5EC3" w:rsidP="00BB69F2">
      <w:pPr>
        <w:spacing w:line="360" w:lineRule="auto"/>
        <w:jc w:val="both"/>
        <w:rPr>
          <w:rFonts w:ascii="Arial" w:hAnsi="Arial" w:cs="Arial"/>
          <w:szCs w:val="24"/>
        </w:rPr>
      </w:pPr>
    </w:p>
    <w:p w14:paraId="1874E634" w14:textId="77777777" w:rsidR="004F5EC3" w:rsidRPr="00BB69F2" w:rsidRDefault="004F5EC3" w:rsidP="00BB69F2">
      <w:pPr>
        <w:spacing w:line="360" w:lineRule="auto"/>
        <w:jc w:val="both"/>
        <w:rPr>
          <w:rFonts w:ascii="Arial" w:hAnsi="Arial" w:cs="Arial"/>
          <w:szCs w:val="24"/>
        </w:rPr>
      </w:pPr>
    </w:p>
    <w:p w14:paraId="1A27692F" w14:textId="77777777" w:rsidR="004F5EC3" w:rsidRPr="00BB69F2" w:rsidRDefault="004F5EC3" w:rsidP="00BB69F2">
      <w:pPr>
        <w:spacing w:line="360" w:lineRule="auto"/>
        <w:jc w:val="both"/>
        <w:rPr>
          <w:rFonts w:ascii="Arial" w:hAnsi="Arial" w:cs="Arial"/>
          <w:szCs w:val="24"/>
        </w:rPr>
      </w:pPr>
    </w:p>
    <w:p w14:paraId="6FB83597" w14:textId="77777777" w:rsidR="004F5EC3" w:rsidRPr="00BB69F2" w:rsidRDefault="004F5EC3" w:rsidP="00BB69F2">
      <w:pPr>
        <w:spacing w:line="360" w:lineRule="auto"/>
        <w:jc w:val="both"/>
        <w:rPr>
          <w:rFonts w:ascii="Arial" w:hAnsi="Arial" w:cs="Arial"/>
          <w:b/>
          <w:bCs/>
          <w:szCs w:val="24"/>
        </w:rPr>
      </w:pPr>
      <w:r w:rsidRPr="00BB69F2">
        <w:rPr>
          <w:rFonts w:ascii="Arial" w:hAnsi="Arial" w:cs="Arial"/>
          <w:b/>
          <w:bCs/>
          <w:szCs w:val="24"/>
        </w:rPr>
        <w:t>Task 2: Practical Application Through an Anonymised Case Study</w:t>
      </w:r>
    </w:p>
    <w:p w14:paraId="08ECCECE"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lastRenderedPageBreak/>
        <w:t>To demonstrate how person-centred care, partnership working and ethical practice improve health outcomes, this section presents an anonymised case study based on common situations encountered within UK community health and social care services. Although fictionalised for confidentiality purposes, the scenario reflects evidence from published research and current health and social care practice.</w:t>
      </w:r>
    </w:p>
    <w:p w14:paraId="7FC66C81" w14:textId="77777777" w:rsidR="004F5EC3" w:rsidRPr="00BB69F2" w:rsidRDefault="004F5EC3" w:rsidP="00BB69F2">
      <w:pPr>
        <w:spacing w:line="360" w:lineRule="auto"/>
        <w:jc w:val="both"/>
        <w:rPr>
          <w:rFonts w:ascii="Arial" w:hAnsi="Arial" w:cs="Arial"/>
          <w:b/>
          <w:bCs/>
          <w:szCs w:val="24"/>
        </w:rPr>
      </w:pPr>
      <w:r w:rsidRPr="00BB69F2">
        <w:rPr>
          <w:rFonts w:ascii="Arial" w:hAnsi="Arial" w:cs="Arial"/>
          <w:b/>
          <w:bCs/>
          <w:szCs w:val="24"/>
        </w:rPr>
        <w:t>Case Study</w:t>
      </w:r>
    </w:p>
    <w:p w14:paraId="7A3D8F7D"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Mrs A is an 82-year-old widow living alone following the death of her husband. She has been diagnosed with type 2 diabetes, osteoarthritis and early-stage dementia. Over the previous six months, she had experienced several falls, missed hospital appointments and difficulties remembering to take her medication. Her daughter, who lives approximately 40 miles away, visited only at weekends due to work commitments. Following concerns raised by her GP and community nurse, Mrs A was referred for a Care Act assessment by the local authority.</w:t>
      </w:r>
    </w:p>
    <w:p w14:paraId="26B6ADB7"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Rather than focusing solely on Mrs A's medical conditions, professionals adopted a person-centred approach by involving her in every stage of care planning. During the assessment, practitioners explored her personal preferences, daily routine, cultural values and long-term goals. Mrs A expressed that her greatest priority was to remain living independently in her own home rather than moving into residential care. Respecting her wishes demonstrated the principles of dignity, autonomy and shared decision-making promoted by NHS England (2024) and the Care Act 2014.</w:t>
      </w:r>
    </w:p>
    <w:p w14:paraId="49331055"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A multidisciplinary team was established consisting of the GP, community nurse, occupational therapist, physiotherapist, social worker, pharmacist and Mrs A's daughter. Each professional contributed specialist knowledge to develop an integrated care plan. The occupational therapist assessed environmental hazards within the home and recommended grab rails, improved lighting and mobility equipment to reduce the likelihood of further falls. The physiotherapist introduced a strength and balance programme to improve mobility and confidence. The pharmacist reviewed Mrs A's medication, simplifying the regimen and introducing a monitored dosage system to improve adherence. Meanwhile, the social worker coordinated domiciliary care and arranged attendance at a local dementia support group to reduce loneliness and promote community engagement.</w:t>
      </w:r>
    </w:p>
    <w:p w14:paraId="47067853"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lastRenderedPageBreak/>
        <w:t xml:space="preserve">This collaborative approach demonstrates effective partnership working because each professional contributed towards shared goals while maintaining regular communication and reviewing Mrs A's progress collectively. Glasby and Dickinson (2014) argue that multidisciplinary collaboration improves continuity of care, reduces service duplication and enables professionals to respond more effectively to complex health needs. Similarly, the Health and Care Act 2022 encourages Integrated Care Systems to promote </w:t>
      </w:r>
      <w:proofErr w:type="gramStart"/>
      <w:r w:rsidRPr="00BB69F2">
        <w:rPr>
          <w:rFonts w:ascii="Arial" w:hAnsi="Arial" w:cs="Arial"/>
          <w:szCs w:val="24"/>
        </w:rPr>
        <w:t>joined-up</w:t>
      </w:r>
      <w:proofErr w:type="gramEnd"/>
      <w:r w:rsidRPr="00BB69F2">
        <w:rPr>
          <w:rFonts w:ascii="Arial" w:hAnsi="Arial" w:cs="Arial"/>
          <w:szCs w:val="24"/>
        </w:rPr>
        <w:t xml:space="preserve"> working between health, local authority and voluntary sector organisations, ensuring individuals receive coordinated care rather than fragmented services.</w:t>
      </w:r>
    </w:p>
    <w:p w14:paraId="5E42F41F"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Maslow's Hierarchy of Needs also provides a useful framework for analysing this case. Initially, professionals prioritised Mrs A's physiological and safety needs by ensuring adequate nutrition, medication management and fall prevention. Once these needs were addressed, greater attention was given to her psychological wellbeing through social support, maintaining relationships with her daughter and encouraging participation within the local community. Supporting Mrs A to remain independent enhanced her self-esteem and enabled her to continue participating in meaningful daily activities, contributing towards self-actualisation (Maslow, 1943). Consequently, the intervention addressed not only physical health but also emotional, psychological and social wellbeing.</w:t>
      </w:r>
    </w:p>
    <w:p w14:paraId="499C3FA6"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Ethical principles were central throughout the intervention. Respect for autonomy was demonstrated by involving Mrs A in all decisions relating to her care, while beneficence guided professionals to act in ways that promoted her wellbeing. Non-maleficence informed the implementation of falls prevention strategies designed to minimise harm, and justice ensured that Mrs A received equitable access to services regardless of her age or cognitive impairment (Beauchamp and Childress, 2019). Confidentiality was maintained throughout multidisciplinary meetings in accordance with the UK General Data Protection Regulation (UK GDPR) and the Health and Care Professions Council (HCPC, 2024).</w:t>
      </w:r>
    </w:p>
    <w:p w14:paraId="0A429CD9"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 xml:space="preserve">The outcome of the intervention was positive. Within four months, Mrs </w:t>
      </w:r>
      <w:proofErr w:type="spellStart"/>
      <w:r w:rsidRPr="00BB69F2">
        <w:rPr>
          <w:rFonts w:ascii="Arial" w:hAnsi="Arial" w:cs="Arial"/>
          <w:szCs w:val="24"/>
        </w:rPr>
        <w:t>A</w:t>
      </w:r>
      <w:proofErr w:type="spellEnd"/>
      <w:r w:rsidRPr="00BB69F2">
        <w:rPr>
          <w:rFonts w:ascii="Arial" w:hAnsi="Arial" w:cs="Arial"/>
          <w:szCs w:val="24"/>
        </w:rPr>
        <w:t xml:space="preserve"> experienced no further falls, demonstrated improved medication adherence, attended healthcare appointments consistently and reported feeling more confident living independently. Her daughter also experienced reduced anxiety because she was regularly updated </w:t>
      </w:r>
      <w:r w:rsidRPr="00BB69F2">
        <w:rPr>
          <w:rFonts w:ascii="Arial" w:hAnsi="Arial" w:cs="Arial"/>
          <w:szCs w:val="24"/>
        </w:rPr>
        <w:lastRenderedPageBreak/>
        <w:t xml:space="preserve">by professionals and involved in ongoing care planning. This case demonstrates that integrating person-centred care, partnership working and ethical decision-making leads to improved health outcomes, greater patient satisfaction and enhanced quality of life. It further illustrates how contemporary UK legislation supports collaborative practice that places the individual at the centre of health and social care </w:t>
      </w:r>
    </w:p>
    <w:p w14:paraId="096DB96D" w14:textId="77777777" w:rsidR="004F5EC3" w:rsidRPr="00BB69F2" w:rsidRDefault="004F5EC3" w:rsidP="00BB69F2">
      <w:pPr>
        <w:spacing w:line="360" w:lineRule="auto"/>
        <w:jc w:val="both"/>
        <w:rPr>
          <w:rFonts w:ascii="Arial" w:hAnsi="Arial" w:cs="Arial"/>
          <w:szCs w:val="24"/>
        </w:rPr>
      </w:pPr>
    </w:p>
    <w:p w14:paraId="59AED085" w14:textId="77777777" w:rsidR="004F5EC3" w:rsidRPr="00BB69F2" w:rsidRDefault="004F5EC3" w:rsidP="00BB69F2">
      <w:pPr>
        <w:spacing w:line="360" w:lineRule="auto"/>
        <w:jc w:val="both"/>
        <w:rPr>
          <w:rFonts w:ascii="Arial" w:hAnsi="Arial" w:cs="Arial"/>
          <w:szCs w:val="24"/>
        </w:rPr>
      </w:pPr>
    </w:p>
    <w:p w14:paraId="7F2BF4CD" w14:textId="77777777" w:rsidR="004F5EC3" w:rsidRPr="00BB69F2" w:rsidRDefault="004F5EC3" w:rsidP="00BB69F2">
      <w:pPr>
        <w:spacing w:line="360" w:lineRule="auto"/>
        <w:jc w:val="both"/>
        <w:rPr>
          <w:rFonts w:ascii="Arial" w:hAnsi="Arial" w:cs="Arial"/>
          <w:szCs w:val="24"/>
        </w:rPr>
      </w:pPr>
    </w:p>
    <w:p w14:paraId="4F4732DF" w14:textId="77777777" w:rsidR="004F5EC3" w:rsidRPr="00BB69F2" w:rsidRDefault="004F5EC3" w:rsidP="00BB69F2">
      <w:pPr>
        <w:spacing w:line="360" w:lineRule="auto"/>
        <w:jc w:val="both"/>
        <w:rPr>
          <w:rFonts w:ascii="Arial" w:hAnsi="Arial" w:cs="Arial"/>
          <w:szCs w:val="24"/>
        </w:rPr>
      </w:pPr>
    </w:p>
    <w:p w14:paraId="47B43F02" w14:textId="77777777" w:rsidR="004F5EC3" w:rsidRPr="00BB69F2" w:rsidRDefault="004F5EC3" w:rsidP="00BB69F2">
      <w:pPr>
        <w:spacing w:line="360" w:lineRule="auto"/>
        <w:jc w:val="both"/>
        <w:rPr>
          <w:rFonts w:ascii="Arial" w:hAnsi="Arial" w:cs="Arial"/>
          <w:b/>
          <w:bCs/>
          <w:szCs w:val="24"/>
        </w:rPr>
      </w:pPr>
      <w:r w:rsidRPr="00BB69F2">
        <w:rPr>
          <w:rFonts w:ascii="Arial" w:hAnsi="Arial" w:cs="Arial"/>
          <w:b/>
          <w:bCs/>
          <w:szCs w:val="24"/>
        </w:rPr>
        <w:t>Task 3: Critical Reflection Using Gibbs' Reflective Cycle</w:t>
      </w:r>
    </w:p>
    <w:p w14:paraId="68E20FB5"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Reflective practice is an essential component of professional development in health and social care because it enables practitioners to evaluate their experiences, identify strengths and weaknesses, and continually improve the quality of care they provide. Gibbs' Reflective Cycle (1988) is one of the most widely used reflective models within health and social care because it encourages professionals to reflect systematically on experiences by considering six stages: description, feelings, evaluation, analysis, conclusion and action plan. Applying this model to the case study discussed in Task 2 provides an opportunity to examine how person-centred care, partnership working and ethical practice influence professional growth and future practice.</w:t>
      </w:r>
    </w:p>
    <w:p w14:paraId="438186BE"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pict w14:anchorId="73CCFF7B">
          <v:rect id="_x0000_i1316" style="width:0;height:1.5pt" o:hralign="center" o:hrstd="t" o:hr="t" fillcolor="#a0a0a0" stroked="f"/>
        </w:pict>
      </w:r>
    </w:p>
    <w:p w14:paraId="5B1B07C1" w14:textId="77777777" w:rsidR="004F5EC3" w:rsidRPr="00BB69F2" w:rsidRDefault="004F5EC3" w:rsidP="00BB69F2">
      <w:pPr>
        <w:spacing w:line="360" w:lineRule="auto"/>
        <w:jc w:val="both"/>
        <w:rPr>
          <w:rFonts w:ascii="Arial" w:hAnsi="Arial" w:cs="Arial"/>
          <w:b/>
          <w:bCs/>
          <w:szCs w:val="24"/>
        </w:rPr>
      </w:pPr>
      <w:r w:rsidRPr="00BB69F2">
        <w:rPr>
          <w:rFonts w:ascii="Arial" w:hAnsi="Arial" w:cs="Arial"/>
          <w:b/>
          <w:bCs/>
          <w:szCs w:val="24"/>
        </w:rPr>
        <w:t>Description</w:t>
      </w:r>
    </w:p>
    <w:p w14:paraId="3705640F"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 xml:space="preserve">The case study involved supporting Mrs A, an older adult living with multiple long-term conditions including dementia, diabetes and osteoarthritis. She wished to remain living independently despite experiencing frequent falls and difficulties managing her medication. A multidisciplinary team collaborated to assess her needs, develop an individualised care plan and provide coordinated support. Throughout the intervention, Mrs A remained actively involved in decision-making, ensuring that her personal wishes, preferences and goals guided the care provided. This demonstrated the principles of person-centred care while also highlighting the importance of partnership </w:t>
      </w:r>
      <w:r w:rsidRPr="00BB69F2">
        <w:rPr>
          <w:rFonts w:ascii="Arial" w:hAnsi="Arial" w:cs="Arial"/>
          <w:szCs w:val="24"/>
        </w:rPr>
        <w:lastRenderedPageBreak/>
        <w:t>working between healthcare professionals, social care practitioners and family members.</w:t>
      </w:r>
    </w:p>
    <w:p w14:paraId="64DC7155"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pict w14:anchorId="1A71F51E">
          <v:rect id="_x0000_i1317" style="width:0;height:1.5pt" o:hralign="center" o:hrstd="t" o:hr="t" fillcolor="#a0a0a0" stroked="f"/>
        </w:pict>
      </w:r>
    </w:p>
    <w:p w14:paraId="77F4BA91" w14:textId="77777777" w:rsidR="004F5EC3" w:rsidRPr="00BB69F2" w:rsidRDefault="004F5EC3" w:rsidP="00BB69F2">
      <w:pPr>
        <w:spacing w:line="360" w:lineRule="auto"/>
        <w:jc w:val="both"/>
        <w:rPr>
          <w:rFonts w:ascii="Arial" w:hAnsi="Arial" w:cs="Arial"/>
          <w:b/>
          <w:bCs/>
          <w:szCs w:val="24"/>
        </w:rPr>
      </w:pPr>
      <w:r w:rsidRPr="00BB69F2">
        <w:rPr>
          <w:rFonts w:ascii="Arial" w:hAnsi="Arial" w:cs="Arial"/>
          <w:b/>
          <w:bCs/>
          <w:szCs w:val="24"/>
        </w:rPr>
        <w:t>Feelings</w:t>
      </w:r>
    </w:p>
    <w:p w14:paraId="02A65413"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Reflecting on this scenario, I recognise that supporting individuals with complex health and social care needs requires more than clinical knowledge alone. Initially, I believed that addressing Mrs A's physical health problems would be the primary priority. However, analysing the case has increased my awareness that emotional wellbeing, independence, social inclusion and dignity are equally important determinants of health. If I were the practitioner involved, I would feel a strong sense of professional responsibility to ensure that Mrs A felt listened to, respected and involved throughout the decision-making process. At the same time, I would appreciate the challenges associated with balancing professional judgement, organisational procedures and the individual's personal preferences.</w:t>
      </w:r>
    </w:p>
    <w:p w14:paraId="41F41912"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pict w14:anchorId="20D534E0">
          <v:rect id="_x0000_i1318" style="width:0;height:1.5pt" o:hralign="center" o:hrstd="t" o:hr="t" fillcolor="#a0a0a0" stroked="f"/>
        </w:pict>
      </w:r>
    </w:p>
    <w:p w14:paraId="4C729BE9" w14:textId="77777777" w:rsidR="004F5EC3" w:rsidRPr="00BB69F2" w:rsidRDefault="004F5EC3" w:rsidP="00BB69F2">
      <w:pPr>
        <w:spacing w:line="360" w:lineRule="auto"/>
        <w:jc w:val="both"/>
        <w:rPr>
          <w:rFonts w:ascii="Arial" w:hAnsi="Arial" w:cs="Arial"/>
          <w:b/>
          <w:bCs/>
          <w:szCs w:val="24"/>
        </w:rPr>
      </w:pPr>
      <w:r w:rsidRPr="00BB69F2">
        <w:rPr>
          <w:rFonts w:ascii="Arial" w:hAnsi="Arial" w:cs="Arial"/>
          <w:b/>
          <w:bCs/>
          <w:szCs w:val="24"/>
        </w:rPr>
        <w:t>Evaluation</w:t>
      </w:r>
    </w:p>
    <w:p w14:paraId="63D4185A"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Several aspects of the intervention were highly effective. Person-centred care ensured that Mrs A remained central to all decisions regarding her treatment and support, increasing her confidence and promoting independence. Partnership working enabled professionals from different disciplines to contribute their expertise, resulting in a coordinated care plan that addressed physical, psychological and social needs simultaneously. Ethical principles, particularly autonomy, beneficence, non-maleficence and justice, were consistently demonstrated throughout the intervention by respecting Mrs A's choices, promoting her wellbeing and ensuring equitable access to services (Beauchamp and Childress, 2019).</w:t>
      </w:r>
    </w:p>
    <w:p w14:paraId="5AB72550"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 xml:space="preserve">Nevertheless, this reflection also highlights potential challenges. Coordinating several professionals requires effective communication and clear leadership. Differences in organisational priorities, limited resources and increasing service demands may delay interventions or reduce opportunities for collaborative working. Furthermore, professionals must continually balance respect for patient autonomy with safeguarding responsibilities, particularly when supporting individuals experiencing cognitive </w:t>
      </w:r>
      <w:r w:rsidRPr="00BB69F2">
        <w:rPr>
          <w:rFonts w:ascii="Arial" w:hAnsi="Arial" w:cs="Arial"/>
          <w:szCs w:val="24"/>
        </w:rPr>
        <w:lastRenderedPageBreak/>
        <w:t>impairment such as dementia. These challenges reinforce the importance of effective communication, professional judgement and evidence-based decision-making.</w:t>
      </w:r>
    </w:p>
    <w:p w14:paraId="3F1F4820"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pict w14:anchorId="2E5A38F6">
          <v:rect id="_x0000_i1319" style="width:0;height:1.5pt" o:hralign="center" o:hrstd="t" o:hr="t" fillcolor="#a0a0a0" stroked="f"/>
        </w:pict>
      </w:r>
    </w:p>
    <w:p w14:paraId="2E1EDA34" w14:textId="77777777" w:rsidR="004F5EC3" w:rsidRPr="00BB69F2" w:rsidRDefault="004F5EC3" w:rsidP="00BB69F2">
      <w:pPr>
        <w:spacing w:line="360" w:lineRule="auto"/>
        <w:jc w:val="both"/>
        <w:rPr>
          <w:rFonts w:ascii="Arial" w:hAnsi="Arial" w:cs="Arial"/>
          <w:b/>
          <w:bCs/>
          <w:szCs w:val="24"/>
        </w:rPr>
      </w:pPr>
      <w:r w:rsidRPr="00BB69F2">
        <w:rPr>
          <w:rFonts w:ascii="Arial" w:hAnsi="Arial" w:cs="Arial"/>
          <w:b/>
          <w:bCs/>
          <w:szCs w:val="24"/>
        </w:rPr>
        <w:t>Analysis</w:t>
      </w:r>
    </w:p>
    <w:p w14:paraId="70A5C9EA"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This experience demonstrates how theoretical concepts directly influence professional practice. Maslow's Hierarchy of Needs (1943) provides a valuable framework for understanding why addressing physiological needs alone is insufficient to achieve positive health outcomes. Mrs A's emotional wellbeing, sense of belonging and desire to remain independent were equally significant contributors to her overall quality of life. Consequently, adopting a holistic approach allowed professionals to consider the wider social determinants of health rather than focusing exclusively on medical treatment.</w:t>
      </w:r>
    </w:p>
    <w:p w14:paraId="23400BB9"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The intervention also reflects current UK legislation and professional standards. The Care Act 2014 requires professionals to promote wellbeing, prevent escalating care needs and involve individuals in decisions affecting their care. Similarly, the Health and Care Act 2022 promotes integrated care systems that encourage collaboration between healthcare providers, local authorities and voluntary organisations to deliver coordinated person-centred services. As a future health and social care professional, understanding these legislative frameworks will enable me to provide care that is lawful, ethical and evidence-based while maintaining professional accountability.</w:t>
      </w:r>
    </w:p>
    <w:p w14:paraId="6B0E7978"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Professional codes of conduct published by the Health and Care Professions Council (HCPC, 2024) emphasise the importance of effective communication, maintaining confidentiality, obtaining informed consent and working collaboratively with colleagues. Reflecting upon this case has reinforced my understanding that high-quality care depends not only upon technical competence but also upon empathy, cultural sensitivity, professional integrity and respectful communication.</w:t>
      </w:r>
    </w:p>
    <w:p w14:paraId="2556D274"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pict w14:anchorId="56480910">
          <v:rect id="_x0000_i1320" style="width:0;height:1.5pt" o:hralign="center" o:hrstd="t" o:hr="t" fillcolor="#a0a0a0" stroked="f"/>
        </w:pict>
      </w:r>
    </w:p>
    <w:p w14:paraId="0ED46850" w14:textId="77777777" w:rsidR="004F5EC3" w:rsidRPr="00BB69F2" w:rsidRDefault="004F5EC3" w:rsidP="00BB69F2">
      <w:pPr>
        <w:spacing w:line="360" w:lineRule="auto"/>
        <w:jc w:val="both"/>
        <w:rPr>
          <w:rFonts w:ascii="Arial" w:hAnsi="Arial" w:cs="Arial"/>
          <w:b/>
          <w:bCs/>
          <w:szCs w:val="24"/>
        </w:rPr>
      </w:pPr>
      <w:r w:rsidRPr="00BB69F2">
        <w:rPr>
          <w:rFonts w:ascii="Arial" w:hAnsi="Arial" w:cs="Arial"/>
          <w:b/>
          <w:bCs/>
          <w:szCs w:val="24"/>
        </w:rPr>
        <w:t>Conclusion</w:t>
      </w:r>
    </w:p>
    <w:p w14:paraId="05B27313"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 xml:space="preserve">Overall, this reflection has significantly enhanced my understanding of the practical application of person-centred care, partnership working and ethical decision-making. </w:t>
      </w:r>
      <w:r w:rsidRPr="00BB69F2">
        <w:rPr>
          <w:rFonts w:ascii="Arial" w:hAnsi="Arial" w:cs="Arial"/>
          <w:szCs w:val="24"/>
        </w:rPr>
        <w:lastRenderedPageBreak/>
        <w:t>I have recognised that successful healthcare extends beyond treating illness and requires professionals to understand individuals' physical, emotional, psychological and social needs. The experience has strengthened my appreciation of multidisciplinary collaboration and demonstrated how effective communication contributes to safer, more coordinated care.</w:t>
      </w:r>
    </w:p>
    <w:p w14:paraId="29F5413F"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 xml:space="preserve">Although I recognise the importance of these principles, I have also identified areas in which I need to continue developing my professional knowledge and skills. </w:t>
      </w:r>
      <w:proofErr w:type="gramStart"/>
      <w:r w:rsidRPr="00BB69F2">
        <w:rPr>
          <w:rFonts w:ascii="Arial" w:hAnsi="Arial" w:cs="Arial"/>
          <w:szCs w:val="24"/>
        </w:rPr>
        <w:t>In particular, I</w:t>
      </w:r>
      <w:proofErr w:type="gramEnd"/>
      <w:r w:rsidRPr="00BB69F2">
        <w:rPr>
          <w:rFonts w:ascii="Arial" w:hAnsi="Arial" w:cs="Arial"/>
          <w:szCs w:val="24"/>
        </w:rPr>
        <w:t xml:space="preserve"> would benefit from increasing my confidence in multidisciplinary communication, improving my understanding of safeguarding procedures and strengthening my knowledge of current legislation and digital healthcare systems used within integrated care settings.</w:t>
      </w:r>
    </w:p>
    <w:p w14:paraId="40D4E135" w14:textId="700B8652" w:rsidR="004F5EC3" w:rsidRPr="00BB69F2" w:rsidRDefault="004F5EC3" w:rsidP="00BB69F2">
      <w:pPr>
        <w:spacing w:line="360" w:lineRule="auto"/>
        <w:jc w:val="both"/>
        <w:rPr>
          <w:rFonts w:ascii="Arial" w:hAnsi="Arial" w:cs="Arial"/>
          <w:szCs w:val="24"/>
        </w:rPr>
      </w:pPr>
      <w:r w:rsidRPr="00BB69F2">
        <w:rPr>
          <w:rFonts w:ascii="Arial" w:hAnsi="Arial" w:cs="Arial"/>
          <w:szCs w:val="24"/>
        </w:rPr>
        <w:pict w14:anchorId="24908088">
          <v:rect id="_x0000_i1325" style="width:0;height:1.5pt" o:hralign="center" o:hrstd="t" o:hr="t" fillcolor="#a0a0a0" stroked="f"/>
        </w:pict>
      </w:r>
    </w:p>
    <w:p w14:paraId="41D0877E" w14:textId="77777777" w:rsidR="004F5EC3" w:rsidRPr="00BB69F2" w:rsidRDefault="004F5EC3" w:rsidP="00BB69F2">
      <w:pPr>
        <w:spacing w:line="360" w:lineRule="auto"/>
        <w:jc w:val="both"/>
        <w:rPr>
          <w:rFonts w:ascii="Arial" w:hAnsi="Arial" w:cs="Arial"/>
          <w:b/>
          <w:bCs/>
          <w:szCs w:val="24"/>
        </w:rPr>
      </w:pPr>
      <w:r w:rsidRPr="00BB69F2">
        <w:rPr>
          <w:rFonts w:ascii="Arial" w:hAnsi="Arial" w:cs="Arial"/>
          <w:b/>
          <w:bCs/>
          <w:szCs w:val="24"/>
        </w:rPr>
        <w:t>Action Plan</w:t>
      </w:r>
    </w:p>
    <w:p w14:paraId="77EAD36C"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To support my future professional development, I will undertake several specific actions. Firstly, I will continue developing my knowledge of person-centred care by reading current NICE guidance, NHS England publications and relevant peer-reviewed research. Secondly, I will actively seek opportunities during placements to observe multidisciplinary team meetings and participate appropriately in collaborative decision-making. Thirdly, I will improve my communication skills by undertaking additional training in compassionate communication, cultural competence and shared decision-making. Finally, I will maintain reflective practice throughout my career by using Gibbs' Reflective Cycle following significant professional experiences to identify learning needs and continuously improve my practice.</w:t>
      </w:r>
    </w:p>
    <w:p w14:paraId="06BDD099"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By implementing these actions, I will be better prepared to deliver compassionate, ethical and person-centred care that promotes dignity, independence and positive health outcomes while meeting the expectations of the HCPC Standards of Conduct, Performance and Ethics (HCPC, 2024).</w:t>
      </w:r>
    </w:p>
    <w:p w14:paraId="3AF82286"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pict w14:anchorId="569FB374">
          <v:rect id="_x0000_i1322" style="width:0;height:1.5pt" o:hralign="center" o:hrstd="t" o:hr="t" fillcolor="#a0a0a0" stroked="f"/>
        </w:pict>
      </w:r>
    </w:p>
    <w:p w14:paraId="5C513735" w14:textId="77777777" w:rsidR="004F5EC3" w:rsidRPr="00BB69F2" w:rsidRDefault="004F5EC3" w:rsidP="00BB69F2">
      <w:pPr>
        <w:spacing w:line="360" w:lineRule="auto"/>
        <w:jc w:val="both"/>
        <w:rPr>
          <w:rFonts w:ascii="Arial" w:hAnsi="Arial" w:cs="Arial"/>
          <w:b/>
          <w:bCs/>
          <w:szCs w:val="24"/>
        </w:rPr>
      </w:pPr>
      <w:r w:rsidRPr="00BB69F2">
        <w:rPr>
          <w:rFonts w:ascii="Arial" w:hAnsi="Arial" w:cs="Arial"/>
          <w:b/>
          <w:bCs/>
          <w:szCs w:val="24"/>
        </w:rPr>
        <w:t>Figure 9. Gibbs' Reflective Cycle</w:t>
      </w:r>
    </w:p>
    <w:p w14:paraId="76EE7DD2" w14:textId="238D2F96" w:rsidR="00E400D9" w:rsidRPr="00BB69F2" w:rsidRDefault="00E400D9" w:rsidP="00BB69F2">
      <w:pPr>
        <w:spacing w:line="360" w:lineRule="auto"/>
        <w:jc w:val="both"/>
        <w:rPr>
          <w:rFonts w:ascii="Arial" w:hAnsi="Arial" w:cs="Arial"/>
          <w:b/>
          <w:bCs/>
          <w:szCs w:val="24"/>
        </w:rPr>
      </w:pPr>
      <w:r w:rsidRPr="00BB69F2">
        <w:rPr>
          <w:rFonts w:ascii="Arial" w:hAnsi="Arial" w:cs="Arial"/>
          <w:noProof/>
          <w:szCs w:val="24"/>
        </w:rPr>
        <w:lastRenderedPageBreak/>
        <w:drawing>
          <wp:inline distT="0" distB="0" distL="0" distR="0" wp14:anchorId="6E86DC35" wp14:editId="077FF6A1">
            <wp:extent cx="4634872" cy="3386138"/>
            <wp:effectExtent l="0" t="0" r="0" b="5080"/>
            <wp:docPr id="567703334" name="Picture 1" descr="Gibbs Reflective Cycle Explained: A Framework for Structur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descr="Gibbs Reflective Cycle Explained: A Framework for Structured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53271" cy="3399580"/>
                    </a:xfrm>
                    <a:prstGeom prst="rect">
                      <a:avLst/>
                    </a:prstGeom>
                    <a:noFill/>
                    <a:ln>
                      <a:noFill/>
                    </a:ln>
                  </pic:spPr>
                </pic:pic>
              </a:graphicData>
            </a:graphic>
          </wp:inline>
        </w:drawing>
      </w:r>
    </w:p>
    <w:p w14:paraId="6AC03A5D" w14:textId="77777777" w:rsidR="004F5EC3" w:rsidRPr="00BB69F2" w:rsidRDefault="004F5EC3" w:rsidP="00BB69F2">
      <w:pPr>
        <w:spacing w:line="360" w:lineRule="auto"/>
        <w:jc w:val="both"/>
        <w:rPr>
          <w:rFonts w:ascii="Arial" w:hAnsi="Arial" w:cs="Arial"/>
          <w:szCs w:val="24"/>
        </w:rPr>
      </w:pPr>
      <w:r w:rsidRPr="00BB69F2">
        <w:rPr>
          <w:rFonts w:ascii="Arial" w:hAnsi="Arial" w:cs="Arial"/>
          <w:b/>
          <w:bCs/>
          <w:szCs w:val="24"/>
        </w:rPr>
        <w:t>Figure 9.</w:t>
      </w:r>
      <w:r w:rsidRPr="00BB69F2">
        <w:rPr>
          <w:rFonts w:ascii="Arial" w:hAnsi="Arial" w:cs="Arial"/>
          <w:szCs w:val="24"/>
        </w:rPr>
        <w:t xml:space="preserve"> Gibbs' Reflective Cycle (adapted from Gibbs, 1988).</w:t>
      </w:r>
    </w:p>
    <w:p w14:paraId="10E20947" w14:textId="77777777" w:rsidR="004F5EC3" w:rsidRPr="00BB69F2" w:rsidRDefault="004F5EC3" w:rsidP="00BB69F2">
      <w:pPr>
        <w:spacing w:line="360" w:lineRule="auto"/>
        <w:jc w:val="both"/>
        <w:rPr>
          <w:rFonts w:ascii="Arial" w:hAnsi="Arial" w:cs="Arial"/>
          <w:b/>
          <w:bCs/>
          <w:szCs w:val="24"/>
        </w:rPr>
      </w:pPr>
      <w:r w:rsidRPr="00BB69F2">
        <w:rPr>
          <w:rFonts w:ascii="Arial" w:hAnsi="Arial" w:cs="Arial"/>
          <w:b/>
          <w:bCs/>
          <w:szCs w:val="24"/>
        </w:rPr>
        <w:t>Conclusion</w:t>
      </w:r>
    </w:p>
    <w:p w14:paraId="4A8AA483"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This assignment has critically explored the importance of person-centred care, partnership working and ethical practice within contemporary UK health and social care. The discussion demonstrated that these principles are fundamental to delivering safe, effective and compassionate care that recognises individuals as active partners in decisions affecting their health and wellbeing. Person-centred care promotes dignity, autonomy, respect and individual choice, while partnership working enables multidisciplinary professionals, service users and families to collaborate in providing coordinated, holistic care. Ethical principles, including autonomy, beneficence, non-maleficence and justice, provide the moral framework that guides professional decision-making and ensures that care is delivered fairly, safely and with integrity.</w:t>
      </w:r>
    </w:p>
    <w:p w14:paraId="43D60683"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 xml:space="preserve">The anonymised case study illustrated how integrating these principles into everyday practice can improve patient outcomes, increase independence and enhance quality of life. By applying Maslow's Hierarchy of Needs, it became evident that effective health and social care </w:t>
      </w:r>
      <w:proofErr w:type="gramStart"/>
      <w:r w:rsidRPr="00BB69F2">
        <w:rPr>
          <w:rFonts w:ascii="Arial" w:hAnsi="Arial" w:cs="Arial"/>
          <w:szCs w:val="24"/>
        </w:rPr>
        <w:t>extends</w:t>
      </w:r>
      <w:proofErr w:type="gramEnd"/>
      <w:r w:rsidRPr="00BB69F2">
        <w:rPr>
          <w:rFonts w:ascii="Arial" w:hAnsi="Arial" w:cs="Arial"/>
          <w:szCs w:val="24"/>
        </w:rPr>
        <w:t xml:space="preserve"> beyond meeting physical needs to include psychological, emotional and social wellbeing. Furthermore, the critical reflection using Gibbs' Reflective Cycle demonstrated the importance of continuous learning and self-evaluation in supporting professional competence and lifelong development. </w:t>
      </w:r>
      <w:r w:rsidRPr="00BB69F2">
        <w:rPr>
          <w:rFonts w:ascii="Arial" w:hAnsi="Arial" w:cs="Arial"/>
          <w:szCs w:val="24"/>
        </w:rPr>
        <w:lastRenderedPageBreak/>
        <w:t xml:space="preserve">Reflective practice enables professionals to identify </w:t>
      </w:r>
      <w:proofErr w:type="gramStart"/>
      <w:r w:rsidRPr="00BB69F2">
        <w:rPr>
          <w:rFonts w:ascii="Arial" w:hAnsi="Arial" w:cs="Arial"/>
          <w:szCs w:val="24"/>
        </w:rPr>
        <w:t>strengths,</w:t>
      </w:r>
      <w:proofErr w:type="gramEnd"/>
      <w:r w:rsidRPr="00BB69F2">
        <w:rPr>
          <w:rFonts w:ascii="Arial" w:hAnsi="Arial" w:cs="Arial"/>
          <w:szCs w:val="24"/>
        </w:rPr>
        <w:t xml:space="preserve"> recognise areas requiring improvement and enhance the quality of care they provide.</w:t>
      </w:r>
    </w:p>
    <w:p w14:paraId="04C4B007" w14:textId="77777777" w:rsidR="004F5EC3" w:rsidRPr="00BB69F2" w:rsidRDefault="004F5EC3" w:rsidP="00BB69F2">
      <w:pPr>
        <w:spacing w:line="360" w:lineRule="auto"/>
        <w:jc w:val="both"/>
        <w:rPr>
          <w:rFonts w:ascii="Arial" w:hAnsi="Arial" w:cs="Arial"/>
          <w:szCs w:val="24"/>
        </w:rPr>
      </w:pPr>
      <w:r w:rsidRPr="00BB69F2">
        <w:rPr>
          <w:rFonts w:ascii="Arial" w:hAnsi="Arial" w:cs="Arial"/>
          <w:szCs w:val="24"/>
        </w:rPr>
        <w:t>The assignment also highlighted the significant influence of UK legislation, including the Care Act 2014 and the Health and Care Act 2022, alongside professional standards published by the Health and Care Professions Council (HCPC) and the Nursing and Midwifery Council (NMC). These frameworks ensure that person-centred care, partnership working and ethical practice remain central to professional responsibilities and service delivery. As a future health and social care practitioner, I recognise that providing high-quality care requires not only clinical knowledge but also effective communication, collaborative working, ethical decision-making and ongoing professional development. By consistently applying these principles, practitioners can improve health outcomes, reduce inequalities and contribute to a compassionate, inclusive and sustainable health and social care system that meets the diverse needs of individuals and communities across the United Kingdom.</w:t>
      </w:r>
    </w:p>
    <w:p w14:paraId="76268FE4" w14:textId="77777777" w:rsidR="004F5EC3" w:rsidRPr="00BB69F2" w:rsidRDefault="004F5EC3" w:rsidP="00BB69F2">
      <w:pPr>
        <w:spacing w:line="360" w:lineRule="auto"/>
        <w:jc w:val="both"/>
        <w:rPr>
          <w:rFonts w:ascii="Arial" w:hAnsi="Arial" w:cs="Arial"/>
          <w:szCs w:val="24"/>
        </w:rPr>
      </w:pPr>
    </w:p>
    <w:p w14:paraId="15FDAB47" w14:textId="77777777" w:rsidR="00E400D9" w:rsidRPr="00BB69F2" w:rsidRDefault="00E400D9" w:rsidP="00BB69F2">
      <w:pPr>
        <w:spacing w:line="360" w:lineRule="auto"/>
        <w:jc w:val="both"/>
        <w:rPr>
          <w:rFonts w:ascii="Arial" w:hAnsi="Arial" w:cs="Arial"/>
          <w:szCs w:val="24"/>
        </w:rPr>
      </w:pPr>
    </w:p>
    <w:p w14:paraId="0C97E7B4" w14:textId="77777777" w:rsidR="00E400D9" w:rsidRPr="00BB69F2" w:rsidRDefault="00E400D9" w:rsidP="00BB69F2">
      <w:pPr>
        <w:spacing w:line="360" w:lineRule="auto"/>
        <w:jc w:val="both"/>
        <w:rPr>
          <w:rFonts w:ascii="Arial" w:hAnsi="Arial" w:cs="Arial"/>
          <w:szCs w:val="24"/>
        </w:rPr>
      </w:pPr>
    </w:p>
    <w:p w14:paraId="3F1FA39D" w14:textId="77777777" w:rsidR="00E400D9" w:rsidRPr="00BB69F2" w:rsidRDefault="00E400D9" w:rsidP="00BB69F2">
      <w:pPr>
        <w:spacing w:line="360" w:lineRule="auto"/>
        <w:jc w:val="both"/>
        <w:rPr>
          <w:rFonts w:ascii="Arial" w:hAnsi="Arial" w:cs="Arial"/>
          <w:szCs w:val="24"/>
        </w:rPr>
      </w:pPr>
    </w:p>
    <w:p w14:paraId="6388D86D" w14:textId="77777777" w:rsidR="00E400D9" w:rsidRPr="00BB69F2" w:rsidRDefault="00E400D9" w:rsidP="00BB69F2">
      <w:pPr>
        <w:spacing w:line="360" w:lineRule="auto"/>
        <w:jc w:val="both"/>
        <w:rPr>
          <w:rFonts w:ascii="Arial" w:hAnsi="Arial" w:cs="Arial"/>
          <w:szCs w:val="24"/>
        </w:rPr>
      </w:pPr>
    </w:p>
    <w:p w14:paraId="24CB499D" w14:textId="77777777" w:rsidR="00E400D9" w:rsidRPr="00BB69F2" w:rsidRDefault="00E400D9" w:rsidP="00BB69F2">
      <w:pPr>
        <w:spacing w:line="360" w:lineRule="auto"/>
        <w:jc w:val="both"/>
        <w:rPr>
          <w:rFonts w:ascii="Arial" w:hAnsi="Arial" w:cs="Arial"/>
          <w:szCs w:val="24"/>
        </w:rPr>
      </w:pPr>
    </w:p>
    <w:p w14:paraId="4977BE77" w14:textId="77777777" w:rsidR="00E400D9" w:rsidRPr="00BB69F2" w:rsidRDefault="00E400D9" w:rsidP="00BB69F2">
      <w:pPr>
        <w:spacing w:line="360" w:lineRule="auto"/>
        <w:jc w:val="both"/>
        <w:rPr>
          <w:rFonts w:ascii="Arial" w:hAnsi="Arial" w:cs="Arial"/>
          <w:szCs w:val="24"/>
        </w:rPr>
      </w:pPr>
    </w:p>
    <w:p w14:paraId="5CC0F677" w14:textId="77777777" w:rsidR="00E400D9" w:rsidRPr="00BB69F2" w:rsidRDefault="00E400D9" w:rsidP="00BB69F2">
      <w:pPr>
        <w:spacing w:line="360" w:lineRule="auto"/>
        <w:jc w:val="both"/>
        <w:rPr>
          <w:rFonts w:ascii="Arial" w:hAnsi="Arial" w:cs="Arial"/>
          <w:szCs w:val="24"/>
        </w:rPr>
      </w:pPr>
    </w:p>
    <w:p w14:paraId="5A928C11" w14:textId="77777777" w:rsidR="00E400D9" w:rsidRPr="00BB69F2" w:rsidRDefault="00E400D9" w:rsidP="00BB69F2">
      <w:pPr>
        <w:spacing w:line="360" w:lineRule="auto"/>
        <w:jc w:val="both"/>
        <w:rPr>
          <w:rFonts w:ascii="Arial" w:hAnsi="Arial" w:cs="Arial"/>
          <w:szCs w:val="24"/>
        </w:rPr>
      </w:pPr>
    </w:p>
    <w:p w14:paraId="7C3259BE" w14:textId="77777777" w:rsidR="00E400D9" w:rsidRPr="00BB69F2" w:rsidRDefault="00E400D9" w:rsidP="00BB69F2">
      <w:pPr>
        <w:spacing w:line="360" w:lineRule="auto"/>
        <w:jc w:val="both"/>
        <w:rPr>
          <w:rFonts w:ascii="Arial" w:hAnsi="Arial" w:cs="Arial"/>
          <w:szCs w:val="24"/>
        </w:rPr>
      </w:pPr>
    </w:p>
    <w:p w14:paraId="34AD3799" w14:textId="77777777" w:rsidR="00E400D9" w:rsidRPr="00BB69F2" w:rsidRDefault="00E400D9" w:rsidP="00BB69F2">
      <w:pPr>
        <w:spacing w:line="360" w:lineRule="auto"/>
        <w:jc w:val="both"/>
        <w:rPr>
          <w:rFonts w:ascii="Arial" w:hAnsi="Arial" w:cs="Arial"/>
          <w:szCs w:val="24"/>
        </w:rPr>
      </w:pPr>
    </w:p>
    <w:p w14:paraId="0BBD6C5E" w14:textId="77777777" w:rsidR="00E400D9" w:rsidRPr="00BB69F2" w:rsidRDefault="00E400D9" w:rsidP="00BB69F2">
      <w:pPr>
        <w:spacing w:line="360" w:lineRule="auto"/>
        <w:jc w:val="both"/>
        <w:rPr>
          <w:rFonts w:ascii="Arial" w:hAnsi="Arial" w:cs="Arial"/>
          <w:szCs w:val="24"/>
        </w:rPr>
      </w:pPr>
    </w:p>
    <w:p w14:paraId="14FFFC36" w14:textId="77777777" w:rsidR="00E400D9" w:rsidRPr="00BB69F2" w:rsidRDefault="00E400D9" w:rsidP="00BB69F2">
      <w:pPr>
        <w:spacing w:line="360" w:lineRule="auto"/>
        <w:jc w:val="both"/>
        <w:rPr>
          <w:rFonts w:ascii="Arial" w:hAnsi="Arial" w:cs="Arial"/>
          <w:szCs w:val="24"/>
        </w:rPr>
      </w:pPr>
    </w:p>
    <w:p w14:paraId="0FF39235" w14:textId="77777777" w:rsidR="004F5EC3" w:rsidRPr="00BB69F2" w:rsidRDefault="004F5EC3" w:rsidP="00BB69F2">
      <w:pPr>
        <w:spacing w:line="360" w:lineRule="auto"/>
        <w:jc w:val="both"/>
        <w:rPr>
          <w:rFonts w:ascii="Arial" w:hAnsi="Arial" w:cs="Arial"/>
          <w:szCs w:val="24"/>
        </w:rPr>
      </w:pPr>
    </w:p>
    <w:p w14:paraId="3417CD19" w14:textId="77777777" w:rsidR="004F5EC3" w:rsidRPr="00BB69F2" w:rsidRDefault="004F5EC3" w:rsidP="00BB69F2">
      <w:pPr>
        <w:spacing w:line="360" w:lineRule="auto"/>
        <w:jc w:val="both"/>
        <w:rPr>
          <w:rFonts w:ascii="Arial" w:hAnsi="Arial" w:cs="Arial"/>
          <w:b/>
          <w:bCs/>
          <w:szCs w:val="24"/>
        </w:rPr>
      </w:pPr>
      <w:r w:rsidRPr="00BB69F2">
        <w:rPr>
          <w:rFonts w:ascii="Arial" w:hAnsi="Arial" w:cs="Arial"/>
          <w:b/>
          <w:bCs/>
          <w:szCs w:val="24"/>
        </w:rPr>
        <w:lastRenderedPageBreak/>
        <w:t>References</w:t>
      </w:r>
    </w:p>
    <w:p w14:paraId="102417EB" w14:textId="77777777" w:rsidR="004F5EC3" w:rsidRPr="00BB69F2" w:rsidRDefault="004F5EC3" w:rsidP="00BB69F2">
      <w:pPr>
        <w:pStyle w:val="ListParagraph"/>
        <w:numPr>
          <w:ilvl w:val="0"/>
          <w:numId w:val="6"/>
        </w:numPr>
        <w:spacing w:line="360" w:lineRule="auto"/>
        <w:jc w:val="both"/>
        <w:rPr>
          <w:rFonts w:ascii="Arial" w:hAnsi="Arial" w:cs="Arial"/>
          <w:szCs w:val="24"/>
        </w:rPr>
      </w:pPr>
      <w:r w:rsidRPr="00BB69F2">
        <w:rPr>
          <w:rFonts w:ascii="Arial" w:hAnsi="Arial" w:cs="Arial"/>
          <w:szCs w:val="24"/>
        </w:rPr>
        <w:t xml:space="preserve">Beauchamp, T.L. and Childress, J.F. (2019) </w:t>
      </w:r>
      <w:r w:rsidRPr="00BB69F2">
        <w:rPr>
          <w:rFonts w:ascii="Arial" w:hAnsi="Arial" w:cs="Arial"/>
          <w:i/>
          <w:iCs/>
          <w:szCs w:val="24"/>
        </w:rPr>
        <w:t>Principles of Biomedical Ethics</w:t>
      </w:r>
      <w:r w:rsidRPr="00BB69F2">
        <w:rPr>
          <w:rFonts w:ascii="Arial" w:hAnsi="Arial" w:cs="Arial"/>
          <w:szCs w:val="24"/>
        </w:rPr>
        <w:t xml:space="preserve">. 8th </w:t>
      </w:r>
      <w:proofErr w:type="spellStart"/>
      <w:r w:rsidRPr="00BB69F2">
        <w:rPr>
          <w:rFonts w:ascii="Arial" w:hAnsi="Arial" w:cs="Arial"/>
          <w:szCs w:val="24"/>
        </w:rPr>
        <w:t>edn</w:t>
      </w:r>
      <w:proofErr w:type="spellEnd"/>
      <w:r w:rsidRPr="00BB69F2">
        <w:rPr>
          <w:rFonts w:ascii="Arial" w:hAnsi="Arial" w:cs="Arial"/>
          <w:szCs w:val="24"/>
        </w:rPr>
        <w:t>. New York: Oxford University Press.</w:t>
      </w:r>
    </w:p>
    <w:p w14:paraId="53B6520F" w14:textId="77777777" w:rsidR="004F5EC3" w:rsidRPr="00BB69F2" w:rsidRDefault="004F5EC3" w:rsidP="00BB69F2">
      <w:pPr>
        <w:pStyle w:val="ListParagraph"/>
        <w:numPr>
          <w:ilvl w:val="0"/>
          <w:numId w:val="6"/>
        </w:numPr>
        <w:spacing w:line="360" w:lineRule="auto"/>
        <w:jc w:val="both"/>
        <w:rPr>
          <w:rFonts w:ascii="Arial" w:hAnsi="Arial" w:cs="Arial"/>
          <w:szCs w:val="24"/>
        </w:rPr>
      </w:pPr>
      <w:r w:rsidRPr="00BB69F2">
        <w:rPr>
          <w:rFonts w:ascii="Arial" w:hAnsi="Arial" w:cs="Arial"/>
          <w:szCs w:val="24"/>
        </w:rPr>
        <w:t>Care Act 2014 (c.23). London: The Stationery Office.</w:t>
      </w:r>
    </w:p>
    <w:p w14:paraId="1476F26D" w14:textId="77777777" w:rsidR="004F5EC3" w:rsidRPr="00BB69F2" w:rsidRDefault="004F5EC3" w:rsidP="00BB69F2">
      <w:pPr>
        <w:pStyle w:val="ListParagraph"/>
        <w:numPr>
          <w:ilvl w:val="0"/>
          <w:numId w:val="6"/>
        </w:numPr>
        <w:spacing w:line="360" w:lineRule="auto"/>
        <w:jc w:val="both"/>
        <w:rPr>
          <w:rFonts w:ascii="Arial" w:hAnsi="Arial" w:cs="Arial"/>
          <w:szCs w:val="24"/>
        </w:rPr>
      </w:pPr>
      <w:r w:rsidRPr="00BB69F2">
        <w:rPr>
          <w:rFonts w:ascii="Arial" w:hAnsi="Arial" w:cs="Arial"/>
          <w:szCs w:val="24"/>
        </w:rPr>
        <w:t>Equality Act 2010 (c.15). London: The Stationery Office.</w:t>
      </w:r>
    </w:p>
    <w:p w14:paraId="323F056F" w14:textId="77777777" w:rsidR="004F5EC3" w:rsidRPr="00BB69F2" w:rsidRDefault="004F5EC3" w:rsidP="00BB69F2">
      <w:pPr>
        <w:pStyle w:val="ListParagraph"/>
        <w:numPr>
          <w:ilvl w:val="0"/>
          <w:numId w:val="6"/>
        </w:numPr>
        <w:spacing w:line="360" w:lineRule="auto"/>
        <w:jc w:val="both"/>
        <w:rPr>
          <w:rFonts w:ascii="Arial" w:hAnsi="Arial" w:cs="Arial"/>
          <w:szCs w:val="24"/>
        </w:rPr>
      </w:pPr>
      <w:r w:rsidRPr="00BB69F2">
        <w:rPr>
          <w:rFonts w:ascii="Arial" w:hAnsi="Arial" w:cs="Arial"/>
          <w:szCs w:val="24"/>
        </w:rPr>
        <w:t xml:space="preserve">Gibbs, G. (1988) </w:t>
      </w:r>
      <w:r w:rsidRPr="00BB69F2">
        <w:rPr>
          <w:rFonts w:ascii="Arial" w:hAnsi="Arial" w:cs="Arial"/>
          <w:i/>
          <w:iCs/>
          <w:szCs w:val="24"/>
        </w:rPr>
        <w:t>Learning by Doing: A Guide to Teaching and Learning Methods</w:t>
      </w:r>
      <w:r w:rsidRPr="00BB69F2">
        <w:rPr>
          <w:rFonts w:ascii="Arial" w:hAnsi="Arial" w:cs="Arial"/>
          <w:szCs w:val="24"/>
        </w:rPr>
        <w:t>. Oxford: Oxford Polytechnic.</w:t>
      </w:r>
    </w:p>
    <w:p w14:paraId="36C031E4" w14:textId="77777777" w:rsidR="004F5EC3" w:rsidRPr="00BB69F2" w:rsidRDefault="004F5EC3" w:rsidP="00BB69F2">
      <w:pPr>
        <w:pStyle w:val="ListParagraph"/>
        <w:numPr>
          <w:ilvl w:val="0"/>
          <w:numId w:val="6"/>
        </w:numPr>
        <w:spacing w:line="360" w:lineRule="auto"/>
        <w:jc w:val="both"/>
        <w:rPr>
          <w:rFonts w:ascii="Arial" w:hAnsi="Arial" w:cs="Arial"/>
          <w:szCs w:val="24"/>
        </w:rPr>
      </w:pPr>
      <w:r w:rsidRPr="00BB69F2">
        <w:rPr>
          <w:rFonts w:ascii="Arial" w:hAnsi="Arial" w:cs="Arial"/>
          <w:szCs w:val="24"/>
        </w:rPr>
        <w:t xml:space="preserve">Glasby, J. and Dickinson, H. (2014) </w:t>
      </w:r>
      <w:r w:rsidRPr="00BB69F2">
        <w:rPr>
          <w:rFonts w:ascii="Arial" w:hAnsi="Arial" w:cs="Arial"/>
          <w:i/>
          <w:iCs/>
          <w:szCs w:val="24"/>
        </w:rPr>
        <w:t>Partnership Working in Health and Social Care: What Is Integrated Care and How Can We Deliver It?</w:t>
      </w:r>
      <w:r w:rsidRPr="00BB69F2">
        <w:rPr>
          <w:rFonts w:ascii="Arial" w:hAnsi="Arial" w:cs="Arial"/>
          <w:szCs w:val="24"/>
        </w:rPr>
        <w:t xml:space="preserve"> 2nd </w:t>
      </w:r>
      <w:proofErr w:type="spellStart"/>
      <w:r w:rsidRPr="00BB69F2">
        <w:rPr>
          <w:rFonts w:ascii="Arial" w:hAnsi="Arial" w:cs="Arial"/>
          <w:szCs w:val="24"/>
        </w:rPr>
        <w:t>edn</w:t>
      </w:r>
      <w:proofErr w:type="spellEnd"/>
      <w:r w:rsidRPr="00BB69F2">
        <w:rPr>
          <w:rFonts w:ascii="Arial" w:hAnsi="Arial" w:cs="Arial"/>
          <w:szCs w:val="24"/>
        </w:rPr>
        <w:t>. Bristol: Policy Press.</w:t>
      </w:r>
    </w:p>
    <w:p w14:paraId="0646C502" w14:textId="77777777" w:rsidR="004F5EC3" w:rsidRPr="00BB69F2" w:rsidRDefault="004F5EC3" w:rsidP="00BB69F2">
      <w:pPr>
        <w:pStyle w:val="ListParagraph"/>
        <w:numPr>
          <w:ilvl w:val="0"/>
          <w:numId w:val="6"/>
        </w:numPr>
        <w:spacing w:line="360" w:lineRule="auto"/>
        <w:jc w:val="both"/>
        <w:rPr>
          <w:rFonts w:ascii="Arial" w:hAnsi="Arial" w:cs="Arial"/>
          <w:szCs w:val="24"/>
        </w:rPr>
      </w:pPr>
      <w:r w:rsidRPr="00BB69F2">
        <w:rPr>
          <w:rFonts w:ascii="Arial" w:hAnsi="Arial" w:cs="Arial"/>
          <w:szCs w:val="24"/>
        </w:rPr>
        <w:t>Health and Care Act 2022 (c.31). London: The Stationery Office.</w:t>
      </w:r>
    </w:p>
    <w:p w14:paraId="640094A6" w14:textId="77777777" w:rsidR="004F5EC3" w:rsidRPr="00BB69F2" w:rsidRDefault="004F5EC3" w:rsidP="00BB69F2">
      <w:pPr>
        <w:pStyle w:val="ListParagraph"/>
        <w:numPr>
          <w:ilvl w:val="0"/>
          <w:numId w:val="6"/>
        </w:numPr>
        <w:spacing w:line="360" w:lineRule="auto"/>
        <w:jc w:val="both"/>
        <w:rPr>
          <w:rFonts w:ascii="Arial" w:hAnsi="Arial" w:cs="Arial"/>
          <w:szCs w:val="24"/>
        </w:rPr>
      </w:pPr>
      <w:r w:rsidRPr="00BB69F2">
        <w:rPr>
          <w:rFonts w:ascii="Arial" w:hAnsi="Arial" w:cs="Arial"/>
          <w:szCs w:val="24"/>
        </w:rPr>
        <w:t xml:space="preserve">Health and Care Professions Council (HCPC) (2024) </w:t>
      </w:r>
      <w:r w:rsidRPr="00BB69F2">
        <w:rPr>
          <w:rFonts w:ascii="Arial" w:hAnsi="Arial" w:cs="Arial"/>
          <w:i/>
          <w:iCs/>
          <w:szCs w:val="24"/>
        </w:rPr>
        <w:t>Standards of Conduct, Performance and Ethics</w:t>
      </w:r>
      <w:r w:rsidRPr="00BB69F2">
        <w:rPr>
          <w:rFonts w:ascii="Arial" w:hAnsi="Arial" w:cs="Arial"/>
          <w:szCs w:val="24"/>
        </w:rPr>
        <w:t>. London: HCPC.</w:t>
      </w:r>
    </w:p>
    <w:p w14:paraId="0553839E" w14:textId="77777777" w:rsidR="004F5EC3" w:rsidRPr="00BB69F2" w:rsidRDefault="004F5EC3" w:rsidP="00BB69F2">
      <w:pPr>
        <w:pStyle w:val="ListParagraph"/>
        <w:numPr>
          <w:ilvl w:val="0"/>
          <w:numId w:val="6"/>
        </w:numPr>
        <w:spacing w:line="360" w:lineRule="auto"/>
        <w:jc w:val="both"/>
        <w:rPr>
          <w:rFonts w:ascii="Arial" w:hAnsi="Arial" w:cs="Arial"/>
          <w:szCs w:val="24"/>
        </w:rPr>
      </w:pPr>
      <w:r w:rsidRPr="00BB69F2">
        <w:rPr>
          <w:rFonts w:ascii="Arial" w:hAnsi="Arial" w:cs="Arial"/>
          <w:szCs w:val="24"/>
        </w:rPr>
        <w:t xml:space="preserve">Information Commissioner’s Office (2023) </w:t>
      </w:r>
      <w:r w:rsidRPr="00BB69F2">
        <w:rPr>
          <w:rFonts w:ascii="Arial" w:hAnsi="Arial" w:cs="Arial"/>
          <w:i/>
          <w:iCs/>
          <w:szCs w:val="24"/>
        </w:rPr>
        <w:t>Guide to UK GDPR</w:t>
      </w:r>
      <w:r w:rsidRPr="00BB69F2">
        <w:rPr>
          <w:rFonts w:ascii="Arial" w:hAnsi="Arial" w:cs="Arial"/>
          <w:szCs w:val="24"/>
        </w:rPr>
        <w:t>. Wilmslow: Information Commissioner’s Office.</w:t>
      </w:r>
    </w:p>
    <w:p w14:paraId="6FECF9AB" w14:textId="77777777" w:rsidR="004F5EC3" w:rsidRPr="00BB69F2" w:rsidRDefault="004F5EC3" w:rsidP="00BB69F2">
      <w:pPr>
        <w:pStyle w:val="ListParagraph"/>
        <w:numPr>
          <w:ilvl w:val="0"/>
          <w:numId w:val="6"/>
        </w:numPr>
        <w:spacing w:line="360" w:lineRule="auto"/>
        <w:jc w:val="both"/>
        <w:rPr>
          <w:rFonts w:ascii="Arial" w:hAnsi="Arial" w:cs="Arial"/>
          <w:szCs w:val="24"/>
        </w:rPr>
      </w:pPr>
      <w:r w:rsidRPr="00BB69F2">
        <w:rPr>
          <w:rFonts w:ascii="Arial" w:hAnsi="Arial" w:cs="Arial"/>
          <w:szCs w:val="24"/>
        </w:rPr>
        <w:t xml:space="preserve">Maslow, A.H. (1943) ‘A theory of human motivation’, </w:t>
      </w:r>
      <w:r w:rsidRPr="00BB69F2">
        <w:rPr>
          <w:rFonts w:ascii="Arial" w:hAnsi="Arial" w:cs="Arial"/>
          <w:i/>
          <w:iCs/>
          <w:szCs w:val="24"/>
        </w:rPr>
        <w:t>Psychological Review</w:t>
      </w:r>
      <w:r w:rsidRPr="00BB69F2">
        <w:rPr>
          <w:rFonts w:ascii="Arial" w:hAnsi="Arial" w:cs="Arial"/>
          <w:szCs w:val="24"/>
        </w:rPr>
        <w:t>, 50(4), pp. 370–396.</w:t>
      </w:r>
    </w:p>
    <w:p w14:paraId="71331AF1" w14:textId="77777777" w:rsidR="004F5EC3" w:rsidRPr="00BB69F2" w:rsidRDefault="004F5EC3" w:rsidP="00BB69F2">
      <w:pPr>
        <w:pStyle w:val="ListParagraph"/>
        <w:numPr>
          <w:ilvl w:val="0"/>
          <w:numId w:val="6"/>
        </w:numPr>
        <w:spacing w:line="360" w:lineRule="auto"/>
        <w:jc w:val="both"/>
        <w:rPr>
          <w:rFonts w:ascii="Arial" w:hAnsi="Arial" w:cs="Arial"/>
          <w:szCs w:val="24"/>
        </w:rPr>
      </w:pPr>
      <w:r w:rsidRPr="00BB69F2">
        <w:rPr>
          <w:rFonts w:ascii="Arial" w:hAnsi="Arial" w:cs="Arial"/>
          <w:szCs w:val="24"/>
        </w:rPr>
        <w:t xml:space="preserve">National Institute for Health and Care Excellence (NICE) (2023) </w:t>
      </w:r>
      <w:r w:rsidRPr="00BB69F2">
        <w:rPr>
          <w:rFonts w:ascii="Arial" w:hAnsi="Arial" w:cs="Arial"/>
          <w:i/>
          <w:iCs/>
          <w:szCs w:val="24"/>
        </w:rPr>
        <w:t>Shared Decision Making (NG197)</w:t>
      </w:r>
      <w:r w:rsidRPr="00BB69F2">
        <w:rPr>
          <w:rFonts w:ascii="Arial" w:hAnsi="Arial" w:cs="Arial"/>
          <w:szCs w:val="24"/>
        </w:rPr>
        <w:t>. London: NICE.</w:t>
      </w:r>
    </w:p>
    <w:p w14:paraId="509D7946" w14:textId="77777777" w:rsidR="004F5EC3" w:rsidRPr="00BB69F2" w:rsidRDefault="004F5EC3" w:rsidP="00BB69F2">
      <w:pPr>
        <w:pStyle w:val="ListParagraph"/>
        <w:numPr>
          <w:ilvl w:val="0"/>
          <w:numId w:val="6"/>
        </w:numPr>
        <w:spacing w:line="360" w:lineRule="auto"/>
        <w:jc w:val="both"/>
        <w:rPr>
          <w:rFonts w:ascii="Arial" w:hAnsi="Arial" w:cs="Arial"/>
          <w:szCs w:val="24"/>
        </w:rPr>
      </w:pPr>
      <w:r w:rsidRPr="00BB69F2">
        <w:rPr>
          <w:rFonts w:ascii="Arial" w:hAnsi="Arial" w:cs="Arial"/>
          <w:szCs w:val="24"/>
        </w:rPr>
        <w:t xml:space="preserve">NHS England (2019) </w:t>
      </w:r>
      <w:r w:rsidRPr="00BB69F2">
        <w:rPr>
          <w:rFonts w:ascii="Arial" w:hAnsi="Arial" w:cs="Arial"/>
          <w:i/>
          <w:iCs/>
          <w:szCs w:val="24"/>
        </w:rPr>
        <w:t>The NHS Long Term Plan</w:t>
      </w:r>
      <w:r w:rsidRPr="00BB69F2">
        <w:rPr>
          <w:rFonts w:ascii="Arial" w:hAnsi="Arial" w:cs="Arial"/>
          <w:szCs w:val="24"/>
        </w:rPr>
        <w:t>. London: NHS England.</w:t>
      </w:r>
    </w:p>
    <w:p w14:paraId="444257A8" w14:textId="77777777" w:rsidR="004F5EC3" w:rsidRPr="00BB69F2" w:rsidRDefault="004F5EC3" w:rsidP="00BB69F2">
      <w:pPr>
        <w:pStyle w:val="ListParagraph"/>
        <w:numPr>
          <w:ilvl w:val="0"/>
          <w:numId w:val="6"/>
        </w:numPr>
        <w:spacing w:line="360" w:lineRule="auto"/>
        <w:jc w:val="both"/>
        <w:rPr>
          <w:rFonts w:ascii="Arial" w:hAnsi="Arial" w:cs="Arial"/>
          <w:szCs w:val="24"/>
        </w:rPr>
      </w:pPr>
      <w:r w:rsidRPr="00BB69F2">
        <w:rPr>
          <w:rFonts w:ascii="Arial" w:hAnsi="Arial" w:cs="Arial"/>
          <w:szCs w:val="24"/>
        </w:rPr>
        <w:t xml:space="preserve">NHS England (2024) </w:t>
      </w:r>
      <w:r w:rsidRPr="00BB69F2">
        <w:rPr>
          <w:rFonts w:ascii="Arial" w:hAnsi="Arial" w:cs="Arial"/>
          <w:i/>
          <w:iCs/>
          <w:szCs w:val="24"/>
        </w:rPr>
        <w:t>Universal Personalised Care: Implementing the Comprehensive Model</w:t>
      </w:r>
      <w:r w:rsidRPr="00BB69F2">
        <w:rPr>
          <w:rFonts w:ascii="Arial" w:hAnsi="Arial" w:cs="Arial"/>
          <w:szCs w:val="24"/>
        </w:rPr>
        <w:t>. London: NHS England.</w:t>
      </w:r>
    </w:p>
    <w:p w14:paraId="4029B115" w14:textId="77777777" w:rsidR="004F5EC3" w:rsidRPr="00BB69F2" w:rsidRDefault="004F5EC3" w:rsidP="00BB69F2">
      <w:pPr>
        <w:pStyle w:val="ListParagraph"/>
        <w:numPr>
          <w:ilvl w:val="0"/>
          <w:numId w:val="6"/>
        </w:numPr>
        <w:spacing w:line="360" w:lineRule="auto"/>
        <w:jc w:val="both"/>
        <w:rPr>
          <w:rFonts w:ascii="Arial" w:hAnsi="Arial" w:cs="Arial"/>
          <w:szCs w:val="24"/>
        </w:rPr>
      </w:pPr>
      <w:r w:rsidRPr="00BB69F2">
        <w:rPr>
          <w:rFonts w:ascii="Arial" w:hAnsi="Arial" w:cs="Arial"/>
          <w:szCs w:val="24"/>
        </w:rPr>
        <w:t xml:space="preserve">Nursing and Midwifery Council (NMC) (2018) </w:t>
      </w:r>
      <w:r w:rsidRPr="00BB69F2">
        <w:rPr>
          <w:rFonts w:ascii="Arial" w:hAnsi="Arial" w:cs="Arial"/>
          <w:i/>
          <w:iCs/>
          <w:szCs w:val="24"/>
        </w:rPr>
        <w:t>The Code: Professional Standards of Practice and Behaviour for Nurses, Midwives and Nursing Associates</w:t>
      </w:r>
      <w:r w:rsidRPr="00BB69F2">
        <w:rPr>
          <w:rFonts w:ascii="Arial" w:hAnsi="Arial" w:cs="Arial"/>
          <w:szCs w:val="24"/>
        </w:rPr>
        <w:t>. London: NMC.</w:t>
      </w:r>
    </w:p>
    <w:p w14:paraId="1A7B3F6F" w14:textId="77777777" w:rsidR="004F5EC3" w:rsidRPr="00BB69F2" w:rsidRDefault="004F5EC3" w:rsidP="00BB69F2">
      <w:pPr>
        <w:pStyle w:val="ListParagraph"/>
        <w:numPr>
          <w:ilvl w:val="0"/>
          <w:numId w:val="6"/>
        </w:numPr>
        <w:spacing w:line="360" w:lineRule="auto"/>
        <w:jc w:val="both"/>
        <w:rPr>
          <w:rFonts w:ascii="Arial" w:hAnsi="Arial" w:cs="Arial"/>
          <w:szCs w:val="24"/>
        </w:rPr>
      </w:pPr>
      <w:r w:rsidRPr="00BB69F2">
        <w:rPr>
          <w:rFonts w:ascii="Arial" w:hAnsi="Arial" w:cs="Arial"/>
          <w:szCs w:val="24"/>
        </w:rPr>
        <w:t xml:space="preserve">The King's Fund (2023) </w:t>
      </w:r>
      <w:r w:rsidRPr="00BB69F2">
        <w:rPr>
          <w:rFonts w:ascii="Arial" w:hAnsi="Arial" w:cs="Arial"/>
          <w:i/>
          <w:iCs/>
          <w:szCs w:val="24"/>
        </w:rPr>
        <w:t>What Is Integrated Care?</w:t>
      </w:r>
      <w:r w:rsidRPr="00BB69F2">
        <w:rPr>
          <w:rFonts w:ascii="Arial" w:hAnsi="Arial" w:cs="Arial"/>
          <w:szCs w:val="24"/>
        </w:rPr>
        <w:t xml:space="preserve"> London: The King's Fund.</w:t>
      </w:r>
    </w:p>
    <w:p w14:paraId="053D3FC6" w14:textId="77777777" w:rsidR="004F5EC3" w:rsidRPr="00BB69F2" w:rsidRDefault="004F5EC3" w:rsidP="00BB69F2">
      <w:pPr>
        <w:pStyle w:val="ListParagraph"/>
        <w:numPr>
          <w:ilvl w:val="0"/>
          <w:numId w:val="6"/>
        </w:numPr>
        <w:spacing w:line="360" w:lineRule="auto"/>
        <w:jc w:val="both"/>
        <w:rPr>
          <w:rFonts w:ascii="Arial" w:hAnsi="Arial" w:cs="Arial"/>
          <w:szCs w:val="24"/>
        </w:rPr>
      </w:pPr>
      <w:r w:rsidRPr="00BB69F2">
        <w:rPr>
          <w:rFonts w:ascii="Arial" w:hAnsi="Arial" w:cs="Arial"/>
          <w:szCs w:val="24"/>
        </w:rPr>
        <w:t xml:space="preserve">World Health Organization (2021) </w:t>
      </w:r>
      <w:r w:rsidRPr="00BB69F2">
        <w:rPr>
          <w:rFonts w:ascii="Arial" w:hAnsi="Arial" w:cs="Arial"/>
          <w:i/>
          <w:iCs/>
          <w:szCs w:val="24"/>
        </w:rPr>
        <w:t>Global Strategy on People-centred and Integrated Health Services</w:t>
      </w:r>
      <w:r w:rsidRPr="00BB69F2">
        <w:rPr>
          <w:rFonts w:ascii="Arial" w:hAnsi="Arial" w:cs="Arial"/>
          <w:szCs w:val="24"/>
        </w:rPr>
        <w:t>. Geneva: World Health Organization.</w:t>
      </w:r>
    </w:p>
    <w:p w14:paraId="488C732B" w14:textId="77777777" w:rsidR="004F5EC3" w:rsidRPr="00BB69F2" w:rsidRDefault="004F5EC3" w:rsidP="00BB69F2">
      <w:pPr>
        <w:spacing w:line="360" w:lineRule="auto"/>
        <w:jc w:val="both"/>
        <w:rPr>
          <w:rFonts w:ascii="Arial" w:hAnsi="Arial" w:cs="Arial"/>
          <w:szCs w:val="24"/>
        </w:rPr>
      </w:pPr>
    </w:p>
    <w:sectPr w:rsidR="004F5EC3" w:rsidRPr="00BB69F2">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FBBBB" w14:textId="77777777" w:rsidR="001A1C78" w:rsidRDefault="001A1C78" w:rsidP="00B21FE6">
      <w:pPr>
        <w:spacing w:after="0" w:line="240" w:lineRule="auto"/>
      </w:pPr>
      <w:r>
        <w:separator/>
      </w:r>
    </w:p>
  </w:endnote>
  <w:endnote w:type="continuationSeparator" w:id="0">
    <w:p w14:paraId="5A56539A" w14:textId="77777777" w:rsidR="001A1C78" w:rsidRDefault="001A1C78"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9610397"/>
      <w:docPartObj>
        <w:docPartGallery w:val="Page Numbers (Bottom of Page)"/>
        <w:docPartUnique/>
      </w:docPartObj>
    </w:sdtPr>
    <w:sdtEndPr>
      <w:rPr>
        <w:noProof/>
      </w:rPr>
    </w:sdtEndPr>
    <w:sdtContent>
      <w:p w14:paraId="20A9F971" w14:textId="71C2150B" w:rsidR="001F53A7" w:rsidRDefault="001F53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04A158" w14:textId="77777777" w:rsidR="001F53A7" w:rsidRDefault="001F53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418BE7" w14:textId="77777777" w:rsidR="001A1C78" w:rsidRDefault="001A1C78" w:rsidP="00B21FE6">
      <w:pPr>
        <w:spacing w:after="0" w:line="240" w:lineRule="auto"/>
      </w:pPr>
      <w:r>
        <w:separator/>
      </w:r>
    </w:p>
  </w:footnote>
  <w:footnote w:type="continuationSeparator" w:id="0">
    <w:p w14:paraId="117FB01A" w14:textId="77777777" w:rsidR="001A1C78" w:rsidRDefault="001A1C78" w:rsidP="00B21F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FE4846" w14:textId="77777777" w:rsidR="00BB69F2" w:rsidRDefault="00BB69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711F0B"/>
    <w:multiLevelType w:val="hybridMultilevel"/>
    <w:tmpl w:val="52A611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6105348">
    <w:abstractNumId w:val="4"/>
  </w:num>
  <w:num w:numId="2" w16cid:durableId="201140407">
    <w:abstractNumId w:val="1"/>
  </w:num>
  <w:num w:numId="3" w16cid:durableId="490028398">
    <w:abstractNumId w:val="0"/>
  </w:num>
  <w:num w:numId="4" w16cid:durableId="350911784">
    <w:abstractNumId w:val="2"/>
  </w:num>
  <w:num w:numId="5" w16cid:durableId="917598757">
    <w:abstractNumId w:val="3"/>
  </w:num>
  <w:num w:numId="6" w16cid:durableId="10087519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52089"/>
    <w:rsid w:val="00117D74"/>
    <w:rsid w:val="001333C2"/>
    <w:rsid w:val="001A1C78"/>
    <w:rsid w:val="001D345E"/>
    <w:rsid w:val="001F53A7"/>
    <w:rsid w:val="00220640"/>
    <w:rsid w:val="00274F17"/>
    <w:rsid w:val="002D39BD"/>
    <w:rsid w:val="00317E3D"/>
    <w:rsid w:val="00350D4F"/>
    <w:rsid w:val="003C58A9"/>
    <w:rsid w:val="004F5B88"/>
    <w:rsid w:val="004F5EC3"/>
    <w:rsid w:val="0058218C"/>
    <w:rsid w:val="00594FAC"/>
    <w:rsid w:val="00610A5B"/>
    <w:rsid w:val="006524ED"/>
    <w:rsid w:val="006D2F2D"/>
    <w:rsid w:val="006E1FF9"/>
    <w:rsid w:val="006E38AB"/>
    <w:rsid w:val="00785886"/>
    <w:rsid w:val="007F3A6A"/>
    <w:rsid w:val="00887FBB"/>
    <w:rsid w:val="008F6D4B"/>
    <w:rsid w:val="00955F84"/>
    <w:rsid w:val="009E5C5F"/>
    <w:rsid w:val="00A11336"/>
    <w:rsid w:val="00AE7DDA"/>
    <w:rsid w:val="00B21FE6"/>
    <w:rsid w:val="00BB69F2"/>
    <w:rsid w:val="00BC79FE"/>
    <w:rsid w:val="00C558B0"/>
    <w:rsid w:val="00D00A38"/>
    <w:rsid w:val="00D545BA"/>
    <w:rsid w:val="00D66C96"/>
    <w:rsid w:val="00E400D9"/>
    <w:rsid w:val="00E81204"/>
    <w:rsid w:val="00F81510"/>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F90CE2-3833-45E0-916C-4EE28DCD56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4068</Words>
  <Characters>23194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Musa Bamwine (2425291)</cp:lastModifiedBy>
  <cp:revision>3</cp:revision>
  <dcterms:created xsi:type="dcterms:W3CDTF">2026-08-06T15:40:00Z</dcterms:created>
  <dcterms:modified xsi:type="dcterms:W3CDTF">2026-08-06T15:41:00Z</dcterms:modified>
</cp:coreProperties>
</file>