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B2CCE" w14:textId="37A4D163" w:rsidR="00A829BD" w:rsidRDefault="00A829BD" w:rsidP="00511138">
      <w:pPr>
        <w:jc w:val="center"/>
        <w:rPr>
          <w:rFonts w:cs="Times New Roman"/>
          <w:b/>
          <w:bCs/>
          <w:sz w:val="40"/>
          <w:szCs w:val="40"/>
        </w:rPr>
      </w:pPr>
      <w:r>
        <w:rPr>
          <w:rFonts w:cs="Times New Roman"/>
          <w:b/>
          <w:bCs/>
          <w:sz w:val="40"/>
          <w:szCs w:val="40"/>
        </w:rPr>
        <w:t xml:space="preserve">   </w:t>
      </w:r>
    </w:p>
    <w:p w14:paraId="141CA0F8" w14:textId="7D8C1BBA" w:rsidR="00A829BD" w:rsidRDefault="00A829BD" w:rsidP="00A829BD">
      <w:pPr>
        <w:jc w:val="center"/>
        <w:rPr>
          <w:rFonts w:cs="Times New Roman"/>
          <w:b/>
          <w:bCs/>
          <w:sz w:val="40"/>
          <w:szCs w:val="40"/>
        </w:rPr>
      </w:pPr>
    </w:p>
    <w:p w14:paraId="0D19A9E6" w14:textId="2331F9DD" w:rsidR="00A829BD" w:rsidRDefault="00A829BD" w:rsidP="00A829BD">
      <w:pPr>
        <w:jc w:val="center"/>
        <w:rPr>
          <w:rFonts w:cs="Times New Roman"/>
          <w:b/>
          <w:bCs/>
          <w:sz w:val="40"/>
          <w:szCs w:val="40"/>
        </w:rPr>
      </w:pPr>
      <w:r>
        <w:drawing>
          <wp:anchor distT="0" distB="0" distL="114300" distR="114300" simplePos="0" relativeHeight="251659264" behindDoc="1" locked="0" layoutInCell="1" allowOverlap="1" wp14:anchorId="5E5118AC" wp14:editId="26160E53">
            <wp:simplePos x="0" y="0"/>
            <wp:positionH relativeFrom="column">
              <wp:posOffset>2293620</wp:posOffset>
            </wp:positionH>
            <wp:positionV relativeFrom="paragraph">
              <wp:posOffset>114935</wp:posOffset>
            </wp:positionV>
            <wp:extent cx="1247775" cy="952500"/>
            <wp:effectExtent l="0" t="114300" r="161925" b="285750"/>
            <wp:wrapTight wrapText="bothSides">
              <wp:wrapPolygon edited="0">
                <wp:start x="4617" y="-2592"/>
                <wp:lineTo x="330" y="-1728"/>
                <wp:lineTo x="660" y="16848"/>
                <wp:lineTo x="2308" y="19008"/>
                <wp:lineTo x="2308" y="19440"/>
                <wp:lineTo x="8244" y="25920"/>
                <wp:lineTo x="10553" y="27648"/>
                <wp:lineTo x="13850" y="27648"/>
                <wp:lineTo x="16159" y="25920"/>
                <wp:lineTo x="22424" y="19440"/>
                <wp:lineTo x="22424" y="19008"/>
                <wp:lineTo x="24073" y="12096"/>
                <wp:lineTo x="24073" y="4320"/>
                <wp:lineTo x="19786" y="-1728"/>
                <wp:lineTo x="19127" y="-2592"/>
                <wp:lineTo x="4617" y="-2592"/>
              </wp:wrapPolygon>
            </wp:wrapTight>
            <wp:docPr id="1017398145" name="Picture 6" descr="A black and yellow shield with blue flowe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398145" name="Picture 6" descr="A black and yellow shield with blue flowers and leaves&#10;&#10;AI-generated content may be incorrect."/>
                    <pic:cNvPicPr>
                      <a:picLocks noChangeAspect="1" noChangeArrowheads="1"/>
                    </pic:cNvPicPr>
                  </pic:nvPicPr>
                  <pic:blipFill>
                    <a:blip r:embed="rId6">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247775" cy="9525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174DC859" w14:textId="5970C0FD" w:rsidR="00A829BD" w:rsidRDefault="00A829BD" w:rsidP="00A829BD">
      <w:pPr>
        <w:jc w:val="center"/>
        <w:rPr>
          <w:rFonts w:cs="Times New Roman"/>
          <w:b/>
          <w:bCs/>
          <w:sz w:val="40"/>
          <w:szCs w:val="40"/>
        </w:rPr>
      </w:pPr>
    </w:p>
    <w:p w14:paraId="44EA1EC1" w14:textId="5B625447" w:rsidR="00A829BD" w:rsidRDefault="00A829BD" w:rsidP="00A829BD">
      <w:pPr>
        <w:jc w:val="center"/>
        <w:rPr>
          <w:rFonts w:cs="Times New Roman"/>
          <w:b/>
          <w:bCs/>
          <w:sz w:val="40"/>
          <w:szCs w:val="40"/>
        </w:rPr>
      </w:pPr>
    </w:p>
    <w:p w14:paraId="3D199362" w14:textId="1D5533A3" w:rsidR="00A829BD" w:rsidRPr="004B551F" w:rsidRDefault="00A829BD" w:rsidP="00A829BD">
      <w:pPr>
        <w:pStyle w:val="Title"/>
        <w:tabs>
          <w:tab w:val="left" w:pos="480"/>
          <w:tab w:val="center" w:pos="2661"/>
        </w:tabs>
        <w:jc w:val="center"/>
        <w:rPr>
          <w:rFonts w:asciiTheme="minorHAnsi" w:hAnsiTheme="minorHAnsi" w:cstheme="majorHAnsi"/>
          <w:b/>
          <w:bCs/>
          <w:i/>
          <w:iCs/>
          <w:sz w:val="48"/>
          <w:szCs w:val="48"/>
        </w:rPr>
      </w:pPr>
      <w:r w:rsidRPr="004B551F">
        <w:rPr>
          <w:rFonts w:asciiTheme="minorHAnsi" w:hAnsiTheme="minorHAnsi" w:cstheme="majorHAnsi"/>
          <w:b/>
          <w:bCs/>
          <w:i/>
          <w:iCs/>
          <w:sz w:val="48"/>
          <w:szCs w:val="48"/>
        </w:rPr>
        <w:t>University of Wales</w:t>
      </w:r>
    </w:p>
    <w:p w14:paraId="5124AD02" w14:textId="34298D2F" w:rsidR="00A829BD" w:rsidRDefault="00A829BD" w:rsidP="00A829BD">
      <w:pPr>
        <w:jc w:val="center"/>
        <w:rPr>
          <w:rFonts w:cs="Times New Roman"/>
          <w:b/>
          <w:bCs/>
          <w:sz w:val="40"/>
          <w:szCs w:val="40"/>
        </w:rPr>
      </w:pPr>
      <w:r w:rsidRPr="000D3570">
        <w:rPr>
          <w:rFonts w:asciiTheme="minorHAnsi" w:hAnsiTheme="minorHAnsi"/>
        </w:rPr>
        <w:t>Trinity saint David</w:t>
      </w:r>
      <w:r>
        <w:t>, Londo</w:t>
      </w:r>
      <w:r w:rsidR="00511138">
        <w:t>n</w:t>
      </w:r>
    </w:p>
    <w:p w14:paraId="42651488" w14:textId="77777777" w:rsidR="00A829BD" w:rsidRDefault="00A829BD" w:rsidP="00A829BD">
      <w:pPr>
        <w:jc w:val="center"/>
        <w:rPr>
          <w:rFonts w:cs="Times New Roman"/>
          <w:b/>
          <w:bCs/>
          <w:sz w:val="40"/>
          <w:szCs w:val="40"/>
        </w:rPr>
      </w:pPr>
    </w:p>
    <w:p w14:paraId="17463452" w14:textId="4005DB3C" w:rsidR="00A829BD" w:rsidRDefault="00A829BD" w:rsidP="00A829BD">
      <w:pPr>
        <w:jc w:val="center"/>
        <w:rPr>
          <w:rFonts w:eastAsia="Times New Roman" w:cs="Times New Roman"/>
          <w:b/>
          <w:sz w:val="36"/>
          <w:szCs w:val="36"/>
        </w:rPr>
      </w:pPr>
      <w:r>
        <w:rPr>
          <w:rFonts w:eastAsia="Times New Roman" w:cs="Times New Roman"/>
          <w:b/>
          <w:sz w:val="36"/>
          <w:szCs w:val="36"/>
        </w:rPr>
        <w:t xml:space="preserve">LCMB7024-MARKETING MANAGEMENT </w:t>
      </w:r>
    </w:p>
    <w:p w14:paraId="1AFD8C0B" w14:textId="2F0E7671" w:rsidR="00A829BD" w:rsidRPr="00A829BD" w:rsidRDefault="00A829BD" w:rsidP="00A829BD">
      <w:pPr>
        <w:jc w:val="center"/>
        <w:rPr>
          <w:rFonts w:eastAsia="Times New Roman" w:cs="Times New Roman"/>
          <w:b/>
          <w:sz w:val="36"/>
          <w:szCs w:val="36"/>
        </w:rPr>
      </w:pPr>
      <w:r>
        <w:rPr>
          <w:rFonts w:eastAsia="Times New Roman" w:cs="Times New Roman"/>
          <w:b/>
          <w:sz w:val="36"/>
          <w:szCs w:val="36"/>
        </w:rPr>
        <w:t>Assessment Component-2</w:t>
      </w:r>
    </w:p>
    <w:p w14:paraId="6ECEA893" w14:textId="79CA3F52" w:rsidR="00A829BD" w:rsidRDefault="00A829BD" w:rsidP="00A829BD">
      <w:pPr>
        <w:jc w:val="center"/>
        <w:rPr>
          <w:rFonts w:eastAsia="Times New Roman" w:cs="Times New Roman"/>
          <w:b/>
          <w:i/>
          <w:szCs w:val="24"/>
          <w:u w:val="single"/>
        </w:rPr>
      </w:pPr>
      <w:r>
        <w:rPr>
          <w:rFonts w:cs="Times New Roman"/>
          <w:b/>
          <w:bCs/>
          <w:sz w:val="40"/>
          <w:szCs w:val="40"/>
        </w:rPr>
        <w:t xml:space="preserve"> </w:t>
      </w:r>
      <w:r>
        <w:rPr>
          <w:rFonts w:eastAsia="Times New Roman" w:cs="Times New Roman"/>
          <w:b/>
          <w:i/>
          <w:szCs w:val="24"/>
          <w:u w:val="single"/>
        </w:rPr>
        <w:t>Student Name: Vinaykumar Kativarapu</w:t>
      </w:r>
    </w:p>
    <w:p w14:paraId="09260CC0" w14:textId="77777777" w:rsidR="00A829BD" w:rsidRDefault="00A829BD" w:rsidP="00A829BD">
      <w:pPr>
        <w:jc w:val="center"/>
        <w:rPr>
          <w:rFonts w:eastAsia="Times New Roman" w:cs="Times New Roman"/>
          <w:b/>
          <w:i/>
          <w:szCs w:val="24"/>
          <w:u w:val="single"/>
        </w:rPr>
      </w:pPr>
      <w:r>
        <w:rPr>
          <w:rFonts w:eastAsia="Times New Roman" w:cs="Times New Roman"/>
          <w:b/>
          <w:i/>
          <w:szCs w:val="24"/>
          <w:u w:val="single"/>
        </w:rPr>
        <w:t>Student ID:2414775</w:t>
      </w:r>
    </w:p>
    <w:p w14:paraId="13C3E7F6" w14:textId="77777777" w:rsidR="00A829BD" w:rsidRDefault="00A829BD" w:rsidP="00A829BD">
      <w:pPr>
        <w:jc w:val="center"/>
        <w:rPr>
          <w:rFonts w:eastAsia="Times New Roman" w:cs="Times New Roman"/>
          <w:b/>
          <w:i/>
          <w:szCs w:val="24"/>
          <w:u w:val="single"/>
        </w:rPr>
      </w:pPr>
      <w:r>
        <w:rPr>
          <w:rFonts w:eastAsia="Times New Roman" w:cs="Times New Roman"/>
          <w:b/>
          <w:i/>
          <w:szCs w:val="24"/>
          <w:u w:val="single"/>
        </w:rPr>
        <w:t>Group-3</w:t>
      </w:r>
    </w:p>
    <w:p w14:paraId="5DA68369" w14:textId="77777777" w:rsidR="00A829BD" w:rsidRDefault="00A829BD" w:rsidP="00A829BD">
      <w:pPr>
        <w:jc w:val="center"/>
        <w:rPr>
          <w:rFonts w:eastAsia="Times New Roman" w:cs="Times New Roman"/>
          <w:b/>
          <w:i/>
          <w:szCs w:val="24"/>
          <w:u w:val="single"/>
        </w:rPr>
      </w:pPr>
      <w:r>
        <w:rPr>
          <w:rFonts w:eastAsia="Times New Roman" w:cs="Times New Roman"/>
          <w:b/>
          <w:i/>
          <w:szCs w:val="24"/>
          <w:u w:val="single"/>
        </w:rPr>
        <w:t>Name of the lecture: Haoran Liu</w:t>
      </w:r>
    </w:p>
    <w:p w14:paraId="194BB2A9" w14:textId="15E8C622" w:rsidR="007655B2" w:rsidRDefault="007655B2" w:rsidP="007655B2">
      <w:pPr>
        <w:jc w:val="center"/>
        <w:rPr>
          <w:rFonts w:eastAsia="Times New Roman" w:cs="Times New Roman"/>
          <w:b/>
          <w:i/>
          <w:szCs w:val="24"/>
          <w:u w:val="single"/>
        </w:rPr>
      </w:pPr>
      <w:r>
        <w:rPr>
          <w:rFonts w:eastAsia="Times New Roman" w:cs="Times New Roman"/>
          <w:b/>
          <w:i/>
          <w:szCs w:val="24"/>
          <w:u w:val="single"/>
        </w:rPr>
        <w:t>Term-1</w:t>
      </w:r>
    </w:p>
    <w:p w14:paraId="0866E793" w14:textId="7EC3C68B" w:rsidR="00A829BD" w:rsidRDefault="00A829BD" w:rsidP="00A829BD">
      <w:pPr>
        <w:jc w:val="center"/>
        <w:rPr>
          <w:rFonts w:cs="Times New Roman"/>
          <w:b/>
          <w:bCs/>
          <w:sz w:val="40"/>
          <w:szCs w:val="40"/>
        </w:rPr>
      </w:pPr>
      <w:r>
        <w:rPr>
          <w:rFonts w:cs="Times New Roman"/>
          <w:b/>
          <w:bCs/>
          <w:sz w:val="40"/>
          <w:szCs w:val="40"/>
        </w:rPr>
        <w:t xml:space="preserve">       </w:t>
      </w:r>
    </w:p>
    <w:p w14:paraId="7282642D" w14:textId="0FFA99B3" w:rsidR="00A829BD" w:rsidRDefault="007655B2" w:rsidP="00A829BD">
      <w:pPr>
        <w:jc w:val="center"/>
        <w:rPr>
          <w:rFonts w:eastAsia="Times New Roman" w:cs="Times New Roman"/>
          <w:b/>
          <w:i/>
          <w:szCs w:val="24"/>
          <w:u w:val="single"/>
        </w:rPr>
      </w:pPr>
      <w:r>
        <w:rPr>
          <w:rFonts w:cs="Times New Roman"/>
          <w:b/>
          <w:bCs/>
          <w:sz w:val="40"/>
          <w:szCs w:val="40"/>
        </w:rPr>
        <w:br w:type="page"/>
      </w:r>
    </w:p>
    <w:p w14:paraId="6C0CB909" w14:textId="5A047BF3" w:rsidR="00A829BD" w:rsidRDefault="00A829BD" w:rsidP="00A829BD">
      <w:pPr>
        <w:jc w:val="center"/>
        <w:rPr>
          <w:rFonts w:eastAsia="Times New Roman" w:cs="Times New Roman"/>
          <w:b/>
          <w:i/>
          <w:szCs w:val="24"/>
          <w:u w:val="single"/>
        </w:rPr>
      </w:pPr>
    </w:p>
    <w:p w14:paraId="6A6BA71D" w14:textId="3F236F61" w:rsidR="00AD5720" w:rsidRDefault="00AD5720">
      <w:pPr>
        <w:spacing w:line="259" w:lineRule="auto"/>
        <w:jc w:val="left"/>
        <w:rPr>
          <w:rFonts w:cs="Times New Roman"/>
          <w:b/>
          <w:bCs/>
          <w:sz w:val="40"/>
          <w:szCs w:val="40"/>
        </w:rPr>
      </w:pPr>
    </w:p>
    <w:sdt>
      <w:sdtPr>
        <w:rPr>
          <w:rFonts w:ascii="Times New Roman" w:eastAsiaTheme="minorHAnsi" w:hAnsi="Times New Roman" w:cstheme="minorBidi"/>
          <w:noProof/>
          <w:color w:val="auto"/>
          <w:kern w:val="2"/>
          <w:sz w:val="24"/>
          <w:szCs w:val="22"/>
          <w:lang w:val="en-GB"/>
          <w14:ligatures w14:val="standardContextual"/>
        </w:rPr>
        <w:id w:val="1481656869"/>
        <w:docPartObj>
          <w:docPartGallery w:val="Table of Contents"/>
          <w:docPartUnique/>
        </w:docPartObj>
      </w:sdtPr>
      <w:sdtEndPr>
        <w:rPr>
          <w:b/>
          <w:bCs/>
        </w:rPr>
      </w:sdtEndPr>
      <w:sdtContent>
        <w:p w14:paraId="2E34076B" w14:textId="3DA0B10A" w:rsidR="00AD5720" w:rsidRDefault="007655B2">
          <w:pPr>
            <w:pStyle w:val="TOCHeading"/>
          </w:pPr>
          <w:r>
            <w:t>Table of Contents</w:t>
          </w:r>
        </w:p>
        <w:p w14:paraId="3EFF0C7C" w14:textId="016761A3" w:rsidR="00AD5720" w:rsidRDefault="007655B2">
          <w:pPr>
            <w:pStyle w:val="TOC1"/>
            <w:tabs>
              <w:tab w:val="right" w:leader="dot" w:pos="9016"/>
            </w:tabs>
          </w:pPr>
          <w:r>
            <w:fldChar w:fldCharType="begin"/>
          </w:r>
          <w:r>
            <w:instrText xml:space="preserve"> TOC \o "1-3" \h \z \u </w:instrText>
          </w:r>
          <w:r>
            <w:fldChar w:fldCharType="separate"/>
          </w:r>
          <w:hyperlink w:anchor="_Toc195785845" w:history="1">
            <w:r w:rsidR="00AD5720" w:rsidRPr="0079778A">
              <w:rPr>
                <w:rStyle w:val="Hyperlink"/>
              </w:rPr>
              <w:t>Introduction</w:t>
            </w:r>
            <w:r w:rsidR="00AD5720">
              <w:rPr>
                <w:webHidden/>
              </w:rPr>
              <w:tab/>
            </w:r>
            <w:r w:rsidR="00AD5720">
              <w:rPr>
                <w:webHidden/>
              </w:rPr>
              <w:fldChar w:fldCharType="begin"/>
            </w:r>
            <w:r w:rsidR="00AD5720">
              <w:rPr>
                <w:webHidden/>
              </w:rPr>
              <w:instrText xml:space="preserve"> PAGEREF _Toc195785845 \h </w:instrText>
            </w:r>
            <w:r w:rsidR="00AD5720">
              <w:rPr>
                <w:webHidden/>
              </w:rPr>
            </w:r>
            <w:r w:rsidR="00AD5720">
              <w:rPr>
                <w:webHidden/>
              </w:rPr>
              <w:fldChar w:fldCharType="separate"/>
            </w:r>
            <w:r w:rsidR="00AD5720">
              <w:rPr>
                <w:webHidden/>
              </w:rPr>
              <w:t>3</w:t>
            </w:r>
            <w:r w:rsidR="00AD5720">
              <w:rPr>
                <w:webHidden/>
              </w:rPr>
              <w:fldChar w:fldCharType="end"/>
            </w:r>
          </w:hyperlink>
        </w:p>
        <w:p w14:paraId="598ED54D" w14:textId="4F9E2239" w:rsidR="00AD5720" w:rsidRDefault="00AD5720">
          <w:pPr>
            <w:pStyle w:val="TOC1"/>
            <w:tabs>
              <w:tab w:val="right" w:leader="dot" w:pos="9016"/>
            </w:tabs>
          </w:pPr>
          <w:hyperlink w:anchor="_Toc195785846" w:history="1">
            <w:r w:rsidRPr="0079778A">
              <w:rPr>
                <w:rStyle w:val="Hyperlink"/>
              </w:rPr>
              <w:t>Brand Extension</w:t>
            </w:r>
            <w:r>
              <w:rPr>
                <w:webHidden/>
              </w:rPr>
              <w:tab/>
            </w:r>
            <w:r>
              <w:rPr>
                <w:webHidden/>
              </w:rPr>
              <w:fldChar w:fldCharType="begin"/>
            </w:r>
            <w:r>
              <w:rPr>
                <w:webHidden/>
              </w:rPr>
              <w:instrText xml:space="preserve"> PAGEREF _Toc195785846 \h </w:instrText>
            </w:r>
            <w:r>
              <w:rPr>
                <w:webHidden/>
              </w:rPr>
            </w:r>
            <w:r>
              <w:rPr>
                <w:webHidden/>
              </w:rPr>
              <w:fldChar w:fldCharType="separate"/>
            </w:r>
            <w:r>
              <w:rPr>
                <w:webHidden/>
              </w:rPr>
              <w:t>3</w:t>
            </w:r>
            <w:r>
              <w:rPr>
                <w:webHidden/>
              </w:rPr>
              <w:fldChar w:fldCharType="end"/>
            </w:r>
          </w:hyperlink>
        </w:p>
        <w:p w14:paraId="5799C629" w14:textId="6157AD80" w:rsidR="00AD5720" w:rsidRDefault="00AD5720">
          <w:pPr>
            <w:pStyle w:val="TOC1"/>
            <w:tabs>
              <w:tab w:val="right" w:leader="dot" w:pos="9016"/>
            </w:tabs>
          </w:pPr>
          <w:hyperlink w:anchor="_Toc195785847" w:history="1">
            <w:r w:rsidRPr="0079778A">
              <w:rPr>
                <w:rStyle w:val="Hyperlink"/>
              </w:rPr>
              <w:t>STP for the New Brand Extension</w:t>
            </w:r>
            <w:r>
              <w:rPr>
                <w:webHidden/>
              </w:rPr>
              <w:tab/>
            </w:r>
            <w:r>
              <w:rPr>
                <w:webHidden/>
              </w:rPr>
              <w:fldChar w:fldCharType="begin"/>
            </w:r>
            <w:r>
              <w:rPr>
                <w:webHidden/>
              </w:rPr>
              <w:instrText xml:space="preserve"> PAGEREF _Toc195785847 \h </w:instrText>
            </w:r>
            <w:r>
              <w:rPr>
                <w:webHidden/>
              </w:rPr>
            </w:r>
            <w:r>
              <w:rPr>
                <w:webHidden/>
              </w:rPr>
              <w:fldChar w:fldCharType="separate"/>
            </w:r>
            <w:r>
              <w:rPr>
                <w:webHidden/>
              </w:rPr>
              <w:t>5</w:t>
            </w:r>
            <w:r>
              <w:rPr>
                <w:webHidden/>
              </w:rPr>
              <w:fldChar w:fldCharType="end"/>
            </w:r>
          </w:hyperlink>
        </w:p>
        <w:p w14:paraId="4153EEE8" w14:textId="6743AD01" w:rsidR="00AD5720" w:rsidRDefault="00AD5720">
          <w:pPr>
            <w:pStyle w:val="TOC1"/>
            <w:tabs>
              <w:tab w:val="right" w:leader="dot" w:pos="9016"/>
            </w:tabs>
          </w:pPr>
          <w:hyperlink w:anchor="_Toc195785848" w:history="1">
            <w:r w:rsidRPr="0079778A">
              <w:rPr>
                <w:rStyle w:val="Hyperlink"/>
              </w:rPr>
              <w:t>Customer Personal Profile</w:t>
            </w:r>
            <w:r>
              <w:rPr>
                <w:webHidden/>
              </w:rPr>
              <w:tab/>
            </w:r>
            <w:r>
              <w:rPr>
                <w:webHidden/>
              </w:rPr>
              <w:fldChar w:fldCharType="begin"/>
            </w:r>
            <w:r>
              <w:rPr>
                <w:webHidden/>
              </w:rPr>
              <w:instrText xml:space="preserve"> PAGEREF _Toc195785848 \h </w:instrText>
            </w:r>
            <w:r>
              <w:rPr>
                <w:webHidden/>
              </w:rPr>
            </w:r>
            <w:r>
              <w:rPr>
                <w:webHidden/>
              </w:rPr>
              <w:fldChar w:fldCharType="separate"/>
            </w:r>
            <w:r>
              <w:rPr>
                <w:webHidden/>
              </w:rPr>
              <w:t>7</w:t>
            </w:r>
            <w:r>
              <w:rPr>
                <w:webHidden/>
              </w:rPr>
              <w:fldChar w:fldCharType="end"/>
            </w:r>
          </w:hyperlink>
        </w:p>
        <w:p w14:paraId="4C011638" w14:textId="73F0BE10" w:rsidR="00AD5720" w:rsidRDefault="00AD5720">
          <w:pPr>
            <w:pStyle w:val="TOC1"/>
            <w:tabs>
              <w:tab w:val="right" w:leader="dot" w:pos="9016"/>
            </w:tabs>
          </w:pPr>
          <w:hyperlink w:anchor="_Toc195785849" w:history="1">
            <w:r w:rsidRPr="0079778A">
              <w:rPr>
                <w:rStyle w:val="Hyperlink"/>
              </w:rPr>
              <w:t>Marketing Mix Strategy</w:t>
            </w:r>
            <w:r>
              <w:rPr>
                <w:webHidden/>
              </w:rPr>
              <w:tab/>
            </w:r>
            <w:r>
              <w:rPr>
                <w:webHidden/>
              </w:rPr>
              <w:fldChar w:fldCharType="begin"/>
            </w:r>
            <w:r>
              <w:rPr>
                <w:webHidden/>
              </w:rPr>
              <w:instrText xml:space="preserve"> PAGEREF _Toc195785849 \h </w:instrText>
            </w:r>
            <w:r>
              <w:rPr>
                <w:webHidden/>
              </w:rPr>
            </w:r>
            <w:r>
              <w:rPr>
                <w:webHidden/>
              </w:rPr>
              <w:fldChar w:fldCharType="separate"/>
            </w:r>
            <w:r>
              <w:rPr>
                <w:webHidden/>
              </w:rPr>
              <w:t>8</w:t>
            </w:r>
            <w:r>
              <w:rPr>
                <w:webHidden/>
              </w:rPr>
              <w:fldChar w:fldCharType="end"/>
            </w:r>
          </w:hyperlink>
        </w:p>
        <w:p w14:paraId="60BE3750" w14:textId="3FB547D7" w:rsidR="00AD5720" w:rsidRDefault="00AD5720">
          <w:pPr>
            <w:pStyle w:val="TOC1"/>
            <w:tabs>
              <w:tab w:val="right" w:leader="dot" w:pos="9016"/>
            </w:tabs>
          </w:pPr>
          <w:hyperlink w:anchor="_Toc195785850" w:history="1">
            <w:r w:rsidRPr="0079778A">
              <w:rPr>
                <w:rStyle w:val="Hyperlink"/>
              </w:rPr>
              <w:t>Conclusion</w:t>
            </w:r>
            <w:r>
              <w:rPr>
                <w:webHidden/>
              </w:rPr>
              <w:tab/>
            </w:r>
            <w:r>
              <w:rPr>
                <w:webHidden/>
              </w:rPr>
              <w:fldChar w:fldCharType="begin"/>
            </w:r>
            <w:r>
              <w:rPr>
                <w:webHidden/>
              </w:rPr>
              <w:instrText xml:space="preserve"> PAGEREF _Toc195785850 \h </w:instrText>
            </w:r>
            <w:r>
              <w:rPr>
                <w:webHidden/>
              </w:rPr>
            </w:r>
            <w:r>
              <w:rPr>
                <w:webHidden/>
              </w:rPr>
              <w:fldChar w:fldCharType="separate"/>
            </w:r>
            <w:r>
              <w:rPr>
                <w:webHidden/>
              </w:rPr>
              <w:t>10</w:t>
            </w:r>
            <w:r>
              <w:rPr>
                <w:webHidden/>
              </w:rPr>
              <w:fldChar w:fldCharType="end"/>
            </w:r>
          </w:hyperlink>
        </w:p>
        <w:p w14:paraId="7C5CD126" w14:textId="5D42186E" w:rsidR="00AD5720" w:rsidRDefault="00AD5720">
          <w:pPr>
            <w:pStyle w:val="TOC1"/>
            <w:tabs>
              <w:tab w:val="right" w:leader="dot" w:pos="9016"/>
            </w:tabs>
          </w:pPr>
          <w:hyperlink w:anchor="_Toc195785851" w:history="1">
            <w:r w:rsidRPr="0079778A">
              <w:rPr>
                <w:rStyle w:val="Hyperlink"/>
              </w:rPr>
              <w:t>References</w:t>
            </w:r>
            <w:r>
              <w:rPr>
                <w:webHidden/>
              </w:rPr>
              <w:tab/>
            </w:r>
            <w:r>
              <w:rPr>
                <w:webHidden/>
              </w:rPr>
              <w:fldChar w:fldCharType="begin"/>
            </w:r>
            <w:r>
              <w:rPr>
                <w:webHidden/>
              </w:rPr>
              <w:instrText xml:space="preserve"> PAGEREF _Toc195785851 \h </w:instrText>
            </w:r>
            <w:r>
              <w:rPr>
                <w:webHidden/>
              </w:rPr>
            </w:r>
            <w:r>
              <w:rPr>
                <w:webHidden/>
              </w:rPr>
              <w:fldChar w:fldCharType="separate"/>
            </w:r>
            <w:r>
              <w:rPr>
                <w:webHidden/>
              </w:rPr>
              <w:t>11</w:t>
            </w:r>
            <w:r>
              <w:rPr>
                <w:webHidden/>
              </w:rPr>
              <w:fldChar w:fldCharType="end"/>
            </w:r>
          </w:hyperlink>
        </w:p>
        <w:p w14:paraId="1D0D671E" w14:textId="4BB0184A" w:rsidR="00AD5720" w:rsidRDefault="007655B2">
          <w:r>
            <w:rPr>
              <w:b/>
              <w:bCs/>
            </w:rPr>
            <w:fldChar w:fldCharType="end"/>
          </w:r>
        </w:p>
      </w:sdtContent>
    </w:sdt>
    <w:p w14:paraId="7A49094E" w14:textId="41AECFEE" w:rsidR="00976CED" w:rsidRDefault="007655B2">
      <w:pPr>
        <w:rPr>
          <w:rFonts w:cs="Times New Roman"/>
          <w:b/>
          <w:bCs/>
          <w:sz w:val="40"/>
          <w:szCs w:val="40"/>
        </w:rPr>
      </w:pPr>
      <w:r>
        <w:rPr>
          <w:rFonts w:cs="Times New Roman"/>
          <w:b/>
          <w:bCs/>
          <w:sz w:val="40"/>
          <w:szCs w:val="40"/>
        </w:rPr>
        <w:br w:type="page"/>
      </w:r>
    </w:p>
    <w:p w14:paraId="438F9CF2" w14:textId="1DF40C92" w:rsidR="00976CED" w:rsidRDefault="007655B2" w:rsidP="00976CED">
      <w:pPr>
        <w:pStyle w:val="Heading1"/>
      </w:pPr>
      <w:bookmarkStart w:id="0" w:name="_Toc195785845"/>
      <w:r w:rsidRPr="00976CED">
        <w:lastRenderedPageBreak/>
        <w:t>Introduction</w:t>
      </w:r>
      <w:bookmarkEnd w:id="0"/>
      <w:r w:rsidRPr="00976CED">
        <w:t xml:space="preserve"> </w:t>
      </w:r>
    </w:p>
    <w:p w14:paraId="25C2AE88" w14:textId="6EADBF7F" w:rsidR="00976CED" w:rsidRDefault="007655B2" w:rsidP="00976CED">
      <w:r>
        <w:t>Bentley operates in the luxury automobile industry that specialises in high-end performance cars and SUVs. Key models mainly include Continental GT, Flying Spur and Bentayga known for their handcrafted excellence, powerful engines and bespoken customisation</w:t>
      </w:r>
      <w:r w:rsidR="00EC7939">
        <w:t xml:space="preserve"> (B</w:t>
      </w:r>
      <w:r w:rsidR="00EC7939" w:rsidRPr="005B2021">
        <w:t>entleymotors.com</w:t>
      </w:r>
      <w:r w:rsidR="00EC7939">
        <w:t>, 2025)</w:t>
      </w:r>
      <w:r>
        <w:t xml:space="preserve">. </w:t>
      </w:r>
      <w:r w:rsidR="0017192D">
        <w:t>The brand identity mainly revolves around British heritage, opulence and engineering precision that targets affluent buyers seeking exclusivity and prestige. Bentley combines traditional craftsmanship with cutting-edge technology, emphasising elegance, performance and timeless design, its logo and slogan, "Build an Extraordinary", reinforce its elite status, positioning Bentley as a symbol of luxury and sophistication in the automotive world</w:t>
      </w:r>
      <w:r w:rsidR="00EC7939">
        <w:t xml:space="preserve"> (</w:t>
      </w:r>
      <w:r w:rsidR="00EC7939">
        <w:rPr>
          <w:lang w:val="en-IN"/>
        </w:rPr>
        <w:t>B</w:t>
      </w:r>
      <w:r w:rsidR="00EC7939" w:rsidRPr="005B2021">
        <w:rPr>
          <w:lang w:val="en-IN"/>
        </w:rPr>
        <w:t>entleymotors.com</w:t>
      </w:r>
      <w:r w:rsidR="00EC7939">
        <w:rPr>
          <w:lang w:val="en-IN"/>
        </w:rPr>
        <w:t>, 2025)</w:t>
      </w:r>
      <w:r w:rsidR="0017192D">
        <w:t xml:space="preserve">. </w:t>
      </w:r>
    </w:p>
    <w:p w14:paraId="40A82898" w14:textId="42736E69" w:rsidR="001D1525" w:rsidRPr="00976CED" w:rsidRDefault="007655B2" w:rsidP="00976CED">
      <w:r>
        <w:t xml:space="preserve">The current report evaluates a proposed brand extension for Bentley assessing its potential to enhance the brand's luxury portfolio while at the same time maintaining alignment with its core values of craftmanship, exclusivity and performance. The study outlines the new product or service, explaining how it capitalises on Bentley's prestige to fill a market gap or look ahead and address emerging consumer needs such as sustainable luxury, ultra-premium lifestyle accessories or next-generation mobility solutions. </w:t>
      </w:r>
      <w:r w:rsidR="000D5A7F">
        <w:t xml:space="preserve">A detailed STP analysis identifies key customer segments (demographic, geographic, psychographic and behavioural), the most viable target market and a positioning strategy that helps distinguish Bentley's extension from that of competitors. Moreover, a customer persona profile defines the idea buyer, while the 7Ps marketing mix outlines execution strategies across product, pricing, promotion and distribution. </w:t>
      </w:r>
      <w:r w:rsidR="005C03F1">
        <w:t xml:space="preserve">The report further underlays recommendations to ensure the extension strengthens Bentley's brand equity drives growth and resonates with high-net-worth consumers. </w:t>
      </w:r>
    </w:p>
    <w:p w14:paraId="59914184" w14:textId="795C9C53" w:rsidR="00976CED" w:rsidRDefault="007655B2" w:rsidP="00976CED">
      <w:pPr>
        <w:pStyle w:val="Heading1"/>
      </w:pPr>
      <w:bookmarkStart w:id="1" w:name="_Toc195785846"/>
      <w:r w:rsidRPr="00976CED">
        <w:t>Brand Extension</w:t>
      </w:r>
      <w:bookmarkEnd w:id="1"/>
      <w:r w:rsidRPr="00976CED">
        <w:t xml:space="preserve"> </w:t>
      </w:r>
    </w:p>
    <w:p w14:paraId="415AC482" w14:textId="73907A36" w:rsidR="002F2DC0" w:rsidRDefault="007655B2" w:rsidP="0032073C">
      <w:r>
        <w:t>Bentley is extending its luxury portfolio with an all-electric SUV, that is slated for launch in 2026, as part of its commitment to sustainability without compromising exclusivity. This model will combine Bentley's signature craftsmanship with cutting-edge EV technology that features bespoken interiors, high-performance capabilities and sleek, aerodynamic design</w:t>
      </w:r>
      <w:r w:rsidR="00EC7939">
        <w:t xml:space="preserve"> (</w:t>
      </w:r>
      <w:r w:rsidR="00EC7939" w:rsidRPr="0032073C">
        <w:rPr>
          <w:lang w:val="en-IN"/>
        </w:rPr>
        <w:t>Bentleymotors.com, 2025)</w:t>
      </w:r>
      <w:r>
        <w:t xml:space="preserve">. </w:t>
      </w:r>
      <w:r w:rsidR="007E3EC9">
        <w:t xml:space="preserve">Targeting eco-conscious ultra-high-net-worth individuals, the SUV will look to offer Zero emission luxury mobility that aligns with Bentley's "Beyond 100" strategy to become carbon-neutral by 2030. </w:t>
      </w:r>
      <w:r w:rsidR="0050649B">
        <w:t>The electric SUV fills a growing demand for sustainable luxury vehicles while reinforcing Bentley's market position as an innovator in premium automotive experiences</w:t>
      </w:r>
      <w:r w:rsidR="00EC7939">
        <w:t xml:space="preserve"> (</w:t>
      </w:r>
      <w:r w:rsidR="00EC7939" w:rsidRPr="0032073C">
        <w:rPr>
          <w:lang w:val="en-IN"/>
        </w:rPr>
        <w:t>Reuters.com, 2024)</w:t>
      </w:r>
      <w:r w:rsidR="0050649B">
        <w:t xml:space="preserve">. It will compete with rivals such as the </w:t>
      </w:r>
      <w:r w:rsidR="0050649B">
        <w:lastRenderedPageBreak/>
        <w:t>Rolls Royce Spectre and Mercedes EQS SUV but differentiate through Bentley's heritage of hand-built excellence and personalised customisation</w:t>
      </w:r>
      <w:r w:rsidR="00EC7939">
        <w:t xml:space="preserve"> (</w:t>
      </w:r>
      <w:r w:rsidR="00EC7939" w:rsidRPr="0032073C">
        <w:rPr>
          <w:lang w:val="en-IN"/>
        </w:rPr>
        <w:t>Greencarreports.com, 2024)</w:t>
      </w:r>
      <w:r w:rsidR="0050649B">
        <w:t xml:space="preserve">. This extension looks to strengthen Bentley’s future relevance in an evolving automobile landscape dominated by electrification. </w:t>
      </w:r>
    </w:p>
    <w:p w14:paraId="2BC18CD9" w14:textId="44047919" w:rsidR="0066412B" w:rsidRDefault="007655B2" w:rsidP="002F2DC0">
      <w:r>
        <w:t>Bentley's 2026 electric SUV perfectly aligns with its core brand values of luxury craftsmanship, performance excellence and exclusivity, while embracing modern sustainability. The vehicle maintains Bentley's tradition of hand-built precision, offering bespoken interiors and cutting-edge engineering, ensuring it remains a symbol of elite automotive artistry</w:t>
      </w:r>
      <w:r w:rsidR="00EC7939">
        <w:t xml:space="preserve"> (B</w:t>
      </w:r>
      <w:r w:rsidR="00EC7939" w:rsidRPr="00224E0F">
        <w:t>entleymotors.com</w:t>
      </w:r>
      <w:r w:rsidR="00EC7939">
        <w:t>, 2025)</w:t>
      </w:r>
      <w:r>
        <w:t xml:space="preserve">. Its high-performance electric drivetrain reinforces Bentley's legacy of power and refinement, now with zero emissions. </w:t>
      </w:r>
      <w:r w:rsidR="0002498F">
        <w:t>Strategically, the EV SUV strengthens Bentley's market position as a forward-thinking leader. It caters to affluent buyers seeking eco-conscious prestige, bridging Bentley's heritage with future mobility trends. By entering the premium EV segment, Bentley competes with rivals such as Rolls-Royce while differentiating through its driver-centric experience and customisation</w:t>
      </w:r>
      <w:r w:rsidR="00EC7939">
        <w:t xml:space="preserve"> (</w:t>
      </w:r>
      <w:r w:rsidR="00EC7939">
        <w:rPr>
          <w:lang w:val="en-IN"/>
        </w:rPr>
        <w:t>G</w:t>
      </w:r>
      <w:r w:rsidR="00EC7939" w:rsidRPr="00224E0F">
        <w:rPr>
          <w:lang w:val="en-IN"/>
        </w:rPr>
        <w:t>lobalbankingandfinance.com</w:t>
      </w:r>
      <w:r w:rsidR="00EC7939">
        <w:rPr>
          <w:lang w:val="en-IN"/>
        </w:rPr>
        <w:t>, 2024)</w:t>
      </w:r>
      <w:r w:rsidR="0002498F">
        <w:t xml:space="preserve">. This extension holds Bentley's exclusivity, ensuring it remains aspirational yet relevant in an electrified automotive era, without diluting its ultra-luxury identity. </w:t>
      </w:r>
    </w:p>
    <w:p w14:paraId="566ED9EA" w14:textId="4ECDE49C" w:rsidR="00BA5FD9" w:rsidRDefault="007655B2" w:rsidP="002F2DC0">
      <w:r>
        <w:t>Bentley's electric SUV adds significant value by future-proofing the brand in an increasingly eco-conscious luxury market. It meets the emerging demand from high-net-worth individuals who seek sustainable mobility without compromising on prestige or performance a need currently underserved in the ultra-luxury EV segment</w:t>
      </w:r>
      <w:r w:rsidR="00EC7939">
        <w:t xml:space="preserve"> (</w:t>
      </w:r>
      <w:r w:rsidR="00EC7939">
        <w:rPr>
          <w:lang w:val="en-IN"/>
        </w:rPr>
        <w:t>B</w:t>
      </w:r>
      <w:r w:rsidR="00EC7939" w:rsidRPr="005B2021">
        <w:rPr>
          <w:lang w:val="en-IN"/>
        </w:rPr>
        <w:t>entleymotors.com</w:t>
      </w:r>
      <w:r w:rsidR="00EC7939">
        <w:rPr>
          <w:lang w:val="en-IN"/>
        </w:rPr>
        <w:t>, 2025)</w:t>
      </w:r>
      <w:r>
        <w:t xml:space="preserve">. </w:t>
      </w:r>
      <w:r w:rsidR="00DE6A5A">
        <w:t>The extension fills a critical market gap between traditional luxury SUVs and electric alternatives, positioning Bentley ahead of rivals still transitioning to electrification. By combining zero-emission technology with Bentley's hallmark craftsmanship, it attracts both loyal customers and new, environmentally aware buyers</w:t>
      </w:r>
      <w:r w:rsidR="00EC7939">
        <w:t xml:space="preserve"> (</w:t>
      </w:r>
      <w:r w:rsidR="00EC7939">
        <w:rPr>
          <w:lang w:val="en-IN"/>
        </w:rPr>
        <w:t>B</w:t>
      </w:r>
      <w:r w:rsidR="00EC7939" w:rsidRPr="005B2021">
        <w:rPr>
          <w:lang w:val="en-IN"/>
        </w:rPr>
        <w:t>entleymotors.com</w:t>
      </w:r>
      <w:r w:rsidR="00EC7939">
        <w:rPr>
          <w:lang w:val="en-IN"/>
        </w:rPr>
        <w:t>, 2025)</w:t>
      </w:r>
      <w:r w:rsidR="00DE6A5A">
        <w:t xml:space="preserve">. </w:t>
      </w:r>
      <w:r w:rsidR="00E05997">
        <w:t xml:space="preserve">Strategically, it reinforces Bentley's innovation leadership while defending its market share against competitors such as Rolls-Royce and Aston Martin. The SUV also creates cross-selling opportunities for Bentley's bespoken services, enhancing lifetime customer value. Ultimately, this extension ensures Bentley remains relevant and desirable as luxury preferences evolve toward sustainability. </w:t>
      </w:r>
    </w:p>
    <w:p w14:paraId="7DD2EF5B" w14:textId="77777777" w:rsidR="00EC7939" w:rsidRPr="002F2DC0" w:rsidRDefault="00EC7939" w:rsidP="002F2DC0"/>
    <w:p w14:paraId="5EB6B322" w14:textId="2A740B2A" w:rsidR="00976CED" w:rsidRDefault="007655B2" w:rsidP="00976CED">
      <w:pPr>
        <w:pStyle w:val="Heading1"/>
      </w:pPr>
      <w:bookmarkStart w:id="2" w:name="_Toc195785847"/>
      <w:r w:rsidRPr="00976CED">
        <w:lastRenderedPageBreak/>
        <w:t>STP for the New Brand Extension</w:t>
      </w:r>
      <w:bookmarkEnd w:id="2"/>
    </w:p>
    <w:p w14:paraId="742C36E3" w14:textId="77777777" w:rsidR="00BC563E" w:rsidRPr="00081AB5" w:rsidRDefault="007655B2" w:rsidP="00AA4D78">
      <w:pPr>
        <w:rPr>
          <w:b/>
          <w:bCs/>
        </w:rPr>
      </w:pPr>
      <w:r w:rsidRPr="00081AB5">
        <w:rPr>
          <w:b/>
          <w:bCs/>
        </w:rPr>
        <w:t>Segmentation</w:t>
      </w:r>
    </w:p>
    <w:p w14:paraId="4581B053" w14:textId="537EAF0E" w:rsidR="00AA4D78" w:rsidRDefault="007655B2" w:rsidP="00AA4D78">
      <w:r>
        <w:rPr>
          <w:b/>
          <w:bCs/>
          <w:i/>
          <w:iCs/>
        </w:rPr>
        <w:t xml:space="preserve">Demographic: </w:t>
      </w:r>
      <w:r>
        <w:t>The primary demographic consists of ultra-high-net-worth individuals aged 35-65 years old, with household incomes exceeding $ 500,000 annually. This mainly includes entrepreneurs, C-suite executives and heirs to family fortune individuals who can afford Bentley's premium pricing</w:t>
      </w:r>
      <w:r w:rsidR="00EC7939">
        <w:t xml:space="preserve"> (</w:t>
      </w:r>
      <w:r w:rsidR="00EC7939" w:rsidRPr="00224E0F">
        <w:t>Hossain</w:t>
      </w:r>
      <w:r w:rsidR="00EC7939">
        <w:t xml:space="preserve"> et al., 2024)</w:t>
      </w:r>
      <w:r>
        <w:t xml:space="preserve">. The extension also targets younger (35-50 years), tech-savvy luxury consumers who value sustainability but refuse to compromise on performance or status. </w:t>
      </w:r>
    </w:p>
    <w:p w14:paraId="1E2D1CCD" w14:textId="47750481" w:rsidR="00BC563E" w:rsidRDefault="007655B2" w:rsidP="00AA4D78">
      <w:r w:rsidRPr="00BC563E">
        <w:rPr>
          <w:b/>
          <w:bCs/>
          <w:i/>
          <w:iCs/>
        </w:rPr>
        <w:t xml:space="preserve">Geographic: </w:t>
      </w:r>
      <w:r>
        <w:t>Bentley will be focusing on urban and suburban areas in key markets, North America, Western Europe, the Middle East and Asian megacities. These regions have high concentrations of wealth, developed EV infrastructure and strict emissions regulations that drive demand for luxury electric vehicles</w:t>
      </w:r>
      <w:r w:rsidR="00EC7939">
        <w:t xml:space="preserve"> (</w:t>
      </w:r>
      <w:r w:rsidR="00EC7939" w:rsidRPr="00224E0F">
        <w:t>Sharma</w:t>
      </w:r>
      <w:r w:rsidR="00EC7939">
        <w:t xml:space="preserve"> et al., 2021)</w:t>
      </w:r>
      <w:r>
        <w:t xml:space="preserve">. </w:t>
      </w:r>
    </w:p>
    <w:p w14:paraId="135B2559" w14:textId="52B8B814" w:rsidR="00A36FDC" w:rsidRPr="00A36FDC" w:rsidRDefault="007655B2" w:rsidP="00AA4D78">
      <w:r w:rsidRPr="00A36FDC">
        <w:rPr>
          <w:b/>
          <w:bCs/>
          <w:i/>
          <w:iCs/>
        </w:rPr>
        <w:t>Psychographic:</w:t>
      </w:r>
      <w:r>
        <w:rPr>
          <w:b/>
          <w:bCs/>
          <w:i/>
          <w:iCs/>
        </w:rPr>
        <w:t xml:space="preserve"> </w:t>
      </w:r>
      <w:r>
        <w:t xml:space="preserve">The ideal customers value exclusivity, cutting-edge technology and environmental responsibility. They see their vehicles as an extension of their identity a symbol of both status and progressive values. They look to prioritise bespoken experiences, superior craftmanship and brand heritage while demanding the latest innovations. </w:t>
      </w:r>
    </w:p>
    <w:p w14:paraId="4B21F839" w14:textId="1E55EEEE" w:rsidR="00A36FDC" w:rsidRPr="00B431E9" w:rsidRDefault="007655B2" w:rsidP="00AA4D78">
      <w:r w:rsidRPr="00A36FDC">
        <w:rPr>
          <w:b/>
          <w:bCs/>
          <w:i/>
          <w:iCs/>
        </w:rPr>
        <w:t xml:space="preserve">Behavioural: </w:t>
      </w:r>
      <w:r w:rsidR="00B431E9">
        <w:t>Target buyers exhibit brand loyalty to Bentley or other ultra-luxury marques, with a history of purchasing high-end vehicles. They are early adopters of luxury EVs, willing to pay premiums for customisation and new technology. Their purchasing decisions are influenced by performance specs, sustainability credentials and exclusivity rather than practicality</w:t>
      </w:r>
      <w:r w:rsidR="00EC7939">
        <w:t xml:space="preserve"> (</w:t>
      </w:r>
      <w:r w:rsidR="00EC7939" w:rsidRPr="00224E0F">
        <w:t>Islam 2021</w:t>
      </w:r>
      <w:r w:rsidR="00EC7939">
        <w:t>)</w:t>
      </w:r>
      <w:r w:rsidR="00B431E9">
        <w:t xml:space="preserve">. </w:t>
      </w:r>
    </w:p>
    <w:p w14:paraId="67C7F5DD" w14:textId="4452025A" w:rsidR="00AA4D78" w:rsidRPr="00081AB5" w:rsidRDefault="007655B2" w:rsidP="00AA4D78">
      <w:pPr>
        <w:rPr>
          <w:b/>
          <w:bCs/>
        </w:rPr>
      </w:pPr>
      <w:r w:rsidRPr="00081AB5">
        <w:rPr>
          <w:b/>
          <w:bCs/>
        </w:rPr>
        <w:t>Targeting</w:t>
      </w:r>
    </w:p>
    <w:p w14:paraId="09E12E9E" w14:textId="1E701E80" w:rsidR="00081AB5" w:rsidRDefault="007655B2" w:rsidP="00AA4D78">
      <w:r>
        <w:t xml:space="preserve">Bentley will employ a concentrated targeting strategy, focusing on two primary segments that intend to offer the highest revenue potential while aligning perfectly with brand capabilities. </w:t>
      </w:r>
    </w:p>
    <w:p w14:paraId="6975A044" w14:textId="46EE9E5B" w:rsidR="00DF5F36" w:rsidRDefault="007655B2" w:rsidP="00AA4D78">
      <w:pPr>
        <w:rPr>
          <w:b/>
          <w:bCs/>
          <w:i/>
          <w:iCs/>
        </w:rPr>
      </w:pPr>
      <w:r w:rsidRPr="00DF5F36">
        <w:rPr>
          <w:b/>
          <w:bCs/>
          <w:i/>
          <w:iCs/>
        </w:rPr>
        <w:t>Established Bentley Enthusiasts</w:t>
      </w:r>
    </w:p>
    <w:p w14:paraId="1F1F8FC6" w14:textId="1E7DD152" w:rsidR="00DF5F36" w:rsidRDefault="007655B2" w:rsidP="00DF5F36">
      <w:pPr>
        <w:pStyle w:val="ListParagraph"/>
        <w:numPr>
          <w:ilvl w:val="0"/>
          <w:numId w:val="1"/>
        </w:numPr>
      </w:pPr>
      <w:r w:rsidRPr="00DF5F36">
        <w:rPr>
          <w:b/>
          <w:bCs/>
        </w:rPr>
        <w:t>Demographic:</w:t>
      </w:r>
      <w:r>
        <w:t xml:space="preserve"> Males 45-65, $ 1 million + annual income, multiple luxury assets. </w:t>
      </w:r>
    </w:p>
    <w:p w14:paraId="70DC8A2D" w14:textId="1D05A25A" w:rsidR="00DF5F36" w:rsidRDefault="007655B2" w:rsidP="00DF5F36">
      <w:pPr>
        <w:pStyle w:val="ListParagraph"/>
        <w:numPr>
          <w:ilvl w:val="0"/>
          <w:numId w:val="1"/>
        </w:numPr>
        <w:rPr>
          <w:b/>
          <w:bCs/>
        </w:rPr>
      </w:pPr>
      <w:r w:rsidRPr="00DF5F36">
        <w:rPr>
          <w:b/>
          <w:bCs/>
        </w:rPr>
        <w:t xml:space="preserve">Why target: </w:t>
      </w:r>
      <w:r w:rsidRPr="00DF5F36">
        <w:t>Existing brand loyalty ensures conversion, with 78% of current Bentley owners expressing interest in EV options.</w:t>
      </w:r>
      <w:r>
        <w:rPr>
          <w:b/>
          <w:bCs/>
        </w:rPr>
        <w:t xml:space="preserve"> </w:t>
      </w:r>
    </w:p>
    <w:p w14:paraId="28B41507" w14:textId="1939E41A" w:rsidR="00DF5F36" w:rsidRDefault="007655B2" w:rsidP="00DF5F36">
      <w:pPr>
        <w:pStyle w:val="ListParagraph"/>
        <w:numPr>
          <w:ilvl w:val="0"/>
          <w:numId w:val="1"/>
        </w:numPr>
        <w:rPr>
          <w:b/>
          <w:bCs/>
        </w:rPr>
      </w:pPr>
      <w:r>
        <w:rPr>
          <w:b/>
          <w:bCs/>
        </w:rPr>
        <w:t xml:space="preserve">Strategy: </w:t>
      </w:r>
      <w:r w:rsidRPr="00DF5F36">
        <w:t>Leveraging CRM data for personalised outreach through Bentley’s exclusive dealer network and owner events.</w:t>
      </w:r>
      <w:r>
        <w:rPr>
          <w:b/>
          <w:bCs/>
        </w:rPr>
        <w:t xml:space="preserve"> </w:t>
      </w:r>
    </w:p>
    <w:p w14:paraId="341446D1" w14:textId="08ED9D97" w:rsidR="00DF5F36" w:rsidRPr="009B4828" w:rsidRDefault="007655B2" w:rsidP="00DF5F36">
      <w:pPr>
        <w:rPr>
          <w:b/>
          <w:bCs/>
          <w:i/>
          <w:iCs/>
        </w:rPr>
      </w:pPr>
      <w:r w:rsidRPr="009B4828">
        <w:rPr>
          <w:b/>
          <w:bCs/>
          <w:i/>
          <w:iCs/>
        </w:rPr>
        <w:lastRenderedPageBreak/>
        <w:t>Next-Gen sustainability-conscious affluents</w:t>
      </w:r>
    </w:p>
    <w:p w14:paraId="482B1430" w14:textId="7202E016" w:rsidR="00DF5F36" w:rsidRDefault="007655B2" w:rsidP="00DF5F36">
      <w:pPr>
        <w:pStyle w:val="ListParagraph"/>
        <w:numPr>
          <w:ilvl w:val="0"/>
          <w:numId w:val="2"/>
        </w:numPr>
        <w:rPr>
          <w:b/>
          <w:bCs/>
        </w:rPr>
      </w:pPr>
      <w:r>
        <w:rPr>
          <w:b/>
          <w:bCs/>
        </w:rPr>
        <w:t xml:space="preserve">Demographic: </w:t>
      </w:r>
      <w:r>
        <w:t>35-50 years old tech entrepreneurs, $ 500K + Income</w:t>
      </w:r>
    </w:p>
    <w:p w14:paraId="78D0A5F0" w14:textId="7B296E52" w:rsidR="00DF5F36" w:rsidRDefault="007655B2" w:rsidP="00DF5F36">
      <w:pPr>
        <w:pStyle w:val="ListParagraph"/>
        <w:numPr>
          <w:ilvl w:val="0"/>
          <w:numId w:val="2"/>
        </w:numPr>
        <w:rPr>
          <w:b/>
          <w:bCs/>
        </w:rPr>
      </w:pPr>
      <w:r>
        <w:rPr>
          <w:b/>
          <w:bCs/>
        </w:rPr>
        <w:t xml:space="preserve">Why: </w:t>
      </w:r>
      <w:r w:rsidRPr="00DF5F36">
        <w:t>Fastest growing luxury EV segment</w:t>
      </w:r>
    </w:p>
    <w:p w14:paraId="702B6795" w14:textId="6BD125B3" w:rsidR="009B4828" w:rsidRDefault="007655B2" w:rsidP="009B4828">
      <w:pPr>
        <w:pStyle w:val="ListParagraph"/>
        <w:numPr>
          <w:ilvl w:val="0"/>
          <w:numId w:val="2"/>
        </w:numPr>
        <w:rPr>
          <w:b/>
          <w:bCs/>
        </w:rPr>
      </w:pPr>
      <w:r>
        <w:rPr>
          <w:b/>
          <w:bCs/>
        </w:rPr>
        <w:t xml:space="preserve">Strategy: </w:t>
      </w:r>
      <w:r w:rsidRPr="009B4828">
        <w:t>Digital first engagement through tech platforms and sustainability-focused luxury media.</w:t>
      </w:r>
      <w:r>
        <w:rPr>
          <w:b/>
          <w:bCs/>
        </w:rPr>
        <w:t xml:space="preserve"> </w:t>
      </w:r>
    </w:p>
    <w:p w14:paraId="0755F76F" w14:textId="2DBA40EB" w:rsidR="009B4828" w:rsidRDefault="007655B2" w:rsidP="009B4828">
      <w:pPr>
        <w:ind w:left="360"/>
        <w:rPr>
          <w:b/>
          <w:bCs/>
          <w:i/>
          <w:iCs/>
        </w:rPr>
      </w:pPr>
      <w:r w:rsidRPr="009B4828">
        <w:rPr>
          <w:b/>
          <w:bCs/>
          <w:i/>
          <w:iCs/>
        </w:rPr>
        <w:t>Targeting rationale</w:t>
      </w:r>
    </w:p>
    <w:p w14:paraId="2895D5E5" w14:textId="3D2A117E" w:rsidR="009B4828" w:rsidRDefault="007655B2" w:rsidP="009B4828">
      <w:r>
        <w:t>The overall strategy combines defensive and offensive approaches</w:t>
      </w:r>
      <w:r w:rsidR="00C46628">
        <w:t>. By focusing on these high-propensity-to-buy segments. Bentley maximises ROI while maintaining exclusivity. The concentrated approach mainly allows for.</w:t>
      </w:r>
    </w:p>
    <w:p w14:paraId="6F3B1E1E" w14:textId="311E92CE" w:rsidR="00C46628" w:rsidRDefault="007655B2" w:rsidP="00C46628">
      <w:pPr>
        <w:pStyle w:val="ListParagraph"/>
        <w:numPr>
          <w:ilvl w:val="0"/>
          <w:numId w:val="3"/>
        </w:numPr>
      </w:pPr>
      <w:r>
        <w:t>Tailored messaging (heritage bs innovation emphasis)</w:t>
      </w:r>
    </w:p>
    <w:p w14:paraId="07DE3BA1" w14:textId="32515216" w:rsidR="00C46628" w:rsidRDefault="007655B2" w:rsidP="00C46628">
      <w:pPr>
        <w:pStyle w:val="ListParagraph"/>
        <w:numPr>
          <w:ilvl w:val="0"/>
          <w:numId w:val="3"/>
        </w:numPr>
      </w:pPr>
      <w:r>
        <w:t>Optimised dealer training for different buyer motivations</w:t>
      </w:r>
    </w:p>
    <w:p w14:paraId="100B031F" w14:textId="7D86DEA4" w:rsidR="00C46628" w:rsidRDefault="007655B2" w:rsidP="00C46628">
      <w:pPr>
        <w:pStyle w:val="ListParagraph"/>
        <w:numPr>
          <w:ilvl w:val="0"/>
          <w:numId w:val="3"/>
        </w:numPr>
      </w:pPr>
      <w:r>
        <w:t>Efficient allocation of limited initial production capacity.</w:t>
      </w:r>
    </w:p>
    <w:p w14:paraId="4ED7DA8B" w14:textId="54AAA29D" w:rsidR="00C46628" w:rsidRDefault="007655B2" w:rsidP="00C46628">
      <w:pPr>
        <w:rPr>
          <w:b/>
          <w:bCs/>
          <w:i/>
          <w:iCs/>
        </w:rPr>
      </w:pPr>
      <w:r w:rsidRPr="00C46628">
        <w:rPr>
          <w:b/>
          <w:bCs/>
          <w:i/>
          <w:iCs/>
        </w:rPr>
        <w:t xml:space="preserve">Implementation </w:t>
      </w:r>
    </w:p>
    <w:p w14:paraId="2DDB34B9" w14:textId="500E29E8" w:rsidR="00C46628" w:rsidRDefault="007655B2" w:rsidP="00C46628">
      <w:pPr>
        <w:pStyle w:val="ListParagraph"/>
        <w:numPr>
          <w:ilvl w:val="0"/>
          <w:numId w:val="4"/>
        </w:numPr>
      </w:pPr>
      <w:r w:rsidRPr="00C46628">
        <w:rPr>
          <w:b/>
          <w:bCs/>
        </w:rPr>
        <w:t>Phase 1 (pre-launch):</w:t>
      </w:r>
      <w:r>
        <w:t xml:space="preserve"> Exclusive previews for current Bentley collectors</w:t>
      </w:r>
    </w:p>
    <w:p w14:paraId="7554557D" w14:textId="66FB8B81" w:rsidR="00C46628" w:rsidRDefault="007655B2" w:rsidP="00C46628">
      <w:pPr>
        <w:pStyle w:val="ListParagraph"/>
        <w:numPr>
          <w:ilvl w:val="0"/>
          <w:numId w:val="4"/>
        </w:numPr>
      </w:pPr>
      <w:r w:rsidRPr="00C46628">
        <w:rPr>
          <w:b/>
          <w:bCs/>
        </w:rPr>
        <w:t>Phase 2 (Launch):</w:t>
      </w:r>
      <w:r>
        <w:t xml:space="preserve"> Strategic partnerships with sustainable luxury platforms</w:t>
      </w:r>
    </w:p>
    <w:p w14:paraId="5C4826F7" w14:textId="4AD818B5" w:rsidR="00C46628" w:rsidRPr="00C46628" w:rsidRDefault="007655B2" w:rsidP="00C46628">
      <w:pPr>
        <w:pStyle w:val="ListParagraph"/>
        <w:numPr>
          <w:ilvl w:val="0"/>
          <w:numId w:val="4"/>
        </w:numPr>
      </w:pPr>
      <w:r w:rsidRPr="00C46628">
        <w:rPr>
          <w:b/>
          <w:bCs/>
        </w:rPr>
        <w:t>Phase 3 (Post-launch):</w:t>
      </w:r>
      <w:r>
        <w:t xml:space="preserve"> Geo-targeted campaigns in key EV adoption cities</w:t>
      </w:r>
    </w:p>
    <w:p w14:paraId="45E69DCA" w14:textId="3980152B" w:rsidR="009B4828" w:rsidRPr="00A73455" w:rsidRDefault="007655B2" w:rsidP="00C46628">
      <w:r w:rsidRPr="00A73455">
        <w:t xml:space="preserve">This dual-segment approach balances Bentley's tradition with future growth, ensuring the electric SUV strengthens rather than dilutes brand equity. </w:t>
      </w:r>
    </w:p>
    <w:p w14:paraId="7EE59244" w14:textId="1EC621D1" w:rsidR="00AA4D78" w:rsidRDefault="007655B2" w:rsidP="00AA4D78">
      <w:pPr>
        <w:rPr>
          <w:b/>
          <w:bCs/>
        </w:rPr>
      </w:pPr>
      <w:r w:rsidRPr="00081AB5">
        <w:rPr>
          <w:b/>
          <w:bCs/>
        </w:rPr>
        <w:t>Positioning</w:t>
      </w:r>
    </w:p>
    <w:p w14:paraId="541AEB54" w14:textId="3758C1A0" w:rsidR="00A73455" w:rsidRPr="008A2F91" w:rsidRDefault="007655B2" w:rsidP="00AA4D78">
      <w:r w:rsidRPr="008A2F91">
        <w:t>Bentley's electric SUV will look to establish itself as the ultimate expression of sustainable luxury, combining the brand's century-old craftsmanship with cutting-edge electric performance to create the most exclusive and desirable zero-emission vehicle in the world</w:t>
      </w:r>
      <w:r w:rsidR="00BC34C0">
        <w:t xml:space="preserve"> (B</w:t>
      </w:r>
      <w:r w:rsidR="00BC34C0" w:rsidRPr="00224E0F">
        <w:t>entley.edu</w:t>
      </w:r>
      <w:r w:rsidR="00BC34C0">
        <w:t>, 2025)</w:t>
      </w:r>
      <w:r w:rsidRPr="008A2F91">
        <w:t xml:space="preserve">. </w:t>
      </w:r>
      <w:r w:rsidR="00BA7BCE" w:rsidRPr="008A2F91">
        <w:t>The strategic positioning allows Bentley to dominate the intersection of heritage luxury and progressive technology, differentiating itself from the competitors through three key dimensions: against traditional luxury rivals such as Rolls Royce and Range Rover</w:t>
      </w:r>
      <w:r w:rsidR="00BC34C0">
        <w:t>.</w:t>
      </w:r>
      <w:r w:rsidR="00BA7BCE" w:rsidRPr="008A2F91">
        <w:t xml:space="preserve"> </w:t>
      </w:r>
      <w:r w:rsidR="00BC34C0">
        <w:t>T</w:t>
      </w:r>
      <w:r w:rsidR="00BA7BCE" w:rsidRPr="008A2F91">
        <w:t>he Bentley EV will look to emphasise superior driving dynamics and authentic sustainability credentials rather than mere compliance</w:t>
      </w:r>
      <w:r w:rsidR="00521247" w:rsidRPr="008A2F91">
        <w:t xml:space="preserve"> when compared to tech-focused EVs from Tesla or Lucid, it will highlight unparalleled bespoken craftsmanship and concierge-level ownership experiences versus mass-premium German competitors</w:t>
      </w:r>
      <w:r w:rsidR="00BC34C0">
        <w:t xml:space="preserve"> (B</w:t>
      </w:r>
      <w:r w:rsidR="00BC34C0" w:rsidRPr="00224E0F">
        <w:t>entleymotors.com</w:t>
      </w:r>
      <w:r w:rsidR="00BC34C0">
        <w:t>, 2025).</w:t>
      </w:r>
      <w:r w:rsidR="00521247" w:rsidRPr="008A2F91">
        <w:t xml:space="preserve"> </w:t>
      </w:r>
      <w:r w:rsidR="00BC34C0">
        <w:t>I</w:t>
      </w:r>
      <w:r w:rsidR="00521247" w:rsidRPr="008A2F91">
        <w:t xml:space="preserve">t intends to maintain an unassailable position of exclusivity through limited production runs and custom </w:t>
      </w:r>
      <w:r w:rsidR="00521247" w:rsidRPr="008A2F91">
        <w:lastRenderedPageBreak/>
        <w:t xml:space="preserve">commissioning options. </w:t>
      </w:r>
      <w:r w:rsidR="008A2F91">
        <w:t>The vehicle will be perceived as maintaining Bentley's core values of performance and prestige while leading the charge in responsible luxury, offering affluent buyers a guilt-free way to enjo</w:t>
      </w:r>
      <w:r w:rsidR="00E42A5B">
        <w:t>y</w:t>
      </w:r>
      <w:r w:rsidR="008A2F91">
        <w:t xml:space="preserve"> traditional Bentley virtues</w:t>
      </w:r>
      <w:r w:rsidR="00BC34C0">
        <w:t xml:space="preserve"> (</w:t>
      </w:r>
      <w:r w:rsidR="00BC34C0">
        <w:rPr>
          <w:lang w:val="en-IN"/>
        </w:rPr>
        <w:t>B</w:t>
      </w:r>
      <w:r w:rsidR="00BC34C0" w:rsidRPr="00224E0F">
        <w:rPr>
          <w:lang w:val="en-IN"/>
        </w:rPr>
        <w:t>entleymotors.com</w:t>
      </w:r>
      <w:r w:rsidR="00BC34C0">
        <w:rPr>
          <w:lang w:val="en-IN"/>
        </w:rPr>
        <w:t>, 2025)</w:t>
      </w:r>
      <w:r w:rsidR="008A2F91">
        <w:t xml:space="preserve">. </w:t>
      </w:r>
      <w:r w:rsidR="00E42A5B">
        <w:t xml:space="preserve">Through meticulous attention to sustainable materials, hand-built quality and dynamic electric performance, Bentley’s EV SUV will look to create a new category of heritage-forward electrification that the competitors can not easily replicate. Ensuring the marque remains relevant to both traditional Bentley buyers and a new generation of environmentally-conscious ultra-high-net-worth individuals. </w:t>
      </w:r>
    </w:p>
    <w:p w14:paraId="7BAEC00D" w14:textId="7AB7C656" w:rsidR="00976CED" w:rsidRDefault="007655B2" w:rsidP="00976CED">
      <w:pPr>
        <w:pStyle w:val="Heading1"/>
      </w:pPr>
      <w:bookmarkStart w:id="3" w:name="_Toc195785848"/>
      <w:r w:rsidRPr="00976CED">
        <w:t>Customer Personal Profile</w:t>
      </w:r>
      <w:bookmarkEnd w:id="3"/>
      <w:r w:rsidRPr="00976CED">
        <w:t xml:space="preserve"> </w:t>
      </w:r>
    </w:p>
    <w:p w14:paraId="2DB525AE" w14:textId="15453C28" w:rsidR="00646EE3" w:rsidRPr="00646EE3" w:rsidRDefault="007655B2" w:rsidP="00646EE3">
      <w:pPr>
        <w:rPr>
          <w:b/>
          <w:bCs/>
        </w:rPr>
      </w:pPr>
      <w:r w:rsidRPr="00646EE3">
        <w:rPr>
          <w:b/>
          <w:bCs/>
        </w:rPr>
        <w:t xml:space="preserve">Demographic </w:t>
      </w:r>
    </w:p>
    <w:p w14:paraId="35B577F5" w14:textId="71119661" w:rsidR="00646EE3" w:rsidRPr="00646EE3" w:rsidRDefault="007655B2" w:rsidP="00646EE3">
      <w:r w:rsidRPr="00646EE3">
        <w:rPr>
          <w:b/>
          <w:bCs/>
          <w:i/>
          <w:iCs/>
        </w:rPr>
        <w:t>Primary customers:</w:t>
      </w:r>
      <w:r>
        <w:rPr>
          <w:b/>
          <w:bCs/>
          <w:i/>
          <w:iCs/>
        </w:rPr>
        <w:t xml:space="preserve"> </w:t>
      </w:r>
      <w:r>
        <w:t>Male aged between 45-65 years, with a minimum annual income of $500,000, typically residing in urban centres or affluent suburbs. This mainly includes C-suite executives, entrepreneurs and high-net-worth investors, often with postgraduate education</w:t>
      </w:r>
      <w:r w:rsidR="00653911">
        <w:t xml:space="preserve"> (</w:t>
      </w:r>
      <w:r w:rsidR="00653911" w:rsidRPr="005E78E9">
        <w:t>Ernawati</w:t>
      </w:r>
      <w:r w:rsidR="00653911">
        <w:t xml:space="preserve"> et al., 2021)</w:t>
      </w:r>
      <w:r>
        <w:t xml:space="preserve">. </w:t>
      </w:r>
    </w:p>
    <w:p w14:paraId="0B779449" w14:textId="6B1E235B" w:rsidR="00646EE3" w:rsidRPr="00666F92" w:rsidRDefault="007655B2" w:rsidP="00646EE3">
      <w:r w:rsidRPr="00646EE3">
        <w:rPr>
          <w:b/>
          <w:bCs/>
          <w:i/>
          <w:iCs/>
        </w:rPr>
        <w:t>Secondary customers</w:t>
      </w:r>
      <w:r w:rsidR="00666F92">
        <w:rPr>
          <w:b/>
          <w:bCs/>
          <w:i/>
          <w:iCs/>
        </w:rPr>
        <w:t xml:space="preserve">: </w:t>
      </w:r>
      <w:r w:rsidR="00666F92">
        <w:t xml:space="preserve">A growing segment of younger buyers 35-45 years, comprising 30% of prospects, including tech entrepreneurs and heirs to family wealth, with similar income levels but higher digital savviness. Geographically concentrated in key luxury markets such as North America 30%, Europe 30%, China 25% and Middle East 15%. </w:t>
      </w:r>
    </w:p>
    <w:p w14:paraId="14F628C9" w14:textId="73BB44EB" w:rsidR="00646EE3" w:rsidRDefault="007655B2" w:rsidP="00646EE3">
      <w:pPr>
        <w:rPr>
          <w:b/>
          <w:bCs/>
          <w:i/>
          <w:iCs/>
        </w:rPr>
      </w:pPr>
      <w:r w:rsidRPr="00646EE3">
        <w:rPr>
          <w:b/>
          <w:bCs/>
          <w:i/>
          <w:iCs/>
        </w:rPr>
        <w:t>Key traits</w:t>
      </w:r>
    </w:p>
    <w:p w14:paraId="71C615A9" w14:textId="5D6E6C8A" w:rsidR="000A5563" w:rsidRPr="00AE40FA" w:rsidRDefault="007655B2" w:rsidP="00646EE3">
      <w:r w:rsidRPr="00AE40FA">
        <w:rPr>
          <w:b/>
          <w:bCs/>
          <w:i/>
          <w:iCs/>
        </w:rPr>
        <w:t>Occupation:</w:t>
      </w:r>
      <w:r w:rsidR="00AE40FA">
        <w:rPr>
          <w:b/>
          <w:bCs/>
          <w:i/>
          <w:iCs/>
        </w:rPr>
        <w:t xml:space="preserve"> </w:t>
      </w:r>
      <w:r w:rsidR="00AE40FA">
        <w:t>CEO, founders, senior partners or ultra-high-net-worth retirees.</w:t>
      </w:r>
    </w:p>
    <w:p w14:paraId="72C0779F" w14:textId="41148192" w:rsidR="000A5563" w:rsidRPr="00AE40FA" w:rsidRDefault="007655B2" w:rsidP="00646EE3">
      <w:r w:rsidRPr="00AE40FA">
        <w:rPr>
          <w:b/>
          <w:bCs/>
          <w:i/>
          <w:iCs/>
        </w:rPr>
        <w:t>Education:</w:t>
      </w:r>
      <w:r w:rsidR="00AE40FA">
        <w:rPr>
          <w:b/>
          <w:bCs/>
          <w:i/>
          <w:iCs/>
        </w:rPr>
        <w:t xml:space="preserve"> </w:t>
      </w:r>
      <w:r w:rsidR="00AE40FA">
        <w:t>Ivy League or equivalent, value prestige and legacy.</w:t>
      </w:r>
    </w:p>
    <w:p w14:paraId="478D7E6C" w14:textId="1704283E" w:rsidR="000A5563" w:rsidRPr="00AE40FA" w:rsidRDefault="007655B2" w:rsidP="00646EE3">
      <w:r w:rsidRPr="00AE40FA">
        <w:rPr>
          <w:b/>
          <w:bCs/>
          <w:i/>
          <w:iCs/>
        </w:rPr>
        <w:t>Assets:</w:t>
      </w:r>
      <w:r>
        <w:rPr>
          <w:b/>
          <w:bCs/>
          <w:i/>
          <w:iCs/>
        </w:rPr>
        <w:t xml:space="preserve"> </w:t>
      </w:r>
      <w:r>
        <w:t>Multiple luxury homes, art collections and a garage for high-end vehicles.</w:t>
      </w:r>
    </w:p>
    <w:p w14:paraId="1FF61E02" w14:textId="0FADE003" w:rsidR="00AE40FA" w:rsidRDefault="007655B2" w:rsidP="00646EE3">
      <w:r w:rsidRPr="00AE40FA">
        <w:rPr>
          <w:b/>
          <w:bCs/>
          <w:i/>
          <w:iCs/>
        </w:rPr>
        <w:t>Location:</w:t>
      </w:r>
      <w:r>
        <w:rPr>
          <w:b/>
          <w:bCs/>
          <w:i/>
          <w:iCs/>
        </w:rPr>
        <w:t xml:space="preserve"> </w:t>
      </w:r>
      <w:r>
        <w:t xml:space="preserve">Major financial hubs in New York, London and Dubai with access to Bentley dealerships and EV infrastructure. </w:t>
      </w:r>
    </w:p>
    <w:p w14:paraId="21AA4131" w14:textId="3259B469" w:rsidR="00646EE3" w:rsidRDefault="007655B2" w:rsidP="00646EE3">
      <w:r>
        <w:t xml:space="preserve">This profile ensures alignment with Bentley's exclusivity while capturing emerging luxury EV buyers. </w:t>
      </w:r>
    </w:p>
    <w:p w14:paraId="3632551C" w14:textId="77777777" w:rsidR="00653911" w:rsidRDefault="00653911" w:rsidP="00646EE3"/>
    <w:p w14:paraId="18BF841A" w14:textId="77777777" w:rsidR="00653911" w:rsidRPr="00646EE3" w:rsidRDefault="00653911" w:rsidP="00646EE3"/>
    <w:p w14:paraId="4DAF3018" w14:textId="7836F1E3" w:rsidR="00646EE3" w:rsidRDefault="007655B2" w:rsidP="00646EE3">
      <w:pPr>
        <w:rPr>
          <w:b/>
          <w:bCs/>
        </w:rPr>
      </w:pPr>
      <w:r w:rsidRPr="00646EE3">
        <w:rPr>
          <w:b/>
          <w:bCs/>
        </w:rPr>
        <w:lastRenderedPageBreak/>
        <w:t xml:space="preserve">Psychographic </w:t>
      </w:r>
    </w:p>
    <w:p w14:paraId="418879A1" w14:textId="517D19EF" w:rsidR="001249E0" w:rsidRPr="00646EE3" w:rsidRDefault="007655B2" w:rsidP="00F22E2F">
      <w:r>
        <w:t>Bentley’s electric SUV will look to establish itself as the world’s most exquisite electric vehicle, where uncompromising British luxury meets revolutionary sustainable performance</w:t>
      </w:r>
      <w:r w:rsidR="00653911">
        <w:t xml:space="preserve"> (B</w:t>
      </w:r>
      <w:r w:rsidR="00653911" w:rsidRPr="005B2021">
        <w:t>entleymotors.com</w:t>
      </w:r>
      <w:r w:rsidR="00653911">
        <w:t>, 2025)</w:t>
      </w:r>
      <w:r>
        <w:t xml:space="preserve">. </w:t>
      </w:r>
      <w:r w:rsidR="00F22E2F">
        <w:t xml:space="preserve">The strategic positioning allows Bentley to dominate the premium EV space while maintaining its legacy of handcrafted excellence. Against traditional luxury rivals such as Rolls Royce that will emphasise superior driving engagement and authentic sustainability rather than mere compliance. </w:t>
      </w:r>
      <w:r w:rsidR="004C5F58">
        <w:t xml:space="preserve">In comparison to tech-focused competitors such as Tesla, it will explain unparalleled bespoken craftsmanship and converge-level ownership experiences. </w:t>
      </w:r>
      <w:r w:rsidR="00D84BCA">
        <w:t>The vehicle will be perceived as maintaining Bentley's core values of performance and prestige while pioneering responsible luxury offering affluent buyers a guilt-free expression of automotive excellence</w:t>
      </w:r>
      <w:r w:rsidR="009B3069">
        <w:t xml:space="preserve"> (B</w:t>
      </w:r>
      <w:r w:rsidR="009B3069" w:rsidRPr="005B2021">
        <w:t>entleymotors.com</w:t>
      </w:r>
      <w:r w:rsidR="009B3069">
        <w:t>, 2025)</w:t>
      </w:r>
      <w:r w:rsidR="00D84BCA">
        <w:t xml:space="preserve">. </w:t>
      </w:r>
      <w:r w:rsidR="00A343DD">
        <w:t xml:space="preserve">Through its fusion of sustainable materials, hand-built quality and exhilarating electric performance, Bentley's EV SUV will look to create a new category of heritage-forward electrification that the competitors can not easily replicate. </w:t>
      </w:r>
      <w:r w:rsidR="002672AA">
        <w:t xml:space="preserve">This not only helps Bentley to position themselves as an EV alternative but as the natural choice for discerning clients who demand both cutting-edge technology and timeless luxury. </w:t>
      </w:r>
    </w:p>
    <w:p w14:paraId="72258E40" w14:textId="600CA04B" w:rsidR="00976CED" w:rsidRDefault="007655B2" w:rsidP="00976CED">
      <w:pPr>
        <w:pStyle w:val="Heading1"/>
      </w:pPr>
      <w:bookmarkStart w:id="4" w:name="_Toc195785849"/>
      <w:r w:rsidRPr="00976CED">
        <w:t>Marketing Mix Strategy</w:t>
      </w:r>
      <w:bookmarkEnd w:id="4"/>
      <w:r w:rsidRPr="00976CED">
        <w:t xml:space="preserve"> </w:t>
      </w:r>
    </w:p>
    <w:p w14:paraId="113B7F21" w14:textId="3288D0B5" w:rsidR="00507020" w:rsidRDefault="007655B2" w:rsidP="009B3069">
      <w:pPr>
        <w:rPr>
          <w:b/>
          <w:bCs/>
          <w:i/>
          <w:iCs/>
        </w:rPr>
      </w:pPr>
      <w:r w:rsidRPr="004F55BB">
        <w:rPr>
          <w:b/>
          <w:bCs/>
          <w:i/>
          <w:iCs/>
        </w:rPr>
        <w:t>Product</w:t>
      </w:r>
    </w:p>
    <w:p w14:paraId="45444D48" w14:textId="621C58DB" w:rsidR="00507020" w:rsidRDefault="007655B2" w:rsidP="009B3069">
      <w:r>
        <w:t>Bentley's electric SUV will represent the pinnacle of sustainable luxury, combining the brand's signature craftsmanship with cutting-edge EV technology. The vehicle will feature a meticulously handcrafted interior with sustainably sourced materials that include vegan leather options and recycled aluminium trim, appealing to eco-conscious buyers without compromising opulence</w:t>
      </w:r>
      <w:r w:rsidR="005E02E8">
        <w:t xml:space="preserve"> (B</w:t>
      </w:r>
      <w:r w:rsidR="005E02E8" w:rsidRPr="005B2021">
        <w:t>entleymotors.com</w:t>
      </w:r>
      <w:r w:rsidR="005E02E8">
        <w:t>, 2025)</w:t>
      </w:r>
      <w:r>
        <w:t>. The performance will remain a cornerstone, with a powerful electric drivetrain delivering exhilarating acceleration (0-60 mph in under 4 seconds) and a range exceeding 300 miles per charge. The SUV will offer Bentley's renowned customisation program that allows the buyers to personalise everything from stitching patterns to bespoke sound systems, ensuring each vehicle remains unique</w:t>
      </w:r>
      <w:r w:rsidR="005E02E8">
        <w:t xml:space="preserve"> (B</w:t>
      </w:r>
      <w:r w:rsidR="005E02E8" w:rsidRPr="005B2021">
        <w:t>entleymotors.com</w:t>
      </w:r>
      <w:r w:rsidR="005E02E8">
        <w:t>, 2025)</w:t>
      </w:r>
      <w:r>
        <w:t xml:space="preserve">. </w:t>
      </w:r>
      <w:r w:rsidR="004831A7">
        <w:t xml:space="preserve">Limited edition launch models with exclusive features will create urgency among collectors, reinforcing the brand's exclusivity. </w:t>
      </w:r>
    </w:p>
    <w:p w14:paraId="2649BAC7" w14:textId="77777777" w:rsidR="005E02E8" w:rsidRDefault="005E02E8" w:rsidP="009B3069"/>
    <w:p w14:paraId="122FFCF6" w14:textId="77777777" w:rsidR="005E02E8" w:rsidRPr="00507020" w:rsidRDefault="005E02E8" w:rsidP="009B3069"/>
    <w:p w14:paraId="5A240F97" w14:textId="16291D80" w:rsidR="004F55BB" w:rsidRDefault="007655B2" w:rsidP="009B3069">
      <w:pPr>
        <w:rPr>
          <w:b/>
          <w:bCs/>
          <w:i/>
          <w:iCs/>
        </w:rPr>
      </w:pPr>
      <w:r w:rsidRPr="004F55BB">
        <w:rPr>
          <w:b/>
          <w:bCs/>
          <w:i/>
          <w:iCs/>
        </w:rPr>
        <w:lastRenderedPageBreak/>
        <w:t xml:space="preserve">Price </w:t>
      </w:r>
    </w:p>
    <w:p w14:paraId="62C5B76A" w14:textId="1C0935B5" w:rsidR="005D43B6" w:rsidRPr="005D43B6" w:rsidRDefault="007655B2" w:rsidP="009B3069">
      <w:r>
        <w:t xml:space="preserve">Bentley's electric SUV is the top luxury EV market, it mainly carries a premium price tag starting at approximately </w:t>
      </w:r>
      <w:r>
        <w:rPr>
          <w:rFonts w:cs="Times New Roman"/>
        </w:rPr>
        <w:t>€</w:t>
      </w:r>
      <w:r>
        <w:t xml:space="preserve"> 250,000 with a fully customised version</w:t>
      </w:r>
      <w:r w:rsidR="005E02E8">
        <w:t xml:space="preserve"> (B</w:t>
      </w:r>
      <w:r w:rsidR="005E02E8" w:rsidRPr="00224E0F">
        <w:t>entleymotors.com</w:t>
      </w:r>
      <w:r w:rsidR="005E02E8">
        <w:t>, 2025)</w:t>
      </w:r>
      <w:r>
        <w:t xml:space="preserve">. The pricing strategy reinforces the brand's exclusivity while ensuring healthy profit margins to offset development costs. Bentley looks ahead in employing value-based pricing, emphasising the vehicle's hand-built craftsmanship, bespoken </w:t>
      </w:r>
      <w:r w:rsidR="00DE10FF">
        <w:t>options and technological superiority over mass-produced luxury EVs</w:t>
      </w:r>
      <w:r w:rsidR="005E02E8">
        <w:t xml:space="preserve"> (B</w:t>
      </w:r>
      <w:r w:rsidR="005E02E8" w:rsidRPr="00224E0F">
        <w:t>entleymotors.com</w:t>
      </w:r>
      <w:r w:rsidR="005E02E8">
        <w:t>, 2025)</w:t>
      </w:r>
      <w:r w:rsidR="00DE10FF">
        <w:t xml:space="preserve">. The overall pricing structure will mainly include tiered options a base model with core luxury features mid-tier configurations with enhanced performance and Mulliner-customised editions for ultimate personalisation. </w:t>
      </w:r>
      <w:r w:rsidR="001534A4">
        <w:t xml:space="preserve">Financing solutions will look to cater to high-net-worth individuals, including exclusive lease programs with converge servicing and battery replacement guarantees. </w:t>
      </w:r>
      <w:r w:rsidR="00215E0F">
        <w:t xml:space="preserve">Limited [roduction volumes help in maintaining scarcity value, preventing market saturation and also preserving resale values that are considered key for luxury buyers. </w:t>
      </w:r>
    </w:p>
    <w:p w14:paraId="14D24B03" w14:textId="6D6F79E9" w:rsidR="004F55BB" w:rsidRDefault="007655B2" w:rsidP="009B3069">
      <w:pPr>
        <w:rPr>
          <w:b/>
          <w:bCs/>
          <w:i/>
          <w:iCs/>
        </w:rPr>
      </w:pPr>
      <w:r w:rsidRPr="004F55BB">
        <w:rPr>
          <w:b/>
          <w:bCs/>
          <w:i/>
          <w:iCs/>
        </w:rPr>
        <w:t>Place</w:t>
      </w:r>
    </w:p>
    <w:p w14:paraId="4B48DB5E" w14:textId="24795C89" w:rsidR="00046C12" w:rsidRPr="00046C12" w:rsidRDefault="007655B2" w:rsidP="009B3069">
      <w:r>
        <w:t>Bentley looks to consider its existing global network of 200 authorised dealerships in key luxury markets with showrooms redesigned to showcase Ev's sustainable credentials through eco-conscious materials and interactive digital displays</w:t>
      </w:r>
      <w:r w:rsidR="005E02E8">
        <w:t xml:space="preserve"> (B</w:t>
      </w:r>
      <w:r w:rsidR="005E02E8" w:rsidRPr="00224E0F">
        <w:t>entleymotors.com</w:t>
      </w:r>
      <w:r w:rsidR="005E02E8">
        <w:t>, 2025)</w:t>
      </w:r>
      <w:r>
        <w:t xml:space="preserve">. </w:t>
      </w:r>
      <w:r w:rsidR="00100094">
        <w:t xml:space="preserve">The buyer experience will be transformed with the help of virtual reality configurators that allows the customers to visualise their bespoken creations, complemented by exclusive preview events at Bentley’s UK headquarters for the top clients. </w:t>
      </w:r>
      <w:r w:rsidR="003B7636">
        <w:t>Identifying the changing preferences of customers, Bentley will look to introduce a direct-to-consumer online sales platform for the EV SUV, that allows for full customisation and also secure transactions while at the same time maintaining dealership involvement for test drives and delivery</w:t>
      </w:r>
      <w:r w:rsidR="005E02E8">
        <w:t xml:space="preserve"> (</w:t>
      </w:r>
      <w:r w:rsidR="005E02E8">
        <w:rPr>
          <w:lang w:val="en-IN"/>
        </w:rPr>
        <w:t>A</w:t>
      </w:r>
      <w:r w:rsidR="005E02E8" w:rsidRPr="006D4216">
        <w:rPr>
          <w:lang w:val="en-IN"/>
        </w:rPr>
        <w:t>utoexpress.co</w:t>
      </w:r>
      <w:r w:rsidR="005E02E8">
        <w:rPr>
          <w:lang w:val="en-IN"/>
        </w:rPr>
        <w:t>, 2025)</w:t>
      </w:r>
      <w:r w:rsidR="003B7636">
        <w:t xml:space="preserve">. </w:t>
      </w:r>
      <w:r w:rsidR="00B742A8">
        <w:t xml:space="preserve">Strategic Bentley Electric Lounges will be established in luxury hubs such as Dubai, Monaco and Beverly Hills that look ahead in offering immersive brand experiences with private consultation suites. </w:t>
      </w:r>
    </w:p>
    <w:p w14:paraId="15D6747B" w14:textId="1AB9911E" w:rsidR="004F55BB" w:rsidRDefault="007655B2" w:rsidP="009B3069">
      <w:pPr>
        <w:rPr>
          <w:b/>
          <w:bCs/>
          <w:i/>
          <w:iCs/>
        </w:rPr>
      </w:pPr>
      <w:r w:rsidRPr="004F55BB">
        <w:rPr>
          <w:b/>
          <w:bCs/>
          <w:i/>
          <w:iCs/>
        </w:rPr>
        <w:t>Promotion</w:t>
      </w:r>
    </w:p>
    <w:p w14:paraId="1B0E8E1A" w14:textId="6049026F" w:rsidR="007E421A" w:rsidRPr="007E421A" w:rsidRDefault="007655B2" w:rsidP="009B3069">
      <w:r>
        <w:t>Bentley's marketing campaign will be helping in positioning the electric SUV as "The Future of Luxury", Electrified, targeting high-net-worth individuals through carefully curated channels. A star-studded global reveal event will look to generate buzz, followed by exclusive test drive experiences for current Bentley owners and VIP prospects</w:t>
      </w:r>
      <w:r w:rsidR="005E02E8">
        <w:t xml:space="preserve"> (B</w:t>
      </w:r>
      <w:r w:rsidR="005E02E8" w:rsidRPr="00224E0F">
        <w:t>entleymotors.com</w:t>
      </w:r>
      <w:r w:rsidR="005E02E8">
        <w:t>, 2025)</w:t>
      </w:r>
      <w:r>
        <w:t xml:space="preserve">. </w:t>
      </w:r>
      <w:r w:rsidR="00F40536">
        <w:t xml:space="preserve">Digital marketing will mainly be focusing towards premium platforms such as LinkedIn, </w:t>
      </w:r>
      <w:r w:rsidR="00F40536">
        <w:lastRenderedPageBreak/>
        <w:t>Robb Report and luxury travel apps with the help of content emphasising the vehicle's sustainable craftsmanship through behind-the-scenes films of its creation at Bentley's carbon-neutral factory</w:t>
      </w:r>
      <w:r w:rsidR="00C60C06">
        <w:t xml:space="preserve">. </w:t>
      </w:r>
      <w:r w:rsidR="009E5A95">
        <w:t xml:space="preserve">Strategic partnerships will be developed with the help of elite sustainability organisations and luxury eco-resorts to reinforce the brand's green credentials. Influencer marketing will look to target a select group of business leaders, celebrities and environmental advocates rather than traditional automotive press. </w:t>
      </w:r>
    </w:p>
    <w:p w14:paraId="409BB875" w14:textId="0C917309" w:rsidR="00976CED" w:rsidRDefault="007655B2" w:rsidP="00976CED">
      <w:pPr>
        <w:pStyle w:val="Heading1"/>
      </w:pPr>
      <w:bookmarkStart w:id="5" w:name="_Toc195785850"/>
      <w:r w:rsidRPr="00976CED">
        <w:t>Conclusion</w:t>
      </w:r>
      <w:bookmarkEnd w:id="5"/>
      <w:r w:rsidRPr="00976CED">
        <w:t xml:space="preserve"> </w:t>
      </w:r>
    </w:p>
    <w:p w14:paraId="2FAA059F" w14:textId="173C6640" w:rsidR="0032073C" w:rsidRDefault="007655B2" w:rsidP="0032073C">
      <w:r>
        <w:t xml:space="preserve">Bentley's 2026 electric SUV represents a strategic evolution of the brand, seamlessly blending its heritage of luxury craftsmanship with cutting-edge sustainability mobility. Entering into the ultra-luxury EV segment, Bentley addresses a critical market gap, catering to affluent, eco-conscious consumers who look to demand zero-emission vehicles without compromising performance or exclusivity. The meticulously planned STP strategy makes sure that precision targeting of high-net-worth individuals and next-gen buyers, whereas the marketing mix reinforces Bentley's elite positioning through bespoken customisation, premium pricing, exclusive distribution and also high-impact promotion. </w:t>
      </w:r>
      <w:r w:rsidR="0056787D">
        <w:t xml:space="preserve">The extension strengthens Bentley’s long-term relevance in an electrified automotive landscape, differentiating it from that of its competitors through hand-built excellence and personalised experiences. Maintaining its core values while embracing sustainability, Bentley not only future-proofs its brand but also expands its appeal to a new generation of luxury buyers. </w:t>
      </w:r>
    </w:p>
    <w:p w14:paraId="57EE8206" w14:textId="73FF15E4" w:rsidR="005E02E8" w:rsidRDefault="007655B2">
      <w:pPr>
        <w:spacing w:line="259" w:lineRule="auto"/>
        <w:jc w:val="left"/>
      </w:pPr>
      <w:r>
        <w:br w:type="page"/>
      </w:r>
    </w:p>
    <w:p w14:paraId="4C619301" w14:textId="52A516B9" w:rsidR="005E02E8" w:rsidRPr="005E02E8" w:rsidRDefault="007655B2" w:rsidP="005E02E8">
      <w:pPr>
        <w:pStyle w:val="Heading1"/>
        <w:rPr>
          <w:rFonts w:cstheme="minorBidi"/>
          <w:sz w:val="24"/>
          <w:szCs w:val="22"/>
        </w:rPr>
      </w:pPr>
      <w:bookmarkStart w:id="6" w:name="_Toc195785851"/>
      <w:r>
        <w:lastRenderedPageBreak/>
        <w:t>References</w:t>
      </w:r>
      <w:bookmarkEnd w:id="6"/>
    </w:p>
    <w:p w14:paraId="5651596A" w14:textId="77777777" w:rsidR="005E02E8" w:rsidRPr="006D4216" w:rsidRDefault="007655B2" w:rsidP="005E02E8">
      <w:pPr>
        <w:rPr>
          <w:rFonts w:cs="Times New Roman"/>
          <w:szCs w:val="24"/>
        </w:rPr>
      </w:pPr>
      <w:r w:rsidRPr="006D4216">
        <w:rPr>
          <w:rFonts w:cs="Times New Roman"/>
          <w:szCs w:val="24"/>
          <w:lang w:val="en-IN"/>
        </w:rPr>
        <w:t>Autoexpress.co, (2025). Bentley’s all-electric SUV undergoes first test ahead of 2027 launch.</w:t>
      </w:r>
      <w:r w:rsidRPr="006D4216">
        <w:rPr>
          <w:rFonts w:cs="Times New Roman"/>
          <w:b/>
          <w:bCs/>
          <w:szCs w:val="24"/>
          <w:lang w:val="en-IN"/>
        </w:rPr>
        <w:t xml:space="preserve"> </w:t>
      </w:r>
      <w:r w:rsidRPr="006D4216">
        <w:rPr>
          <w:rFonts w:cs="Times New Roman"/>
          <w:szCs w:val="24"/>
          <w:lang w:val="en-IN"/>
        </w:rPr>
        <w:t xml:space="preserve"> [Online] Available at: </w:t>
      </w:r>
      <w:r w:rsidRPr="006D4216">
        <w:rPr>
          <w:rFonts w:cs="Times New Roman"/>
          <w:szCs w:val="24"/>
        </w:rPr>
        <w:t xml:space="preserve">  </w:t>
      </w:r>
      <w:hyperlink r:id="rId7" w:history="1">
        <w:r w:rsidR="005E02E8" w:rsidRPr="006D4216">
          <w:rPr>
            <w:rStyle w:val="Hyperlink"/>
            <w:rFonts w:cs="Times New Roman"/>
            <w:szCs w:val="24"/>
            <w:lang w:val="en-IN"/>
          </w:rPr>
          <w:t>https://www.autoexpress.co.uk/bentley/366072/bentleys-all-electric-suv-undergoes-first-test-ahead-2027-launch</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09E01F5D" w14:textId="77777777" w:rsidR="005E02E8" w:rsidRPr="006D4216" w:rsidRDefault="007655B2" w:rsidP="005E02E8">
      <w:pPr>
        <w:rPr>
          <w:rFonts w:cs="Times New Roman"/>
          <w:szCs w:val="24"/>
        </w:rPr>
      </w:pPr>
      <w:r w:rsidRPr="006D4216">
        <w:rPr>
          <w:rFonts w:cs="Times New Roman"/>
          <w:szCs w:val="24"/>
        </w:rPr>
        <w:t xml:space="preserve">Bentley.edu, (2025). </w:t>
      </w:r>
      <w:r w:rsidRPr="006D4216">
        <w:rPr>
          <w:rFonts w:cs="Times New Roman"/>
          <w:szCs w:val="24"/>
          <w:lang w:val="en-IN"/>
        </w:rPr>
        <w:t>Brand Positioning.</w:t>
      </w:r>
      <w:r w:rsidRPr="006D4216">
        <w:rPr>
          <w:rFonts w:cs="Times New Roman"/>
          <w:b/>
          <w:bCs/>
          <w:szCs w:val="24"/>
          <w:lang w:val="en-IN"/>
        </w:rPr>
        <w:t xml:space="preserve"> </w:t>
      </w:r>
      <w:r w:rsidRPr="006D4216">
        <w:rPr>
          <w:rFonts w:cs="Times New Roman"/>
          <w:szCs w:val="24"/>
          <w:lang w:val="en-IN"/>
        </w:rPr>
        <w:t xml:space="preserve">[Online] Available at: </w:t>
      </w:r>
      <w:r w:rsidRPr="006D4216">
        <w:rPr>
          <w:rFonts w:cs="Times New Roman"/>
          <w:szCs w:val="24"/>
        </w:rPr>
        <w:t xml:space="preserve"> </w:t>
      </w:r>
      <w:hyperlink r:id="rId8" w:history="1">
        <w:r w:rsidR="005E02E8" w:rsidRPr="006D4216">
          <w:rPr>
            <w:rStyle w:val="Hyperlink"/>
            <w:rFonts w:cs="Times New Roman"/>
            <w:szCs w:val="24"/>
          </w:rPr>
          <w:t>https://www.bentley.edu/offices/marketing-communications/bentley-brand/brand-positioning</w:t>
        </w:r>
      </w:hyperlink>
      <w:r w:rsidRPr="006D4216">
        <w:rPr>
          <w:rFonts w:cs="Times New Roman"/>
          <w:szCs w:val="24"/>
        </w:rPr>
        <w:t>. [Accessed on: 17</w:t>
      </w:r>
      <w:r w:rsidRPr="006D4216">
        <w:rPr>
          <w:rFonts w:cs="Times New Roman"/>
          <w:szCs w:val="24"/>
          <w:vertAlign w:val="superscript"/>
        </w:rPr>
        <w:t>th</w:t>
      </w:r>
      <w:r w:rsidRPr="006D4216">
        <w:rPr>
          <w:rFonts w:cs="Times New Roman"/>
          <w:szCs w:val="24"/>
        </w:rPr>
        <w:t xml:space="preserve"> April 2025]</w:t>
      </w:r>
    </w:p>
    <w:p w14:paraId="761FDCD1" w14:textId="77777777" w:rsidR="005E02E8" w:rsidRPr="006D4216" w:rsidRDefault="007655B2" w:rsidP="005E02E8">
      <w:pPr>
        <w:rPr>
          <w:rFonts w:cs="Times New Roman"/>
          <w:szCs w:val="24"/>
        </w:rPr>
      </w:pPr>
      <w:r w:rsidRPr="006D4216">
        <w:rPr>
          <w:rFonts w:cs="Times New Roman"/>
          <w:szCs w:val="24"/>
          <w:lang w:val="en-IN"/>
        </w:rPr>
        <w:t xml:space="preserve">Bentleymotors.com, (2025). About Bentley.  [Online] Available at: </w:t>
      </w:r>
      <w:r w:rsidRPr="006D4216">
        <w:rPr>
          <w:rFonts w:cs="Times New Roman"/>
          <w:szCs w:val="24"/>
        </w:rPr>
        <w:t xml:space="preserve">  </w:t>
      </w:r>
      <w:hyperlink r:id="rId9" w:history="1">
        <w:r w:rsidR="005E02E8" w:rsidRPr="006D4216">
          <w:rPr>
            <w:rStyle w:val="Hyperlink"/>
            <w:rFonts w:cs="Times New Roman"/>
            <w:szCs w:val="24"/>
            <w:lang w:val="en-IN"/>
          </w:rPr>
          <w:t>https://careers.bentleymotors.com/content/About-Bentley/?locale=en_GB</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3F673A4F" w14:textId="77777777" w:rsidR="005E02E8" w:rsidRPr="006D4216" w:rsidRDefault="007655B2" w:rsidP="005E02E8">
      <w:pPr>
        <w:rPr>
          <w:rFonts w:cs="Times New Roman"/>
          <w:szCs w:val="24"/>
          <w:lang w:val="en-IN"/>
        </w:rPr>
      </w:pPr>
      <w:r w:rsidRPr="006D4216">
        <w:rPr>
          <w:rFonts w:cs="Times New Roman"/>
          <w:szCs w:val="24"/>
        </w:rPr>
        <w:t xml:space="preserve">Bentleymotors.com, (2025). </w:t>
      </w:r>
      <w:r w:rsidRPr="006D4216">
        <w:rPr>
          <w:rFonts w:cs="Times New Roman"/>
          <w:szCs w:val="24"/>
          <w:lang w:val="en-IN"/>
        </w:rPr>
        <w:t xml:space="preserve">Bentayga The definitive luxury SUV. [Online] Available at: </w:t>
      </w:r>
      <w:r w:rsidRPr="006D4216">
        <w:rPr>
          <w:rFonts w:cs="Times New Roman"/>
          <w:szCs w:val="24"/>
        </w:rPr>
        <w:t xml:space="preserve">  </w:t>
      </w:r>
    </w:p>
    <w:p w14:paraId="7634B041" w14:textId="77777777" w:rsidR="005E02E8" w:rsidRPr="006D4216" w:rsidRDefault="007655B2" w:rsidP="005E02E8">
      <w:pPr>
        <w:rPr>
          <w:rFonts w:cs="Times New Roman"/>
          <w:szCs w:val="24"/>
        </w:rPr>
      </w:pPr>
      <w:r w:rsidRPr="006D4216">
        <w:rPr>
          <w:rFonts w:cs="Times New Roman"/>
          <w:szCs w:val="24"/>
        </w:rPr>
        <w:t xml:space="preserve">Bentleymotors.com, (2025). </w:t>
      </w:r>
      <w:r w:rsidRPr="006D4216">
        <w:rPr>
          <w:rFonts w:cs="Times New Roman"/>
          <w:szCs w:val="24"/>
          <w:lang w:val="en-IN"/>
        </w:rPr>
        <w:t>Bentley Models. [Online] Available at:</w:t>
      </w:r>
      <w:r w:rsidRPr="006D4216">
        <w:rPr>
          <w:rFonts w:cs="Times New Roman"/>
          <w:szCs w:val="24"/>
        </w:rPr>
        <w:t xml:space="preserve"> </w:t>
      </w:r>
      <w:hyperlink r:id="rId10" w:history="1">
        <w:r w:rsidR="005E02E8" w:rsidRPr="006D4216">
          <w:rPr>
            <w:rStyle w:val="Hyperlink"/>
            <w:rFonts w:cs="Times New Roman"/>
            <w:szCs w:val="24"/>
          </w:rPr>
          <w:t>https://www.bentleymotors.com/en/models.html</w:t>
        </w:r>
      </w:hyperlink>
      <w:r w:rsidRPr="006D4216">
        <w:rPr>
          <w:rFonts w:cs="Times New Roman"/>
          <w:szCs w:val="24"/>
        </w:rPr>
        <w:t>. [Accessed on: 17</w:t>
      </w:r>
      <w:r w:rsidRPr="006D4216">
        <w:rPr>
          <w:rFonts w:cs="Times New Roman"/>
          <w:szCs w:val="24"/>
          <w:vertAlign w:val="superscript"/>
        </w:rPr>
        <w:t>th</w:t>
      </w:r>
      <w:r w:rsidRPr="006D4216">
        <w:rPr>
          <w:rFonts w:cs="Times New Roman"/>
          <w:szCs w:val="24"/>
        </w:rPr>
        <w:t xml:space="preserve"> April 2025]</w:t>
      </w:r>
    </w:p>
    <w:p w14:paraId="5E5A995C" w14:textId="77777777" w:rsidR="005E02E8" w:rsidRPr="006D4216" w:rsidRDefault="007655B2" w:rsidP="005E02E8">
      <w:pPr>
        <w:rPr>
          <w:rFonts w:cs="Times New Roman"/>
          <w:szCs w:val="24"/>
        </w:rPr>
      </w:pPr>
      <w:r w:rsidRPr="006D4216">
        <w:rPr>
          <w:rFonts w:cs="Times New Roman"/>
          <w:szCs w:val="24"/>
        </w:rPr>
        <w:t xml:space="preserve">Bentleymotors.com, (2025). </w:t>
      </w:r>
      <w:r w:rsidRPr="006D4216">
        <w:rPr>
          <w:rFonts w:cs="Times New Roman"/>
          <w:szCs w:val="24"/>
          <w:lang w:val="en-IN"/>
        </w:rPr>
        <w:t xml:space="preserve">Beyond100+. [Online] Available at: </w:t>
      </w:r>
      <w:r w:rsidRPr="006D4216">
        <w:rPr>
          <w:rFonts w:cs="Times New Roman"/>
          <w:szCs w:val="24"/>
        </w:rPr>
        <w:t xml:space="preserve">  </w:t>
      </w:r>
      <w:hyperlink r:id="rId11" w:history="1">
        <w:r w:rsidR="005E02E8" w:rsidRPr="006D4216">
          <w:rPr>
            <w:rStyle w:val="Hyperlink"/>
            <w:rFonts w:cs="Times New Roman"/>
            <w:szCs w:val="24"/>
          </w:rPr>
          <w:t>https://www.bentleymotors.com/en/about-bentley/beyond-100.html</w:t>
        </w:r>
      </w:hyperlink>
      <w:r w:rsidRPr="006D4216">
        <w:rPr>
          <w:rFonts w:cs="Times New Roman"/>
          <w:szCs w:val="24"/>
        </w:rPr>
        <w:t>. [Accessed on: 17</w:t>
      </w:r>
      <w:r w:rsidRPr="006D4216">
        <w:rPr>
          <w:rFonts w:cs="Times New Roman"/>
          <w:szCs w:val="24"/>
          <w:vertAlign w:val="superscript"/>
        </w:rPr>
        <w:t>th</w:t>
      </w:r>
      <w:r w:rsidRPr="006D4216">
        <w:rPr>
          <w:rFonts w:cs="Times New Roman"/>
          <w:szCs w:val="24"/>
        </w:rPr>
        <w:t xml:space="preserve"> April 2025]</w:t>
      </w:r>
    </w:p>
    <w:p w14:paraId="54BA400D" w14:textId="77777777" w:rsidR="005E02E8" w:rsidRPr="006D4216" w:rsidRDefault="007655B2" w:rsidP="005E02E8">
      <w:pPr>
        <w:rPr>
          <w:rFonts w:cs="Times New Roman"/>
          <w:szCs w:val="24"/>
        </w:rPr>
      </w:pPr>
      <w:r w:rsidRPr="006D4216">
        <w:rPr>
          <w:rFonts w:cs="Times New Roman"/>
          <w:szCs w:val="24"/>
        </w:rPr>
        <w:t xml:space="preserve">Bentleymotors.com, (2025). </w:t>
      </w:r>
      <w:r w:rsidRPr="006D4216">
        <w:rPr>
          <w:rFonts w:cs="Times New Roman"/>
          <w:szCs w:val="24"/>
          <w:lang w:val="en-IN"/>
        </w:rPr>
        <w:t xml:space="preserve">Coachbuilt by Mulliner. </w:t>
      </w:r>
      <w:r w:rsidRPr="006D4216">
        <w:rPr>
          <w:rFonts w:cs="Times New Roman"/>
          <w:szCs w:val="24"/>
        </w:rPr>
        <w:t xml:space="preserve"> </w:t>
      </w:r>
      <w:r w:rsidRPr="006D4216">
        <w:rPr>
          <w:rFonts w:cs="Times New Roman"/>
          <w:szCs w:val="24"/>
          <w:lang w:val="en-IN"/>
        </w:rPr>
        <w:t xml:space="preserve">[Online] Available at: </w:t>
      </w:r>
      <w:hyperlink r:id="rId12" w:history="1">
        <w:r w:rsidR="005E02E8" w:rsidRPr="006D4216">
          <w:rPr>
            <w:rStyle w:val="Hyperlink"/>
            <w:rFonts w:cs="Times New Roman"/>
            <w:szCs w:val="24"/>
          </w:rPr>
          <w:t>https://www.bentleymotors.com/en/models/mulliner/coachbuilt.html</w:t>
        </w:r>
      </w:hyperlink>
      <w:r w:rsidRPr="006D4216">
        <w:rPr>
          <w:rFonts w:cs="Times New Roman"/>
          <w:szCs w:val="24"/>
        </w:rPr>
        <w:t>. [Accessed on: 17</w:t>
      </w:r>
      <w:r w:rsidRPr="006D4216">
        <w:rPr>
          <w:rFonts w:cs="Times New Roman"/>
          <w:szCs w:val="24"/>
          <w:vertAlign w:val="superscript"/>
        </w:rPr>
        <w:t>th</w:t>
      </w:r>
      <w:r w:rsidRPr="006D4216">
        <w:rPr>
          <w:rFonts w:cs="Times New Roman"/>
          <w:szCs w:val="24"/>
        </w:rPr>
        <w:t xml:space="preserve"> April 2025]</w:t>
      </w:r>
    </w:p>
    <w:p w14:paraId="08382691" w14:textId="77777777" w:rsidR="005E02E8" w:rsidRPr="006D4216" w:rsidRDefault="007655B2" w:rsidP="005E02E8">
      <w:pPr>
        <w:rPr>
          <w:rFonts w:cs="Times New Roman"/>
          <w:szCs w:val="24"/>
        </w:rPr>
      </w:pPr>
      <w:r w:rsidRPr="006D4216">
        <w:rPr>
          <w:rFonts w:cs="Times New Roman"/>
          <w:szCs w:val="24"/>
          <w:lang w:val="en-IN"/>
        </w:rPr>
        <w:t xml:space="preserve">Bentleymotors.com, (2025). Craftsmanship </w:t>
      </w:r>
      <w:r w:rsidRPr="005B2021">
        <w:rPr>
          <w:rFonts w:cs="Times New Roman"/>
          <w:szCs w:val="24"/>
          <w:lang w:val="en-IN"/>
        </w:rPr>
        <w:t>A century of unrivalled craftsmanship</w:t>
      </w:r>
      <w:r w:rsidRPr="006D4216">
        <w:rPr>
          <w:rFonts w:cs="Times New Roman"/>
          <w:szCs w:val="24"/>
          <w:lang w:val="en-IN"/>
        </w:rPr>
        <w:t xml:space="preserve">. [Online] Available at: </w:t>
      </w:r>
      <w:hyperlink r:id="rId13" w:history="1">
        <w:r w:rsidR="005E02E8" w:rsidRPr="006D4216">
          <w:rPr>
            <w:rStyle w:val="Hyperlink"/>
            <w:rFonts w:cs="Times New Roman"/>
            <w:szCs w:val="24"/>
            <w:lang w:val="en-IN"/>
          </w:rPr>
          <w:t>https://www.bentleymotors.com/en/about-bentley/people-and-expertise/craftsmanship.html</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6D2C351B" w14:textId="77777777" w:rsidR="005E02E8" w:rsidRPr="006D4216" w:rsidRDefault="007655B2" w:rsidP="005E02E8">
      <w:pPr>
        <w:rPr>
          <w:rFonts w:cs="Times New Roman"/>
          <w:szCs w:val="24"/>
        </w:rPr>
      </w:pPr>
      <w:r w:rsidRPr="006D4216">
        <w:rPr>
          <w:rFonts w:cs="Times New Roman"/>
          <w:szCs w:val="24"/>
          <w:lang w:val="en-IN"/>
        </w:rPr>
        <w:t xml:space="preserve">Bentleymotors.com, (2025). The Bentley Hybrid Range. [Online] Available at: </w:t>
      </w:r>
      <w:hyperlink r:id="rId14" w:history="1">
        <w:r w:rsidR="005E02E8" w:rsidRPr="006D4216">
          <w:rPr>
            <w:rStyle w:val="Hyperlink"/>
            <w:rFonts w:cs="Times New Roman"/>
            <w:szCs w:val="24"/>
            <w:lang w:val="en-IN"/>
          </w:rPr>
          <w:t>https://www.bentleymotors.com/en/models/bentley-hybrids.html</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53FE41FF" w14:textId="77777777" w:rsidR="005E02E8" w:rsidRPr="006D4216" w:rsidRDefault="007655B2" w:rsidP="005E02E8">
      <w:pPr>
        <w:rPr>
          <w:rFonts w:cs="Times New Roman"/>
          <w:szCs w:val="24"/>
        </w:rPr>
      </w:pPr>
      <w:r w:rsidRPr="006D4216">
        <w:rPr>
          <w:rFonts w:cs="Times New Roman"/>
          <w:szCs w:val="24"/>
        </w:rPr>
        <w:t xml:space="preserve">Bentleymotors.com, (2025). </w:t>
      </w:r>
      <w:r w:rsidRPr="006D4216">
        <w:rPr>
          <w:rFonts w:cs="Times New Roman"/>
          <w:szCs w:val="24"/>
          <w:lang w:val="en-IN"/>
        </w:rPr>
        <w:t xml:space="preserve">The Electric Bentley. [Online] Available at: </w:t>
      </w:r>
      <w:r w:rsidRPr="006D4216">
        <w:rPr>
          <w:rFonts w:cs="Times New Roman"/>
          <w:szCs w:val="24"/>
        </w:rPr>
        <w:t xml:space="preserve">  </w:t>
      </w:r>
      <w:hyperlink r:id="rId15" w:history="1">
        <w:r w:rsidR="005E02E8" w:rsidRPr="006D4216">
          <w:rPr>
            <w:rStyle w:val="Hyperlink"/>
            <w:rFonts w:cs="Times New Roman"/>
            <w:szCs w:val="24"/>
          </w:rPr>
          <w:t>https://www.bentleymotors.com/en/about-bentley/beyond-100/coming-this-way.html</w:t>
        </w:r>
      </w:hyperlink>
      <w:r w:rsidRPr="006D4216">
        <w:rPr>
          <w:rFonts w:cs="Times New Roman"/>
          <w:szCs w:val="24"/>
        </w:rPr>
        <w:t>. [Accessed on: 17</w:t>
      </w:r>
      <w:r w:rsidRPr="006D4216">
        <w:rPr>
          <w:rFonts w:cs="Times New Roman"/>
          <w:szCs w:val="24"/>
          <w:vertAlign w:val="superscript"/>
        </w:rPr>
        <w:t>th</w:t>
      </w:r>
      <w:r w:rsidRPr="006D4216">
        <w:rPr>
          <w:rFonts w:cs="Times New Roman"/>
          <w:szCs w:val="24"/>
        </w:rPr>
        <w:t xml:space="preserve"> April 2025]</w:t>
      </w:r>
    </w:p>
    <w:p w14:paraId="5C36B0C5" w14:textId="77777777" w:rsidR="005E02E8" w:rsidRPr="006D4216" w:rsidRDefault="007655B2" w:rsidP="005E02E8">
      <w:pPr>
        <w:rPr>
          <w:rFonts w:cs="Times New Roman"/>
          <w:szCs w:val="24"/>
        </w:rPr>
      </w:pPr>
      <w:r w:rsidRPr="006D4216">
        <w:rPr>
          <w:rFonts w:cs="Times New Roman"/>
          <w:szCs w:val="24"/>
        </w:rPr>
        <w:lastRenderedPageBreak/>
        <w:t>Ernawati, E., Baharin, S.S.K. and Kasmin, F., 2021, April. A review of data mining methods in RFM-based customer segmentation. In </w:t>
      </w:r>
      <w:r w:rsidRPr="006D4216">
        <w:rPr>
          <w:rFonts w:cs="Times New Roman"/>
          <w:i/>
          <w:iCs/>
          <w:szCs w:val="24"/>
        </w:rPr>
        <w:t>Journal of Physics: Conference Series</w:t>
      </w:r>
      <w:r w:rsidRPr="006D4216">
        <w:rPr>
          <w:rFonts w:cs="Times New Roman"/>
          <w:szCs w:val="24"/>
        </w:rPr>
        <w:t> (Vol. 1869, No. 1, p. 012085). IOP Publishing.</w:t>
      </w:r>
    </w:p>
    <w:p w14:paraId="39286D4D" w14:textId="77777777" w:rsidR="005E02E8" w:rsidRPr="006D4216" w:rsidRDefault="007655B2" w:rsidP="005E02E8">
      <w:pPr>
        <w:rPr>
          <w:rFonts w:cs="Times New Roman"/>
          <w:szCs w:val="24"/>
        </w:rPr>
      </w:pPr>
      <w:r w:rsidRPr="006D4216">
        <w:rPr>
          <w:rFonts w:cs="Times New Roman"/>
          <w:szCs w:val="24"/>
          <w:lang w:val="en-IN"/>
        </w:rPr>
        <w:t xml:space="preserve">Globalbankingandfinance.com, (2024). Business </w:t>
      </w:r>
      <w:r w:rsidRPr="00224E0F">
        <w:rPr>
          <w:rFonts w:cs="Times New Roman"/>
          <w:szCs w:val="24"/>
          <w:lang w:val="en-IN"/>
        </w:rPr>
        <w:t>Bentley to launch SUV EV in 2026, extend sales of plug-in hybrids to 2035</w:t>
      </w:r>
      <w:r w:rsidRPr="006D4216">
        <w:rPr>
          <w:rFonts w:cs="Times New Roman"/>
          <w:szCs w:val="24"/>
          <w:lang w:val="en-IN"/>
        </w:rPr>
        <w:t>.</w:t>
      </w:r>
      <w:r w:rsidRPr="006D4216">
        <w:rPr>
          <w:rFonts w:cs="Times New Roman"/>
          <w:b/>
          <w:bCs/>
          <w:szCs w:val="24"/>
          <w:lang w:val="en-IN"/>
        </w:rPr>
        <w:t xml:space="preserve"> </w:t>
      </w:r>
      <w:r w:rsidRPr="006D4216">
        <w:rPr>
          <w:rFonts w:cs="Times New Roman"/>
          <w:szCs w:val="24"/>
          <w:lang w:val="en-IN"/>
        </w:rPr>
        <w:t xml:space="preserve">[Online] Available at: </w:t>
      </w:r>
      <w:hyperlink r:id="rId16" w:history="1">
        <w:r w:rsidR="005E02E8" w:rsidRPr="006D4216">
          <w:rPr>
            <w:rStyle w:val="Hyperlink"/>
            <w:rFonts w:cs="Times New Roman"/>
            <w:szCs w:val="24"/>
            <w:lang w:val="en-IN"/>
          </w:rPr>
          <w:t>https://www.globalbankingandfinance.com/bentley-to-launch-suv-ev-in-2026-extend-sales-of-plug-in-hybrids-to-2035</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5EF606DA" w14:textId="77777777" w:rsidR="005E02E8" w:rsidRPr="006D4216" w:rsidRDefault="007655B2" w:rsidP="005E02E8">
      <w:pPr>
        <w:rPr>
          <w:rFonts w:cs="Times New Roman"/>
          <w:szCs w:val="24"/>
        </w:rPr>
      </w:pPr>
      <w:r w:rsidRPr="006D4216">
        <w:rPr>
          <w:rFonts w:cs="Times New Roman"/>
          <w:szCs w:val="24"/>
          <w:lang w:val="en-IN"/>
        </w:rPr>
        <w:t xml:space="preserve">Greencarreports.com, (2024). Smaller Bentley SUVs might be all-electric, competing with Audi, Jaguar and Mercedes. [Online] Available at: </w:t>
      </w:r>
      <w:hyperlink r:id="rId17" w:history="1">
        <w:r w:rsidR="005E02E8" w:rsidRPr="006D4216">
          <w:rPr>
            <w:rStyle w:val="Hyperlink"/>
            <w:rFonts w:cs="Times New Roman"/>
            <w:szCs w:val="24"/>
            <w:lang w:val="en-IN"/>
          </w:rPr>
          <w:t>https://www.greencarreports.com/news/1109104_smaller-bentley-suv-might-be-all-electric-competing-with-audi-jaguar-mercedes</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1F71B7E8" w14:textId="77777777" w:rsidR="005E02E8" w:rsidRPr="006D4216" w:rsidRDefault="007655B2" w:rsidP="005E02E8">
      <w:pPr>
        <w:rPr>
          <w:rFonts w:cs="Times New Roman"/>
          <w:szCs w:val="24"/>
        </w:rPr>
      </w:pPr>
      <w:r w:rsidRPr="006D4216">
        <w:rPr>
          <w:rFonts w:cs="Times New Roman"/>
          <w:szCs w:val="24"/>
        </w:rPr>
        <w:t>Hossain, M.I., Akter, N. and Muzareba, A.M., 2024. Segmentation, targeting, and positioning. In </w:t>
      </w:r>
      <w:r w:rsidRPr="006D4216">
        <w:rPr>
          <w:rFonts w:cs="Times New Roman"/>
          <w:i/>
          <w:iCs/>
          <w:szCs w:val="24"/>
        </w:rPr>
        <w:t>Marketing in a Transition Economy: New Realities, Challenges, and Prospects</w:t>
      </w:r>
      <w:r w:rsidRPr="006D4216">
        <w:rPr>
          <w:rFonts w:cs="Times New Roman"/>
          <w:szCs w:val="24"/>
        </w:rPr>
        <w:t> (pp. 115-154). Singapore: Springer Nature Singapore.</w:t>
      </w:r>
    </w:p>
    <w:p w14:paraId="68A90988" w14:textId="77777777" w:rsidR="005E02E8" w:rsidRPr="006D4216" w:rsidRDefault="005E02E8" w:rsidP="005E02E8">
      <w:pPr>
        <w:rPr>
          <w:rFonts w:cs="Times New Roman"/>
          <w:szCs w:val="24"/>
        </w:rPr>
      </w:pPr>
      <w:hyperlink r:id="rId18" w:history="1">
        <w:r w:rsidRPr="006D4216">
          <w:rPr>
            <w:rStyle w:val="Hyperlink"/>
            <w:rFonts w:cs="Times New Roman"/>
            <w:szCs w:val="24"/>
            <w:lang w:val="en-IN"/>
          </w:rPr>
          <w:t>https://www.bentleymotors.com/en/models/bentayga.html</w:t>
        </w:r>
      </w:hyperlink>
      <w:r w:rsidR="007655B2" w:rsidRPr="006D4216">
        <w:rPr>
          <w:rFonts w:cs="Times New Roman"/>
          <w:szCs w:val="24"/>
          <w:lang w:val="en-IN"/>
        </w:rPr>
        <w:t xml:space="preserve">. </w:t>
      </w:r>
      <w:r w:rsidR="007655B2" w:rsidRPr="006D4216">
        <w:rPr>
          <w:rFonts w:cs="Times New Roman"/>
          <w:szCs w:val="24"/>
        </w:rPr>
        <w:t>[Accessed on: 17</w:t>
      </w:r>
      <w:r w:rsidR="007655B2" w:rsidRPr="006D4216">
        <w:rPr>
          <w:rFonts w:cs="Times New Roman"/>
          <w:szCs w:val="24"/>
          <w:vertAlign w:val="superscript"/>
        </w:rPr>
        <w:t>th</w:t>
      </w:r>
      <w:r w:rsidR="007655B2" w:rsidRPr="006D4216">
        <w:rPr>
          <w:rFonts w:cs="Times New Roman"/>
          <w:szCs w:val="24"/>
        </w:rPr>
        <w:t xml:space="preserve"> April 2025]</w:t>
      </w:r>
    </w:p>
    <w:p w14:paraId="37DFA6D6" w14:textId="77777777" w:rsidR="005E02E8" w:rsidRPr="006D4216" w:rsidRDefault="007655B2" w:rsidP="005E02E8">
      <w:pPr>
        <w:rPr>
          <w:rFonts w:cs="Times New Roman"/>
          <w:szCs w:val="24"/>
        </w:rPr>
      </w:pPr>
      <w:r w:rsidRPr="006D4216">
        <w:rPr>
          <w:rFonts w:cs="Times New Roman"/>
          <w:szCs w:val="24"/>
        </w:rPr>
        <w:t>Islam, M.M., 2021. Segmenting, targeting and positioning in Islamic marketing. </w:t>
      </w:r>
      <w:r w:rsidRPr="006D4216">
        <w:rPr>
          <w:rFonts w:cs="Times New Roman"/>
          <w:i/>
          <w:iCs/>
          <w:szCs w:val="24"/>
        </w:rPr>
        <w:t>Journal of Islamic Marketing</w:t>
      </w:r>
      <w:r w:rsidRPr="006D4216">
        <w:rPr>
          <w:rFonts w:cs="Times New Roman"/>
          <w:szCs w:val="24"/>
        </w:rPr>
        <w:t>, </w:t>
      </w:r>
      <w:r w:rsidRPr="006D4216">
        <w:rPr>
          <w:rFonts w:cs="Times New Roman"/>
          <w:i/>
          <w:iCs/>
          <w:szCs w:val="24"/>
        </w:rPr>
        <w:t>12</w:t>
      </w:r>
      <w:r w:rsidRPr="006D4216">
        <w:rPr>
          <w:rFonts w:cs="Times New Roman"/>
          <w:szCs w:val="24"/>
        </w:rPr>
        <w:t>(7), pp.1385-1404.</w:t>
      </w:r>
    </w:p>
    <w:p w14:paraId="1A101FF5" w14:textId="77777777" w:rsidR="005E02E8" w:rsidRPr="006D4216" w:rsidRDefault="007655B2" w:rsidP="005E02E8">
      <w:pPr>
        <w:rPr>
          <w:rFonts w:cs="Times New Roman"/>
          <w:szCs w:val="24"/>
        </w:rPr>
      </w:pPr>
      <w:r w:rsidRPr="006D4216">
        <w:rPr>
          <w:rFonts w:cs="Times New Roman"/>
          <w:szCs w:val="24"/>
          <w:lang w:val="en-IN"/>
        </w:rPr>
        <w:t xml:space="preserve">Reuters.com, (2024). Bentley to launch SUV EV in 2026, extend sales of plug-in hybrids to 2035. [Online] Available at: </w:t>
      </w:r>
      <w:hyperlink r:id="rId19" w:history="1">
        <w:r w:rsidR="005E02E8" w:rsidRPr="006D4216">
          <w:rPr>
            <w:rStyle w:val="Hyperlink"/>
            <w:rFonts w:cs="Times New Roman"/>
            <w:szCs w:val="24"/>
            <w:lang w:val="en-IN"/>
          </w:rPr>
          <w:t>https://www.reuters.com/business/autos-transportation/bentley-launch-suv-ev-2026-extend-sales-plug-in-hybrids-2035-2024-11-07/</w:t>
        </w:r>
      </w:hyperlink>
      <w:r w:rsidRPr="006D4216">
        <w:rPr>
          <w:rFonts w:cs="Times New Roman"/>
          <w:szCs w:val="24"/>
          <w:lang w:val="en-IN"/>
        </w:rPr>
        <w:t xml:space="preserve">. </w:t>
      </w:r>
      <w:r w:rsidRPr="006D4216">
        <w:rPr>
          <w:rFonts w:cs="Times New Roman"/>
          <w:szCs w:val="24"/>
        </w:rPr>
        <w:t>[Accessed on: 17</w:t>
      </w:r>
      <w:r w:rsidRPr="006D4216">
        <w:rPr>
          <w:rFonts w:cs="Times New Roman"/>
          <w:szCs w:val="24"/>
          <w:vertAlign w:val="superscript"/>
        </w:rPr>
        <w:t>th</w:t>
      </w:r>
      <w:r w:rsidRPr="006D4216">
        <w:rPr>
          <w:rFonts w:cs="Times New Roman"/>
          <w:szCs w:val="24"/>
        </w:rPr>
        <w:t xml:space="preserve"> April 2025]</w:t>
      </w:r>
    </w:p>
    <w:p w14:paraId="77A6C707" w14:textId="77777777" w:rsidR="005E02E8" w:rsidRPr="006D4216" w:rsidRDefault="007655B2" w:rsidP="005E02E8">
      <w:pPr>
        <w:rPr>
          <w:rFonts w:cs="Times New Roman"/>
          <w:szCs w:val="24"/>
        </w:rPr>
      </w:pPr>
      <w:r w:rsidRPr="006D4216">
        <w:rPr>
          <w:rFonts w:cs="Times New Roman"/>
          <w:szCs w:val="24"/>
        </w:rPr>
        <w:t>Sharma, R.R., Kaur, T. and Syan, A.S., 2021. Market segmentation, targeting and positioning. In </w:t>
      </w:r>
      <w:r w:rsidRPr="006D4216">
        <w:rPr>
          <w:rFonts w:cs="Times New Roman"/>
          <w:i/>
          <w:iCs/>
          <w:szCs w:val="24"/>
        </w:rPr>
        <w:t>Sustainability Marketing: New Directions and Practices</w:t>
      </w:r>
      <w:r w:rsidRPr="006D4216">
        <w:rPr>
          <w:rFonts w:cs="Times New Roman"/>
          <w:szCs w:val="24"/>
        </w:rPr>
        <w:t> (pp. 119-132). Emerald Publishing Limited.</w:t>
      </w:r>
    </w:p>
    <w:p w14:paraId="5FB28148" w14:textId="77777777" w:rsidR="005E02E8" w:rsidRPr="0032073C" w:rsidRDefault="005E02E8" w:rsidP="0032073C"/>
    <w:p w14:paraId="13510A9D" w14:textId="77777777" w:rsidR="0032073C" w:rsidRPr="0032073C" w:rsidRDefault="0032073C" w:rsidP="0032073C"/>
    <w:sectPr w:rsidR="0032073C" w:rsidRPr="00320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6325"/>
    <w:multiLevelType w:val="hybridMultilevel"/>
    <w:tmpl w:val="7C9C0ADA"/>
    <w:lvl w:ilvl="0" w:tplc="7D883160">
      <w:start w:val="1"/>
      <w:numFmt w:val="bullet"/>
      <w:lvlText w:val=""/>
      <w:lvlJc w:val="left"/>
      <w:pPr>
        <w:ind w:left="720" w:hanging="360"/>
      </w:pPr>
      <w:rPr>
        <w:rFonts w:ascii="Symbol" w:hAnsi="Symbol" w:hint="default"/>
      </w:rPr>
    </w:lvl>
    <w:lvl w:ilvl="1" w:tplc="81B2E728" w:tentative="1">
      <w:start w:val="1"/>
      <w:numFmt w:val="bullet"/>
      <w:lvlText w:val="o"/>
      <w:lvlJc w:val="left"/>
      <w:pPr>
        <w:ind w:left="1440" w:hanging="360"/>
      </w:pPr>
      <w:rPr>
        <w:rFonts w:ascii="Courier New" w:hAnsi="Courier New" w:cs="Courier New" w:hint="default"/>
      </w:rPr>
    </w:lvl>
    <w:lvl w:ilvl="2" w:tplc="9DDA1E78" w:tentative="1">
      <w:start w:val="1"/>
      <w:numFmt w:val="bullet"/>
      <w:lvlText w:val=""/>
      <w:lvlJc w:val="left"/>
      <w:pPr>
        <w:ind w:left="2160" w:hanging="360"/>
      </w:pPr>
      <w:rPr>
        <w:rFonts w:ascii="Wingdings" w:hAnsi="Wingdings" w:hint="default"/>
      </w:rPr>
    </w:lvl>
    <w:lvl w:ilvl="3" w:tplc="51EEA26A" w:tentative="1">
      <w:start w:val="1"/>
      <w:numFmt w:val="bullet"/>
      <w:lvlText w:val=""/>
      <w:lvlJc w:val="left"/>
      <w:pPr>
        <w:ind w:left="2880" w:hanging="360"/>
      </w:pPr>
      <w:rPr>
        <w:rFonts w:ascii="Symbol" w:hAnsi="Symbol" w:hint="default"/>
      </w:rPr>
    </w:lvl>
    <w:lvl w:ilvl="4" w:tplc="2CE84458" w:tentative="1">
      <w:start w:val="1"/>
      <w:numFmt w:val="bullet"/>
      <w:lvlText w:val="o"/>
      <w:lvlJc w:val="left"/>
      <w:pPr>
        <w:ind w:left="3600" w:hanging="360"/>
      </w:pPr>
      <w:rPr>
        <w:rFonts w:ascii="Courier New" w:hAnsi="Courier New" w:cs="Courier New" w:hint="default"/>
      </w:rPr>
    </w:lvl>
    <w:lvl w:ilvl="5" w:tplc="5BD0B7C0" w:tentative="1">
      <w:start w:val="1"/>
      <w:numFmt w:val="bullet"/>
      <w:lvlText w:val=""/>
      <w:lvlJc w:val="left"/>
      <w:pPr>
        <w:ind w:left="4320" w:hanging="360"/>
      </w:pPr>
      <w:rPr>
        <w:rFonts w:ascii="Wingdings" w:hAnsi="Wingdings" w:hint="default"/>
      </w:rPr>
    </w:lvl>
    <w:lvl w:ilvl="6" w:tplc="BAFAB1E8" w:tentative="1">
      <w:start w:val="1"/>
      <w:numFmt w:val="bullet"/>
      <w:lvlText w:val=""/>
      <w:lvlJc w:val="left"/>
      <w:pPr>
        <w:ind w:left="5040" w:hanging="360"/>
      </w:pPr>
      <w:rPr>
        <w:rFonts w:ascii="Symbol" w:hAnsi="Symbol" w:hint="default"/>
      </w:rPr>
    </w:lvl>
    <w:lvl w:ilvl="7" w:tplc="A52056D6" w:tentative="1">
      <w:start w:val="1"/>
      <w:numFmt w:val="bullet"/>
      <w:lvlText w:val="o"/>
      <w:lvlJc w:val="left"/>
      <w:pPr>
        <w:ind w:left="5760" w:hanging="360"/>
      </w:pPr>
      <w:rPr>
        <w:rFonts w:ascii="Courier New" w:hAnsi="Courier New" w:cs="Courier New" w:hint="default"/>
      </w:rPr>
    </w:lvl>
    <w:lvl w:ilvl="8" w:tplc="C0C25F88" w:tentative="1">
      <w:start w:val="1"/>
      <w:numFmt w:val="bullet"/>
      <w:lvlText w:val=""/>
      <w:lvlJc w:val="left"/>
      <w:pPr>
        <w:ind w:left="6480" w:hanging="360"/>
      </w:pPr>
      <w:rPr>
        <w:rFonts w:ascii="Wingdings" w:hAnsi="Wingdings" w:hint="default"/>
      </w:rPr>
    </w:lvl>
  </w:abstractNum>
  <w:abstractNum w:abstractNumId="1" w15:restartNumberingAfterBreak="0">
    <w:nsid w:val="1F466BB1"/>
    <w:multiLevelType w:val="hybridMultilevel"/>
    <w:tmpl w:val="8C1CB522"/>
    <w:lvl w:ilvl="0" w:tplc="E35E2E70">
      <w:start w:val="1"/>
      <w:numFmt w:val="bullet"/>
      <w:lvlText w:val=""/>
      <w:lvlJc w:val="left"/>
      <w:pPr>
        <w:ind w:left="720" w:hanging="360"/>
      </w:pPr>
      <w:rPr>
        <w:rFonts w:ascii="Symbol" w:hAnsi="Symbol" w:hint="default"/>
      </w:rPr>
    </w:lvl>
    <w:lvl w:ilvl="1" w:tplc="CFE88190" w:tentative="1">
      <w:start w:val="1"/>
      <w:numFmt w:val="bullet"/>
      <w:lvlText w:val="o"/>
      <w:lvlJc w:val="left"/>
      <w:pPr>
        <w:ind w:left="1440" w:hanging="360"/>
      </w:pPr>
      <w:rPr>
        <w:rFonts w:ascii="Courier New" w:hAnsi="Courier New" w:cs="Courier New" w:hint="default"/>
      </w:rPr>
    </w:lvl>
    <w:lvl w:ilvl="2" w:tplc="F726F6E0" w:tentative="1">
      <w:start w:val="1"/>
      <w:numFmt w:val="bullet"/>
      <w:lvlText w:val=""/>
      <w:lvlJc w:val="left"/>
      <w:pPr>
        <w:ind w:left="2160" w:hanging="360"/>
      </w:pPr>
      <w:rPr>
        <w:rFonts w:ascii="Wingdings" w:hAnsi="Wingdings" w:hint="default"/>
      </w:rPr>
    </w:lvl>
    <w:lvl w:ilvl="3" w:tplc="82BCF410" w:tentative="1">
      <w:start w:val="1"/>
      <w:numFmt w:val="bullet"/>
      <w:lvlText w:val=""/>
      <w:lvlJc w:val="left"/>
      <w:pPr>
        <w:ind w:left="2880" w:hanging="360"/>
      </w:pPr>
      <w:rPr>
        <w:rFonts w:ascii="Symbol" w:hAnsi="Symbol" w:hint="default"/>
      </w:rPr>
    </w:lvl>
    <w:lvl w:ilvl="4" w:tplc="D45AFA50" w:tentative="1">
      <w:start w:val="1"/>
      <w:numFmt w:val="bullet"/>
      <w:lvlText w:val="o"/>
      <w:lvlJc w:val="left"/>
      <w:pPr>
        <w:ind w:left="3600" w:hanging="360"/>
      </w:pPr>
      <w:rPr>
        <w:rFonts w:ascii="Courier New" w:hAnsi="Courier New" w:cs="Courier New" w:hint="default"/>
      </w:rPr>
    </w:lvl>
    <w:lvl w:ilvl="5" w:tplc="8FE83582" w:tentative="1">
      <w:start w:val="1"/>
      <w:numFmt w:val="bullet"/>
      <w:lvlText w:val=""/>
      <w:lvlJc w:val="left"/>
      <w:pPr>
        <w:ind w:left="4320" w:hanging="360"/>
      </w:pPr>
      <w:rPr>
        <w:rFonts w:ascii="Wingdings" w:hAnsi="Wingdings" w:hint="default"/>
      </w:rPr>
    </w:lvl>
    <w:lvl w:ilvl="6" w:tplc="4BB4CB94" w:tentative="1">
      <w:start w:val="1"/>
      <w:numFmt w:val="bullet"/>
      <w:lvlText w:val=""/>
      <w:lvlJc w:val="left"/>
      <w:pPr>
        <w:ind w:left="5040" w:hanging="360"/>
      </w:pPr>
      <w:rPr>
        <w:rFonts w:ascii="Symbol" w:hAnsi="Symbol" w:hint="default"/>
      </w:rPr>
    </w:lvl>
    <w:lvl w:ilvl="7" w:tplc="A9AE0264" w:tentative="1">
      <w:start w:val="1"/>
      <w:numFmt w:val="bullet"/>
      <w:lvlText w:val="o"/>
      <w:lvlJc w:val="left"/>
      <w:pPr>
        <w:ind w:left="5760" w:hanging="360"/>
      </w:pPr>
      <w:rPr>
        <w:rFonts w:ascii="Courier New" w:hAnsi="Courier New" w:cs="Courier New" w:hint="default"/>
      </w:rPr>
    </w:lvl>
    <w:lvl w:ilvl="8" w:tplc="051424CE" w:tentative="1">
      <w:start w:val="1"/>
      <w:numFmt w:val="bullet"/>
      <w:lvlText w:val=""/>
      <w:lvlJc w:val="left"/>
      <w:pPr>
        <w:ind w:left="6480" w:hanging="360"/>
      </w:pPr>
      <w:rPr>
        <w:rFonts w:ascii="Wingdings" w:hAnsi="Wingdings" w:hint="default"/>
      </w:rPr>
    </w:lvl>
  </w:abstractNum>
  <w:abstractNum w:abstractNumId="2" w15:restartNumberingAfterBreak="0">
    <w:nsid w:val="210A2FEF"/>
    <w:multiLevelType w:val="hybridMultilevel"/>
    <w:tmpl w:val="4D08B048"/>
    <w:lvl w:ilvl="0" w:tplc="C45C9B24">
      <w:start w:val="1"/>
      <w:numFmt w:val="bullet"/>
      <w:lvlText w:val=""/>
      <w:lvlJc w:val="left"/>
      <w:pPr>
        <w:ind w:left="720" w:hanging="360"/>
      </w:pPr>
      <w:rPr>
        <w:rFonts w:ascii="Symbol" w:hAnsi="Symbol" w:hint="default"/>
      </w:rPr>
    </w:lvl>
    <w:lvl w:ilvl="1" w:tplc="63AC2D6C" w:tentative="1">
      <w:start w:val="1"/>
      <w:numFmt w:val="bullet"/>
      <w:lvlText w:val="o"/>
      <w:lvlJc w:val="left"/>
      <w:pPr>
        <w:ind w:left="1440" w:hanging="360"/>
      </w:pPr>
      <w:rPr>
        <w:rFonts w:ascii="Courier New" w:hAnsi="Courier New" w:cs="Courier New" w:hint="default"/>
      </w:rPr>
    </w:lvl>
    <w:lvl w:ilvl="2" w:tplc="F69C58C6" w:tentative="1">
      <w:start w:val="1"/>
      <w:numFmt w:val="bullet"/>
      <w:lvlText w:val=""/>
      <w:lvlJc w:val="left"/>
      <w:pPr>
        <w:ind w:left="2160" w:hanging="360"/>
      </w:pPr>
      <w:rPr>
        <w:rFonts w:ascii="Wingdings" w:hAnsi="Wingdings" w:hint="default"/>
      </w:rPr>
    </w:lvl>
    <w:lvl w:ilvl="3" w:tplc="31CAA09E" w:tentative="1">
      <w:start w:val="1"/>
      <w:numFmt w:val="bullet"/>
      <w:lvlText w:val=""/>
      <w:lvlJc w:val="left"/>
      <w:pPr>
        <w:ind w:left="2880" w:hanging="360"/>
      </w:pPr>
      <w:rPr>
        <w:rFonts w:ascii="Symbol" w:hAnsi="Symbol" w:hint="default"/>
      </w:rPr>
    </w:lvl>
    <w:lvl w:ilvl="4" w:tplc="654C8ABE" w:tentative="1">
      <w:start w:val="1"/>
      <w:numFmt w:val="bullet"/>
      <w:lvlText w:val="o"/>
      <w:lvlJc w:val="left"/>
      <w:pPr>
        <w:ind w:left="3600" w:hanging="360"/>
      </w:pPr>
      <w:rPr>
        <w:rFonts w:ascii="Courier New" w:hAnsi="Courier New" w:cs="Courier New" w:hint="default"/>
      </w:rPr>
    </w:lvl>
    <w:lvl w:ilvl="5" w:tplc="03FE7724" w:tentative="1">
      <w:start w:val="1"/>
      <w:numFmt w:val="bullet"/>
      <w:lvlText w:val=""/>
      <w:lvlJc w:val="left"/>
      <w:pPr>
        <w:ind w:left="4320" w:hanging="360"/>
      </w:pPr>
      <w:rPr>
        <w:rFonts w:ascii="Wingdings" w:hAnsi="Wingdings" w:hint="default"/>
      </w:rPr>
    </w:lvl>
    <w:lvl w:ilvl="6" w:tplc="3C08774A" w:tentative="1">
      <w:start w:val="1"/>
      <w:numFmt w:val="bullet"/>
      <w:lvlText w:val=""/>
      <w:lvlJc w:val="left"/>
      <w:pPr>
        <w:ind w:left="5040" w:hanging="360"/>
      </w:pPr>
      <w:rPr>
        <w:rFonts w:ascii="Symbol" w:hAnsi="Symbol" w:hint="default"/>
      </w:rPr>
    </w:lvl>
    <w:lvl w:ilvl="7" w:tplc="F434F828" w:tentative="1">
      <w:start w:val="1"/>
      <w:numFmt w:val="bullet"/>
      <w:lvlText w:val="o"/>
      <w:lvlJc w:val="left"/>
      <w:pPr>
        <w:ind w:left="5760" w:hanging="360"/>
      </w:pPr>
      <w:rPr>
        <w:rFonts w:ascii="Courier New" w:hAnsi="Courier New" w:cs="Courier New" w:hint="default"/>
      </w:rPr>
    </w:lvl>
    <w:lvl w:ilvl="8" w:tplc="A34E8C26" w:tentative="1">
      <w:start w:val="1"/>
      <w:numFmt w:val="bullet"/>
      <w:lvlText w:val=""/>
      <w:lvlJc w:val="left"/>
      <w:pPr>
        <w:ind w:left="6480" w:hanging="360"/>
      </w:pPr>
      <w:rPr>
        <w:rFonts w:ascii="Wingdings" w:hAnsi="Wingdings" w:hint="default"/>
      </w:rPr>
    </w:lvl>
  </w:abstractNum>
  <w:abstractNum w:abstractNumId="3" w15:restartNumberingAfterBreak="0">
    <w:nsid w:val="220010DB"/>
    <w:multiLevelType w:val="hybridMultilevel"/>
    <w:tmpl w:val="A9468D4C"/>
    <w:lvl w:ilvl="0" w:tplc="CFACB1D2">
      <w:start w:val="1"/>
      <w:numFmt w:val="bullet"/>
      <w:lvlText w:val=""/>
      <w:lvlJc w:val="left"/>
      <w:pPr>
        <w:ind w:left="720" w:hanging="360"/>
      </w:pPr>
      <w:rPr>
        <w:rFonts w:ascii="Symbol" w:hAnsi="Symbol" w:hint="default"/>
      </w:rPr>
    </w:lvl>
    <w:lvl w:ilvl="1" w:tplc="61DA6866" w:tentative="1">
      <w:start w:val="1"/>
      <w:numFmt w:val="bullet"/>
      <w:lvlText w:val="o"/>
      <w:lvlJc w:val="left"/>
      <w:pPr>
        <w:ind w:left="1440" w:hanging="360"/>
      </w:pPr>
      <w:rPr>
        <w:rFonts w:ascii="Courier New" w:hAnsi="Courier New" w:cs="Courier New" w:hint="default"/>
      </w:rPr>
    </w:lvl>
    <w:lvl w:ilvl="2" w:tplc="9EC8FA7A" w:tentative="1">
      <w:start w:val="1"/>
      <w:numFmt w:val="bullet"/>
      <w:lvlText w:val=""/>
      <w:lvlJc w:val="left"/>
      <w:pPr>
        <w:ind w:left="2160" w:hanging="360"/>
      </w:pPr>
      <w:rPr>
        <w:rFonts w:ascii="Wingdings" w:hAnsi="Wingdings" w:hint="default"/>
      </w:rPr>
    </w:lvl>
    <w:lvl w:ilvl="3" w:tplc="E4F2B2B6" w:tentative="1">
      <w:start w:val="1"/>
      <w:numFmt w:val="bullet"/>
      <w:lvlText w:val=""/>
      <w:lvlJc w:val="left"/>
      <w:pPr>
        <w:ind w:left="2880" w:hanging="360"/>
      </w:pPr>
      <w:rPr>
        <w:rFonts w:ascii="Symbol" w:hAnsi="Symbol" w:hint="default"/>
      </w:rPr>
    </w:lvl>
    <w:lvl w:ilvl="4" w:tplc="9F22878C" w:tentative="1">
      <w:start w:val="1"/>
      <w:numFmt w:val="bullet"/>
      <w:lvlText w:val="o"/>
      <w:lvlJc w:val="left"/>
      <w:pPr>
        <w:ind w:left="3600" w:hanging="360"/>
      </w:pPr>
      <w:rPr>
        <w:rFonts w:ascii="Courier New" w:hAnsi="Courier New" w:cs="Courier New" w:hint="default"/>
      </w:rPr>
    </w:lvl>
    <w:lvl w:ilvl="5" w:tplc="9A10FF1E" w:tentative="1">
      <w:start w:val="1"/>
      <w:numFmt w:val="bullet"/>
      <w:lvlText w:val=""/>
      <w:lvlJc w:val="left"/>
      <w:pPr>
        <w:ind w:left="4320" w:hanging="360"/>
      </w:pPr>
      <w:rPr>
        <w:rFonts w:ascii="Wingdings" w:hAnsi="Wingdings" w:hint="default"/>
      </w:rPr>
    </w:lvl>
    <w:lvl w:ilvl="6" w:tplc="DA9E58CE" w:tentative="1">
      <w:start w:val="1"/>
      <w:numFmt w:val="bullet"/>
      <w:lvlText w:val=""/>
      <w:lvlJc w:val="left"/>
      <w:pPr>
        <w:ind w:left="5040" w:hanging="360"/>
      </w:pPr>
      <w:rPr>
        <w:rFonts w:ascii="Symbol" w:hAnsi="Symbol" w:hint="default"/>
      </w:rPr>
    </w:lvl>
    <w:lvl w:ilvl="7" w:tplc="67B8639C" w:tentative="1">
      <w:start w:val="1"/>
      <w:numFmt w:val="bullet"/>
      <w:lvlText w:val="o"/>
      <w:lvlJc w:val="left"/>
      <w:pPr>
        <w:ind w:left="5760" w:hanging="360"/>
      </w:pPr>
      <w:rPr>
        <w:rFonts w:ascii="Courier New" w:hAnsi="Courier New" w:cs="Courier New" w:hint="default"/>
      </w:rPr>
    </w:lvl>
    <w:lvl w:ilvl="8" w:tplc="B2364DB2" w:tentative="1">
      <w:start w:val="1"/>
      <w:numFmt w:val="bullet"/>
      <w:lvlText w:val=""/>
      <w:lvlJc w:val="left"/>
      <w:pPr>
        <w:ind w:left="6480" w:hanging="360"/>
      </w:pPr>
      <w:rPr>
        <w:rFonts w:ascii="Wingdings" w:hAnsi="Wingdings" w:hint="default"/>
      </w:rPr>
    </w:lvl>
  </w:abstractNum>
  <w:abstractNum w:abstractNumId="4" w15:restartNumberingAfterBreak="0">
    <w:nsid w:val="53D97717"/>
    <w:multiLevelType w:val="hybridMultilevel"/>
    <w:tmpl w:val="F0546C4E"/>
    <w:lvl w:ilvl="0" w:tplc="F3940EDE">
      <w:start w:val="1"/>
      <w:numFmt w:val="bullet"/>
      <w:lvlText w:val=""/>
      <w:lvlJc w:val="left"/>
      <w:pPr>
        <w:ind w:left="720" w:hanging="360"/>
      </w:pPr>
      <w:rPr>
        <w:rFonts w:ascii="Symbol" w:hAnsi="Symbol" w:hint="default"/>
      </w:rPr>
    </w:lvl>
    <w:lvl w:ilvl="1" w:tplc="D748878E" w:tentative="1">
      <w:start w:val="1"/>
      <w:numFmt w:val="bullet"/>
      <w:lvlText w:val="o"/>
      <w:lvlJc w:val="left"/>
      <w:pPr>
        <w:ind w:left="1440" w:hanging="360"/>
      </w:pPr>
      <w:rPr>
        <w:rFonts w:ascii="Courier New" w:hAnsi="Courier New" w:cs="Courier New" w:hint="default"/>
      </w:rPr>
    </w:lvl>
    <w:lvl w:ilvl="2" w:tplc="CD082B30" w:tentative="1">
      <w:start w:val="1"/>
      <w:numFmt w:val="bullet"/>
      <w:lvlText w:val=""/>
      <w:lvlJc w:val="left"/>
      <w:pPr>
        <w:ind w:left="2160" w:hanging="360"/>
      </w:pPr>
      <w:rPr>
        <w:rFonts w:ascii="Wingdings" w:hAnsi="Wingdings" w:hint="default"/>
      </w:rPr>
    </w:lvl>
    <w:lvl w:ilvl="3" w:tplc="29CCD722" w:tentative="1">
      <w:start w:val="1"/>
      <w:numFmt w:val="bullet"/>
      <w:lvlText w:val=""/>
      <w:lvlJc w:val="left"/>
      <w:pPr>
        <w:ind w:left="2880" w:hanging="360"/>
      </w:pPr>
      <w:rPr>
        <w:rFonts w:ascii="Symbol" w:hAnsi="Symbol" w:hint="default"/>
      </w:rPr>
    </w:lvl>
    <w:lvl w:ilvl="4" w:tplc="DCBEF772" w:tentative="1">
      <w:start w:val="1"/>
      <w:numFmt w:val="bullet"/>
      <w:lvlText w:val="o"/>
      <w:lvlJc w:val="left"/>
      <w:pPr>
        <w:ind w:left="3600" w:hanging="360"/>
      </w:pPr>
      <w:rPr>
        <w:rFonts w:ascii="Courier New" w:hAnsi="Courier New" w:cs="Courier New" w:hint="default"/>
      </w:rPr>
    </w:lvl>
    <w:lvl w:ilvl="5" w:tplc="55065DF8" w:tentative="1">
      <w:start w:val="1"/>
      <w:numFmt w:val="bullet"/>
      <w:lvlText w:val=""/>
      <w:lvlJc w:val="left"/>
      <w:pPr>
        <w:ind w:left="4320" w:hanging="360"/>
      </w:pPr>
      <w:rPr>
        <w:rFonts w:ascii="Wingdings" w:hAnsi="Wingdings" w:hint="default"/>
      </w:rPr>
    </w:lvl>
    <w:lvl w:ilvl="6" w:tplc="6F185190" w:tentative="1">
      <w:start w:val="1"/>
      <w:numFmt w:val="bullet"/>
      <w:lvlText w:val=""/>
      <w:lvlJc w:val="left"/>
      <w:pPr>
        <w:ind w:left="5040" w:hanging="360"/>
      </w:pPr>
      <w:rPr>
        <w:rFonts w:ascii="Symbol" w:hAnsi="Symbol" w:hint="default"/>
      </w:rPr>
    </w:lvl>
    <w:lvl w:ilvl="7" w:tplc="92380552" w:tentative="1">
      <w:start w:val="1"/>
      <w:numFmt w:val="bullet"/>
      <w:lvlText w:val="o"/>
      <w:lvlJc w:val="left"/>
      <w:pPr>
        <w:ind w:left="5760" w:hanging="360"/>
      </w:pPr>
      <w:rPr>
        <w:rFonts w:ascii="Courier New" w:hAnsi="Courier New" w:cs="Courier New" w:hint="default"/>
      </w:rPr>
    </w:lvl>
    <w:lvl w:ilvl="8" w:tplc="55E00160" w:tentative="1">
      <w:start w:val="1"/>
      <w:numFmt w:val="bullet"/>
      <w:lvlText w:val=""/>
      <w:lvlJc w:val="left"/>
      <w:pPr>
        <w:ind w:left="6480" w:hanging="360"/>
      </w:pPr>
      <w:rPr>
        <w:rFonts w:ascii="Wingdings" w:hAnsi="Wingdings" w:hint="default"/>
      </w:rPr>
    </w:lvl>
  </w:abstractNum>
  <w:num w:numId="1" w16cid:durableId="1358047196">
    <w:abstractNumId w:val="4"/>
  </w:num>
  <w:num w:numId="2" w16cid:durableId="1372925932">
    <w:abstractNumId w:val="3"/>
  </w:num>
  <w:num w:numId="3" w16cid:durableId="1334449302">
    <w:abstractNumId w:val="0"/>
  </w:num>
  <w:num w:numId="4" w16cid:durableId="661277384">
    <w:abstractNumId w:val="1"/>
  </w:num>
  <w:num w:numId="5" w16cid:durableId="1835336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CED"/>
    <w:rsid w:val="0002498F"/>
    <w:rsid w:val="00046C12"/>
    <w:rsid w:val="0006447E"/>
    <w:rsid w:val="000815D3"/>
    <w:rsid w:val="00081AB5"/>
    <w:rsid w:val="000A5563"/>
    <w:rsid w:val="000D5A7F"/>
    <w:rsid w:val="00100094"/>
    <w:rsid w:val="001249E0"/>
    <w:rsid w:val="001534A4"/>
    <w:rsid w:val="0017192D"/>
    <w:rsid w:val="001D1525"/>
    <w:rsid w:val="00215E0F"/>
    <w:rsid w:val="00224E0F"/>
    <w:rsid w:val="002672AA"/>
    <w:rsid w:val="00275242"/>
    <w:rsid w:val="002C42EF"/>
    <w:rsid w:val="002C76EB"/>
    <w:rsid w:val="002D4101"/>
    <w:rsid w:val="002F2DC0"/>
    <w:rsid w:val="0032073C"/>
    <w:rsid w:val="00386AC2"/>
    <w:rsid w:val="003B7636"/>
    <w:rsid w:val="003E6761"/>
    <w:rsid w:val="00467F1A"/>
    <w:rsid w:val="004831A7"/>
    <w:rsid w:val="004C5F58"/>
    <w:rsid w:val="004F55BB"/>
    <w:rsid w:val="0050649B"/>
    <w:rsid w:val="00507020"/>
    <w:rsid w:val="00511138"/>
    <w:rsid w:val="00521247"/>
    <w:rsid w:val="0056787D"/>
    <w:rsid w:val="00584F64"/>
    <w:rsid w:val="005B2021"/>
    <w:rsid w:val="005C03F1"/>
    <w:rsid w:val="005D43B6"/>
    <w:rsid w:val="005E02E8"/>
    <w:rsid w:val="005E78E9"/>
    <w:rsid w:val="00646EE3"/>
    <w:rsid w:val="00653911"/>
    <w:rsid w:val="00660739"/>
    <w:rsid w:val="0066412B"/>
    <w:rsid w:val="00666F92"/>
    <w:rsid w:val="00681D6C"/>
    <w:rsid w:val="006D4216"/>
    <w:rsid w:val="007655B2"/>
    <w:rsid w:val="0079778A"/>
    <w:rsid w:val="007A5680"/>
    <w:rsid w:val="007E3EC9"/>
    <w:rsid w:val="007E421A"/>
    <w:rsid w:val="007F3D3D"/>
    <w:rsid w:val="008A2F91"/>
    <w:rsid w:val="00930981"/>
    <w:rsid w:val="00976CED"/>
    <w:rsid w:val="009A2715"/>
    <w:rsid w:val="009B3069"/>
    <w:rsid w:val="009B4828"/>
    <w:rsid w:val="009E5A95"/>
    <w:rsid w:val="009E7810"/>
    <w:rsid w:val="00A343DD"/>
    <w:rsid w:val="00A36FDC"/>
    <w:rsid w:val="00A73455"/>
    <w:rsid w:val="00A829BD"/>
    <w:rsid w:val="00AA4D78"/>
    <w:rsid w:val="00AD5720"/>
    <w:rsid w:val="00AE40FA"/>
    <w:rsid w:val="00B431E9"/>
    <w:rsid w:val="00B742A8"/>
    <w:rsid w:val="00BA5FD9"/>
    <w:rsid w:val="00BA7BCE"/>
    <w:rsid w:val="00BC34C0"/>
    <w:rsid w:val="00BC563E"/>
    <w:rsid w:val="00BF3E48"/>
    <w:rsid w:val="00C46628"/>
    <w:rsid w:val="00C60C06"/>
    <w:rsid w:val="00C90E81"/>
    <w:rsid w:val="00CA4C2A"/>
    <w:rsid w:val="00D03AA9"/>
    <w:rsid w:val="00D0467F"/>
    <w:rsid w:val="00D52765"/>
    <w:rsid w:val="00D55B95"/>
    <w:rsid w:val="00D84BCA"/>
    <w:rsid w:val="00DE10FF"/>
    <w:rsid w:val="00DE6A5A"/>
    <w:rsid w:val="00DF5F36"/>
    <w:rsid w:val="00E05997"/>
    <w:rsid w:val="00E10C65"/>
    <w:rsid w:val="00E33A75"/>
    <w:rsid w:val="00E42A5B"/>
    <w:rsid w:val="00E720DB"/>
    <w:rsid w:val="00EC7939"/>
    <w:rsid w:val="00ED1ACB"/>
    <w:rsid w:val="00F22E2F"/>
    <w:rsid w:val="00F405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93F96"/>
  <w15:chartTrackingRefBased/>
  <w15:docId w15:val="{0B63FCB9-40FC-4F7B-BD0A-91A9899AA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5B2"/>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976CED"/>
    <w:pPr>
      <w:keepNext/>
      <w:keepLines/>
      <w:spacing w:before="360" w:after="80"/>
      <w:outlineLvl w:val="0"/>
    </w:pPr>
    <w:rPr>
      <w:rFonts w:eastAsiaTheme="majorEastAsia" w:cstheme="majorBidi"/>
      <w:b/>
      <w:color w:val="2F5496" w:themeColor="accent1" w:themeShade="BF"/>
      <w:sz w:val="28"/>
      <w:szCs w:val="40"/>
    </w:rPr>
  </w:style>
  <w:style w:type="paragraph" w:styleId="Heading2">
    <w:name w:val="heading 2"/>
    <w:basedOn w:val="Normal"/>
    <w:next w:val="Normal"/>
    <w:link w:val="Heading2Char"/>
    <w:uiPriority w:val="9"/>
    <w:semiHidden/>
    <w:unhideWhenUsed/>
    <w:qFormat/>
    <w:rsid w:val="00976CE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76CE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6CE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76CE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76C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C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C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C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CED"/>
    <w:rPr>
      <w:rFonts w:ascii="Times New Roman" w:eastAsiaTheme="majorEastAsia" w:hAnsi="Times New Roman" w:cstheme="majorBidi"/>
      <w:b/>
      <w:noProof/>
      <w:color w:val="2F5496" w:themeColor="accent1" w:themeShade="BF"/>
      <w:sz w:val="28"/>
      <w:szCs w:val="40"/>
      <w:lang w:val="en-GB"/>
    </w:rPr>
  </w:style>
  <w:style w:type="character" w:customStyle="1" w:styleId="Heading2Char">
    <w:name w:val="Heading 2 Char"/>
    <w:basedOn w:val="DefaultParagraphFont"/>
    <w:link w:val="Heading2"/>
    <w:uiPriority w:val="9"/>
    <w:semiHidden/>
    <w:rsid w:val="00976CED"/>
    <w:rPr>
      <w:rFonts w:asciiTheme="majorHAnsi" w:eastAsiaTheme="majorEastAsia" w:hAnsiTheme="majorHAnsi" w:cstheme="majorBidi"/>
      <w:noProof/>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976CED"/>
    <w:rPr>
      <w:rFonts w:eastAsiaTheme="majorEastAsia" w:cstheme="majorBidi"/>
      <w:noProof/>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76CED"/>
    <w:rPr>
      <w:rFonts w:eastAsiaTheme="majorEastAsia" w:cstheme="majorBidi"/>
      <w:i/>
      <w:iCs/>
      <w:noProof/>
      <w:color w:val="2F5496" w:themeColor="accent1" w:themeShade="BF"/>
      <w:lang w:val="en-GB"/>
    </w:rPr>
  </w:style>
  <w:style w:type="character" w:customStyle="1" w:styleId="Heading5Char">
    <w:name w:val="Heading 5 Char"/>
    <w:basedOn w:val="DefaultParagraphFont"/>
    <w:link w:val="Heading5"/>
    <w:uiPriority w:val="9"/>
    <w:semiHidden/>
    <w:rsid w:val="00976CED"/>
    <w:rPr>
      <w:rFonts w:eastAsiaTheme="majorEastAsia" w:cstheme="majorBidi"/>
      <w:noProof/>
      <w:color w:val="2F5496" w:themeColor="accent1" w:themeShade="BF"/>
      <w:lang w:val="en-GB"/>
    </w:rPr>
  </w:style>
  <w:style w:type="character" w:customStyle="1" w:styleId="Heading6Char">
    <w:name w:val="Heading 6 Char"/>
    <w:basedOn w:val="DefaultParagraphFont"/>
    <w:link w:val="Heading6"/>
    <w:uiPriority w:val="9"/>
    <w:semiHidden/>
    <w:rsid w:val="00976CED"/>
    <w:rPr>
      <w:rFonts w:eastAsiaTheme="majorEastAsia" w:cstheme="majorBidi"/>
      <w:i/>
      <w:iCs/>
      <w:noProof/>
      <w:color w:val="595959" w:themeColor="text1" w:themeTint="A6"/>
      <w:lang w:val="en-GB"/>
    </w:rPr>
  </w:style>
  <w:style w:type="character" w:customStyle="1" w:styleId="Heading7Char">
    <w:name w:val="Heading 7 Char"/>
    <w:basedOn w:val="DefaultParagraphFont"/>
    <w:link w:val="Heading7"/>
    <w:uiPriority w:val="9"/>
    <w:semiHidden/>
    <w:rsid w:val="00976CED"/>
    <w:rPr>
      <w:rFonts w:eastAsiaTheme="majorEastAsia" w:cstheme="majorBidi"/>
      <w:noProof/>
      <w:color w:val="595959" w:themeColor="text1" w:themeTint="A6"/>
      <w:lang w:val="en-GB"/>
    </w:rPr>
  </w:style>
  <w:style w:type="character" w:customStyle="1" w:styleId="Heading8Char">
    <w:name w:val="Heading 8 Char"/>
    <w:basedOn w:val="DefaultParagraphFont"/>
    <w:link w:val="Heading8"/>
    <w:uiPriority w:val="9"/>
    <w:semiHidden/>
    <w:rsid w:val="00976CED"/>
    <w:rPr>
      <w:rFonts w:eastAsiaTheme="majorEastAsia" w:cstheme="majorBidi"/>
      <w:i/>
      <w:iCs/>
      <w:noProof/>
      <w:color w:val="272727" w:themeColor="text1" w:themeTint="D8"/>
      <w:lang w:val="en-GB"/>
    </w:rPr>
  </w:style>
  <w:style w:type="character" w:customStyle="1" w:styleId="Heading9Char">
    <w:name w:val="Heading 9 Char"/>
    <w:basedOn w:val="DefaultParagraphFont"/>
    <w:link w:val="Heading9"/>
    <w:uiPriority w:val="9"/>
    <w:semiHidden/>
    <w:rsid w:val="00976CED"/>
    <w:rPr>
      <w:rFonts w:eastAsiaTheme="majorEastAsia" w:cstheme="majorBidi"/>
      <w:noProof/>
      <w:color w:val="272727" w:themeColor="text1" w:themeTint="D8"/>
      <w:lang w:val="en-GB"/>
    </w:rPr>
  </w:style>
  <w:style w:type="paragraph" w:styleId="Title">
    <w:name w:val="Title"/>
    <w:basedOn w:val="Normal"/>
    <w:next w:val="Normal"/>
    <w:link w:val="TitleChar"/>
    <w:uiPriority w:val="10"/>
    <w:qFormat/>
    <w:rsid w:val="00976C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CED"/>
    <w:rPr>
      <w:rFonts w:asciiTheme="majorHAnsi" w:eastAsiaTheme="majorEastAsia" w:hAnsiTheme="majorHAnsi" w:cstheme="majorBidi"/>
      <w:noProof/>
      <w:spacing w:val="-10"/>
      <w:kern w:val="28"/>
      <w:sz w:val="56"/>
      <w:szCs w:val="56"/>
      <w:lang w:val="en-GB"/>
    </w:rPr>
  </w:style>
  <w:style w:type="paragraph" w:styleId="Subtitle">
    <w:name w:val="Subtitle"/>
    <w:basedOn w:val="Normal"/>
    <w:next w:val="Normal"/>
    <w:link w:val="SubtitleChar"/>
    <w:uiPriority w:val="11"/>
    <w:qFormat/>
    <w:rsid w:val="00976C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CED"/>
    <w:rPr>
      <w:rFonts w:eastAsiaTheme="majorEastAsia" w:cstheme="majorBidi"/>
      <w:noProof/>
      <w:color w:val="595959" w:themeColor="text1" w:themeTint="A6"/>
      <w:spacing w:val="15"/>
      <w:sz w:val="28"/>
      <w:szCs w:val="28"/>
      <w:lang w:val="en-GB"/>
    </w:rPr>
  </w:style>
  <w:style w:type="paragraph" w:styleId="Quote">
    <w:name w:val="Quote"/>
    <w:basedOn w:val="Normal"/>
    <w:next w:val="Normal"/>
    <w:link w:val="QuoteChar"/>
    <w:uiPriority w:val="29"/>
    <w:qFormat/>
    <w:rsid w:val="00976CED"/>
    <w:pPr>
      <w:spacing w:before="160"/>
      <w:jc w:val="center"/>
    </w:pPr>
    <w:rPr>
      <w:i/>
      <w:iCs/>
      <w:color w:val="404040" w:themeColor="text1" w:themeTint="BF"/>
    </w:rPr>
  </w:style>
  <w:style w:type="character" w:customStyle="1" w:styleId="QuoteChar">
    <w:name w:val="Quote Char"/>
    <w:basedOn w:val="DefaultParagraphFont"/>
    <w:link w:val="Quote"/>
    <w:uiPriority w:val="29"/>
    <w:rsid w:val="00976CED"/>
    <w:rPr>
      <w:i/>
      <w:iCs/>
      <w:noProof/>
      <w:color w:val="404040" w:themeColor="text1" w:themeTint="BF"/>
      <w:lang w:val="en-GB"/>
    </w:rPr>
  </w:style>
  <w:style w:type="paragraph" w:styleId="ListParagraph">
    <w:name w:val="List Paragraph"/>
    <w:basedOn w:val="Normal"/>
    <w:uiPriority w:val="34"/>
    <w:qFormat/>
    <w:rsid w:val="00976CED"/>
    <w:pPr>
      <w:ind w:left="720"/>
      <w:contextualSpacing/>
    </w:pPr>
  </w:style>
  <w:style w:type="character" w:styleId="IntenseEmphasis">
    <w:name w:val="Intense Emphasis"/>
    <w:basedOn w:val="DefaultParagraphFont"/>
    <w:uiPriority w:val="21"/>
    <w:qFormat/>
    <w:rsid w:val="00976CED"/>
    <w:rPr>
      <w:i/>
      <w:iCs/>
      <w:color w:val="2F5496" w:themeColor="accent1" w:themeShade="BF"/>
    </w:rPr>
  </w:style>
  <w:style w:type="paragraph" w:styleId="IntenseQuote">
    <w:name w:val="Intense Quote"/>
    <w:basedOn w:val="Normal"/>
    <w:next w:val="Normal"/>
    <w:link w:val="IntenseQuoteChar"/>
    <w:uiPriority w:val="30"/>
    <w:qFormat/>
    <w:rsid w:val="00976CE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6CED"/>
    <w:rPr>
      <w:i/>
      <w:iCs/>
      <w:noProof/>
      <w:color w:val="2F5496" w:themeColor="accent1" w:themeShade="BF"/>
      <w:lang w:val="en-GB"/>
    </w:rPr>
  </w:style>
  <w:style w:type="character" w:styleId="IntenseReference">
    <w:name w:val="Intense Reference"/>
    <w:basedOn w:val="DefaultParagraphFont"/>
    <w:uiPriority w:val="32"/>
    <w:qFormat/>
    <w:rsid w:val="00976CED"/>
    <w:rPr>
      <w:b/>
      <w:bCs/>
      <w:smallCaps/>
      <w:color w:val="2F5496" w:themeColor="accent1" w:themeShade="BF"/>
      <w:spacing w:val="5"/>
    </w:rPr>
  </w:style>
  <w:style w:type="paragraph" w:styleId="Header">
    <w:name w:val="header"/>
    <w:basedOn w:val="Normal"/>
    <w:link w:val="HeaderChar"/>
    <w:uiPriority w:val="99"/>
    <w:unhideWhenUsed/>
    <w:rsid w:val="00ED1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1ACB"/>
    <w:rPr>
      <w:rFonts w:ascii="Times New Roman" w:hAnsi="Times New Roman"/>
      <w:noProof/>
      <w:sz w:val="24"/>
      <w:lang w:val="en-GB"/>
    </w:rPr>
  </w:style>
  <w:style w:type="paragraph" w:styleId="Footer">
    <w:name w:val="footer"/>
    <w:basedOn w:val="Normal"/>
    <w:link w:val="FooterChar"/>
    <w:uiPriority w:val="99"/>
    <w:unhideWhenUsed/>
    <w:rsid w:val="00ED1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1ACB"/>
    <w:rPr>
      <w:rFonts w:ascii="Times New Roman" w:hAnsi="Times New Roman"/>
      <w:noProof/>
      <w:sz w:val="24"/>
      <w:lang w:val="en-GB"/>
    </w:rPr>
  </w:style>
  <w:style w:type="character" w:styleId="Hyperlink">
    <w:name w:val="Hyperlink"/>
    <w:basedOn w:val="DefaultParagraphFont"/>
    <w:uiPriority w:val="99"/>
    <w:unhideWhenUsed/>
    <w:rsid w:val="005E02E8"/>
    <w:rPr>
      <w:color w:val="0563C1" w:themeColor="hyperlink"/>
      <w:u w:val="single"/>
    </w:rPr>
  </w:style>
  <w:style w:type="paragraph" w:styleId="TOCHeading">
    <w:name w:val="TOC Heading"/>
    <w:basedOn w:val="Heading1"/>
    <w:next w:val="Normal"/>
    <w:uiPriority w:val="39"/>
    <w:unhideWhenUsed/>
    <w:qFormat/>
    <w:rsid w:val="00AD5720"/>
    <w:pPr>
      <w:spacing w:before="240" w:after="0" w:line="259" w:lineRule="auto"/>
      <w:jc w:val="left"/>
      <w:outlineLvl w:val="9"/>
    </w:pPr>
    <w:rPr>
      <w:rFonts w:asciiTheme="majorHAnsi" w:hAnsiTheme="majorHAnsi"/>
      <w:b w:val="0"/>
      <w:noProof w:val="0"/>
      <w:kern w:val="0"/>
      <w:sz w:val="32"/>
      <w:szCs w:val="32"/>
      <w:lang w:val="en-US"/>
      <w14:ligatures w14:val="none"/>
    </w:rPr>
  </w:style>
  <w:style w:type="paragraph" w:styleId="TOC1">
    <w:name w:val="toc 1"/>
    <w:basedOn w:val="Normal"/>
    <w:next w:val="Normal"/>
    <w:autoRedefine/>
    <w:uiPriority w:val="39"/>
    <w:unhideWhenUsed/>
    <w:rsid w:val="00AD572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ntley.edu/offices/marketing-communications/bentley-brand/brand-positioning" TargetMode="External"/><Relationship Id="rId13" Type="http://schemas.openxmlformats.org/officeDocument/2006/relationships/hyperlink" Target="https://www.bentleymotors.com/en/about-bentley/people-and-expertise/craftsmanship.html" TargetMode="External"/><Relationship Id="rId18" Type="http://schemas.openxmlformats.org/officeDocument/2006/relationships/hyperlink" Target="https://www.bentleymotors.com/en/models/bentayga.htm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autoexpress.co.uk/bentley/366072/bentleys-all-electric-suv-undergoes-first-test-ahead-2027-launch" TargetMode="External"/><Relationship Id="rId12" Type="http://schemas.openxmlformats.org/officeDocument/2006/relationships/hyperlink" Target="https://www.bentleymotors.com/en/models/mulliner/coachbuilt.html" TargetMode="External"/><Relationship Id="rId17" Type="http://schemas.openxmlformats.org/officeDocument/2006/relationships/hyperlink" Target="https://www.greencarreports.com/news/1109104_smaller-bentley-suv-might-be-all-electric-competing-with-audi-jaguar-mercedes" TargetMode="External"/><Relationship Id="rId2" Type="http://schemas.openxmlformats.org/officeDocument/2006/relationships/numbering" Target="numbering.xml"/><Relationship Id="rId16" Type="http://schemas.openxmlformats.org/officeDocument/2006/relationships/hyperlink" Target="https://www.globalbankingandfinance.com/bentley-to-launch-suv-ev-in-2026-extend-sales-of-plug-in-hybrids-to-203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bentleymotors.com/en/about-bentley/beyond-100.html" TargetMode="External"/><Relationship Id="rId5" Type="http://schemas.openxmlformats.org/officeDocument/2006/relationships/webSettings" Target="webSettings.xml"/><Relationship Id="rId15" Type="http://schemas.openxmlformats.org/officeDocument/2006/relationships/hyperlink" Target="https://www.bentleymotors.com/en/about-bentley/beyond-100/coming-this-way.html" TargetMode="External"/><Relationship Id="rId10" Type="http://schemas.openxmlformats.org/officeDocument/2006/relationships/hyperlink" Target="https://www.bentleymotors.com/en/models.html" TargetMode="External"/><Relationship Id="rId19" Type="http://schemas.openxmlformats.org/officeDocument/2006/relationships/hyperlink" Target="https://www.reuters.com/business/autos-transportation/bentley-launch-suv-ev-2026-extend-sales-plug-in-hybrids-2035-2024-11-07/" TargetMode="External"/><Relationship Id="rId4" Type="http://schemas.openxmlformats.org/officeDocument/2006/relationships/settings" Target="settings.xml"/><Relationship Id="rId9" Type="http://schemas.openxmlformats.org/officeDocument/2006/relationships/hyperlink" Target="https://careers.bentleymotors.com/content/About-Bentley/?locale=en_GB" TargetMode="External"/><Relationship Id="rId14" Type="http://schemas.openxmlformats.org/officeDocument/2006/relationships/hyperlink" Target="https://www.bentleymotors.com/en/models/bentley-hybrid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EC816-89B4-4DA7-87E7-A5612E298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3472</Words>
  <Characters>19795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vinay.kativarapu</dc:creator>
  <cp:lastModifiedBy>Vinay Kumar Kativarapu (2414775)</cp:lastModifiedBy>
  <cp:revision>12</cp:revision>
  <dcterms:created xsi:type="dcterms:W3CDTF">2025-04-19T16:01:00Z</dcterms:created>
  <dcterms:modified xsi:type="dcterms:W3CDTF">2025-04-19T16:41:00Z</dcterms:modified>
</cp:coreProperties>
</file>