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E888C" w14:textId="77777777" w:rsidR="00FE4066" w:rsidRDefault="00FE4066" w:rsidP="00FE4066">
      <w:pPr>
        <w:jc w:val="center"/>
        <w:rPr>
          <w:rFonts w:ascii="Arabic Typesetting" w:eastAsiaTheme="minorHAnsi" w:hAnsi="Arabic Typesetting" w:cs="Arabic Typesetting"/>
          <w:sz w:val="16"/>
          <w:szCs w:val="16"/>
        </w:rPr>
      </w:pPr>
      <w:r>
        <w:rPr>
          <w:rFonts w:ascii="Arabic Typesetting" w:hAnsi="Arabic Typesetting" w:cs="Arabic Typesetting" w:hint="cs"/>
          <w:sz w:val="16"/>
          <w:szCs w:val="16"/>
        </w:rPr>
        <w:t>In the name of Allah (SWT), the most Gracious, the most Merciful.</w:t>
      </w:r>
    </w:p>
    <w:p w14:paraId="03475CAC" w14:textId="77777777" w:rsidR="00FE4066" w:rsidRDefault="00FE4066" w:rsidP="00FE4066">
      <w:pPr>
        <w:rPr>
          <w:rFonts w:ascii="Calibri" w:hAnsi="Calibri" w:cs="Calibri"/>
          <w:u w:val="single"/>
          <w:lang w:val="en-US"/>
        </w:rPr>
      </w:pPr>
    </w:p>
    <w:p w14:paraId="2D01B9A2" w14:textId="63F53E28" w:rsidR="00F05EF9" w:rsidRDefault="00F05EF9" w:rsidP="00F05EF9">
      <w:pPr>
        <w:jc w:val="center"/>
        <w:rPr>
          <w:rFonts w:ascii="Calibri" w:hAnsi="Calibri" w:cs="Calibri"/>
          <w:u w:val="single"/>
          <w:lang w:val="en-US"/>
        </w:rPr>
      </w:pPr>
      <w:r>
        <w:rPr>
          <w:rFonts w:ascii="Calibri" w:hAnsi="Calibri" w:cs="Calibri"/>
          <w:u w:val="single"/>
          <w:lang w:val="en-US"/>
        </w:rPr>
        <w:t>PRESENTATION SUPPLEMENTARY NOTES</w:t>
      </w:r>
    </w:p>
    <w:p w14:paraId="0DBE017E" w14:textId="77777777" w:rsidR="00ED3B40" w:rsidRDefault="00ED3B40" w:rsidP="00ED3B40">
      <w:pPr>
        <w:jc w:val="center"/>
        <w:rPr>
          <w:rFonts w:ascii="Calibri" w:hAnsi="Calibri" w:cs="Calibri"/>
          <w:u w:val="single"/>
          <w:lang w:val="en-US"/>
        </w:rPr>
      </w:pPr>
      <w:r>
        <w:rPr>
          <w:rFonts w:ascii="Calibri" w:hAnsi="Calibri" w:cs="Calibri"/>
          <w:u w:val="single"/>
          <w:lang w:val="en-US"/>
        </w:rPr>
        <w:t>BMSW4001</w:t>
      </w:r>
    </w:p>
    <w:p w14:paraId="4A54895D" w14:textId="4D4BED9A" w:rsidR="00F05EF9" w:rsidRDefault="00F05EF9" w:rsidP="00ED3B40">
      <w:pPr>
        <w:jc w:val="center"/>
        <w:rPr>
          <w:rFonts w:ascii="Calibri" w:hAnsi="Calibri" w:cs="Calibri"/>
          <w:u w:val="single"/>
          <w:lang w:val="en-US"/>
        </w:rPr>
      </w:pPr>
      <w:r>
        <w:rPr>
          <w:rFonts w:ascii="Calibri" w:hAnsi="Calibri" w:cs="Calibri"/>
          <w:u w:val="single"/>
          <w:lang w:val="en-US"/>
        </w:rPr>
        <w:t>MR SOYFUL ISLAM MIAH</w:t>
      </w:r>
    </w:p>
    <w:p w14:paraId="74E71AF0" w14:textId="28A5B87A" w:rsidR="00ED3B40" w:rsidRDefault="00ED3B40" w:rsidP="00ED3B40">
      <w:pPr>
        <w:jc w:val="center"/>
        <w:rPr>
          <w:rFonts w:ascii="Calibri" w:hAnsi="Calibri" w:cs="Calibri"/>
          <w:u w:val="single"/>
          <w:lang w:val="en-US"/>
        </w:rPr>
      </w:pPr>
      <w:r>
        <w:rPr>
          <w:rFonts w:ascii="Calibri" w:hAnsi="Calibri" w:cs="Calibri"/>
          <w:u w:val="single"/>
          <w:lang w:val="en-US"/>
        </w:rPr>
        <w:t>1709512</w:t>
      </w:r>
    </w:p>
    <w:p w14:paraId="4125DE3C" w14:textId="77777777" w:rsidR="00ED3B40" w:rsidRDefault="00ED3B40" w:rsidP="00ED3B40">
      <w:pPr>
        <w:jc w:val="center"/>
        <w:rPr>
          <w:rFonts w:ascii="Calibri" w:hAnsi="Calibri" w:cs="Calibri"/>
          <w:u w:val="single"/>
          <w:lang w:val="en-US"/>
        </w:rPr>
      </w:pPr>
      <w:r>
        <w:rPr>
          <w:rFonts w:ascii="Calibri" w:hAnsi="Calibri" w:cs="Calibri"/>
          <w:u w:val="single"/>
          <w:lang w:val="en-US"/>
        </w:rPr>
        <w:t>UNIVERSITY OF WALES TRINITY SAINT DAVID</w:t>
      </w:r>
    </w:p>
    <w:p w14:paraId="0C015789" w14:textId="77777777" w:rsidR="00ED3B40" w:rsidRDefault="00ED3B40" w:rsidP="00ED3B40">
      <w:pPr>
        <w:jc w:val="center"/>
        <w:rPr>
          <w:rFonts w:ascii="Calibri" w:hAnsi="Calibri" w:cs="Calibri"/>
          <w:u w:val="single"/>
          <w:lang w:val="en-US"/>
        </w:rPr>
      </w:pPr>
      <w:r>
        <w:rPr>
          <w:rFonts w:ascii="Calibri" w:hAnsi="Calibri" w:cs="Calibri"/>
          <w:u w:val="single"/>
          <w:lang w:val="en-US"/>
        </w:rPr>
        <w:t>LECTURER: LAURA JAMES</w:t>
      </w:r>
    </w:p>
    <w:p w14:paraId="78A2EFAB" w14:textId="5A7F6A44" w:rsidR="00ED3B40" w:rsidRDefault="00ED3B40" w:rsidP="00ED3B40">
      <w:pPr>
        <w:jc w:val="center"/>
        <w:rPr>
          <w:rFonts w:ascii="Calibri" w:hAnsi="Calibri" w:cs="Calibri"/>
          <w:u w:val="single"/>
          <w:lang w:val="en-US"/>
        </w:rPr>
      </w:pPr>
      <w:r>
        <w:rPr>
          <w:rFonts w:ascii="Calibri" w:hAnsi="Calibri" w:cs="Calibri"/>
          <w:u w:val="single"/>
          <w:lang w:val="en-US"/>
        </w:rPr>
        <w:t>27</w:t>
      </w:r>
      <w:r w:rsidRPr="00ED3B40">
        <w:rPr>
          <w:rFonts w:ascii="Calibri" w:hAnsi="Calibri" w:cs="Calibri"/>
          <w:u w:val="single"/>
          <w:vertAlign w:val="superscript"/>
          <w:lang w:val="en-US"/>
        </w:rPr>
        <w:t>TH</w:t>
      </w:r>
      <w:r>
        <w:rPr>
          <w:rFonts w:ascii="Calibri" w:hAnsi="Calibri" w:cs="Calibri"/>
          <w:u w:val="single"/>
          <w:lang w:val="en-US"/>
        </w:rPr>
        <w:t xml:space="preserve"> FEBRUARY 2020 </w:t>
      </w:r>
    </w:p>
    <w:p w14:paraId="2FA2A4EA" w14:textId="66E96EAB" w:rsidR="00ED3B40" w:rsidRDefault="00ED3B40" w:rsidP="00F05EF9">
      <w:pPr>
        <w:jc w:val="center"/>
        <w:rPr>
          <w:rFonts w:ascii="Calibri" w:hAnsi="Calibri" w:cs="Calibri"/>
          <w:u w:val="single"/>
          <w:lang w:val="en-US"/>
        </w:rPr>
      </w:pPr>
    </w:p>
    <w:p w14:paraId="76FF052A" w14:textId="73CD84A8" w:rsidR="00F05EF9" w:rsidRDefault="00F05EF9" w:rsidP="00ED3B40">
      <w:pPr>
        <w:rPr>
          <w:rFonts w:ascii="Calibri" w:hAnsi="Calibri" w:cs="Calibri"/>
          <w:u w:val="single"/>
          <w:lang w:val="en-US"/>
        </w:rPr>
      </w:pPr>
    </w:p>
    <w:p w14:paraId="1B874DAB" w14:textId="0A3A884A" w:rsidR="00F05EF9" w:rsidRDefault="00ED3B40" w:rsidP="00ED3B40">
      <w:pPr>
        <w:rPr>
          <w:rFonts w:ascii="Calibri" w:hAnsi="Calibri" w:cs="Calibri"/>
          <w:b/>
          <w:bCs/>
          <w:u w:val="single"/>
          <w:lang w:val="en-US"/>
        </w:rPr>
      </w:pPr>
      <w:r w:rsidRPr="00ED3B40">
        <w:rPr>
          <w:rFonts w:ascii="Calibri" w:hAnsi="Calibri" w:cs="Calibri"/>
          <w:b/>
          <w:bCs/>
          <w:u w:val="single"/>
          <w:lang w:val="en-US"/>
        </w:rPr>
        <w:t>P</w:t>
      </w:r>
      <w:r w:rsidR="00FE4066">
        <w:rPr>
          <w:rFonts w:ascii="Calibri" w:hAnsi="Calibri" w:cs="Calibri"/>
          <w:b/>
          <w:bCs/>
          <w:u w:val="single"/>
          <w:lang w:val="en-US"/>
        </w:rPr>
        <w:t>ower Point</w:t>
      </w:r>
      <w:r w:rsidRPr="00ED3B40">
        <w:rPr>
          <w:rFonts w:ascii="Calibri" w:hAnsi="Calibri" w:cs="Calibri"/>
          <w:b/>
          <w:bCs/>
          <w:u w:val="single"/>
          <w:lang w:val="en-US"/>
        </w:rPr>
        <w:t xml:space="preserve"> slide 1</w:t>
      </w:r>
      <w:r>
        <w:rPr>
          <w:rFonts w:ascii="Calibri" w:hAnsi="Calibri" w:cs="Calibri"/>
          <w:b/>
          <w:bCs/>
          <w:u w:val="single"/>
          <w:lang w:val="en-US"/>
        </w:rPr>
        <w:t>.</w:t>
      </w:r>
      <w:bookmarkStart w:id="0" w:name="_GoBack"/>
    </w:p>
    <w:bookmarkEnd w:id="0"/>
    <w:p w14:paraId="0D2DED28" w14:textId="77777777" w:rsidR="00ED3B40" w:rsidRPr="00ED3B40" w:rsidRDefault="00ED3B40" w:rsidP="00ED3B40">
      <w:pPr>
        <w:rPr>
          <w:rFonts w:ascii="Calibri" w:hAnsi="Calibri" w:cs="Calibri"/>
          <w:b/>
          <w:bCs/>
          <w:u w:val="single"/>
          <w:lang w:val="en-US"/>
        </w:rPr>
      </w:pPr>
    </w:p>
    <w:p w14:paraId="30BB5357" w14:textId="77777777" w:rsidR="00F05EF9" w:rsidRDefault="00F05EF9" w:rsidP="00F05EF9">
      <w:pPr>
        <w:rPr>
          <w:rFonts w:ascii="Calibri" w:hAnsi="Calibri" w:cs="Calibri"/>
          <w:lang w:val="en-US"/>
        </w:rPr>
      </w:pPr>
      <w:r>
        <w:rPr>
          <w:rFonts w:ascii="Calibri" w:hAnsi="Calibri" w:cs="Calibri"/>
          <w:lang w:val="en-US"/>
        </w:rPr>
        <w:t>Give a brief background to the organization and discuss what is meant by ‘building a workforce for the future?</w:t>
      </w:r>
    </w:p>
    <w:p w14:paraId="1D790F9E" w14:textId="77777777" w:rsidR="00F05EF9" w:rsidRDefault="00F05EF9" w:rsidP="00F05EF9">
      <w:pPr>
        <w:rPr>
          <w:rFonts w:ascii="Calibri" w:hAnsi="Calibri" w:cs="Calibri"/>
          <w:lang w:val="en-US"/>
        </w:rPr>
      </w:pPr>
    </w:p>
    <w:p w14:paraId="4858E02A" w14:textId="77777777" w:rsidR="00F05EF9" w:rsidRDefault="00F05EF9" w:rsidP="00F05EF9">
      <w:pPr>
        <w:pStyle w:val="ListParagraph"/>
        <w:numPr>
          <w:ilvl w:val="0"/>
          <w:numId w:val="1"/>
        </w:numPr>
        <w:rPr>
          <w:rFonts w:eastAsia="Times New Roman"/>
          <w:b/>
          <w:bCs/>
          <w:lang w:val="en-US"/>
        </w:rPr>
      </w:pPr>
      <w:r>
        <w:rPr>
          <w:rFonts w:eastAsia="Times New Roman"/>
          <w:b/>
          <w:bCs/>
          <w:lang w:val="en-US"/>
        </w:rPr>
        <w:t>Brief background to the organization: -</w:t>
      </w:r>
    </w:p>
    <w:p w14:paraId="149C74D7" w14:textId="21E50FC6" w:rsidR="00F05EF9" w:rsidRPr="00ED3B40" w:rsidRDefault="00ED3B40" w:rsidP="00F05EF9">
      <w:pPr>
        <w:rPr>
          <w:rFonts w:ascii="Calibri" w:hAnsi="Calibri" w:cs="Calibri"/>
          <w:sz w:val="20"/>
          <w:szCs w:val="20"/>
          <w:lang w:val="en-US"/>
        </w:rPr>
      </w:pPr>
      <w:r w:rsidRPr="00ED3B40">
        <w:rPr>
          <w:rFonts w:ascii="Calibri" w:hAnsi="Calibri" w:cs="Calibri"/>
          <w:sz w:val="20"/>
          <w:szCs w:val="20"/>
          <w:lang w:val="en-US"/>
        </w:rPr>
        <w:t xml:space="preserve">The equitable life assurance society is a successful provider of financial and associated services consisting mainly of life assurance and pensions. </w:t>
      </w:r>
    </w:p>
    <w:p w14:paraId="513B1DD1" w14:textId="3F434A50" w:rsidR="00F05EF9" w:rsidRPr="00ED3B40" w:rsidRDefault="00ED3B40" w:rsidP="00F05EF9">
      <w:pPr>
        <w:rPr>
          <w:rFonts w:ascii="Calibri" w:hAnsi="Calibri" w:cs="Calibri"/>
          <w:sz w:val="20"/>
          <w:szCs w:val="20"/>
          <w:lang w:val="en-US"/>
        </w:rPr>
      </w:pPr>
      <w:r w:rsidRPr="00ED3B40">
        <w:rPr>
          <w:rFonts w:ascii="Calibri" w:hAnsi="Calibri" w:cs="Calibri"/>
          <w:sz w:val="20"/>
          <w:szCs w:val="20"/>
          <w:lang w:val="en-US"/>
        </w:rPr>
        <w:t>It focuses on high net worth individuals (i.e. people whose incomes and wealth are higher than the average) and s</w:t>
      </w:r>
      <w:r w:rsidR="002D5301" w:rsidRPr="00ED3B40">
        <w:rPr>
          <w:rFonts w:ascii="Calibri" w:hAnsi="Calibri" w:cs="Calibri"/>
          <w:sz w:val="20"/>
          <w:szCs w:val="20"/>
          <w:lang w:val="en-US"/>
        </w:rPr>
        <w:t>elling pensions and insurance to groups e.g. through company pension schemes</w:t>
      </w:r>
      <w:r w:rsidR="002D5301" w:rsidRPr="002D5301">
        <w:rPr>
          <w:rFonts w:ascii="Calibri" w:hAnsi="Calibri" w:cs="Calibri"/>
          <w:sz w:val="20"/>
          <w:szCs w:val="20"/>
          <w:lang w:val="en-US"/>
        </w:rPr>
        <w:t>.</w:t>
      </w:r>
      <w:r w:rsidR="007A4204">
        <w:rPr>
          <w:rFonts w:ascii="Calibri" w:hAnsi="Calibri" w:cs="Calibri"/>
          <w:sz w:val="20"/>
          <w:szCs w:val="20"/>
          <w:lang w:val="en-US"/>
        </w:rPr>
        <w:t xml:space="preserve"> </w:t>
      </w:r>
      <w:r w:rsidR="002D5301">
        <w:rPr>
          <w:rFonts w:ascii="Calibri" w:hAnsi="Calibri" w:cs="Calibri"/>
          <w:sz w:val="20"/>
          <w:szCs w:val="20"/>
          <w:lang w:val="en-US"/>
        </w:rPr>
        <w:t xml:space="preserve">According to ( </w:t>
      </w:r>
      <w:hyperlink r:id="rId8" w:history="1">
        <w:r w:rsidR="002D5301" w:rsidRPr="00DE64D7">
          <w:rPr>
            <w:rStyle w:val="Hyperlink"/>
            <w:rFonts w:ascii="Calibri" w:hAnsi="Calibri" w:cs="Calibri"/>
            <w:sz w:val="20"/>
            <w:szCs w:val="20"/>
            <w:lang w:val="en-US"/>
          </w:rPr>
          <w:t>https://www.gov.uk/guidance/equitable-life-payment-scheme</w:t>
        </w:r>
      </w:hyperlink>
      <w:r w:rsidR="002D5301">
        <w:rPr>
          <w:rFonts w:ascii="Calibri" w:hAnsi="Calibri" w:cs="Calibri"/>
          <w:sz w:val="20"/>
          <w:szCs w:val="20"/>
          <w:lang w:val="en-US"/>
        </w:rPr>
        <w:t xml:space="preserve"> )</w:t>
      </w:r>
      <w:r w:rsidR="002D5301" w:rsidRPr="002D5301">
        <w:rPr>
          <w:rFonts w:ascii="Calibri" w:hAnsi="Calibri" w:cs="Arial"/>
          <w:color w:val="0B0C0C"/>
          <w:sz w:val="20"/>
          <w:szCs w:val="29"/>
          <w:shd w:val="clear" w:color="auto" w:fill="FFFFFF"/>
        </w:rPr>
        <w:t xml:space="preserve"> </w:t>
      </w:r>
      <w:r w:rsidR="002D5301">
        <w:rPr>
          <w:rFonts w:ascii="Calibri" w:hAnsi="Calibri" w:cs="Arial"/>
          <w:color w:val="0B0C0C"/>
          <w:sz w:val="20"/>
          <w:szCs w:val="29"/>
          <w:shd w:val="clear" w:color="auto" w:fill="FFFFFF"/>
        </w:rPr>
        <w:t>“t</w:t>
      </w:r>
      <w:r w:rsidR="002D5301" w:rsidRPr="002D5301">
        <w:rPr>
          <w:rFonts w:ascii="Calibri" w:hAnsi="Calibri" w:cs="Arial"/>
          <w:color w:val="0B0C0C"/>
          <w:sz w:val="20"/>
          <w:szCs w:val="29"/>
          <w:shd w:val="clear" w:color="auto" w:fill="FFFFFF"/>
        </w:rPr>
        <w:t>he equitable life payment scheme (the scheme) was set up by government to make payments to equitable life policyholders in respect of relative loss they suffered on their investments following government maladministration in the regulatory returns of the equitable life assurance society between 1992-2000.</w:t>
      </w:r>
      <w:r w:rsidR="002D5301">
        <w:rPr>
          <w:rFonts w:ascii="Calibri" w:hAnsi="Calibri" w:cs="Arial"/>
          <w:color w:val="0B0C0C"/>
          <w:sz w:val="20"/>
          <w:szCs w:val="29"/>
          <w:shd w:val="clear" w:color="auto" w:fill="FFFFFF"/>
        </w:rPr>
        <w:t>”</w:t>
      </w:r>
      <w:r w:rsidR="002D5301">
        <w:rPr>
          <w:rFonts w:ascii="Calibri" w:hAnsi="Calibri" w:cs="Calibri"/>
          <w:sz w:val="20"/>
          <w:szCs w:val="20"/>
          <w:lang w:val="en-US"/>
        </w:rPr>
        <w:t xml:space="preserve"> </w:t>
      </w:r>
    </w:p>
    <w:p w14:paraId="63F3C03A" w14:textId="1278482B" w:rsidR="00F05EF9" w:rsidRPr="00ED3B40" w:rsidRDefault="00ED3B40" w:rsidP="00F05EF9">
      <w:pPr>
        <w:rPr>
          <w:rFonts w:ascii="Calibri" w:hAnsi="Calibri" w:cs="Calibri"/>
          <w:sz w:val="20"/>
          <w:szCs w:val="20"/>
          <w:lang w:val="en-US"/>
        </w:rPr>
      </w:pPr>
      <w:r w:rsidRPr="00ED3B40">
        <w:rPr>
          <w:rFonts w:ascii="Calibri" w:hAnsi="Calibri" w:cs="Calibri"/>
          <w:sz w:val="20"/>
          <w:szCs w:val="20"/>
          <w:lang w:val="en-US"/>
        </w:rPr>
        <w:t xml:space="preserve">Equitable ‘means fair’. The society sets out to treat its members fairly, so that those people who have bought policies with the society should </w:t>
      </w:r>
      <w:r w:rsidR="002D5301" w:rsidRPr="00ED3B40">
        <w:rPr>
          <w:rFonts w:ascii="Calibri" w:hAnsi="Calibri" w:cs="Calibri"/>
          <w:sz w:val="20"/>
          <w:szCs w:val="20"/>
          <w:lang w:val="en-US"/>
        </w:rPr>
        <w:t>receive</w:t>
      </w:r>
      <w:r w:rsidRPr="00ED3B40">
        <w:rPr>
          <w:rFonts w:ascii="Calibri" w:hAnsi="Calibri" w:cs="Calibri"/>
          <w:sz w:val="20"/>
          <w:szCs w:val="20"/>
          <w:lang w:val="en-US"/>
        </w:rPr>
        <w:t xml:space="preserve"> a fair share of the profits.</w:t>
      </w:r>
      <w:r w:rsidR="007A4204" w:rsidRPr="007A4204">
        <w:rPr>
          <w:rFonts w:cstheme="minorHAnsi"/>
          <w:color w:val="222222"/>
          <w:sz w:val="20"/>
          <w:szCs w:val="20"/>
          <w:shd w:val="clear" w:color="auto" w:fill="FFFFFF"/>
        </w:rPr>
        <w:t xml:space="preserve"> </w:t>
      </w:r>
      <w:r w:rsidR="007A4204">
        <w:rPr>
          <w:rFonts w:cstheme="minorHAnsi"/>
          <w:color w:val="222222"/>
          <w:sz w:val="20"/>
          <w:szCs w:val="20"/>
          <w:shd w:val="clear" w:color="auto" w:fill="FFFFFF"/>
        </w:rPr>
        <w:t>(According to</w:t>
      </w:r>
      <w:r w:rsidR="007A4204" w:rsidRPr="007A4204">
        <w:t xml:space="preserve"> </w:t>
      </w:r>
      <w:hyperlink r:id="rId9" w:history="1">
        <w:r w:rsidR="007A4204" w:rsidRPr="00A71988">
          <w:rPr>
            <w:rStyle w:val="Hyperlink"/>
            <w:rFonts w:cstheme="minorHAnsi"/>
            <w:sz w:val="20"/>
            <w:szCs w:val="20"/>
            <w:shd w:val="clear" w:color="auto" w:fill="FFFFFF"/>
          </w:rPr>
          <w:t>https://work.chron.com/treat-employees-fairly-workplace-3070.html</w:t>
        </w:r>
      </w:hyperlink>
      <w:r w:rsidR="007A4204">
        <w:rPr>
          <w:rFonts w:cstheme="minorHAnsi"/>
          <w:color w:val="222222"/>
          <w:sz w:val="20"/>
          <w:szCs w:val="20"/>
          <w:shd w:val="clear" w:color="auto" w:fill="FFFFFF"/>
        </w:rPr>
        <w:t>) “</w:t>
      </w:r>
      <w:r w:rsidR="007A4204" w:rsidRPr="007A4204">
        <w:rPr>
          <w:rFonts w:cstheme="minorHAnsi"/>
          <w:color w:val="222222"/>
          <w:sz w:val="20"/>
          <w:szCs w:val="20"/>
          <w:shd w:val="clear" w:color="auto" w:fill="FFFFFF"/>
        </w:rPr>
        <w:t>Treating employees fairly in the workplace is not just a moral responsibility. It is also necessary to ensure maximum company growth</w:t>
      </w:r>
      <w:r w:rsidR="007A4204">
        <w:rPr>
          <w:rFonts w:cstheme="minorHAnsi"/>
          <w:color w:val="222222"/>
          <w:sz w:val="20"/>
          <w:szCs w:val="20"/>
          <w:shd w:val="clear" w:color="auto" w:fill="FFFFFF"/>
        </w:rPr>
        <w:t>”</w:t>
      </w:r>
    </w:p>
    <w:p w14:paraId="19226117" w14:textId="1969EBE4" w:rsidR="00F05EF9" w:rsidRPr="00ED3B40" w:rsidRDefault="00ED3B40" w:rsidP="00F05EF9">
      <w:pPr>
        <w:rPr>
          <w:rFonts w:ascii="Calibri" w:hAnsi="Calibri" w:cs="Calibri"/>
          <w:sz w:val="20"/>
          <w:szCs w:val="20"/>
          <w:lang w:val="en-US"/>
        </w:rPr>
      </w:pPr>
      <w:r w:rsidRPr="00ED3B40">
        <w:rPr>
          <w:rFonts w:ascii="Calibri" w:hAnsi="Calibri" w:cs="Calibri"/>
          <w:sz w:val="20"/>
          <w:szCs w:val="20"/>
          <w:lang w:val="en-US"/>
        </w:rPr>
        <w:t xml:space="preserve">The society is now the highest producer of new annual premium business in the </w:t>
      </w:r>
      <w:r w:rsidR="002D5301">
        <w:rPr>
          <w:rFonts w:ascii="Calibri" w:hAnsi="Calibri" w:cs="Calibri"/>
          <w:sz w:val="20"/>
          <w:szCs w:val="20"/>
          <w:lang w:val="en-US"/>
        </w:rPr>
        <w:t>United Kingdom.</w:t>
      </w:r>
      <w:r w:rsidRPr="00ED3B40">
        <w:rPr>
          <w:rFonts w:ascii="Calibri" w:hAnsi="Calibri" w:cs="Calibri"/>
          <w:sz w:val="20"/>
          <w:szCs w:val="20"/>
          <w:lang w:val="en-US"/>
        </w:rPr>
        <w:t xml:space="preserve"> This position has been achieved by steady growth over several years.</w:t>
      </w:r>
    </w:p>
    <w:p w14:paraId="2F677453" w14:textId="7DCF06F2" w:rsidR="00AE18B6" w:rsidRPr="00AE18B6" w:rsidRDefault="00AF4837" w:rsidP="00AE18B6">
      <w:pPr>
        <w:pStyle w:val="NormalWeb"/>
        <w:spacing w:before="0" w:beforeAutospacing="0" w:after="150" w:afterAutospacing="0" w:line="360" w:lineRule="atLeast"/>
        <w:textAlignment w:val="baseline"/>
        <w:rPr>
          <w:rFonts w:asciiTheme="minorHAnsi" w:hAnsiTheme="minorHAnsi" w:cstheme="minorHAnsi"/>
          <w:color w:val="FF0000"/>
          <w:sz w:val="20"/>
          <w:szCs w:val="20"/>
        </w:rPr>
      </w:pPr>
      <w:r>
        <w:rPr>
          <w:rFonts w:asciiTheme="minorHAnsi" w:hAnsiTheme="minorHAnsi" w:cstheme="minorHAnsi"/>
          <w:sz w:val="20"/>
          <w:szCs w:val="20"/>
          <w:lang w:val="en-US"/>
        </w:rPr>
        <w:t>“</w:t>
      </w:r>
      <w:r w:rsidR="00ED3B40" w:rsidRPr="00AE18B6">
        <w:rPr>
          <w:rFonts w:asciiTheme="minorHAnsi" w:hAnsiTheme="minorHAnsi" w:cstheme="minorHAnsi"/>
          <w:sz w:val="20"/>
          <w:szCs w:val="20"/>
          <w:lang w:val="en-US"/>
        </w:rPr>
        <w:t>In recent years, the equitable life assurance society has set out its aim as that of: ‘growing more contented</w:t>
      </w:r>
      <w:r>
        <w:rPr>
          <w:rFonts w:asciiTheme="minorHAnsi" w:hAnsiTheme="minorHAnsi" w:cstheme="minorHAnsi"/>
          <w:sz w:val="20"/>
          <w:szCs w:val="20"/>
          <w:lang w:val="en-US"/>
        </w:rPr>
        <w:t xml:space="preserve"> </w:t>
      </w:r>
      <w:r w:rsidR="00ED3B40" w:rsidRPr="00AE18B6">
        <w:rPr>
          <w:rFonts w:asciiTheme="minorHAnsi" w:hAnsiTheme="minorHAnsi" w:cstheme="minorHAnsi"/>
          <w:sz w:val="20"/>
          <w:szCs w:val="20"/>
          <w:lang w:val="en-US"/>
        </w:rPr>
        <w:t>customers.’ this simple statement is very important. It shows the customer led approach. – finding out what</w:t>
      </w:r>
      <w:r>
        <w:rPr>
          <w:rFonts w:asciiTheme="minorHAnsi" w:hAnsiTheme="minorHAnsi" w:cstheme="minorHAnsi"/>
          <w:sz w:val="20"/>
          <w:szCs w:val="20"/>
          <w:lang w:val="en-US"/>
        </w:rPr>
        <w:t xml:space="preserve"> </w:t>
      </w:r>
      <w:r w:rsidR="00ED3B40" w:rsidRPr="00AE18B6">
        <w:rPr>
          <w:rFonts w:asciiTheme="minorHAnsi" w:hAnsiTheme="minorHAnsi" w:cstheme="minorHAnsi"/>
          <w:sz w:val="20"/>
          <w:szCs w:val="20"/>
          <w:lang w:val="en-US"/>
        </w:rPr>
        <w:t>the customer needs and delivering it</w:t>
      </w:r>
      <w:r w:rsidR="00AE18B6" w:rsidRPr="00AE18B6">
        <w:rPr>
          <w:rFonts w:asciiTheme="minorHAnsi" w:hAnsiTheme="minorHAnsi" w:cstheme="minorHAnsi"/>
          <w:sz w:val="20"/>
          <w:szCs w:val="20"/>
          <w:lang w:val="en-US"/>
        </w:rPr>
        <w:t xml:space="preserve">. </w:t>
      </w:r>
      <w:r w:rsidR="00AE18B6">
        <w:rPr>
          <w:rFonts w:asciiTheme="minorHAnsi" w:hAnsiTheme="minorHAnsi" w:cstheme="minorHAnsi"/>
          <w:sz w:val="20"/>
          <w:szCs w:val="20"/>
          <w:lang w:val="en-US"/>
        </w:rPr>
        <w:t xml:space="preserve">To have contented </w:t>
      </w:r>
      <w:r w:rsidR="00EB129A">
        <w:rPr>
          <w:rFonts w:asciiTheme="minorHAnsi" w:hAnsiTheme="minorHAnsi" w:cstheme="minorHAnsi"/>
          <w:sz w:val="20"/>
          <w:szCs w:val="20"/>
          <w:lang w:val="en-US"/>
        </w:rPr>
        <w:t>customers</w:t>
      </w:r>
      <w:r w:rsidR="00AE18B6">
        <w:rPr>
          <w:rFonts w:asciiTheme="minorHAnsi" w:hAnsiTheme="minorHAnsi" w:cstheme="minorHAnsi"/>
          <w:sz w:val="20"/>
          <w:szCs w:val="20"/>
          <w:lang w:val="en-US"/>
        </w:rPr>
        <w:t xml:space="preserve"> you need more than a website, you need a contented management system, a collection of digital tools and processes to converse, convert and connect with </w:t>
      </w:r>
      <w:r w:rsidR="00FE4066">
        <w:rPr>
          <w:rFonts w:asciiTheme="minorHAnsi" w:hAnsiTheme="minorHAnsi" w:cstheme="minorHAnsi"/>
          <w:sz w:val="20"/>
          <w:szCs w:val="20"/>
          <w:lang w:val="en-US"/>
        </w:rPr>
        <w:t>customers. “According</w:t>
      </w:r>
      <w:r w:rsidR="00AE18B6">
        <w:rPr>
          <w:rFonts w:asciiTheme="minorHAnsi" w:hAnsiTheme="minorHAnsi" w:cstheme="minorHAnsi"/>
          <w:sz w:val="20"/>
          <w:szCs w:val="20"/>
          <w:lang w:val="en-US"/>
        </w:rPr>
        <w:t xml:space="preserve"> to ( </w:t>
      </w:r>
      <w:hyperlink r:id="rId10" w:history="1">
        <w:r w:rsidR="00AE18B6" w:rsidRPr="00DE64D7">
          <w:rPr>
            <w:rStyle w:val="Hyperlink"/>
            <w:rFonts w:asciiTheme="minorHAnsi" w:hAnsiTheme="minorHAnsi" w:cstheme="minorHAnsi"/>
            <w:sz w:val="20"/>
            <w:szCs w:val="20"/>
            <w:lang w:val="en-US"/>
          </w:rPr>
          <w:t>http://glanton.com/Our-Approach</w:t>
        </w:r>
      </w:hyperlink>
      <w:r w:rsidR="00AE18B6">
        <w:rPr>
          <w:rFonts w:asciiTheme="minorHAnsi" w:hAnsiTheme="minorHAnsi" w:cstheme="minorHAnsi"/>
          <w:sz w:val="20"/>
          <w:szCs w:val="20"/>
          <w:lang w:val="en-US"/>
        </w:rPr>
        <w:t xml:space="preserve"> )</w:t>
      </w:r>
    </w:p>
    <w:p w14:paraId="56F37809" w14:textId="2EE65B69" w:rsidR="00F05EF9" w:rsidRPr="00AE18B6" w:rsidRDefault="00F05EF9" w:rsidP="00F05EF9">
      <w:pPr>
        <w:rPr>
          <w:rFonts w:ascii="Calibri" w:hAnsi="Calibri" w:cs="Calibri"/>
          <w:color w:val="FF0000"/>
          <w:sz w:val="20"/>
          <w:szCs w:val="20"/>
          <w:lang w:val="en-US"/>
        </w:rPr>
      </w:pPr>
    </w:p>
    <w:p w14:paraId="59351396" w14:textId="18B8CEA3" w:rsidR="00ED3B40" w:rsidRPr="00FE4066" w:rsidRDefault="00ED3B40" w:rsidP="00F05EF9">
      <w:pPr>
        <w:rPr>
          <w:rFonts w:ascii="Calibri" w:hAnsi="Calibri" w:cs="Calibri"/>
          <w:b/>
          <w:bCs/>
          <w:u w:val="single"/>
          <w:lang w:val="en-US"/>
        </w:rPr>
      </w:pPr>
      <w:r w:rsidRPr="00FE4066">
        <w:rPr>
          <w:rFonts w:ascii="Calibri" w:hAnsi="Calibri" w:cs="Calibri"/>
          <w:b/>
          <w:bCs/>
          <w:u w:val="single"/>
          <w:lang w:val="en-US"/>
        </w:rPr>
        <w:t>P</w:t>
      </w:r>
      <w:r w:rsidR="00FE4066" w:rsidRPr="00FE4066">
        <w:rPr>
          <w:rFonts w:ascii="Calibri" w:hAnsi="Calibri" w:cs="Calibri"/>
          <w:b/>
          <w:bCs/>
          <w:u w:val="single"/>
          <w:lang w:val="en-US"/>
        </w:rPr>
        <w:t>ower Point</w:t>
      </w:r>
      <w:r w:rsidRPr="00FE4066">
        <w:rPr>
          <w:rFonts w:ascii="Calibri" w:hAnsi="Calibri" w:cs="Calibri"/>
          <w:b/>
          <w:bCs/>
          <w:u w:val="single"/>
          <w:lang w:val="en-US"/>
        </w:rPr>
        <w:t xml:space="preserve"> slide 2.</w:t>
      </w:r>
    </w:p>
    <w:p w14:paraId="5550D273" w14:textId="77777777" w:rsidR="00F05EF9" w:rsidRDefault="00F05EF9" w:rsidP="00F05EF9">
      <w:pPr>
        <w:rPr>
          <w:rFonts w:ascii="Calibri" w:hAnsi="Calibri" w:cs="Calibri"/>
          <w:lang w:val="en-US"/>
        </w:rPr>
      </w:pPr>
    </w:p>
    <w:p w14:paraId="18A6762C" w14:textId="77777777" w:rsidR="00F05EF9" w:rsidRDefault="00F05EF9" w:rsidP="00F05EF9">
      <w:pPr>
        <w:pStyle w:val="ListParagraph"/>
        <w:numPr>
          <w:ilvl w:val="0"/>
          <w:numId w:val="1"/>
        </w:numPr>
        <w:rPr>
          <w:rFonts w:eastAsia="Times New Roman"/>
          <w:b/>
          <w:bCs/>
          <w:lang w:val="en-US"/>
        </w:rPr>
      </w:pPr>
      <w:r>
        <w:rPr>
          <w:rFonts w:eastAsia="Times New Roman"/>
          <w:b/>
          <w:bCs/>
          <w:lang w:val="en-US"/>
        </w:rPr>
        <w:t>Discuss what is meant by building a workforce for the future: -</w:t>
      </w:r>
    </w:p>
    <w:p w14:paraId="45103B25" w14:textId="5578EFA4" w:rsidR="00F05EF9" w:rsidRPr="00AD4D4F" w:rsidRDefault="00F05EF9" w:rsidP="00F05EF9">
      <w:pPr>
        <w:rPr>
          <w:rFonts w:cstheme="minorHAnsi"/>
          <w:sz w:val="20"/>
          <w:szCs w:val="20"/>
        </w:rPr>
      </w:pPr>
      <w:r w:rsidRPr="00AD4D4F">
        <w:rPr>
          <w:rFonts w:cstheme="minorHAnsi"/>
          <w:sz w:val="20"/>
          <w:szCs w:val="20"/>
        </w:rPr>
        <w:t xml:space="preserve">Building a work force for the future means </w:t>
      </w:r>
      <w:hyperlink r:id="rId11" w:tgtFrame="_blank" w:tooltip="View original video: PwC's 2018 Future of Work Conference - Preparing for the workforce of tomorrow, today" w:history="1">
        <w:r w:rsidRPr="00AD4D4F">
          <w:rPr>
            <w:rStyle w:val="Hyperlink"/>
            <w:rFonts w:cstheme="minorHAnsi"/>
            <w:color w:val="111111"/>
            <w:sz w:val="20"/>
            <w:szCs w:val="20"/>
          </w:rPr>
          <w:t>pre</w:t>
        </w:r>
        <w:r w:rsidR="00ED3B40" w:rsidRPr="00AD4D4F">
          <w:rPr>
            <w:rStyle w:val="Hyperlink"/>
            <w:rFonts w:cstheme="minorHAnsi"/>
            <w:color w:val="111111"/>
            <w:sz w:val="20"/>
            <w:szCs w:val="20"/>
          </w:rPr>
          <w:t>p</w:t>
        </w:r>
        <w:r w:rsidRPr="00AD4D4F">
          <w:rPr>
            <w:rStyle w:val="Hyperlink"/>
            <w:rFonts w:cstheme="minorHAnsi"/>
            <w:color w:val="111111"/>
            <w:sz w:val="20"/>
            <w:szCs w:val="20"/>
          </w:rPr>
          <w:t>aring</w:t>
        </w:r>
        <w:r w:rsidRPr="00AD4D4F">
          <w:rPr>
            <w:rStyle w:val="Hyperlink"/>
            <w:rFonts w:cstheme="minorHAnsi"/>
            <w:color w:val="111111"/>
            <w:sz w:val="20"/>
            <w:szCs w:val="20"/>
            <w:u w:val="none"/>
          </w:rPr>
          <w:t xml:space="preserve"> for the workforce of tomorrow, today</w:t>
        </w:r>
      </w:hyperlink>
      <w:r w:rsidRPr="00AD4D4F">
        <w:rPr>
          <w:rFonts w:cstheme="minorHAnsi"/>
          <w:sz w:val="20"/>
          <w:szCs w:val="20"/>
        </w:rPr>
        <w:t>. To meet the challenges of the future.</w:t>
      </w:r>
      <w:r w:rsidR="00AD4D4F" w:rsidRPr="00AD4D4F">
        <w:rPr>
          <w:rFonts w:cstheme="minorHAnsi"/>
          <w:color w:val="494C50"/>
          <w:sz w:val="20"/>
          <w:szCs w:val="20"/>
          <w:shd w:val="clear" w:color="auto" w:fill="FFFFFF"/>
        </w:rPr>
        <w:t xml:space="preserve"> </w:t>
      </w:r>
      <w:r w:rsidR="00AF4837" w:rsidRPr="00AD4D4F">
        <w:rPr>
          <w:rFonts w:cstheme="minorHAnsi"/>
          <w:sz w:val="20"/>
          <w:szCs w:val="20"/>
        </w:rPr>
        <w:t>The future of the workplace is about the future of people.</w:t>
      </w:r>
      <w:r w:rsidR="00AD4D4F">
        <w:rPr>
          <w:rFonts w:cstheme="minorHAnsi"/>
          <w:sz w:val="20"/>
          <w:szCs w:val="20"/>
        </w:rPr>
        <w:t xml:space="preserve"> According to Andrea Murry at ( </w:t>
      </w:r>
      <w:hyperlink r:id="rId12" w:history="1">
        <w:r w:rsidR="00AD4D4F" w:rsidRPr="00DE64D7">
          <w:rPr>
            <w:rStyle w:val="Hyperlink"/>
            <w:rFonts w:cstheme="minorHAnsi"/>
            <w:sz w:val="20"/>
            <w:szCs w:val="20"/>
          </w:rPr>
          <w:t>https://isg-one.com/articles/building-the-workplace-of-the-future</w:t>
        </w:r>
      </w:hyperlink>
      <w:r w:rsidR="00AD4D4F">
        <w:rPr>
          <w:rFonts w:cstheme="minorHAnsi"/>
          <w:sz w:val="20"/>
          <w:szCs w:val="20"/>
        </w:rPr>
        <w:t xml:space="preserve"> )</w:t>
      </w:r>
      <w:r w:rsidR="00AF4837" w:rsidRPr="00AD4D4F">
        <w:rPr>
          <w:rFonts w:cstheme="minorHAnsi"/>
          <w:sz w:val="20"/>
          <w:szCs w:val="20"/>
        </w:rPr>
        <w:t xml:space="preserve"> </w:t>
      </w:r>
      <w:r w:rsidR="00AD4D4F">
        <w:rPr>
          <w:rFonts w:cstheme="minorHAnsi"/>
          <w:sz w:val="20"/>
          <w:szCs w:val="20"/>
        </w:rPr>
        <w:t>“</w:t>
      </w:r>
      <w:r w:rsidR="00AF4837" w:rsidRPr="00AD4D4F">
        <w:rPr>
          <w:rFonts w:cstheme="minorHAnsi"/>
          <w:sz w:val="20"/>
          <w:szCs w:val="20"/>
        </w:rPr>
        <w:t>As we change – as we become increasingly dependent on mobile devices and as we work faster and become less tolerant of inefficient processes and technologies – we expect changes in the workplace.</w:t>
      </w:r>
      <w:r w:rsidR="00AD4D4F">
        <w:rPr>
          <w:rFonts w:cstheme="minorHAnsi"/>
          <w:sz w:val="20"/>
          <w:szCs w:val="20"/>
        </w:rPr>
        <w:t>”</w:t>
      </w:r>
    </w:p>
    <w:p w14:paraId="1AB9C705" w14:textId="6BD9B11E" w:rsidR="00F05EF9" w:rsidRPr="00AD4D4F" w:rsidRDefault="00F05EF9" w:rsidP="00F05EF9">
      <w:pPr>
        <w:rPr>
          <w:rFonts w:cstheme="minorHAnsi"/>
          <w:sz w:val="20"/>
          <w:szCs w:val="20"/>
        </w:rPr>
      </w:pPr>
      <w:r w:rsidRPr="00AD4D4F">
        <w:rPr>
          <w:rFonts w:cstheme="minorHAnsi"/>
          <w:sz w:val="20"/>
          <w:szCs w:val="20"/>
        </w:rPr>
        <w:t>The world of work had changed dramatically in recent years. Gone are the days of jobs for life in which an individual might work for a single employer until their retirement. Today, organisations operate in an environment of consistent change and, therefore, they need to adjust their structures and work patterns to adjust to these changes.</w:t>
      </w:r>
      <w:r w:rsidR="00AD4D4F" w:rsidRPr="00AD4D4F">
        <w:t xml:space="preserve"> </w:t>
      </w:r>
      <w:r w:rsidR="00AD4D4F">
        <w:t xml:space="preserve">According to </w:t>
      </w:r>
      <w:r w:rsidR="00EB129A">
        <w:t xml:space="preserve">Sara Davis( </w:t>
      </w:r>
      <w:hyperlink r:id="rId13" w:history="1">
        <w:r w:rsidR="00EB129A" w:rsidRPr="00A71988">
          <w:rPr>
            <w:rStyle w:val="Hyperlink"/>
          </w:rPr>
          <w:t>https://www.forbes.com/sites/forbesagencycouncil/2017/10/12/how-leaders-can-adapt-to-an-environment-of-change/#73bba316d20a</w:t>
        </w:r>
      </w:hyperlink>
      <w:r w:rsidR="00EB129A">
        <w:t xml:space="preserve"> ) </w:t>
      </w:r>
      <w:r w:rsidR="006247F8">
        <w:t>“</w:t>
      </w:r>
      <w:r w:rsidR="00EB129A">
        <w:rPr>
          <w:rFonts w:cstheme="minorHAnsi"/>
          <w:sz w:val="20"/>
          <w:szCs w:val="20"/>
        </w:rPr>
        <w:t>c</w:t>
      </w:r>
      <w:r w:rsidR="00AD4D4F" w:rsidRPr="00AD4D4F">
        <w:rPr>
          <w:rFonts w:cstheme="minorHAnsi"/>
          <w:sz w:val="20"/>
          <w:szCs w:val="20"/>
        </w:rPr>
        <w:t xml:space="preserve">hange can happen in any industry and comes in many forms: political, regulatory, social and technological. Change can be challenging to navigate. It also presents itself as </w:t>
      </w:r>
      <w:r w:rsidR="00AD4D4F" w:rsidRPr="00AD4D4F">
        <w:rPr>
          <w:rFonts w:cstheme="minorHAnsi"/>
          <w:sz w:val="20"/>
          <w:szCs w:val="20"/>
        </w:rPr>
        <w:lastRenderedPageBreak/>
        <w:t>an opportunity for leaders who know how to adapt and recognize it, even when it’s controversial.</w:t>
      </w:r>
      <w:r w:rsidRPr="00AD4D4F">
        <w:rPr>
          <w:rFonts w:cstheme="minorHAnsi"/>
          <w:sz w:val="20"/>
          <w:szCs w:val="20"/>
        </w:rPr>
        <w:t xml:space="preserve"> This requires individual employees to be more flexible in their approach to work.</w:t>
      </w:r>
      <w:r w:rsidR="006247F8">
        <w:rPr>
          <w:rFonts w:cstheme="minorHAnsi"/>
          <w:sz w:val="20"/>
          <w:szCs w:val="20"/>
        </w:rPr>
        <w:t>”</w:t>
      </w:r>
    </w:p>
    <w:p w14:paraId="6414D6B8" w14:textId="5A8F99C2" w:rsidR="00F05EF9" w:rsidRDefault="00F05EF9" w:rsidP="00F05EF9">
      <w:pPr>
        <w:rPr>
          <w:rFonts w:cstheme="minorHAnsi"/>
          <w:sz w:val="20"/>
          <w:szCs w:val="20"/>
        </w:rPr>
      </w:pPr>
      <w:r w:rsidRPr="00AD4D4F">
        <w:rPr>
          <w:rFonts w:cstheme="minorHAnsi"/>
          <w:sz w:val="20"/>
          <w:szCs w:val="20"/>
        </w:rPr>
        <w:t>Individuals entering work need to engage in a process of lifelong learning, continually adding to their portfolio of skills, knowledge and capabilities.</w:t>
      </w:r>
    </w:p>
    <w:p w14:paraId="520A976B" w14:textId="7B5FCBF1" w:rsidR="007A4204" w:rsidRDefault="007A4204" w:rsidP="00F05EF9">
      <w:pPr>
        <w:rPr>
          <w:rFonts w:cstheme="minorHAnsi"/>
          <w:sz w:val="20"/>
          <w:szCs w:val="20"/>
        </w:rPr>
      </w:pPr>
    </w:p>
    <w:p w14:paraId="251FE838" w14:textId="77777777" w:rsidR="007A4204" w:rsidRPr="00AD4D4F" w:rsidRDefault="007A4204" w:rsidP="00F05EF9">
      <w:pPr>
        <w:rPr>
          <w:rFonts w:cstheme="minorHAnsi"/>
          <w:sz w:val="20"/>
          <w:szCs w:val="20"/>
        </w:rPr>
      </w:pPr>
    </w:p>
    <w:p w14:paraId="0E7E2AC3" w14:textId="16DBD612" w:rsidR="00F05EF9" w:rsidRDefault="00F05EF9" w:rsidP="00F05EF9">
      <w:pPr>
        <w:rPr>
          <w:rFonts w:ascii="Calibri" w:hAnsi="Calibri" w:cs="Calibri"/>
          <w:b/>
          <w:bCs/>
          <w:lang w:val="en-US"/>
        </w:rPr>
      </w:pPr>
    </w:p>
    <w:p w14:paraId="35DA76CD" w14:textId="77777777" w:rsidR="00AE18B6" w:rsidRDefault="00AE18B6" w:rsidP="00F05EF9">
      <w:pPr>
        <w:rPr>
          <w:rFonts w:ascii="Calibri" w:hAnsi="Calibri" w:cs="Calibri"/>
          <w:b/>
          <w:bCs/>
          <w:u w:val="single"/>
          <w:lang w:val="en-US"/>
        </w:rPr>
      </w:pPr>
    </w:p>
    <w:p w14:paraId="0AB0418A" w14:textId="1CAF2796" w:rsidR="002D5301" w:rsidRDefault="002D5301" w:rsidP="00F05EF9">
      <w:pPr>
        <w:rPr>
          <w:rFonts w:ascii="Calibri" w:hAnsi="Calibri" w:cs="Calibri"/>
          <w:b/>
          <w:bCs/>
          <w:u w:val="single"/>
          <w:lang w:val="en-US"/>
        </w:rPr>
      </w:pPr>
      <w:r>
        <w:rPr>
          <w:rFonts w:ascii="Calibri" w:hAnsi="Calibri" w:cs="Calibri"/>
          <w:b/>
          <w:bCs/>
          <w:u w:val="single"/>
          <w:lang w:val="en-US"/>
        </w:rPr>
        <w:t>REFERENCE LIST</w:t>
      </w:r>
    </w:p>
    <w:p w14:paraId="2A908831" w14:textId="05C57F6B" w:rsidR="002D5301" w:rsidRDefault="002D5301" w:rsidP="00F05EF9">
      <w:pPr>
        <w:rPr>
          <w:rFonts w:ascii="Calibri" w:hAnsi="Calibri" w:cs="Calibri"/>
          <w:b/>
          <w:bCs/>
          <w:u w:val="single"/>
          <w:lang w:val="en-US"/>
        </w:rPr>
      </w:pPr>
    </w:p>
    <w:p w14:paraId="04B5E785" w14:textId="1DB8B69D" w:rsidR="002D5301" w:rsidRDefault="002D5301" w:rsidP="00F05EF9">
      <w:pPr>
        <w:rPr>
          <w:rFonts w:ascii="Calibri" w:hAnsi="Calibri" w:cs="Calibri"/>
          <w:sz w:val="20"/>
          <w:szCs w:val="20"/>
          <w:lang w:val="en-US"/>
        </w:rPr>
      </w:pPr>
      <w:hyperlink r:id="rId14" w:history="1">
        <w:r w:rsidRPr="00DE64D7">
          <w:rPr>
            <w:rStyle w:val="Hyperlink"/>
            <w:rFonts w:ascii="Calibri" w:hAnsi="Calibri" w:cs="Calibri"/>
            <w:sz w:val="20"/>
            <w:szCs w:val="20"/>
            <w:lang w:val="en-US"/>
          </w:rPr>
          <w:t>https://www.gov.uk/guidance/equitable-life-payment-scheme</w:t>
        </w:r>
      </w:hyperlink>
      <w:r>
        <w:rPr>
          <w:rFonts w:ascii="Calibri" w:hAnsi="Calibri" w:cs="Calibri"/>
          <w:sz w:val="20"/>
          <w:szCs w:val="20"/>
          <w:lang w:val="en-US"/>
        </w:rPr>
        <w:t xml:space="preserve"> </w:t>
      </w:r>
    </w:p>
    <w:p w14:paraId="524265FF" w14:textId="67757739" w:rsidR="00AE18B6" w:rsidRDefault="00AE18B6" w:rsidP="00F05EF9">
      <w:pPr>
        <w:rPr>
          <w:rFonts w:ascii="Calibri" w:hAnsi="Calibri" w:cs="Calibri"/>
          <w:sz w:val="20"/>
          <w:szCs w:val="20"/>
          <w:lang w:val="en-US"/>
        </w:rPr>
      </w:pPr>
      <w:hyperlink r:id="rId15" w:history="1">
        <w:r w:rsidRPr="00DE64D7">
          <w:rPr>
            <w:rStyle w:val="Hyperlink"/>
            <w:rFonts w:ascii="Calibri" w:hAnsi="Calibri" w:cs="Calibri"/>
            <w:sz w:val="20"/>
            <w:szCs w:val="20"/>
            <w:lang w:val="en-US"/>
          </w:rPr>
          <w:t>http://glanton.com/Our-Approach</w:t>
        </w:r>
      </w:hyperlink>
      <w:r>
        <w:rPr>
          <w:rFonts w:ascii="Calibri" w:hAnsi="Calibri" w:cs="Calibri"/>
          <w:sz w:val="20"/>
          <w:szCs w:val="20"/>
          <w:lang w:val="en-US"/>
        </w:rPr>
        <w:t xml:space="preserve"> </w:t>
      </w:r>
    </w:p>
    <w:p w14:paraId="61F4FC2F" w14:textId="496DE5D1" w:rsidR="00AE18B6" w:rsidRDefault="00AD4D4F" w:rsidP="00F05EF9">
      <w:pPr>
        <w:rPr>
          <w:rFonts w:ascii="Calibri" w:hAnsi="Calibri" w:cs="Calibri"/>
          <w:sz w:val="20"/>
          <w:szCs w:val="20"/>
          <w:lang w:val="en-US"/>
        </w:rPr>
      </w:pPr>
      <w:hyperlink r:id="rId16" w:history="1">
        <w:r w:rsidRPr="00DE64D7">
          <w:rPr>
            <w:rStyle w:val="Hyperlink"/>
            <w:rFonts w:ascii="Calibri" w:hAnsi="Calibri" w:cs="Calibri"/>
            <w:sz w:val="20"/>
            <w:szCs w:val="20"/>
            <w:lang w:val="en-US"/>
          </w:rPr>
          <w:t>https://isg-one.com/articles/building-the-workplace-of-the-future</w:t>
        </w:r>
      </w:hyperlink>
      <w:r>
        <w:rPr>
          <w:rFonts w:ascii="Calibri" w:hAnsi="Calibri" w:cs="Calibri"/>
          <w:sz w:val="20"/>
          <w:szCs w:val="20"/>
          <w:lang w:val="en-US"/>
        </w:rPr>
        <w:t xml:space="preserve"> </w:t>
      </w:r>
    </w:p>
    <w:p w14:paraId="181660AA" w14:textId="2B755890" w:rsidR="00EB129A" w:rsidRDefault="00EB129A" w:rsidP="00F05EF9">
      <w:pPr>
        <w:rPr>
          <w:rFonts w:ascii="Calibri" w:hAnsi="Calibri" w:cs="Calibri"/>
          <w:sz w:val="20"/>
          <w:szCs w:val="20"/>
          <w:lang w:val="en-US"/>
        </w:rPr>
      </w:pPr>
      <w:hyperlink r:id="rId17" w:history="1">
        <w:r w:rsidRPr="00A71988">
          <w:rPr>
            <w:rStyle w:val="Hyperlink"/>
            <w:rFonts w:ascii="Calibri" w:hAnsi="Calibri" w:cs="Calibri"/>
            <w:sz w:val="20"/>
            <w:szCs w:val="20"/>
            <w:lang w:val="en-US"/>
          </w:rPr>
          <w:t>https://www.forbes.com/sites/forbesagencycouncil/2017/10/12/how-leaders-can-adapt-to-an-environment-of-change/#73bba316d20a</w:t>
        </w:r>
      </w:hyperlink>
      <w:r>
        <w:rPr>
          <w:rFonts w:ascii="Calibri" w:hAnsi="Calibri" w:cs="Calibri"/>
          <w:sz w:val="20"/>
          <w:szCs w:val="20"/>
          <w:lang w:val="en-US"/>
        </w:rPr>
        <w:t xml:space="preserve"> </w:t>
      </w:r>
    </w:p>
    <w:p w14:paraId="4FD355F7" w14:textId="048AC40B" w:rsidR="007A4204" w:rsidRDefault="007A4204" w:rsidP="00F05EF9">
      <w:pPr>
        <w:rPr>
          <w:rFonts w:ascii="Calibri" w:hAnsi="Calibri" w:cs="Calibri"/>
          <w:sz w:val="20"/>
          <w:szCs w:val="20"/>
          <w:lang w:val="en-US"/>
        </w:rPr>
      </w:pPr>
      <w:hyperlink r:id="rId18" w:history="1">
        <w:r w:rsidRPr="00A71988">
          <w:rPr>
            <w:rStyle w:val="Hyperlink"/>
            <w:rFonts w:ascii="Calibri" w:hAnsi="Calibri" w:cs="Calibri"/>
            <w:sz w:val="20"/>
            <w:szCs w:val="20"/>
            <w:lang w:val="en-US"/>
          </w:rPr>
          <w:t>https://work.chron.com/treat-employees-fairly-workplace-3070.html</w:t>
        </w:r>
      </w:hyperlink>
      <w:r>
        <w:rPr>
          <w:rFonts w:ascii="Calibri" w:hAnsi="Calibri" w:cs="Calibri"/>
          <w:sz w:val="20"/>
          <w:szCs w:val="20"/>
          <w:lang w:val="en-US"/>
        </w:rPr>
        <w:t xml:space="preserve"> </w:t>
      </w:r>
    </w:p>
    <w:p w14:paraId="5B1B53B3" w14:textId="77777777" w:rsidR="00EB129A" w:rsidRDefault="00EB129A" w:rsidP="00F05EF9">
      <w:pPr>
        <w:rPr>
          <w:rFonts w:ascii="Calibri" w:hAnsi="Calibri" w:cs="Calibri"/>
          <w:sz w:val="20"/>
          <w:szCs w:val="20"/>
          <w:lang w:val="en-US"/>
        </w:rPr>
      </w:pPr>
    </w:p>
    <w:p w14:paraId="255E2B5D" w14:textId="77777777" w:rsidR="002D5301" w:rsidRPr="002D5301" w:rsidRDefault="002D5301" w:rsidP="00F05EF9">
      <w:pPr>
        <w:rPr>
          <w:rFonts w:ascii="Calibri" w:hAnsi="Calibri" w:cs="Calibri"/>
          <w:b/>
          <w:bCs/>
          <w:u w:val="single"/>
          <w:lang w:val="en-US"/>
        </w:rPr>
      </w:pPr>
    </w:p>
    <w:p w14:paraId="47B62AC2" w14:textId="0779CA53" w:rsidR="006247F8" w:rsidRDefault="006247F8"/>
    <w:sectPr w:rsidR="00624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abic Typesetting">
    <w:charset w:val="B2"/>
    <w:family w:val="script"/>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E1A3F"/>
    <w:multiLevelType w:val="hybridMultilevel"/>
    <w:tmpl w:val="41362F10"/>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EF9"/>
    <w:rsid w:val="00045FB9"/>
    <w:rsid w:val="00226B59"/>
    <w:rsid w:val="002D5301"/>
    <w:rsid w:val="00417121"/>
    <w:rsid w:val="006247F8"/>
    <w:rsid w:val="007A4204"/>
    <w:rsid w:val="00AD4D4F"/>
    <w:rsid w:val="00AE18B6"/>
    <w:rsid w:val="00AF4837"/>
    <w:rsid w:val="00EB129A"/>
    <w:rsid w:val="00ED3B40"/>
    <w:rsid w:val="00F05EF9"/>
    <w:rsid w:val="00F44340"/>
    <w:rsid w:val="00FE4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287EC"/>
  <w15:chartTrackingRefBased/>
  <w15:docId w15:val="{D4AC84A7-9AC1-4420-8D10-3878AD4B1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EF9"/>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5EF9"/>
    <w:rPr>
      <w:color w:val="0000FF"/>
      <w:u w:val="single"/>
    </w:rPr>
  </w:style>
  <w:style w:type="paragraph" w:styleId="ListParagraph">
    <w:name w:val="List Paragraph"/>
    <w:basedOn w:val="Normal"/>
    <w:uiPriority w:val="34"/>
    <w:qFormat/>
    <w:rsid w:val="00F05EF9"/>
    <w:pPr>
      <w:ind w:left="720"/>
    </w:pPr>
    <w:rPr>
      <w:rFonts w:ascii="Calibri" w:hAnsi="Calibri" w:cs="Calibri"/>
    </w:rPr>
  </w:style>
  <w:style w:type="character" w:styleId="UnresolvedMention">
    <w:name w:val="Unresolved Mention"/>
    <w:basedOn w:val="DefaultParagraphFont"/>
    <w:uiPriority w:val="99"/>
    <w:semiHidden/>
    <w:unhideWhenUsed/>
    <w:rsid w:val="002D5301"/>
    <w:rPr>
      <w:color w:val="605E5C"/>
      <w:shd w:val="clear" w:color="auto" w:fill="E1DFDD"/>
    </w:rPr>
  </w:style>
  <w:style w:type="paragraph" w:styleId="NormalWeb">
    <w:name w:val="Normal (Web)"/>
    <w:basedOn w:val="Normal"/>
    <w:uiPriority w:val="99"/>
    <w:semiHidden/>
    <w:unhideWhenUsed/>
    <w:rsid w:val="00AE18B6"/>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2843765">
      <w:bodyDiv w:val="1"/>
      <w:marLeft w:val="0"/>
      <w:marRight w:val="0"/>
      <w:marTop w:val="0"/>
      <w:marBottom w:val="0"/>
      <w:divBdr>
        <w:top w:val="none" w:sz="0" w:space="0" w:color="auto"/>
        <w:left w:val="none" w:sz="0" w:space="0" w:color="auto"/>
        <w:bottom w:val="none" w:sz="0" w:space="0" w:color="auto"/>
        <w:right w:val="none" w:sz="0" w:space="0" w:color="auto"/>
      </w:divBdr>
      <w:divsChild>
        <w:div w:id="1326200818">
          <w:marLeft w:val="150"/>
          <w:marRight w:val="150"/>
          <w:marTop w:val="0"/>
          <w:marBottom w:val="0"/>
          <w:divBdr>
            <w:top w:val="none" w:sz="0" w:space="0" w:color="auto"/>
            <w:left w:val="none" w:sz="0" w:space="0" w:color="auto"/>
            <w:bottom w:val="none" w:sz="0" w:space="0" w:color="auto"/>
            <w:right w:val="none" w:sz="0" w:space="0" w:color="auto"/>
          </w:divBdr>
          <w:divsChild>
            <w:div w:id="943730483">
              <w:marLeft w:val="0"/>
              <w:marRight w:val="0"/>
              <w:marTop w:val="0"/>
              <w:marBottom w:val="0"/>
              <w:divBdr>
                <w:top w:val="none" w:sz="0" w:space="0" w:color="auto"/>
                <w:left w:val="none" w:sz="0" w:space="0" w:color="auto"/>
                <w:bottom w:val="none" w:sz="0" w:space="0" w:color="auto"/>
                <w:right w:val="none" w:sz="0" w:space="0" w:color="auto"/>
              </w:divBdr>
              <w:divsChild>
                <w:div w:id="1366368580">
                  <w:marLeft w:val="0"/>
                  <w:marRight w:val="0"/>
                  <w:marTop w:val="0"/>
                  <w:marBottom w:val="0"/>
                  <w:divBdr>
                    <w:top w:val="none" w:sz="0" w:space="0" w:color="auto"/>
                    <w:left w:val="none" w:sz="0" w:space="0" w:color="auto"/>
                    <w:bottom w:val="none" w:sz="0" w:space="0" w:color="auto"/>
                    <w:right w:val="none" w:sz="0" w:space="0" w:color="auto"/>
                  </w:divBdr>
                  <w:divsChild>
                    <w:div w:id="945384304">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547857">
      <w:bodyDiv w:val="1"/>
      <w:marLeft w:val="0"/>
      <w:marRight w:val="0"/>
      <w:marTop w:val="0"/>
      <w:marBottom w:val="0"/>
      <w:divBdr>
        <w:top w:val="none" w:sz="0" w:space="0" w:color="auto"/>
        <w:left w:val="none" w:sz="0" w:space="0" w:color="auto"/>
        <w:bottom w:val="none" w:sz="0" w:space="0" w:color="auto"/>
        <w:right w:val="none" w:sz="0" w:space="0" w:color="auto"/>
      </w:divBdr>
    </w:div>
    <w:div w:id="158152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equitable-life-payment-scheme" TargetMode="External"/><Relationship Id="rId13" Type="http://schemas.openxmlformats.org/officeDocument/2006/relationships/hyperlink" Target="https://www.forbes.com/sites/forbesagencycouncil/2017/10/12/how-leaders-can-adapt-to-an-environment-of-change/#73bba316d20a" TargetMode="External"/><Relationship Id="rId18" Type="http://schemas.openxmlformats.org/officeDocument/2006/relationships/hyperlink" Target="https://work.chron.com/treat-employees-fairly-workplace-3070.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sg-one.com/articles/building-the-workplace-of-the-future" TargetMode="External"/><Relationship Id="rId17" Type="http://schemas.openxmlformats.org/officeDocument/2006/relationships/hyperlink" Target="https://www.forbes.com/sites/forbesagencycouncil/2017/10/12/how-leaders-can-adapt-to-an-environment-of-change/#73bba316d20a" TargetMode="External"/><Relationship Id="rId2" Type="http://schemas.openxmlformats.org/officeDocument/2006/relationships/customXml" Target="../customXml/item2.xml"/><Relationship Id="rId16" Type="http://schemas.openxmlformats.org/officeDocument/2006/relationships/hyperlink" Target="https://isg-one.com/articles/building-the-workplace-of-the-futu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zg_8MP4tfWs" TargetMode="External"/><Relationship Id="rId5" Type="http://schemas.openxmlformats.org/officeDocument/2006/relationships/styles" Target="styles.xml"/><Relationship Id="rId15" Type="http://schemas.openxmlformats.org/officeDocument/2006/relationships/hyperlink" Target="http://glanton.com/Our-Approach" TargetMode="External"/><Relationship Id="rId10" Type="http://schemas.openxmlformats.org/officeDocument/2006/relationships/hyperlink" Target="http://glanton.com/Our-Approach"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ork.chron.com/treat-employees-fairly-workplace-3070.html" TargetMode="External"/><Relationship Id="rId14" Type="http://schemas.openxmlformats.org/officeDocument/2006/relationships/hyperlink" Target="https://www.gov.uk/guidance/equitable-life-payment-sch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73159165EAA34F9C9B3EE9F52511FE" ma:contentTypeVersion="8" ma:contentTypeDescription="Create a new document." ma:contentTypeScope="" ma:versionID="5156e4b61ab3e14f0dd6445a21815e4a">
  <xsd:schema xmlns:xsd="http://www.w3.org/2001/XMLSchema" xmlns:xs="http://www.w3.org/2001/XMLSchema" xmlns:p="http://schemas.microsoft.com/office/2006/metadata/properties" xmlns:ns3="efa9d651-39c0-4d22-8fcb-f0236f90333c" xmlns:ns4="1b91cf5a-81de-4cc9-8246-aee25c210182" targetNamespace="http://schemas.microsoft.com/office/2006/metadata/properties" ma:root="true" ma:fieldsID="6aa62ba5d79cf506e24794172b22b7ce" ns3:_="" ns4:_="">
    <xsd:import namespace="efa9d651-39c0-4d22-8fcb-f0236f90333c"/>
    <xsd:import namespace="1b91cf5a-81de-4cc9-8246-aee25c21018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9d651-39c0-4d22-8fcb-f0236f903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91cf5a-81de-4cc9-8246-aee25c21018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6DF16E-5D5C-469B-AFEF-CB7118FBB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9d651-39c0-4d22-8fcb-f0236f90333c"/>
    <ds:schemaRef ds:uri="1b91cf5a-81de-4cc9-8246-aee25c2101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AB9BE9-C1C8-4FE3-8729-4A4D92334623}">
  <ds:schemaRefs>
    <ds:schemaRef ds:uri="http://schemas.microsoft.com/sharepoint/v3/contenttype/forms"/>
  </ds:schemaRefs>
</ds:datastoreItem>
</file>

<file path=customXml/itemProps3.xml><?xml version="1.0" encoding="utf-8"?>
<ds:datastoreItem xmlns:ds="http://schemas.openxmlformats.org/officeDocument/2006/customXml" ds:itemID="{1BC30F85-41A8-42FF-8119-2E90F5267DA1}">
  <ds:schemaRefs>
    <ds:schemaRef ds:uri="http://purl.org/dc/elements/1.1/"/>
    <ds:schemaRef ds:uri="http://schemas.openxmlformats.org/package/2006/metadata/core-properties"/>
    <ds:schemaRef ds:uri="http://schemas.microsoft.com/office/infopath/2007/PartnerControls"/>
    <ds:schemaRef ds:uri="1b91cf5a-81de-4cc9-8246-aee25c210182"/>
    <ds:schemaRef ds:uri="http://purl.org/dc/dcmitype/"/>
    <ds:schemaRef ds:uri="http://www.w3.org/XML/1998/namespace"/>
    <ds:schemaRef ds:uri="http://schemas.microsoft.com/office/2006/documentManagement/types"/>
    <ds:schemaRef ds:uri="http://purl.org/dc/terms/"/>
    <ds:schemaRef ds:uri="efa9d651-39c0-4d22-8fcb-f0236f90333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770</Words>
  <Characters>4394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Soyful Miah</dc:creator>
  <cp:keywords/>
  <dc:description/>
  <cp:lastModifiedBy>Soyful Miah (1709512)</cp:lastModifiedBy>
  <cp:revision>2</cp:revision>
  <dcterms:created xsi:type="dcterms:W3CDTF">2020-02-27T01:13:00Z</dcterms:created>
  <dcterms:modified xsi:type="dcterms:W3CDTF">2020-02-27T01:13:00Z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0x0101008373159165EAA34F9C9B3EE9F52511FE</vt:lpwstr>
  </property>
</Properties>
</file>