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81D4CEA" wp14:paraId="3CBDD1CA" wp14:textId="4C7B413B">
      <w:pPr>
        <w:pStyle w:val="Heading1"/>
        <w:spacing w:before="322" w:beforeAutospacing="off" w:after="322" w:afterAutospacing="off" w:line="360" w:lineRule="auto"/>
        <w:jc w:val="both"/>
        <w:rPr>
          <w:rFonts w:ascii="Arial" w:hAnsi="Arial" w:eastAsia="Arial" w:cs="Arial"/>
          <w:b w:val="1"/>
          <w:bCs w:val="1"/>
          <w:noProof w:val="0"/>
          <w:color w:val="000000" w:themeColor="text1" w:themeTint="FF" w:themeShade="FF"/>
          <w:sz w:val="22"/>
          <w:szCs w:val="22"/>
          <w:lang w:val="en-GB"/>
        </w:rPr>
      </w:pPr>
      <w:r w:rsidRPr="681D4CEA" w:rsidR="45D41373">
        <w:rPr>
          <w:rFonts w:ascii="Arial" w:hAnsi="Arial" w:eastAsia="Arial" w:cs="Arial"/>
          <w:b w:val="1"/>
          <w:bCs w:val="1"/>
          <w:noProof w:val="0"/>
          <w:color w:val="000000" w:themeColor="text1" w:themeTint="FF" w:themeShade="FF"/>
          <w:sz w:val="22"/>
          <w:szCs w:val="22"/>
          <w:lang w:val="en-GB"/>
        </w:rPr>
        <w:t>Organisational Culture Report: Toyota</w:t>
      </w:r>
    </w:p>
    <w:p xmlns:wp14="http://schemas.microsoft.com/office/word/2010/wordml" w:rsidP="681D4CEA" wp14:paraId="25F44A85" wp14:textId="1FB03AAA">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b w:val="1"/>
          <w:bCs w:val="1"/>
          <w:noProof w:val="0"/>
          <w:color w:val="000000" w:themeColor="text1" w:themeTint="FF" w:themeShade="FF"/>
          <w:sz w:val="22"/>
          <w:szCs w:val="22"/>
          <w:lang w:val="en-GB"/>
        </w:rPr>
        <w:t>Student Name:</w:t>
      </w:r>
      <w:r w:rsidRPr="681D4CEA" w:rsidR="45D41373">
        <w:rPr>
          <w:rFonts w:ascii="Arial" w:hAnsi="Arial" w:eastAsia="Arial" w:cs="Arial"/>
          <w:noProof w:val="0"/>
          <w:color w:val="000000" w:themeColor="text1" w:themeTint="FF" w:themeShade="FF"/>
          <w:sz w:val="22"/>
          <w:szCs w:val="22"/>
          <w:lang w:val="en-GB"/>
        </w:rPr>
        <w:t xml:space="preserve"> Toseef Waseem</w:t>
      </w:r>
    </w:p>
    <w:p xmlns:wp14="http://schemas.microsoft.com/office/word/2010/wordml" w:rsidP="681D4CEA" wp14:paraId="7887A643" wp14:textId="7E887CDF">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 </w:t>
      </w:r>
      <w:r w:rsidRPr="681D4CEA" w:rsidR="45D41373">
        <w:rPr>
          <w:rFonts w:ascii="Arial" w:hAnsi="Arial" w:eastAsia="Arial" w:cs="Arial"/>
          <w:b w:val="1"/>
          <w:bCs w:val="1"/>
          <w:noProof w:val="0"/>
          <w:color w:val="000000" w:themeColor="text1" w:themeTint="FF" w:themeShade="FF"/>
          <w:sz w:val="22"/>
          <w:szCs w:val="22"/>
          <w:lang w:val="en-GB"/>
        </w:rPr>
        <w:t>Student ID:</w:t>
      </w:r>
      <w:r w:rsidRPr="681D4CEA" w:rsidR="45D41373">
        <w:rPr>
          <w:rFonts w:ascii="Arial" w:hAnsi="Arial" w:eastAsia="Arial" w:cs="Arial"/>
          <w:noProof w:val="0"/>
          <w:color w:val="000000" w:themeColor="text1" w:themeTint="FF" w:themeShade="FF"/>
          <w:sz w:val="22"/>
          <w:szCs w:val="22"/>
          <w:lang w:val="en-GB"/>
        </w:rPr>
        <w:t xml:space="preserve"> </w:t>
      </w:r>
      <w:r w:rsidRPr="681D4CEA" w:rsidR="20417E09">
        <w:rPr>
          <w:rFonts w:ascii="Arial" w:hAnsi="Arial" w:eastAsia="Arial" w:cs="Arial"/>
          <w:b w:val="0"/>
          <w:bCs w:val="0"/>
          <w:i w:val="0"/>
          <w:iCs w:val="0"/>
          <w:caps w:val="0"/>
          <w:smallCaps w:val="0"/>
          <w:noProof w:val="0"/>
          <w:color w:val="000000" w:themeColor="text1" w:themeTint="FF" w:themeShade="FF"/>
          <w:sz w:val="22"/>
          <w:szCs w:val="22"/>
          <w:lang w:val="en-GB"/>
        </w:rPr>
        <w:t>2319155</w:t>
      </w:r>
    </w:p>
    <w:p xmlns:wp14="http://schemas.microsoft.com/office/word/2010/wordml" w:rsidP="681D4CEA" wp14:paraId="1E57BCA5" wp14:textId="74D6563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 </w:t>
      </w:r>
      <w:r w:rsidRPr="681D4CEA" w:rsidR="45D41373">
        <w:rPr>
          <w:rFonts w:ascii="Arial" w:hAnsi="Arial" w:eastAsia="Arial" w:cs="Arial"/>
          <w:b w:val="1"/>
          <w:bCs w:val="1"/>
          <w:noProof w:val="0"/>
          <w:color w:val="000000" w:themeColor="text1" w:themeTint="FF" w:themeShade="FF"/>
          <w:sz w:val="22"/>
          <w:szCs w:val="22"/>
          <w:lang w:val="en-GB"/>
        </w:rPr>
        <w:t>Programme:</w:t>
      </w:r>
      <w:r w:rsidRPr="681D4CEA" w:rsidR="45D41373">
        <w:rPr>
          <w:rFonts w:ascii="Arial" w:hAnsi="Arial" w:eastAsia="Arial" w:cs="Arial"/>
          <w:noProof w:val="0"/>
          <w:color w:val="000000" w:themeColor="text1" w:themeTint="FF" w:themeShade="FF"/>
          <w:sz w:val="22"/>
          <w:szCs w:val="22"/>
          <w:lang w:val="en-GB"/>
        </w:rPr>
        <w:t xml:space="preserve"> BA (Hons) Leadership and Management Skills for the Workplace</w:t>
      </w:r>
    </w:p>
    <w:p xmlns:wp14="http://schemas.microsoft.com/office/word/2010/wordml" w:rsidP="681D4CEA" wp14:paraId="6BEDDAFC" wp14:textId="108F482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 </w:t>
      </w:r>
      <w:r w:rsidRPr="681D4CEA" w:rsidR="45D41373">
        <w:rPr>
          <w:rFonts w:ascii="Arial" w:hAnsi="Arial" w:eastAsia="Arial" w:cs="Arial"/>
          <w:b w:val="1"/>
          <w:bCs w:val="1"/>
          <w:noProof w:val="0"/>
          <w:color w:val="000000" w:themeColor="text1" w:themeTint="FF" w:themeShade="FF"/>
          <w:sz w:val="22"/>
          <w:szCs w:val="22"/>
          <w:lang w:val="en-GB"/>
        </w:rPr>
        <w:t>Module:</w:t>
      </w:r>
      <w:r w:rsidRPr="681D4CEA" w:rsidR="45D41373">
        <w:rPr>
          <w:rFonts w:ascii="Arial" w:hAnsi="Arial" w:eastAsia="Arial" w:cs="Arial"/>
          <w:noProof w:val="0"/>
          <w:color w:val="000000" w:themeColor="text1" w:themeTint="FF" w:themeShade="FF"/>
          <w:sz w:val="22"/>
          <w:szCs w:val="22"/>
          <w:lang w:val="en-GB"/>
        </w:rPr>
        <w:t xml:space="preserve"> Organisational Culture</w:t>
      </w:r>
    </w:p>
    <w:p xmlns:wp14="http://schemas.microsoft.com/office/word/2010/wordml" w:rsidP="681D4CEA" wp14:paraId="06C895DB" wp14:textId="0993EAB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 </w:t>
      </w:r>
      <w:r w:rsidRPr="681D4CEA" w:rsidR="45D41373">
        <w:rPr>
          <w:rFonts w:ascii="Arial" w:hAnsi="Arial" w:eastAsia="Arial" w:cs="Arial"/>
          <w:b w:val="1"/>
          <w:bCs w:val="1"/>
          <w:noProof w:val="0"/>
          <w:color w:val="000000" w:themeColor="text1" w:themeTint="FF" w:themeShade="FF"/>
          <w:sz w:val="22"/>
          <w:szCs w:val="22"/>
          <w:lang w:val="en-GB"/>
        </w:rPr>
        <w:t>Module code:</w:t>
      </w:r>
      <w:r w:rsidRPr="681D4CEA" w:rsidR="45D41373">
        <w:rPr>
          <w:rFonts w:ascii="Arial" w:hAnsi="Arial" w:eastAsia="Arial" w:cs="Arial"/>
          <w:noProof w:val="0"/>
          <w:color w:val="000000" w:themeColor="text1" w:themeTint="FF" w:themeShade="FF"/>
          <w:sz w:val="22"/>
          <w:szCs w:val="22"/>
          <w:lang w:val="en-GB"/>
        </w:rPr>
        <w:t xml:space="preserve"> LCLM5005</w:t>
      </w:r>
    </w:p>
    <w:p xmlns:wp14="http://schemas.microsoft.com/office/word/2010/wordml" w:rsidP="681D4CEA" wp14:paraId="1D57761A" wp14:textId="69F5081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 </w:t>
      </w:r>
      <w:r w:rsidRPr="681D4CEA" w:rsidR="45D41373">
        <w:rPr>
          <w:rFonts w:ascii="Arial" w:hAnsi="Arial" w:eastAsia="Arial" w:cs="Arial"/>
          <w:b w:val="1"/>
          <w:bCs w:val="1"/>
          <w:noProof w:val="0"/>
          <w:color w:val="000000" w:themeColor="text1" w:themeTint="FF" w:themeShade="FF"/>
          <w:sz w:val="22"/>
          <w:szCs w:val="22"/>
          <w:lang w:val="en-GB"/>
        </w:rPr>
        <w:t>Assignment Title:</w:t>
      </w:r>
      <w:r w:rsidRPr="681D4CEA" w:rsidR="45D41373">
        <w:rPr>
          <w:rFonts w:ascii="Arial" w:hAnsi="Arial" w:eastAsia="Arial" w:cs="Arial"/>
          <w:noProof w:val="0"/>
          <w:color w:val="000000" w:themeColor="text1" w:themeTint="FF" w:themeShade="FF"/>
          <w:sz w:val="22"/>
          <w:szCs w:val="22"/>
          <w:lang w:val="en-GB"/>
        </w:rPr>
        <w:t xml:space="preserve"> </w:t>
      </w:r>
      <w:r w:rsidRPr="681D4CEA" w:rsidR="45D41373">
        <w:rPr>
          <w:rFonts w:ascii="Arial" w:hAnsi="Arial" w:eastAsia="Arial" w:cs="Arial"/>
          <w:noProof w:val="0"/>
          <w:color w:val="000000" w:themeColor="text1" w:themeTint="FF" w:themeShade="FF"/>
          <w:sz w:val="22"/>
          <w:szCs w:val="22"/>
          <w:lang w:val="en-GB"/>
        </w:rPr>
        <w:t>Component</w:t>
      </w:r>
      <w:r w:rsidRPr="681D4CEA" w:rsidR="45D41373">
        <w:rPr>
          <w:rFonts w:ascii="Arial" w:hAnsi="Arial" w:eastAsia="Arial" w:cs="Arial"/>
          <w:noProof w:val="0"/>
          <w:color w:val="000000" w:themeColor="text1" w:themeTint="FF" w:themeShade="FF"/>
          <w:sz w:val="22"/>
          <w:szCs w:val="22"/>
          <w:lang w:val="en-GB"/>
        </w:rPr>
        <w:t xml:space="preserve"> 1 – Individual Report</w:t>
      </w:r>
    </w:p>
    <w:p xmlns:wp14="http://schemas.microsoft.com/office/word/2010/wordml" w:rsidP="681D4CEA" wp14:paraId="5F82523F" wp14:textId="0200CCE8">
      <w:pPr>
        <w:pStyle w:val="Heading2"/>
        <w:spacing w:before="299" w:beforeAutospacing="off" w:after="299" w:afterAutospacing="off" w:line="360" w:lineRule="auto"/>
        <w:jc w:val="both"/>
        <w:rPr>
          <w:rFonts w:ascii="Arial" w:hAnsi="Arial" w:eastAsia="Arial" w:cs="Arial"/>
          <w:noProof w:val="0"/>
          <w:color w:val="000000" w:themeColor="text1" w:themeTint="FF" w:themeShade="FF"/>
          <w:sz w:val="22"/>
          <w:szCs w:val="22"/>
          <w:lang w:val="en-GB"/>
        </w:rPr>
      </w:pPr>
      <w:r w:rsidRPr="681D4CEA" w:rsidR="0AE565E0">
        <w:rPr>
          <w:rFonts w:ascii="Arial" w:hAnsi="Arial" w:eastAsia="Arial" w:cs="Arial"/>
          <w:b w:val="1"/>
          <w:bCs w:val="1"/>
          <w:noProof w:val="0"/>
          <w:color w:val="000000" w:themeColor="text1" w:themeTint="FF" w:themeShade="FF"/>
          <w:sz w:val="22"/>
          <w:szCs w:val="22"/>
          <w:lang w:val="en-GB"/>
        </w:rPr>
        <w:t>1. Introduction</w:t>
      </w:r>
    </w:p>
    <w:p xmlns:wp14="http://schemas.microsoft.com/office/word/2010/wordml" w:rsidP="681D4CEA" wp14:paraId="40FE6713" wp14:textId="29824440">
      <w:pPr>
        <w:pStyle w:val="Heading2"/>
        <w:spacing w:before="299" w:beforeAutospacing="off" w:after="299" w:afterAutospacing="off" w:line="360" w:lineRule="auto"/>
        <w:jc w:val="both"/>
        <w:rPr>
          <w:rFonts w:ascii="Arial" w:hAnsi="Arial" w:eastAsia="Arial" w:cs="Arial"/>
          <w:noProof w:val="0"/>
          <w:color w:val="000000" w:themeColor="text1" w:themeTint="FF" w:themeShade="FF"/>
          <w:sz w:val="22"/>
          <w:szCs w:val="22"/>
          <w:lang w:val="en-GB"/>
        </w:rPr>
      </w:pPr>
      <w:r w:rsidRPr="681D4CEA" w:rsidR="0AE565E0">
        <w:rPr>
          <w:rFonts w:ascii="Arial" w:hAnsi="Arial" w:eastAsia="Arial" w:cs="Arial"/>
          <w:noProof w:val="0"/>
          <w:color w:val="000000" w:themeColor="text1" w:themeTint="FF" w:themeShade="FF"/>
          <w:sz w:val="22"/>
          <w:szCs w:val="22"/>
          <w:lang w:val="en-GB"/>
        </w:rPr>
        <w:t xml:space="preserve">Organisational culture refers to the shared values, beliefs, attitudes, and practices that influence how employees behave and interact within an organisation (Mullins and Christy, 2016). It defines “how things are done around here” and shapes decision-making, work processes, communication, and employee behaviour. For global companies like Toyota, culture is particularly important as it </w:t>
      </w:r>
      <w:r w:rsidRPr="681D4CEA" w:rsidR="0AE565E0">
        <w:rPr>
          <w:rFonts w:ascii="Arial" w:hAnsi="Arial" w:eastAsia="Arial" w:cs="Arial"/>
          <w:noProof w:val="0"/>
          <w:color w:val="000000" w:themeColor="text1" w:themeTint="FF" w:themeShade="FF"/>
          <w:sz w:val="22"/>
          <w:szCs w:val="22"/>
          <w:lang w:val="en-GB"/>
        </w:rPr>
        <w:t>impacts</w:t>
      </w:r>
      <w:r w:rsidRPr="681D4CEA" w:rsidR="0AE565E0">
        <w:rPr>
          <w:rFonts w:ascii="Arial" w:hAnsi="Arial" w:eastAsia="Arial" w:cs="Arial"/>
          <w:noProof w:val="0"/>
          <w:color w:val="000000" w:themeColor="text1" w:themeTint="FF" w:themeShade="FF"/>
          <w:sz w:val="22"/>
          <w:szCs w:val="22"/>
          <w:lang w:val="en-GB"/>
        </w:rPr>
        <w:t xml:space="preserve"> performance, innovation, and adaptability to a changing international environment. Toyota is a Japanese multinational automotive manufacturer known for its strong corporate culture based on quality, continuous improvement, and respect for people (Liker, 2004; Adler, 2013).</w:t>
      </w:r>
    </w:p>
    <w:p xmlns:wp14="http://schemas.microsoft.com/office/word/2010/wordml" w:rsidP="681D4CEA" wp14:paraId="669FE0B8" wp14:textId="20377F9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0AE565E0">
        <w:rPr>
          <w:rFonts w:ascii="Arial" w:hAnsi="Arial" w:eastAsia="Arial" w:cs="Arial"/>
          <w:noProof w:val="0"/>
          <w:color w:val="000000" w:themeColor="text1" w:themeTint="FF" w:themeShade="FF"/>
          <w:sz w:val="22"/>
          <w:szCs w:val="22"/>
          <w:lang w:val="en-GB"/>
        </w:rPr>
        <w:t xml:space="preserve">The organisational culture at Toyota is deeply embedded in its philosophy known as the </w:t>
      </w:r>
      <w:r w:rsidRPr="681D4CEA" w:rsidR="0AE565E0">
        <w:rPr>
          <w:rFonts w:ascii="Arial" w:hAnsi="Arial" w:eastAsia="Arial" w:cs="Arial"/>
          <w:b w:val="0"/>
          <w:bCs w:val="0"/>
          <w:noProof w:val="0"/>
          <w:color w:val="000000" w:themeColor="text1" w:themeTint="FF" w:themeShade="FF"/>
          <w:sz w:val="22"/>
          <w:szCs w:val="22"/>
          <w:lang w:val="en-GB"/>
        </w:rPr>
        <w:t>Toyota Way</w:t>
      </w:r>
      <w:r w:rsidRPr="681D4CEA" w:rsidR="0AE565E0">
        <w:rPr>
          <w:rFonts w:ascii="Arial" w:hAnsi="Arial" w:eastAsia="Arial" w:cs="Arial"/>
          <w:b w:val="0"/>
          <w:bCs w:val="0"/>
          <w:noProof w:val="0"/>
          <w:color w:val="000000" w:themeColor="text1" w:themeTint="FF" w:themeShade="FF"/>
          <w:sz w:val="22"/>
          <w:szCs w:val="22"/>
          <w:lang w:val="en-GB"/>
        </w:rPr>
        <w:t xml:space="preserve">, </w:t>
      </w:r>
      <w:r w:rsidRPr="681D4CEA" w:rsidR="0AE565E0">
        <w:rPr>
          <w:rFonts w:ascii="Arial" w:hAnsi="Arial" w:eastAsia="Arial" w:cs="Arial"/>
          <w:noProof w:val="0"/>
          <w:color w:val="000000" w:themeColor="text1" w:themeTint="FF" w:themeShade="FF"/>
          <w:sz w:val="22"/>
          <w:szCs w:val="22"/>
          <w:lang w:val="en-GB"/>
        </w:rPr>
        <w:t xml:space="preserve">which emphasises two central pillars: continuous improvement (Kaizen) and respect for people. These principles guide the behaviour of all employees, from frontline production workers to top executives, ensuring that decisions and actions align with the company’s strategic </w:t>
      </w:r>
      <w:r w:rsidRPr="681D4CEA" w:rsidR="0AE565E0">
        <w:rPr>
          <w:rFonts w:ascii="Arial" w:hAnsi="Arial" w:eastAsia="Arial" w:cs="Arial"/>
          <w:noProof w:val="0"/>
          <w:color w:val="000000" w:themeColor="text1" w:themeTint="FF" w:themeShade="FF"/>
          <w:sz w:val="22"/>
          <w:szCs w:val="22"/>
          <w:lang w:val="en-GB"/>
        </w:rPr>
        <w:t>objectives</w:t>
      </w:r>
      <w:r w:rsidRPr="681D4CEA" w:rsidR="0AE565E0">
        <w:rPr>
          <w:rFonts w:ascii="Arial" w:hAnsi="Arial" w:eastAsia="Arial" w:cs="Arial"/>
          <w:noProof w:val="0"/>
          <w:color w:val="000000" w:themeColor="text1" w:themeTint="FF" w:themeShade="FF"/>
          <w:sz w:val="22"/>
          <w:szCs w:val="22"/>
          <w:lang w:val="en-GB"/>
        </w:rPr>
        <w:t xml:space="preserve"> and ethical standards (Liker and </w:t>
      </w:r>
      <w:r w:rsidRPr="681D4CEA" w:rsidR="0AE565E0">
        <w:rPr>
          <w:rFonts w:ascii="Arial" w:hAnsi="Arial" w:eastAsia="Arial" w:cs="Arial"/>
          <w:noProof w:val="0"/>
          <w:color w:val="000000" w:themeColor="text1" w:themeTint="FF" w:themeShade="FF"/>
          <w:sz w:val="22"/>
          <w:szCs w:val="22"/>
          <w:lang w:val="en-GB"/>
        </w:rPr>
        <w:t>Hoseus</w:t>
      </w:r>
      <w:r w:rsidRPr="681D4CEA" w:rsidR="0AE565E0">
        <w:rPr>
          <w:rFonts w:ascii="Arial" w:hAnsi="Arial" w:eastAsia="Arial" w:cs="Arial"/>
          <w:noProof w:val="0"/>
          <w:color w:val="000000" w:themeColor="text1" w:themeTint="FF" w:themeShade="FF"/>
          <w:sz w:val="22"/>
          <w:szCs w:val="22"/>
          <w:lang w:val="en-GB"/>
        </w:rPr>
        <w:t xml:space="preserve">, 2008). Continuous improvement encourages employees to constantly evaluate processes, </w:t>
      </w:r>
      <w:r w:rsidRPr="681D4CEA" w:rsidR="0AE565E0">
        <w:rPr>
          <w:rFonts w:ascii="Arial" w:hAnsi="Arial" w:eastAsia="Arial" w:cs="Arial"/>
          <w:noProof w:val="0"/>
          <w:color w:val="000000" w:themeColor="text1" w:themeTint="FF" w:themeShade="FF"/>
          <w:sz w:val="22"/>
          <w:szCs w:val="22"/>
          <w:lang w:val="en-GB"/>
        </w:rPr>
        <w:t>identify</w:t>
      </w:r>
      <w:r w:rsidRPr="681D4CEA" w:rsidR="0AE565E0">
        <w:rPr>
          <w:rFonts w:ascii="Arial" w:hAnsi="Arial" w:eastAsia="Arial" w:cs="Arial"/>
          <w:noProof w:val="0"/>
          <w:color w:val="000000" w:themeColor="text1" w:themeTint="FF" w:themeShade="FF"/>
          <w:sz w:val="22"/>
          <w:szCs w:val="22"/>
          <w:lang w:val="en-GB"/>
        </w:rPr>
        <w:t xml:space="preserve"> inefficiencies, and propose solutions, creating an environment where innovation is not only encouraged but expected. Respect for people fosters collaboration, accountability, and mutual trust, enabling employees to contribute fully to organisational goals and feel valued within the company (Ohno, 1988).</w:t>
      </w:r>
    </w:p>
    <w:p xmlns:wp14="http://schemas.microsoft.com/office/word/2010/wordml" w:rsidP="681D4CEA" wp14:paraId="11F3ABF6" wp14:textId="4A5E819A">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0AE565E0">
        <w:rPr>
          <w:rFonts w:ascii="Arial" w:hAnsi="Arial" w:eastAsia="Arial" w:cs="Arial"/>
          <w:noProof w:val="0"/>
          <w:color w:val="000000" w:themeColor="text1" w:themeTint="FF" w:themeShade="FF"/>
          <w:sz w:val="22"/>
          <w:szCs w:val="22"/>
          <w:lang w:val="en-GB"/>
        </w:rPr>
        <w:t>In addition to influencing operational processes, Toyota’s culture shapes the way the company interacts with its external environment, including suppliers, customers, and global partners. The emphasis on high-quality standards and long-term relationships has contributed to Toyota’s reputation for reliability, efficiency, and customer satisfaction worldwide. Furthermore, the culture supports resilience in the face of challenges, such as economic fluctuations, technological disruptions, and global competition, by instilling a proactive, problem-solving mindset among employees (Nonaka and Takeuchi, 1995).</w:t>
      </w:r>
    </w:p>
    <w:p xmlns:wp14="http://schemas.microsoft.com/office/word/2010/wordml" w:rsidP="681D4CEA" wp14:paraId="18490C64" wp14:textId="33A9D30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0AE565E0">
        <w:rPr>
          <w:rFonts w:ascii="Arial" w:hAnsi="Arial" w:eastAsia="Arial" w:cs="Arial"/>
          <w:noProof w:val="0"/>
          <w:color w:val="000000" w:themeColor="text1" w:themeTint="FF" w:themeShade="FF"/>
          <w:sz w:val="22"/>
          <w:szCs w:val="22"/>
          <w:lang w:val="en-GB"/>
        </w:rPr>
        <w:t>Organisational culture also plays a critical role in shaping leadership styles, communication patterns, and decision-making processes. Leaders at Toyota are expected to model cultural values through behaviour, mentoring, and strategic decisions, reinforcing a shared understanding of goals and priorities across the organisation. This alignment ensures consistency in operations while fostering an adaptable and motivated workforce capable of responding to the dynamic demands of the automotive industry (Adler, 2013).</w:t>
      </w:r>
    </w:p>
    <w:p xmlns:wp14="http://schemas.microsoft.com/office/word/2010/wordml" w:rsidP="681D4CEA" wp14:paraId="5A8636D2" wp14:textId="745F4EC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0AE565E0">
        <w:rPr>
          <w:rFonts w:ascii="Arial" w:hAnsi="Arial" w:eastAsia="Arial" w:cs="Arial"/>
          <w:noProof w:val="0"/>
          <w:color w:val="000000" w:themeColor="text1" w:themeTint="FF" w:themeShade="FF"/>
          <w:sz w:val="22"/>
          <w:szCs w:val="22"/>
          <w:lang w:val="en-GB"/>
        </w:rPr>
        <w:t>This report critically assesses Toyota’s organisational culture, evaluating how it influences structure, decision-making, innovation, and adaptability. It applies recognised models such as Schein’s cultural framework, Hofstede’s cultural dimensions, and Handy’s cultural types to analyse the company’s culture in depth. The report also examines the role of organisational culture in managing external pressures and its impact on overall performance. Finally, recommendations are provided to further strengthen Toyota’s culture, enhance employee engagement, and sustain the company’s competitive advantage in a global marketplace.</w:t>
      </w:r>
    </w:p>
    <w:p xmlns:wp14="http://schemas.microsoft.com/office/word/2010/wordml" w:rsidP="681D4CEA" wp14:paraId="5F4416FC" wp14:textId="0DFEE0AE">
      <w:pPr>
        <w:pStyle w:val="Heading2"/>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r w:rsidRPr="681D4CEA" w:rsidR="01B5674B">
        <w:rPr>
          <w:rFonts w:ascii="Arial" w:hAnsi="Arial" w:eastAsia="Arial" w:cs="Arial"/>
          <w:b w:val="1"/>
          <w:bCs w:val="1"/>
          <w:noProof w:val="0"/>
          <w:color w:val="000000" w:themeColor="text1" w:themeTint="FF" w:themeShade="FF"/>
          <w:sz w:val="22"/>
          <w:szCs w:val="22"/>
          <w:lang w:val="en-GB"/>
        </w:rPr>
        <w:t>2. Toyota’s Organisational Culture and Its Influence on Structure and Decision-Making</w:t>
      </w:r>
    </w:p>
    <w:p xmlns:wp14="http://schemas.microsoft.com/office/word/2010/wordml" w:rsidP="681D4CEA" wp14:paraId="3A092678" wp14:textId="3A611FA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01B5674B">
        <w:rPr>
          <w:rFonts w:ascii="Arial" w:hAnsi="Arial" w:eastAsia="Arial" w:cs="Arial"/>
          <w:noProof w:val="0"/>
          <w:color w:val="000000" w:themeColor="text1" w:themeTint="FF" w:themeShade="FF"/>
          <w:sz w:val="22"/>
          <w:szCs w:val="22"/>
          <w:lang w:val="en-GB"/>
        </w:rPr>
        <w:t xml:space="preserve">Toyota’s organisational culture is based on the Toyota Way, which is founded on two main principles: continuous improvement (Kaizen) and respect for people (Liker, 2004). Continuous improvement encourages employees at all levels to </w:t>
      </w:r>
      <w:r w:rsidRPr="681D4CEA" w:rsidR="01B5674B">
        <w:rPr>
          <w:rFonts w:ascii="Arial" w:hAnsi="Arial" w:eastAsia="Arial" w:cs="Arial"/>
          <w:noProof w:val="0"/>
          <w:color w:val="000000" w:themeColor="text1" w:themeTint="FF" w:themeShade="FF"/>
          <w:sz w:val="22"/>
          <w:szCs w:val="22"/>
          <w:lang w:val="en-GB"/>
        </w:rPr>
        <w:t>identify</w:t>
      </w:r>
      <w:r w:rsidRPr="681D4CEA" w:rsidR="01B5674B">
        <w:rPr>
          <w:rFonts w:ascii="Arial" w:hAnsi="Arial" w:eastAsia="Arial" w:cs="Arial"/>
          <w:noProof w:val="0"/>
          <w:color w:val="000000" w:themeColor="text1" w:themeTint="FF" w:themeShade="FF"/>
          <w:sz w:val="22"/>
          <w:szCs w:val="22"/>
          <w:lang w:val="en-GB"/>
        </w:rPr>
        <w:t xml:space="preserve"> problems, suggest solutions, and improve processes. Respect for people ensures that employees, suppliers, and customers are treated with fairness and consideration (Ohno, 1988). Together, these principles create a strong cultural foundation that guides behaviour, decision-making, and organisational performance.</w:t>
      </w:r>
    </w:p>
    <w:p xmlns:wp14="http://schemas.microsoft.com/office/word/2010/wordml" w:rsidP="681D4CEA" wp14:paraId="38A59AF7" wp14:textId="3D8A6DD9">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681D4CEA" w:rsidR="01B5674B">
        <w:rPr>
          <w:rFonts w:ascii="Arial" w:hAnsi="Arial" w:eastAsia="Arial" w:cs="Arial"/>
          <w:b w:val="1"/>
          <w:bCs w:val="1"/>
          <w:noProof w:val="0"/>
          <w:color w:val="000000" w:themeColor="text1" w:themeTint="FF" w:themeShade="FF"/>
          <w:sz w:val="22"/>
          <w:szCs w:val="22"/>
          <w:lang w:val="en-GB"/>
        </w:rPr>
        <w:t>2.1 Influence on Organisational Structure</w:t>
      </w:r>
    </w:p>
    <w:p xmlns:wp14="http://schemas.microsoft.com/office/word/2010/wordml" w:rsidP="681D4CEA" wp14:paraId="7F0383FE" wp14:textId="546F1FF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01B5674B">
        <w:rPr>
          <w:rFonts w:ascii="Arial" w:hAnsi="Arial" w:eastAsia="Arial" w:cs="Arial"/>
          <w:noProof w:val="0"/>
          <w:color w:val="000000" w:themeColor="text1" w:themeTint="FF" w:themeShade="FF"/>
          <w:sz w:val="22"/>
          <w:szCs w:val="22"/>
          <w:lang w:val="en-GB"/>
        </w:rPr>
        <w:t xml:space="preserve">Toyota has a hierarchical yet flexible organisational structure. While there is a clear chain of command, teams are empowered to make decisions within their scope, especially </w:t>
      </w:r>
      <w:r w:rsidRPr="681D4CEA" w:rsidR="01B5674B">
        <w:rPr>
          <w:rFonts w:ascii="Arial" w:hAnsi="Arial" w:eastAsia="Arial" w:cs="Arial"/>
          <w:noProof w:val="0"/>
          <w:color w:val="000000" w:themeColor="text1" w:themeTint="FF" w:themeShade="FF"/>
          <w:sz w:val="22"/>
          <w:szCs w:val="22"/>
          <w:lang w:val="en-GB"/>
        </w:rPr>
        <w:t>regarding</w:t>
      </w:r>
      <w:r w:rsidRPr="681D4CEA" w:rsidR="01B5674B">
        <w:rPr>
          <w:rFonts w:ascii="Arial" w:hAnsi="Arial" w:eastAsia="Arial" w:cs="Arial"/>
          <w:noProof w:val="0"/>
          <w:color w:val="000000" w:themeColor="text1" w:themeTint="FF" w:themeShade="FF"/>
          <w:sz w:val="22"/>
          <w:szCs w:val="22"/>
          <w:lang w:val="en-GB"/>
        </w:rPr>
        <w:t xml:space="preserve"> problem-solving and process improvement (Nonaka and Takeuchi, 1995). This reflects a balance between centralised control for strategic decisions and decentralised authority for operational matters. The culture of teamwork and collaboration allows for a matrix-style structure in many areas, where cross-functional teams work together to innovate, solve problems, and </w:t>
      </w:r>
      <w:r w:rsidRPr="681D4CEA" w:rsidR="01B5674B">
        <w:rPr>
          <w:rFonts w:ascii="Arial" w:hAnsi="Arial" w:eastAsia="Arial" w:cs="Arial"/>
          <w:noProof w:val="0"/>
          <w:color w:val="000000" w:themeColor="text1" w:themeTint="FF" w:themeShade="FF"/>
          <w:sz w:val="22"/>
          <w:szCs w:val="22"/>
          <w:lang w:val="en-GB"/>
        </w:rPr>
        <w:t>maintain</w:t>
      </w:r>
      <w:r w:rsidRPr="681D4CEA" w:rsidR="01B5674B">
        <w:rPr>
          <w:rFonts w:ascii="Arial" w:hAnsi="Arial" w:eastAsia="Arial" w:cs="Arial"/>
          <w:noProof w:val="0"/>
          <w:color w:val="000000" w:themeColor="text1" w:themeTint="FF" w:themeShade="FF"/>
          <w:sz w:val="22"/>
          <w:szCs w:val="22"/>
          <w:lang w:val="en-GB"/>
        </w:rPr>
        <w:t xml:space="preserve"> quality (Imai, 2012).</w:t>
      </w:r>
    </w:p>
    <w:p xmlns:wp14="http://schemas.microsoft.com/office/word/2010/wordml" w:rsidP="681D4CEA" wp14:paraId="336B1F55" wp14:textId="401ED4CB">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01B5674B">
        <w:rPr>
          <w:rFonts w:ascii="Arial" w:hAnsi="Arial" w:eastAsia="Arial" w:cs="Arial"/>
          <w:noProof w:val="0"/>
          <w:color w:val="000000" w:themeColor="text1" w:themeTint="FF" w:themeShade="FF"/>
          <w:sz w:val="22"/>
          <w:szCs w:val="22"/>
          <w:lang w:val="en-GB"/>
        </w:rPr>
        <w:t xml:space="preserve">The culture promotes decentralised decision-making at the operational level, giving employees the authority to stop production lines to address quality issues (Anderson, 2010). This is known as the </w:t>
      </w:r>
      <w:r w:rsidRPr="681D4CEA" w:rsidR="01B5674B">
        <w:rPr>
          <w:rFonts w:ascii="Arial" w:hAnsi="Arial" w:eastAsia="Arial" w:cs="Arial"/>
          <w:i w:val="1"/>
          <w:iCs w:val="1"/>
          <w:noProof w:val="0"/>
          <w:color w:val="000000" w:themeColor="text1" w:themeTint="FF" w:themeShade="FF"/>
          <w:sz w:val="22"/>
          <w:szCs w:val="22"/>
          <w:lang w:val="en-GB"/>
        </w:rPr>
        <w:t>jidoka</w:t>
      </w:r>
      <w:r w:rsidRPr="681D4CEA" w:rsidR="01B5674B">
        <w:rPr>
          <w:rFonts w:ascii="Arial" w:hAnsi="Arial" w:eastAsia="Arial" w:cs="Arial"/>
          <w:noProof w:val="0"/>
          <w:color w:val="000000" w:themeColor="text1" w:themeTint="FF" w:themeShade="FF"/>
          <w:sz w:val="22"/>
          <w:szCs w:val="22"/>
          <w:lang w:val="en-GB"/>
        </w:rPr>
        <w:t xml:space="preserve"> principle, where any employee has the responsibility and authority to act if a problem arises. This approach </w:t>
      </w:r>
      <w:r w:rsidRPr="681D4CEA" w:rsidR="01B5674B">
        <w:rPr>
          <w:rFonts w:ascii="Arial" w:hAnsi="Arial" w:eastAsia="Arial" w:cs="Arial"/>
          <w:noProof w:val="0"/>
          <w:color w:val="000000" w:themeColor="text1" w:themeTint="FF" w:themeShade="FF"/>
          <w:sz w:val="22"/>
          <w:szCs w:val="22"/>
          <w:lang w:val="en-GB"/>
        </w:rPr>
        <w:t>demonstrates</w:t>
      </w:r>
      <w:r w:rsidRPr="681D4CEA" w:rsidR="01B5674B">
        <w:rPr>
          <w:rFonts w:ascii="Arial" w:hAnsi="Arial" w:eastAsia="Arial" w:cs="Arial"/>
          <w:noProof w:val="0"/>
          <w:color w:val="000000" w:themeColor="text1" w:themeTint="FF" w:themeShade="FF"/>
          <w:sz w:val="22"/>
          <w:szCs w:val="22"/>
          <w:lang w:val="en-GB"/>
        </w:rPr>
        <w:t xml:space="preserve"> that Toyota’s culture prioritises responsibility, accountability, and problem-solving rather than strict adherence to top-down directives. As a result, employees are motivated to take ownership of their work, which strengthens engagement, teamwork, and quality assurance.</w:t>
      </w:r>
    </w:p>
    <w:p xmlns:wp14="http://schemas.microsoft.com/office/word/2010/wordml" w:rsidP="681D4CEA" wp14:paraId="0DD6C530" wp14:textId="206227F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01B5674B">
        <w:rPr>
          <w:rFonts w:ascii="Arial" w:hAnsi="Arial" w:eastAsia="Arial" w:cs="Arial"/>
          <w:noProof w:val="0"/>
          <w:color w:val="000000" w:themeColor="text1" w:themeTint="FF" w:themeShade="FF"/>
          <w:sz w:val="22"/>
          <w:szCs w:val="22"/>
          <w:lang w:val="en-GB"/>
        </w:rPr>
        <w:t xml:space="preserve">Toyota’s organisational culture also influences communication flows and team dynamics. The emphasis on respect and collaboration encourages open communication across </w:t>
      </w:r>
      <w:r w:rsidRPr="681D4CEA" w:rsidR="01B5674B">
        <w:rPr>
          <w:rFonts w:ascii="Arial" w:hAnsi="Arial" w:eastAsia="Arial" w:cs="Arial"/>
          <w:noProof w:val="0"/>
          <w:color w:val="000000" w:themeColor="text1" w:themeTint="FF" w:themeShade="FF"/>
          <w:sz w:val="22"/>
          <w:szCs w:val="22"/>
          <w:lang w:val="en-GB"/>
        </w:rPr>
        <w:t>different levels</w:t>
      </w:r>
      <w:r w:rsidRPr="681D4CEA" w:rsidR="01B5674B">
        <w:rPr>
          <w:rFonts w:ascii="Arial" w:hAnsi="Arial" w:eastAsia="Arial" w:cs="Arial"/>
          <w:noProof w:val="0"/>
          <w:color w:val="000000" w:themeColor="text1" w:themeTint="FF" w:themeShade="FF"/>
          <w:sz w:val="22"/>
          <w:szCs w:val="22"/>
          <w:lang w:val="en-GB"/>
        </w:rPr>
        <w:t xml:space="preserve"> of the hierarchy. Employees are encouraged to share ideas, ask questions, and voice concerns without fear of negative consequences (Liker and </w:t>
      </w:r>
      <w:r w:rsidRPr="681D4CEA" w:rsidR="01B5674B">
        <w:rPr>
          <w:rFonts w:ascii="Arial" w:hAnsi="Arial" w:eastAsia="Arial" w:cs="Arial"/>
          <w:noProof w:val="0"/>
          <w:color w:val="000000" w:themeColor="text1" w:themeTint="FF" w:themeShade="FF"/>
          <w:sz w:val="22"/>
          <w:szCs w:val="22"/>
          <w:lang w:val="en-GB"/>
        </w:rPr>
        <w:t>Hoseus</w:t>
      </w:r>
      <w:r w:rsidRPr="681D4CEA" w:rsidR="01B5674B">
        <w:rPr>
          <w:rFonts w:ascii="Arial" w:hAnsi="Arial" w:eastAsia="Arial" w:cs="Arial"/>
          <w:noProof w:val="0"/>
          <w:color w:val="000000" w:themeColor="text1" w:themeTint="FF" w:themeShade="FF"/>
          <w:sz w:val="22"/>
          <w:szCs w:val="22"/>
          <w:lang w:val="en-GB"/>
        </w:rPr>
        <w:t>, 2008). This collaborative communication supports innovation and allows the company to respond quickly to challenges. Moreover, the culture supports continuous learning, as employees are encouraged to reflect on successes and failures, share knowledge, and mentor colleagues, which reinforces organisational cohesion and capability development.</w:t>
      </w:r>
    </w:p>
    <w:p xmlns:wp14="http://schemas.microsoft.com/office/word/2010/wordml" w:rsidP="681D4CEA" wp14:paraId="3D17A8F2" wp14:textId="7345CB67">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681D4CEA" w:rsidR="01B5674B">
        <w:rPr>
          <w:rFonts w:ascii="Arial" w:hAnsi="Arial" w:eastAsia="Arial" w:cs="Arial"/>
          <w:b w:val="1"/>
          <w:bCs w:val="1"/>
          <w:noProof w:val="0"/>
          <w:color w:val="000000" w:themeColor="text1" w:themeTint="FF" w:themeShade="FF"/>
          <w:sz w:val="22"/>
          <w:szCs w:val="22"/>
          <w:lang w:val="en-GB"/>
        </w:rPr>
        <w:t>2.2 Influence on Decision-Making</w:t>
      </w:r>
    </w:p>
    <w:p xmlns:wp14="http://schemas.microsoft.com/office/word/2010/wordml" w:rsidP="681D4CEA" wp14:paraId="292A9F7F" wp14:textId="154BC4DC">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01B5674B">
        <w:rPr>
          <w:rFonts w:ascii="Arial" w:hAnsi="Arial" w:eastAsia="Arial" w:cs="Arial"/>
          <w:noProof w:val="0"/>
          <w:color w:val="000000" w:themeColor="text1" w:themeTint="FF" w:themeShade="FF"/>
          <w:sz w:val="22"/>
          <w:szCs w:val="22"/>
          <w:lang w:val="en-GB"/>
        </w:rPr>
        <w:t xml:space="preserve">Decision-making at Toyota reflects the organisational culture of collaboration, consensus, and long-term thinking. The company uses the </w:t>
      </w:r>
      <w:r w:rsidRPr="681D4CEA" w:rsidR="01B5674B">
        <w:rPr>
          <w:rFonts w:ascii="Arial" w:hAnsi="Arial" w:eastAsia="Arial" w:cs="Arial"/>
          <w:i w:val="1"/>
          <w:iCs w:val="1"/>
          <w:noProof w:val="0"/>
          <w:color w:val="000000" w:themeColor="text1" w:themeTint="FF" w:themeShade="FF"/>
          <w:sz w:val="22"/>
          <w:szCs w:val="22"/>
          <w:lang w:val="en-GB"/>
        </w:rPr>
        <w:t>Nemawashi</w:t>
      </w:r>
      <w:r w:rsidRPr="681D4CEA" w:rsidR="01B5674B">
        <w:rPr>
          <w:rFonts w:ascii="Arial" w:hAnsi="Arial" w:eastAsia="Arial" w:cs="Arial"/>
          <w:noProof w:val="0"/>
          <w:color w:val="000000" w:themeColor="text1" w:themeTint="FF" w:themeShade="FF"/>
          <w:sz w:val="22"/>
          <w:szCs w:val="22"/>
          <w:lang w:val="en-GB"/>
        </w:rPr>
        <w:t xml:space="preserve"> approach, which involves consulting relevant stakeholders before making significant decisions (Liker and </w:t>
      </w:r>
      <w:r w:rsidRPr="681D4CEA" w:rsidR="01B5674B">
        <w:rPr>
          <w:rFonts w:ascii="Arial" w:hAnsi="Arial" w:eastAsia="Arial" w:cs="Arial"/>
          <w:noProof w:val="0"/>
          <w:color w:val="000000" w:themeColor="text1" w:themeTint="FF" w:themeShade="FF"/>
          <w:sz w:val="22"/>
          <w:szCs w:val="22"/>
          <w:lang w:val="en-GB"/>
        </w:rPr>
        <w:t>Hoseus</w:t>
      </w:r>
      <w:r w:rsidRPr="681D4CEA" w:rsidR="01B5674B">
        <w:rPr>
          <w:rFonts w:ascii="Arial" w:hAnsi="Arial" w:eastAsia="Arial" w:cs="Arial"/>
          <w:noProof w:val="0"/>
          <w:color w:val="000000" w:themeColor="text1" w:themeTint="FF" w:themeShade="FF"/>
          <w:sz w:val="22"/>
          <w:szCs w:val="22"/>
          <w:lang w:val="en-GB"/>
        </w:rPr>
        <w:t>, 2008). By gathering input from all affected parties, decisions are more likely to be well-informed, widely supported, and successfully implemented. This participative decision-making process strengthens trust, ensures alignment with organisational goals, and reinforces the cultural values of respect and continuous improvement.</w:t>
      </w:r>
    </w:p>
    <w:p xmlns:wp14="http://schemas.microsoft.com/office/word/2010/wordml" w:rsidP="681D4CEA" wp14:paraId="2C0E4428" wp14:textId="76403699">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01B5674B">
        <w:rPr>
          <w:rFonts w:ascii="Arial" w:hAnsi="Arial" w:eastAsia="Arial" w:cs="Arial"/>
          <w:noProof w:val="0"/>
          <w:color w:val="000000" w:themeColor="text1" w:themeTint="FF" w:themeShade="FF"/>
          <w:sz w:val="22"/>
          <w:szCs w:val="22"/>
          <w:lang w:val="en-GB"/>
        </w:rPr>
        <w:t xml:space="preserve">Culture also emphasises data-driven and evidence-based decision-making. Toyota encourages the use of root cause analysis, particularly the </w:t>
      </w:r>
      <w:r w:rsidRPr="681D4CEA" w:rsidR="01B5674B">
        <w:rPr>
          <w:rFonts w:ascii="Arial" w:hAnsi="Arial" w:eastAsia="Arial" w:cs="Arial"/>
          <w:i w:val="1"/>
          <w:iCs w:val="1"/>
          <w:noProof w:val="0"/>
          <w:color w:val="000000" w:themeColor="text1" w:themeTint="FF" w:themeShade="FF"/>
          <w:sz w:val="22"/>
          <w:szCs w:val="22"/>
          <w:lang w:val="en-GB"/>
        </w:rPr>
        <w:t>5 Whys</w:t>
      </w:r>
      <w:r w:rsidRPr="681D4CEA" w:rsidR="01B5674B">
        <w:rPr>
          <w:rFonts w:ascii="Arial" w:hAnsi="Arial" w:eastAsia="Arial" w:cs="Arial"/>
          <w:noProof w:val="0"/>
          <w:color w:val="000000" w:themeColor="text1" w:themeTint="FF" w:themeShade="FF"/>
          <w:sz w:val="22"/>
          <w:szCs w:val="22"/>
          <w:lang w:val="en-GB"/>
        </w:rPr>
        <w:t xml:space="preserve"> technique, to </w:t>
      </w:r>
      <w:r w:rsidRPr="681D4CEA" w:rsidR="01B5674B">
        <w:rPr>
          <w:rFonts w:ascii="Arial" w:hAnsi="Arial" w:eastAsia="Arial" w:cs="Arial"/>
          <w:noProof w:val="0"/>
          <w:color w:val="000000" w:themeColor="text1" w:themeTint="FF" w:themeShade="FF"/>
          <w:sz w:val="22"/>
          <w:szCs w:val="22"/>
          <w:lang w:val="en-GB"/>
        </w:rPr>
        <w:t>identify</w:t>
      </w:r>
      <w:r w:rsidRPr="681D4CEA" w:rsidR="01B5674B">
        <w:rPr>
          <w:rFonts w:ascii="Arial" w:hAnsi="Arial" w:eastAsia="Arial" w:cs="Arial"/>
          <w:noProof w:val="0"/>
          <w:color w:val="000000" w:themeColor="text1" w:themeTint="FF" w:themeShade="FF"/>
          <w:sz w:val="22"/>
          <w:szCs w:val="22"/>
          <w:lang w:val="en-GB"/>
        </w:rPr>
        <w:t xml:space="preserve"> the underlying causes of problems before </w:t>
      </w:r>
      <w:r w:rsidRPr="681D4CEA" w:rsidR="01B5674B">
        <w:rPr>
          <w:rFonts w:ascii="Arial" w:hAnsi="Arial" w:eastAsia="Arial" w:cs="Arial"/>
          <w:noProof w:val="0"/>
          <w:color w:val="000000" w:themeColor="text1" w:themeTint="FF" w:themeShade="FF"/>
          <w:sz w:val="22"/>
          <w:szCs w:val="22"/>
          <w:lang w:val="en-GB"/>
        </w:rPr>
        <w:t>taking action</w:t>
      </w:r>
      <w:r w:rsidRPr="681D4CEA" w:rsidR="01B5674B">
        <w:rPr>
          <w:rFonts w:ascii="Arial" w:hAnsi="Arial" w:eastAsia="Arial" w:cs="Arial"/>
          <w:noProof w:val="0"/>
          <w:color w:val="000000" w:themeColor="text1" w:themeTint="FF" w:themeShade="FF"/>
          <w:sz w:val="22"/>
          <w:szCs w:val="22"/>
          <w:lang w:val="en-GB"/>
        </w:rPr>
        <w:t xml:space="preserve"> (Ohno, 1988; Rother, 2010). Employees are trained to examine problems systematically, challenge assumptions, and propose improvements that align with quality standards and safety requirements. This approach reduces mistakes, enhances efficiency, and promotes a proactive culture where problems are solved at their source rather than being ignored or delegated upwards.</w:t>
      </w:r>
    </w:p>
    <w:p xmlns:wp14="http://schemas.microsoft.com/office/word/2010/wordml" w:rsidP="681D4CEA" wp14:paraId="14FC0177" wp14:textId="54D32BB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01B5674B">
        <w:rPr>
          <w:rFonts w:ascii="Arial" w:hAnsi="Arial" w:eastAsia="Arial" w:cs="Arial"/>
          <w:noProof w:val="0"/>
          <w:color w:val="000000" w:themeColor="text1" w:themeTint="FF" w:themeShade="FF"/>
          <w:sz w:val="22"/>
          <w:szCs w:val="22"/>
          <w:lang w:val="en-GB"/>
        </w:rPr>
        <w:t xml:space="preserve">Furthermore, Toyota’s culture encourages long-term thinking in decision-making. Strategic decisions are made with a focus on sustainability, customer satisfaction, and continuous improvement rather than short-term financial gains (Adler, 2013). For example, decisions </w:t>
      </w:r>
      <w:r w:rsidRPr="681D4CEA" w:rsidR="01B5674B">
        <w:rPr>
          <w:rFonts w:ascii="Arial" w:hAnsi="Arial" w:eastAsia="Arial" w:cs="Arial"/>
          <w:noProof w:val="0"/>
          <w:color w:val="000000" w:themeColor="text1" w:themeTint="FF" w:themeShade="FF"/>
          <w:sz w:val="22"/>
          <w:szCs w:val="22"/>
          <w:lang w:val="en-GB"/>
        </w:rPr>
        <w:t>regarding</w:t>
      </w:r>
      <w:r w:rsidRPr="681D4CEA" w:rsidR="01B5674B">
        <w:rPr>
          <w:rFonts w:ascii="Arial" w:hAnsi="Arial" w:eastAsia="Arial" w:cs="Arial"/>
          <w:noProof w:val="0"/>
          <w:color w:val="000000" w:themeColor="text1" w:themeTint="FF" w:themeShade="FF"/>
          <w:sz w:val="22"/>
          <w:szCs w:val="22"/>
          <w:lang w:val="en-GB"/>
        </w:rPr>
        <w:t xml:space="preserve"> production methods, supplier relationships, and technological investments are evaluated for their impact on long-term quality, efficiency, and brand reputation. Leaders are expected to model this behaviour, ensuring that employees at all levels internalise these values in their day-to-day decision-making.</w:t>
      </w:r>
    </w:p>
    <w:p xmlns:wp14="http://schemas.microsoft.com/office/word/2010/wordml" w:rsidP="681D4CEA" wp14:paraId="0FB97D7B" wp14:textId="44F11ECB">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01B5674B">
        <w:rPr>
          <w:rFonts w:ascii="Arial" w:hAnsi="Arial" w:eastAsia="Arial" w:cs="Arial"/>
          <w:noProof w:val="0"/>
          <w:color w:val="000000" w:themeColor="text1" w:themeTint="FF" w:themeShade="FF"/>
          <w:sz w:val="22"/>
          <w:szCs w:val="22"/>
          <w:lang w:val="en-GB"/>
        </w:rPr>
        <w:t xml:space="preserve">In addition, Toyota integrates culture into risk management and change initiatives. Employees are encouraged to </w:t>
      </w:r>
      <w:r w:rsidRPr="681D4CEA" w:rsidR="01B5674B">
        <w:rPr>
          <w:rFonts w:ascii="Arial" w:hAnsi="Arial" w:eastAsia="Arial" w:cs="Arial"/>
          <w:noProof w:val="0"/>
          <w:color w:val="000000" w:themeColor="text1" w:themeTint="FF" w:themeShade="FF"/>
          <w:sz w:val="22"/>
          <w:szCs w:val="22"/>
          <w:lang w:val="en-GB"/>
        </w:rPr>
        <w:t>anticipate</w:t>
      </w:r>
      <w:r w:rsidRPr="681D4CEA" w:rsidR="01B5674B">
        <w:rPr>
          <w:rFonts w:ascii="Arial" w:hAnsi="Arial" w:eastAsia="Arial" w:cs="Arial"/>
          <w:noProof w:val="0"/>
          <w:color w:val="000000" w:themeColor="text1" w:themeTint="FF" w:themeShade="FF"/>
          <w:sz w:val="22"/>
          <w:szCs w:val="22"/>
          <w:lang w:val="en-GB"/>
        </w:rPr>
        <w:t xml:space="preserve"> potential challenges and involve relevant teams early in the planning process. This prevents hasty decisions and ensures that organisational changes are implemented smoothly. By embedding cultural values in structure and decision-making, Toyota achieves a balance between operational efficiency, innovation, and employee engagement, which contributes to its global success and competitive advantage.</w:t>
      </w:r>
    </w:p>
    <w:p xmlns:wp14="http://schemas.microsoft.com/office/word/2010/wordml" w:rsidP="681D4CEA" wp14:paraId="246E7781" wp14:textId="2F09BED0">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01B5674B">
        <w:rPr>
          <w:rFonts w:ascii="Arial" w:hAnsi="Arial" w:eastAsia="Arial" w:cs="Arial"/>
          <w:noProof w:val="0"/>
          <w:color w:val="000000" w:themeColor="text1" w:themeTint="FF" w:themeShade="FF"/>
          <w:sz w:val="22"/>
          <w:szCs w:val="22"/>
          <w:lang w:val="en-GB"/>
        </w:rPr>
        <w:t xml:space="preserve">Overall, Toyota’s organisational culture shapes both its structure and decision-making by creating a framework that promotes teamwork, empowerment, accountability, and evidence-based problem-solving. The alignment between culture, structure, and decision-making allows the company to </w:t>
      </w:r>
      <w:r w:rsidRPr="681D4CEA" w:rsidR="01B5674B">
        <w:rPr>
          <w:rFonts w:ascii="Arial" w:hAnsi="Arial" w:eastAsia="Arial" w:cs="Arial"/>
          <w:noProof w:val="0"/>
          <w:color w:val="000000" w:themeColor="text1" w:themeTint="FF" w:themeShade="FF"/>
          <w:sz w:val="22"/>
          <w:szCs w:val="22"/>
          <w:lang w:val="en-GB"/>
        </w:rPr>
        <w:t>maintain</w:t>
      </w:r>
      <w:r w:rsidRPr="681D4CEA" w:rsidR="01B5674B">
        <w:rPr>
          <w:rFonts w:ascii="Arial" w:hAnsi="Arial" w:eastAsia="Arial" w:cs="Arial"/>
          <w:noProof w:val="0"/>
          <w:color w:val="000000" w:themeColor="text1" w:themeTint="FF" w:themeShade="FF"/>
          <w:sz w:val="22"/>
          <w:szCs w:val="22"/>
          <w:lang w:val="en-GB"/>
        </w:rPr>
        <w:t xml:space="preserve"> high performance, foster innovation, and respond effectively to the demands of a global and competitive automotive industry.</w:t>
      </w:r>
    </w:p>
    <w:p xmlns:wp14="http://schemas.microsoft.com/office/word/2010/wordml" w:rsidP="681D4CEA" wp14:paraId="7E8AEFFC" wp14:textId="1F112A33">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3. Models and Frameworks for Understanding Toyota’s Organisational Culture</w:t>
      </w:r>
    </w:p>
    <w:p xmlns:wp14="http://schemas.microsoft.com/office/word/2010/wordml" w:rsidP="681D4CEA" wp14:paraId="3DC70594" wp14:textId="60AAB14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noProof w:val="0"/>
          <w:color w:val="000000" w:themeColor="text1" w:themeTint="FF" w:themeShade="FF"/>
          <w:sz w:val="22"/>
          <w:szCs w:val="22"/>
          <w:lang w:val="en-GB"/>
        </w:rPr>
        <w:t xml:space="preserve">Several models can be used to </w:t>
      </w:r>
      <w:r w:rsidRPr="681D4CEA" w:rsidR="2DAEFB29">
        <w:rPr>
          <w:rFonts w:ascii="Arial" w:hAnsi="Arial" w:eastAsia="Arial" w:cs="Arial"/>
          <w:noProof w:val="0"/>
          <w:color w:val="000000" w:themeColor="text1" w:themeTint="FF" w:themeShade="FF"/>
          <w:sz w:val="22"/>
          <w:szCs w:val="22"/>
          <w:lang w:val="en-GB"/>
        </w:rPr>
        <w:t>identify</w:t>
      </w:r>
      <w:r w:rsidRPr="681D4CEA" w:rsidR="2DAEFB29">
        <w:rPr>
          <w:rFonts w:ascii="Arial" w:hAnsi="Arial" w:eastAsia="Arial" w:cs="Arial"/>
          <w:noProof w:val="0"/>
          <w:color w:val="000000" w:themeColor="text1" w:themeTint="FF" w:themeShade="FF"/>
          <w:sz w:val="22"/>
          <w:szCs w:val="22"/>
          <w:lang w:val="en-GB"/>
        </w:rPr>
        <w:t xml:space="preserve"> and analyse Toyota’s culture. These models </w:t>
      </w:r>
      <w:r w:rsidRPr="681D4CEA" w:rsidR="2DAEFB29">
        <w:rPr>
          <w:rFonts w:ascii="Arial" w:hAnsi="Arial" w:eastAsia="Arial" w:cs="Arial"/>
          <w:noProof w:val="0"/>
          <w:color w:val="000000" w:themeColor="text1" w:themeTint="FF" w:themeShade="FF"/>
          <w:sz w:val="22"/>
          <w:szCs w:val="22"/>
          <w:lang w:val="en-GB"/>
        </w:rPr>
        <w:t>provide</w:t>
      </w:r>
      <w:r w:rsidRPr="681D4CEA" w:rsidR="2DAEFB29">
        <w:rPr>
          <w:rFonts w:ascii="Arial" w:hAnsi="Arial" w:eastAsia="Arial" w:cs="Arial"/>
          <w:noProof w:val="0"/>
          <w:color w:val="000000" w:themeColor="text1" w:themeTint="FF" w:themeShade="FF"/>
          <w:sz w:val="22"/>
          <w:szCs w:val="22"/>
          <w:lang w:val="en-GB"/>
        </w:rPr>
        <w:t xml:space="preserve"> a structured way to understand the visible and invisible elements that drive behaviour, decision-making, and performance. Applying these models to Toyota </w:t>
      </w:r>
      <w:r w:rsidRPr="681D4CEA" w:rsidR="2DAEFB29">
        <w:rPr>
          <w:rFonts w:ascii="Arial" w:hAnsi="Arial" w:eastAsia="Arial" w:cs="Arial"/>
          <w:noProof w:val="0"/>
          <w:color w:val="000000" w:themeColor="text1" w:themeTint="FF" w:themeShade="FF"/>
          <w:sz w:val="22"/>
          <w:szCs w:val="22"/>
          <w:lang w:val="en-GB"/>
        </w:rPr>
        <w:t>demonstrates</w:t>
      </w:r>
      <w:r w:rsidRPr="681D4CEA" w:rsidR="2DAEFB29">
        <w:rPr>
          <w:rFonts w:ascii="Arial" w:hAnsi="Arial" w:eastAsia="Arial" w:cs="Arial"/>
          <w:noProof w:val="0"/>
          <w:color w:val="000000" w:themeColor="text1" w:themeTint="FF" w:themeShade="FF"/>
          <w:sz w:val="22"/>
          <w:szCs w:val="22"/>
          <w:lang w:val="en-GB"/>
        </w:rPr>
        <w:t xml:space="preserve"> how its culture underpins success and shapes organisational practices.</w:t>
      </w:r>
    </w:p>
    <w:p xmlns:wp14="http://schemas.microsoft.com/office/word/2010/wordml" w:rsidP="681D4CEA" wp14:paraId="325B4B40" wp14:textId="46EAE6F1">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3.1 Schein’s Model of Organisational Culture</w:t>
      </w:r>
    </w:p>
    <w:p xmlns:wp14="http://schemas.microsoft.com/office/word/2010/wordml" w:rsidP="681D4CEA" wp14:paraId="727EE5AE" wp14:textId="5D272C00">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noProof w:val="0"/>
          <w:color w:val="000000" w:themeColor="text1" w:themeTint="FF" w:themeShade="FF"/>
          <w:sz w:val="22"/>
          <w:szCs w:val="22"/>
          <w:lang w:val="en-GB"/>
        </w:rPr>
        <w:t xml:space="preserve">Schein (2010) </w:t>
      </w:r>
      <w:r w:rsidRPr="681D4CEA" w:rsidR="2DAEFB29">
        <w:rPr>
          <w:rFonts w:ascii="Arial" w:hAnsi="Arial" w:eastAsia="Arial" w:cs="Arial"/>
          <w:noProof w:val="0"/>
          <w:color w:val="000000" w:themeColor="text1" w:themeTint="FF" w:themeShade="FF"/>
          <w:sz w:val="22"/>
          <w:szCs w:val="22"/>
          <w:lang w:val="en-GB"/>
        </w:rPr>
        <w:t>identifies</w:t>
      </w:r>
      <w:r w:rsidRPr="681D4CEA" w:rsidR="2DAEFB29">
        <w:rPr>
          <w:rFonts w:ascii="Arial" w:hAnsi="Arial" w:eastAsia="Arial" w:cs="Arial"/>
          <w:noProof w:val="0"/>
          <w:color w:val="000000" w:themeColor="text1" w:themeTint="FF" w:themeShade="FF"/>
          <w:sz w:val="22"/>
          <w:szCs w:val="22"/>
          <w:lang w:val="en-GB"/>
        </w:rPr>
        <w:t xml:space="preserve"> three levels of organisational culture: artefacts, espoused values, and underlying assumptions.</w:t>
      </w:r>
    </w:p>
    <w:p xmlns:wp14="http://schemas.microsoft.com/office/word/2010/wordml" w:rsidP="681D4CEA" wp14:paraId="0D3E7A99" wp14:textId="4BA5934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Artefacts</w:t>
      </w:r>
      <w:r w:rsidRPr="681D4CEA" w:rsidR="2DAEFB29">
        <w:rPr>
          <w:rFonts w:ascii="Arial" w:hAnsi="Arial" w:eastAsia="Arial" w:cs="Arial"/>
          <w:noProof w:val="0"/>
          <w:color w:val="000000" w:themeColor="text1" w:themeTint="FF" w:themeShade="FF"/>
          <w:sz w:val="22"/>
          <w:szCs w:val="22"/>
          <w:lang w:val="en-GB"/>
        </w:rPr>
        <w:t xml:space="preserve"> are the visible elements of culture, such as organisational structures, policies, physical layout, and observable behaviours. At Toyota, artefacts include standardised work practices, Kaizen boards, assembly line routines, team-based problem-solving sessions, and the visible emphasis on continuous improvement (Liker, 2004). Daily activities, such as regular team meetings to discuss process improvements or quality checks, reflect the practical application of culture. Visual cues, like charts tracking production metrics, and open communication spaces reinforce transparency and collaboration.</w:t>
      </w:r>
    </w:p>
    <w:p xmlns:wp14="http://schemas.microsoft.com/office/word/2010/wordml" w:rsidP="681D4CEA" wp14:paraId="616F7BB2" wp14:textId="0C86EADC">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Espoused values</w:t>
      </w:r>
      <w:r w:rsidRPr="681D4CEA" w:rsidR="2DAEFB29">
        <w:rPr>
          <w:rFonts w:ascii="Arial" w:hAnsi="Arial" w:eastAsia="Arial" w:cs="Arial"/>
          <w:noProof w:val="0"/>
          <w:color w:val="000000" w:themeColor="text1" w:themeTint="FF" w:themeShade="FF"/>
          <w:sz w:val="22"/>
          <w:szCs w:val="22"/>
          <w:lang w:val="en-GB"/>
        </w:rPr>
        <w:t xml:space="preserve"> are the explicitly </w:t>
      </w:r>
      <w:r w:rsidRPr="681D4CEA" w:rsidR="2DAEFB29">
        <w:rPr>
          <w:rFonts w:ascii="Arial" w:hAnsi="Arial" w:eastAsia="Arial" w:cs="Arial"/>
          <w:noProof w:val="0"/>
          <w:color w:val="000000" w:themeColor="text1" w:themeTint="FF" w:themeShade="FF"/>
          <w:sz w:val="22"/>
          <w:szCs w:val="22"/>
          <w:lang w:val="en-GB"/>
        </w:rPr>
        <w:t>stated</w:t>
      </w:r>
      <w:r w:rsidRPr="681D4CEA" w:rsidR="2DAEFB29">
        <w:rPr>
          <w:rFonts w:ascii="Arial" w:hAnsi="Arial" w:eastAsia="Arial" w:cs="Arial"/>
          <w:noProof w:val="0"/>
          <w:color w:val="000000" w:themeColor="text1" w:themeTint="FF" w:themeShade="FF"/>
          <w:sz w:val="22"/>
          <w:szCs w:val="22"/>
          <w:lang w:val="en-GB"/>
        </w:rPr>
        <w:t xml:space="preserve"> principles that guide behaviour. Toyota communicates its values through training, company handbooks, corporate statements, and leadership practices. These include continuous improvement (Kaizen), respect for people, quality, teamwork, and customer focus (Adler, 2013). Leaders actively model these values by engaging in problem-solving alongside employees, supporting open feedback, and rewarding contributions to improvements. Toyota’s leadership philosophy reflects these values, emphasising long-term goals and sustainability rather than short-term profits.</w:t>
      </w:r>
    </w:p>
    <w:p xmlns:wp14="http://schemas.microsoft.com/office/word/2010/wordml" w:rsidP="681D4CEA" wp14:paraId="716A885D" wp14:textId="74F7927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Underlying assumptions</w:t>
      </w:r>
      <w:r w:rsidRPr="681D4CEA" w:rsidR="2DAEFB29">
        <w:rPr>
          <w:rFonts w:ascii="Arial" w:hAnsi="Arial" w:eastAsia="Arial" w:cs="Arial"/>
          <w:noProof w:val="0"/>
          <w:color w:val="000000" w:themeColor="text1" w:themeTint="FF" w:themeShade="FF"/>
          <w:sz w:val="22"/>
          <w:szCs w:val="22"/>
          <w:lang w:val="en-GB"/>
        </w:rPr>
        <w:t xml:space="preserve"> are the deeply held beliefs that are often taken for granted. At Toyota, these assumptions include a belief in long-term thinking, the importance of employee responsibility, and the notion that everyone can contribute to innovation and problem-solving (Nonaka and Takeuchi, 1995). Employees are expected to act in alignment with these beliefs without constant supervision. For example, the </w:t>
      </w:r>
      <w:r w:rsidRPr="681D4CEA" w:rsidR="2DAEFB29">
        <w:rPr>
          <w:rFonts w:ascii="Arial" w:hAnsi="Arial" w:eastAsia="Arial" w:cs="Arial"/>
          <w:i w:val="1"/>
          <w:iCs w:val="1"/>
          <w:noProof w:val="0"/>
          <w:color w:val="000000" w:themeColor="text1" w:themeTint="FF" w:themeShade="FF"/>
          <w:sz w:val="22"/>
          <w:szCs w:val="22"/>
          <w:lang w:val="en-GB"/>
        </w:rPr>
        <w:t>jidoka</w:t>
      </w:r>
      <w:r w:rsidRPr="681D4CEA" w:rsidR="2DAEFB29">
        <w:rPr>
          <w:rFonts w:ascii="Arial" w:hAnsi="Arial" w:eastAsia="Arial" w:cs="Arial"/>
          <w:noProof w:val="0"/>
          <w:color w:val="000000" w:themeColor="text1" w:themeTint="FF" w:themeShade="FF"/>
          <w:sz w:val="22"/>
          <w:szCs w:val="22"/>
          <w:lang w:val="en-GB"/>
        </w:rPr>
        <w:t xml:space="preserve"> principle allows any employee to stop production if a defect is found, reflecting trust and responsibility embedded in the culture. Applying Schein’s model illustrates that Toyota’s artefacts, espoused values, and underlying assumptions are closely aligned, resulting in a strong and cohesive culture that reinforces quality, efficiency, and continuous improvement.</w:t>
      </w:r>
    </w:p>
    <w:p xmlns:wp14="http://schemas.microsoft.com/office/word/2010/wordml" w:rsidP="681D4CEA" wp14:paraId="0C0B7784" wp14:textId="14F8188B">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3.2 Hofstede’s Cultural Dimensions</w:t>
      </w:r>
    </w:p>
    <w:p xmlns:wp14="http://schemas.microsoft.com/office/word/2010/wordml" w:rsidP="681D4CEA" wp14:paraId="281A54C4" wp14:textId="423EF57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noProof w:val="0"/>
          <w:color w:val="000000" w:themeColor="text1" w:themeTint="FF" w:themeShade="FF"/>
          <w:sz w:val="22"/>
          <w:szCs w:val="22"/>
          <w:lang w:val="en-GB"/>
        </w:rPr>
        <w:t>Hofstede’s (2010) model offers insight into how national and organisational cultures interact to shape behaviour:</w:t>
      </w:r>
    </w:p>
    <w:p xmlns:wp14="http://schemas.microsoft.com/office/word/2010/wordml" w:rsidP="681D4CEA" wp14:paraId="61BC64E7" wp14:textId="059AC6B9">
      <w:pPr>
        <w:pStyle w:val="ListParagraph"/>
        <w:numPr>
          <w:ilvl w:val="0"/>
          <w:numId w:val="15"/>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Power Distance:</w:t>
      </w:r>
      <w:r w:rsidRPr="681D4CEA" w:rsidR="2DAEFB29">
        <w:rPr>
          <w:rFonts w:ascii="Arial" w:hAnsi="Arial" w:eastAsia="Arial" w:cs="Arial"/>
          <w:noProof w:val="0"/>
          <w:color w:val="000000" w:themeColor="text1" w:themeTint="FF" w:themeShade="FF"/>
          <w:sz w:val="22"/>
          <w:szCs w:val="22"/>
          <w:lang w:val="en-GB"/>
        </w:rPr>
        <w:t xml:space="preserve"> Toyota has a moderate power distance. While a hierarchical structure exists, employees are empowered to make operational decisions and contribute to problem-solving (Liker, 2004). Respectful communication across levels ensures that ideas from lower-tier employees are considered, which supports empowerment and accountability.</w:t>
      </w:r>
    </w:p>
    <w:p xmlns:wp14="http://schemas.microsoft.com/office/word/2010/wordml" w:rsidP="681D4CEA" wp14:paraId="36859D7E" wp14:textId="6FE6CB29">
      <w:pPr>
        <w:pStyle w:val="ListParagraph"/>
        <w:numPr>
          <w:ilvl w:val="0"/>
          <w:numId w:val="15"/>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Individualism vs. Collectivism:</w:t>
      </w:r>
      <w:r w:rsidRPr="681D4CEA" w:rsidR="2DAEFB29">
        <w:rPr>
          <w:rFonts w:ascii="Arial" w:hAnsi="Arial" w:eastAsia="Arial" w:cs="Arial"/>
          <w:noProof w:val="0"/>
          <w:color w:val="000000" w:themeColor="text1" w:themeTint="FF" w:themeShade="FF"/>
          <w:sz w:val="22"/>
          <w:szCs w:val="22"/>
          <w:lang w:val="en-GB"/>
        </w:rPr>
        <w:t xml:space="preserve"> Toyota’s culture leans towards collectivism. Teamwork and group responsibility are emphasised, which aligns with Japanese cultural norms. Employees are encouraged to consider group outcomes over individual recognition, promoting cooperation and shared accountability (Hofstede et al., 2010).</w:t>
      </w:r>
    </w:p>
    <w:p xmlns:wp14="http://schemas.microsoft.com/office/word/2010/wordml" w:rsidP="681D4CEA" wp14:paraId="78BA0721" wp14:textId="588EB351">
      <w:pPr>
        <w:pStyle w:val="ListParagraph"/>
        <w:numPr>
          <w:ilvl w:val="0"/>
          <w:numId w:val="15"/>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Uncertainty Avoidance:</w:t>
      </w:r>
      <w:r w:rsidRPr="681D4CEA" w:rsidR="2DAEFB29">
        <w:rPr>
          <w:rFonts w:ascii="Arial" w:hAnsi="Arial" w:eastAsia="Arial" w:cs="Arial"/>
          <w:noProof w:val="0"/>
          <w:color w:val="000000" w:themeColor="text1" w:themeTint="FF" w:themeShade="FF"/>
          <w:sz w:val="22"/>
          <w:szCs w:val="22"/>
          <w:lang w:val="en-GB"/>
        </w:rPr>
        <w:t xml:space="preserve"> High uncertainty avoidance at Toyota is reflected in meticulous planning, rigorous quality control, and standardised procedures. This reduces the likelihood of errors, ensures compliance with safety and quality standards, and fosters a culture of reliability (Rother, 2010).</w:t>
      </w:r>
    </w:p>
    <w:p xmlns:wp14="http://schemas.microsoft.com/office/word/2010/wordml" w:rsidP="681D4CEA" wp14:paraId="536BEF73" wp14:textId="0D42A3E7">
      <w:pPr>
        <w:pStyle w:val="ListParagraph"/>
        <w:numPr>
          <w:ilvl w:val="0"/>
          <w:numId w:val="15"/>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Long-Term Orientation:</w:t>
      </w:r>
      <w:r w:rsidRPr="681D4CEA" w:rsidR="2DAEFB29">
        <w:rPr>
          <w:rFonts w:ascii="Arial" w:hAnsi="Arial" w:eastAsia="Arial" w:cs="Arial"/>
          <w:noProof w:val="0"/>
          <w:color w:val="000000" w:themeColor="text1" w:themeTint="FF" w:themeShade="FF"/>
          <w:sz w:val="22"/>
          <w:szCs w:val="22"/>
          <w:lang w:val="en-GB"/>
        </w:rPr>
        <w:t xml:space="preserve"> Toyota’s strong long-term orientation drives continuous improvement, sustainability initiatives, and strategic investment in research and innovation. Decisions are made with the future in mind, including environmental sustainability, employee development, and technological advancements (Adler, 2013).</w:t>
      </w:r>
    </w:p>
    <w:p xmlns:wp14="http://schemas.microsoft.com/office/word/2010/wordml" w:rsidP="681D4CEA" wp14:paraId="40E1A057" wp14:textId="573C861C">
      <w:pPr>
        <w:pStyle w:val="ListParagraph"/>
        <w:numPr>
          <w:ilvl w:val="0"/>
          <w:numId w:val="15"/>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Masculinity vs. Femininity:</w:t>
      </w:r>
      <w:r w:rsidRPr="681D4CEA" w:rsidR="2DAEFB29">
        <w:rPr>
          <w:rFonts w:ascii="Arial" w:hAnsi="Arial" w:eastAsia="Arial" w:cs="Arial"/>
          <w:noProof w:val="0"/>
          <w:color w:val="000000" w:themeColor="text1" w:themeTint="FF" w:themeShade="FF"/>
          <w:sz w:val="22"/>
          <w:szCs w:val="22"/>
          <w:lang w:val="en-GB"/>
        </w:rPr>
        <w:t xml:space="preserve"> Toyota’s culture blends competitiveness with collaboration, reflecting both masculine and feminine traits. There is a focus on performance, efficiency, and market leadership, while respect, empathy, and employee wellbeing are equally emphasised.</w:t>
      </w:r>
    </w:p>
    <w:p xmlns:wp14="http://schemas.microsoft.com/office/word/2010/wordml" w:rsidP="681D4CEA" wp14:paraId="31EBF7D6" wp14:textId="55B7D00C">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noProof w:val="0"/>
          <w:color w:val="000000" w:themeColor="text1" w:themeTint="FF" w:themeShade="FF"/>
          <w:sz w:val="22"/>
          <w:szCs w:val="22"/>
          <w:lang w:val="en-GB"/>
        </w:rPr>
        <w:t xml:space="preserve">Hofstede’s dimensions explain why Toyota can balance hierarchical control with employee empowerment, </w:t>
      </w:r>
      <w:r w:rsidRPr="681D4CEA" w:rsidR="2DAEFB29">
        <w:rPr>
          <w:rFonts w:ascii="Arial" w:hAnsi="Arial" w:eastAsia="Arial" w:cs="Arial"/>
          <w:noProof w:val="0"/>
          <w:color w:val="000000" w:themeColor="text1" w:themeTint="FF" w:themeShade="FF"/>
          <w:sz w:val="22"/>
          <w:szCs w:val="22"/>
          <w:lang w:val="en-GB"/>
        </w:rPr>
        <w:t>maintain</w:t>
      </w:r>
      <w:r w:rsidRPr="681D4CEA" w:rsidR="2DAEFB29">
        <w:rPr>
          <w:rFonts w:ascii="Arial" w:hAnsi="Arial" w:eastAsia="Arial" w:cs="Arial"/>
          <w:noProof w:val="0"/>
          <w:color w:val="000000" w:themeColor="text1" w:themeTint="FF" w:themeShade="FF"/>
          <w:sz w:val="22"/>
          <w:szCs w:val="22"/>
          <w:lang w:val="en-GB"/>
        </w:rPr>
        <w:t xml:space="preserve"> </w:t>
      </w:r>
      <w:r w:rsidRPr="681D4CEA" w:rsidR="2DAEFB29">
        <w:rPr>
          <w:rFonts w:ascii="Arial" w:hAnsi="Arial" w:eastAsia="Arial" w:cs="Arial"/>
          <w:noProof w:val="0"/>
          <w:color w:val="000000" w:themeColor="text1" w:themeTint="FF" w:themeShade="FF"/>
          <w:sz w:val="22"/>
          <w:szCs w:val="22"/>
          <w:lang w:val="en-GB"/>
        </w:rPr>
        <w:t>high standards</w:t>
      </w:r>
      <w:r w:rsidRPr="681D4CEA" w:rsidR="2DAEFB29">
        <w:rPr>
          <w:rFonts w:ascii="Arial" w:hAnsi="Arial" w:eastAsia="Arial" w:cs="Arial"/>
          <w:noProof w:val="0"/>
          <w:color w:val="000000" w:themeColor="text1" w:themeTint="FF" w:themeShade="FF"/>
          <w:sz w:val="22"/>
          <w:szCs w:val="22"/>
          <w:lang w:val="en-GB"/>
        </w:rPr>
        <w:t>, and implement long-term strategies while respecting teamwork and collaborative decision-making.</w:t>
      </w:r>
    </w:p>
    <w:p xmlns:wp14="http://schemas.microsoft.com/office/word/2010/wordml" w:rsidP="681D4CEA" wp14:paraId="06DB8EE7" wp14:textId="0906D164">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3.3 Handy’s Cultural Types</w:t>
      </w:r>
    </w:p>
    <w:p xmlns:wp14="http://schemas.microsoft.com/office/word/2010/wordml" w:rsidP="681D4CEA" wp14:paraId="4D46FD5A" wp14:textId="5BFD6E1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noProof w:val="0"/>
          <w:color w:val="000000" w:themeColor="text1" w:themeTint="FF" w:themeShade="FF"/>
          <w:sz w:val="22"/>
          <w:szCs w:val="22"/>
          <w:lang w:val="en-GB"/>
        </w:rPr>
        <w:t xml:space="preserve">Handy (1993) </w:t>
      </w:r>
      <w:r w:rsidRPr="681D4CEA" w:rsidR="2DAEFB29">
        <w:rPr>
          <w:rFonts w:ascii="Arial" w:hAnsi="Arial" w:eastAsia="Arial" w:cs="Arial"/>
          <w:noProof w:val="0"/>
          <w:color w:val="000000" w:themeColor="text1" w:themeTint="FF" w:themeShade="FF"/>
          <w:sz w:val="22"/>
          <w:szCs w:val="22"/>
          <w:lang w:val="en-GB"/>
        </w:rPr>
        <w:t>identifies</w:t>
      </w:r>
      <w:r w:rsidRPr="681D4CEA" w:rsidR="2DAEFB29">
        <w:rPr>
          <w:rFonts w:ascii="Arial" w:hAnsi="Arial" w:eastAsia="Arial" w:cs="Arial"/>
          <w:noProof w:val="0"/>
          <w:color w:val="000000" w:themeColor="text1" w:themeTint="FF" w:themeShade="FF"/>
          <w:sz w:val="22"/>
          <w:szCs w:val="22"/>
          <w:lang w:val="en-GB"/>
        </w:rPr>
        <w:t xml:space="preserve"> four types of organisational culture: power, role, task, and person. Toyota’s culture primarily aligns with </w:t>
      </w:r>
      <w:r w:rsidRPr="681D4CEA" w:rsidR="2DAEFB29">
        <w:rPr>
          <w:rFonts w:ascii="Arial" w:hAnsi="Arial" w:eastAsia="Arial" w:cs="Arial"/>
          <w:b w:val="1"/>
          <w:bCs w:val="1"/>
          <w:noProof w:val="0"/>
          <w:color w:val="000000" w:themeColor="text1" w:themeTint="FF" w:themeShade="FF"/>
          <w:sz w:val="22"/>
          <w:szCs w:val="22"/>
          <w:lang w:val="en-GB"/>
        </w:rPr>
        <w:t>task culture</w:t>
      </w:r>
      <w:r w:rsidRPr="681D4CEA" w:rsidR="2DAEFB29">
        <w:rPr>
          <w:rFonts w:ascii="Arial" w:hAnsi="Arial" w:eastAsia="Arial" w:cs="Arial"/>
          <w:noProof w:val="0"/>
          <w:color w:val="000000" w:themeColor="text1" w:themeTint="FF" w:themeShade="FF"/>
          <w:sz w:val="22"/>
          <w:szCs w:val="22"/>
          <w:lang w:val="en-GB"/>
        </w:rPr>
        <w:t xml:space="preserve">, which focuses on teams solving problems and achieving </w:t>
      </w:r>
      <w:r w:rsidRPr="681D4CEA" w:rsidR="2DAEFB29">
        <w:rPr>
          <w:rFonts w:ascii="Arial" w:hAnsi="Arial" w:eastAsia="Arial" w:cs="Arial"/>
          <w:noProof w:val="0"/>
          <w:color w:val="000000" w:themeColor="text1" w:themeTint="FF" w:themeShade="FF"/>
          <w:sz w:val="22"/>
          <w:szCs w:val="22"/>
          <w:lang w:val="en-GB"/>
        </w:rPr>
        <w:t>objectives</w:t>
      </w:r>
      <w:r w:rsidRPr="681D4CEA" w:rsidR="2DAEFB29">
        <w:rPr>
          <w:rFonts w:ascii="Arial" w:hAnsi="Arial" w:eastAsia="Arial" w:cs="Arial"/>
          <w:noProof w:val="0"/>
          <w:color w:val="000000" w:themeColor="text1" w:themeTint="FF" w:themeShade="FF"/>
          <w:sz w:val="22"/>
          <w:szCs w:val="22"/>
          <w:lang w:val="en-GB"/>
        </w:rPr>
        <w:t xml:space="preserve"> collaboratively. Cross-functional teams and Kaizen circles exemplify task culture, where collective </w:t>
      </w:r>
      <w:r w:rsidRPr="681D4CEA" w:rsidR="2DAEFB29">
        <w:rPr>
          <w:rFonts w:ascii="Arial" w:hAnsi="Arial" w:eastAsia="Arial" w:cs="Arial"/>
          <w:noProof w:val="0"/>
          <w:color w:val="000000" w:themeColor="text1" w:themeTint="FF" w:themeShade="FF"/>
          <w:sz w:val="22"/>
          <w:szCs w:val="22"/>
          <w:lang w:val="en-GB"/>
        </w:rPr>
        <w:t>expertise</w:t>
      </w:r>
      <w:r w:rsidRPr="681D4CEA" w:rsidR="2DAEFB29">
        <w:rPr>
          <w:rFonts w:ascii="Arial" w:hAnsi="Arial" w:eastAsia="Arial" w:cs="Arial"/>
          <w:noProof w:val="0"/>
          <w:color w:val="000000" w:themeColor="text1" w:themeTint="FF" w:themeShade="FF"/>
          <w:sz w:val="22"/>
          <w:szCs w:val="22"/>
          <w:lang w:val="en-GB"/>
        </w:rPr>
        <w:t xml:space="preserve"> is used to address operational challenges.</w:t>
      </w:r>
    </w:p>
    <w:p xmlns:wp14="http://schemas.microsoft.com/office/word/2010/wordml" w:rsidP="681D4CEA" wp14:paraId="309E2F98" wp14:textId="61955740">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noProof w:val="0"/>
          <w:color w:val="000000" w:themeColor="text1" w:themeTint="FF" w:themeShade="FF"/>
          <w:sz w:val="22"/>
          <w:szCs w:val="22"/>
          <w:lang w:val="en-GB"/>
        </w:rPr>
        <w:t xml:space="preserve">Toyota also </w:t>
      </w:r>
      <w:r w:rsidRPr="681D4CEA" w:rsidR="2DAEFB29">
        <w:rPr>
          <w:rFonts w:ascii="Arial" w:hAnsi="Arial" w:eastAsia="Arial" w:cs="Arial"/>
          <w:noProof w:val="0"/>
          <w:color w:val="000000" w:themeColor="text1" w:themeTint="FF" w:themeShade="FF"/>
          <w:sz w:val="22"/>
          <w:szCs w:val="22"/>
          <w:lang w:val="en-GB"/>
        </w:rPr>
        <w:t>exhibits</w:t>
      </w:r>
      <w:r w:rsidRPr="681D4CEA" w:rsidR="2DAEFB29">
        <w:rPr>
          <w:rFonts w:ascii="Arial" w:hAnsi="Arial" w:eastAsia="Arial" w:cs="Arial"/>
          <w:noProof w:val="0"/>
          <w:color w:val="000000" w:themeColor="text1" w:themeTint="FF" w:themeShade="FF"/>
          <w:sz w:val="22"/>
          <w:szCs w:val="22"/>
          <w:lang w:val="en-GB"/>
        </w:rPr>
        <w:t xml:space="preserve"> elements of </w:t>
      </w:r>
      <w:r w:rsidRPr="681D4CEA" w:rsidR="2DAEFB29">
        <w:rPr>
          <w:rFonts w:ascii="Arial" w:hAnsi="Arial" w:eastAsia="Arial" w:cs="Arial"/>
          <w:b w:val="1"/>
          <w:bCs w:val="1"/>
          <w:noProof w:val="0"/>
          <w:color w:val="000000" w:themeColor="text1" w:themeTint="FF" w:themeShade="FF"/>
          <w:sz w:val="22"/>
          <w:szCs w:val="22"/>
          <w:lang w:val="en-GB"/>
        </w:rPr>
        <w:t>role culture</w:t>
      </w:r>
      <w:r w:rsidRPr="681D4CEA" w:rsidR="2DAEFB29">
        <w:rPr>
          <w:rFonts w:ascii="Arial" w:hAnsi="Arial" w:eastAsia="Arial" w:cs="Arial"/>
          <w:noProof w:val="0"/>
          <w:color w:val="000000" w:themeColor="text1" w:themeTint="FF" w:themeShade="FF"/>
          <w:sz w:val="22"/>
          <w:szCs w:val="22"/>
          <w:lang w:val="en-GB"/>
        </w:rPr>
        <w:t xml:space="preserve">, where clear responsibilities, defined procedures, and standardised processes </w:t>
      </w:r>
      <w:r w:rsidRPr="681D4CEA" w:rsidR="2DAEFB29">
        <w:rPr>
          <w:rFonts w:ascii="Arial" w:hAnsi="Arial" w:eastAsia="Arial" w:cs="Arial"/>
          <w:noProof w:val="0"/>
          <w:color w:val="000000" w:themeColor="text1" w:themeTint="FF" w:themeShade="FF"/>
          <w:sz w:val="22"/>
          <w:szCs w:val="22"/>
          <w:lang w:val="en-GB"/>
        </w:rPr>
        <w:t>maintain</w:t>
      </w:r>
      <w:r w:rsidRPr="681D4CEA" w:rsidR="2DAEFB29">
        <w:rPr>
          <w:rFonts w:ascii="Arial" w:hAnsi="Arial" w:eastAsia="Arial" w:cs="Arial"/>
          <w:noProof w:val="0"/>
          <w:color w:val="000000" w:themeColor="text1" w:themeTint="FF" w:themeShade="FF"/>
          <w:sz w:val="22"/>
          <w:szCs w:val="22"/>
          <w:lang w:val="en-GB"/>
        </w:rPr>
        <w:t xml:space="preserve"> quality and safety (Imai, 2012). For instance, assembly line tasks are structured, but employees are empowered to innovate within their roles, blending flexibility with discipline. There are minor elements of </w:t>
      </w:r>
      <w:r w:rsidRPr="681D4CEA" w:rsidR="2DAEFB29">
        <w:rPr>
          <w:rFonts w:ascii="Arial" w:hAnsi="Arial" w:eastAsia="Arial" w:cs="Arial"/>
          <w:b w:val="1"/>
          <w:bCs w:val="1"/>
          <w:noProof w:val="0"/>
          <w:color w:val="000000" w:themeColor="text1" w:themeTint="FF" w:themeShade="FF"/>
          <w:sz w:val="22"/>
          <w:szCs w:val="22"/>
          <w:lang w:val="en-GB"/>
        </w:rPr>
        <w:t>power culture</w:t>
      </w:r>
      <w:r w:rsidRPr="681D4CEA" w:rsidR="2DAEFB29">
        <w:rPr>
          <w:rFonts w:ascii="Arial" w:hAnsi="Arial" w:eastAsia="Arial" w:cs="Arial"/>
          <w:noProof w:val="0"/>
          <w:color w:val="000000" w:themeColor="text1" w:themeTint="FF" w:themeShade="FF"/>
          <w:sz w:val="22"/>
          <w:szCs w:val="22"/>
          <w:lang w:val="en-GB"/>
        </w:rPr>
        <w:t xml:space="preserve"> at executive levels, where key strategic decisions are influenced by senior management, but this is moderated by participative decision-making practices like </w:t>
      </w:r>
      <w:r w:rsidRPr="681D4CEA" w:rsidR="2DAEFB29">
        <w:rPr>
          <w:rFonts w:ascii="Arial" w:hAnsi="Arial" w:eastAsia="Arial" w:cs="Arial"/>
          <w:i w:val="1"/>
          <w:iCs w:val="1"/>
          <w:noProof w:val="0"/>
          <w:color w:val="000000" w:themeColor="text1" w:themeTint="FF" w:themeShade="FF"/>
          <w:sz w:val="22"/>
          <w:szCs w:val="22"/>
          <w:lang w:val="en-GB"/>
        </w:rPr>
        <w:t>Nemawashi</w:t>
      </w:r>
      <w:r w:rsidRPr="681D4CEA" w:rsidR="2DAEFB29">
        <w:rPr>
          <w:rFonts w:ascii="Arial" w:hAnsi="Arial" w:eastAsia="Arial" w:cs="Arial"/>
          <w:noProof w:val="0"/>
          <w:color w:val="000000" w:themeColor="text1" w:themeTint="FF" w:themeShade="FF"/>
          <w:sz w:val="22"/>
          <w:szCs w:val="22"/>
          <w:lang w:val="en-GB"/>
        </w:rPr>
        <w:t>.</w:t>
      </w:r>
    </w:p>
    <w:p xmlns:wp14="http://schemas.microsoft.com/office/word/2010/wordml" w:rsidP="681D4CEA" wp14:paraId="28E8402C" wp14:textId="4D0BB830">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4. Organisational Culture and External Environment Adaptation</w:t>
      </w:r>
    </w:p>
    <w:p xmlns:wp14="http://schemas.microsoft.com/office/word/2010/wordml" w:rsidP="681D4CEA" wp14:paraId="2EC2DFBB" wp14:textId="2FB8973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noProof w:val="0"/>
          <w:color w:val="000000" w:themeColor="text1" w:themeTint="FF" w:themeShade="FF"/>
          <w:sz w:val="22"/>
          <w:szCs w:val="22"/>
          <w:lang w:val="en-GB"/>
        </w:rPr>
        <w:t>Toyota’s culture allows it to adapt effectively to external challenges, including global market demands, technological advancements, and sustainability requirements.</w:t>
      </w:r>
    </w:p>
    <w:p xmlns:wp14="http://schemas.microsoft.com/office/word/2010/wordml" w:rsidP="681D4CEA" wp14:paraId="1DC02F9C" wp14:textId="0E50542B">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Globalisation:</w:t>
      </w:r>
      <w:r w:rsidRPr="681D4CEA" w:rsidR="2DAEFB29">
        <w:rPr>
          <w:rFonts w:ascii="Arial" w:hAnsi="Arial" w:eastAsia="Arial" w:cs="Arial"/>
          <w:noProof w:val="0"/>
          <w:color w:val="000000" w:themeColor="text1" w:themeTint="FF" w:themeShade="FF"/>
          <w:sz w:val="22"/>
          <w:szCs w:val="22"/>
          <w:lang w:val="en-GB"/>
        </w:rPr>
        <w:t xml:space="preserve"> Toyota </w:t>
      </w:r>
      <w:r w:rsidRPr="681D4CEA" w:rsidR="2DAEFB29">
        <w:rPr>
          <w:rFonts w:ascii="Arial" w:hAnsi="Arial" w:eastAsia="Arial" w:cs="Arial"/>
          <w:noProof w:val="0"/>
          <w:color w:val="000000" w:themeColor="text1" w:themeTint="FF" w:themeShade="FF"/>
          <w:sz w:val="22"/>
          <w:szCs w:val="22"/>
          <w:lang w:val="en-GB"/>
        </w:rPr>
        <w:t>operates</w:t>
      </w:r>
      <w:r w:rsidRPr="681D4CEA" w:rsidR="2DAEFB29">
        <w:rPr>
          <w:rFonts w:ascii="Arial" w:hAnsi="Arial" w:eastAsia="Arial" w:cs="Arial"/>
          <w:noProof w:val="0"/>
          <w:color w:val="000000" w:themeColor="text1" w:themeTint="FF" w:themeShade="FF"/>
          <w:sz w:val="22"/>
          <w:szCs w:val="22"/>
          <w:lang w:val="en-GB"/>
        </w:rPr>
        <w:t xml:space="preserve"> in multiple countries with diverse national cultures. Its organisational culture supports cross-cultural collaboration, enabling subsidiaries to adopt core values while adapting to local contexts. For example, Toyota’s plants in North America and Europe implement local labour practices but </w:t>
      </w:r>
      <w:r w:rsidRPr="681D4CEA" w:rsidR="2DAEFB29">
        <w:rPr>
          <w:rFonts w:ascii="Arial" w:hAnsi="Arial" w:eastAsia="Arial" w:cs="Arial"/>
          <w:noProof w:val="0"/>
          <w:color w:val="000000" w:themeColor="text1" w:themeTint="FF" w:themeShade="FF"/>
          <w:sz w:val="22"/>
          <w:szCs w:val="22"/>
          <w:lang w:val="en-GB"/>
        </w:rPr>
        <w:t>retain</w:t>
      </w:r>
      <w:r w:rsidRPr="681D4CEA" w:rsidR="2DAEFB29">
        <w:rPr>
          <w:rFonts w:ascii="Arial" w:hAnsi="Arial" w:eastAsia="Arial" w:cs="Arial"/>
          <w:noProof w:val="0"/>
          <w:color w:val="000000" w:themeColor="text1" w:themeTint="FF" w:themeShade="FF"/>
          <w:sz w:val="22"/>
          <w:szCs w:val="22"/>
          <w:lang w:val="en-GB"/>
        </w:rPr>
        <w:t xml:space="preserve"> the Toyota Way principles of Kaizen and respect for people (Liker, 2004; Adler, 2013). This alignment between global and local culture ensures consistent quality, operational efficiency, and employee engagement across regions.</w:t>
      </w:r>
    </w:p>
    <w:p xmlns:wp14="http://schemas.microsoft.com/office/word/2010/wordml" w:rsidP="681D4CEA" wp14:paraId="0CCAA3B3" wp14:textId="411D715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2DAEFB29">
        <w:rPr>
          <w:rFonts w:ascii="Arial" w:hAnsi="Arial" w:eastAsia="Arial" w:cs="Arial"/>
          <w:b w:val="1"/>
          <w:bCs w:val="1"/>
          <w:noProof w:val="0"/>
          <w:color w:val="000000" w:themeColor="text1" w:themeTint="FF" w:themeShade="FF"/>
          <w:sz w:val="22"/>
          <w:szCs w:val="22"/>
          <w:lang w:val="en-GB"/>
        </w:rPr>
        <w:t>Innovation:</w:t>
      </w:r>
      <w:r w:rsidRPr="681D4CEA" w:rsidR="2DAEFB29">
        <w:rPr>
          <w:rFonts w:ascii="Arial" w:hAnsi="Arial" w:eastAsia="Arial" w:cs="Arial"/>
          <w:noProof w:val="0"/>
          <w:color w:val="000000" w:themeColor="text1" w:themeTint="FF" w:themeShade="FF"/>
          <w:sz w:val="22"/>
          <w:szCs w:val="22"/>
          <w:lang w:val="en-GB"/>
        </w:rPr>
        <w:t xml:space="preserve"> The culture of continuous improvement encourages innovation in both processes and products. Toyota pioneered hybrid technology with the Prius, reflecting a commitment to environmental sustainability and market leadership (Ohno, 1988). Employees are encouraged to propose incremental innovations through Kaizen activities, while R&amp;D teams focus on breakthrough innovations that align with long-term strategic goals.</w:t>
      </w:r>
    </w:p>
    <w:p xmlns:wp14="http://schemas.microsoft.com/office/word/2010/wordml" w:rsidP="681D4CEA" wp14:paraId="21081BCB" wp14:textId="57D73562" wp14:noSpellErr="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0CF45875" w:rsidR="2DAEFB29">
        <w:rPr>
          <w:rFonts w:ascii="Arial" w:hAnsi="Arial" w:eastAsia="Arial" w:cs="Arial"/>
          <w:b w:val="1"/>
          <w:bCs w:val="1"/>
          <w:noProof w:val="0"/>
          <w:color w:val="000000" w:themeColor="text1" w:themeTint="FF" w:themeShade="FF"/>
          <w:sz w:val="22"/>
          <w:szCs w:val="22"/>
          <w:lang w:val="en-GB"/>
        </w:rPr>
        <w:t>Sustainability:</w:t>
      </w:r>
      <w:r w:rsidRPr="0CF45875" w:rsidR="2DAEFB29">
        <w:rPr>
          <w:rFonts w:ascii="Arial" w:hAnsi="Arial" w:eastAsia="Arial" w:cs="Arial"/>
          <w:noProof w:val="0"/>
          <w:color w:val="000000" w:themeColor="text1" w:themeTint="FF" w:themeShade="FF"/>
          <w:sz w:val="22"/>
          <w:szCs w:val="22"/>
          <w:lang w:val="en-GB"/>
        </w:rPr>
        <w:t xml:space="preserve"> Long-term thinking and respect for people have driven Toyota to invest in environmental sustainability initiatives. These include reducing emissions, increasing energy efficiency in manufacturing, and exploring alternative fuel technologies (Toyota, 2023). The culture encourages employees to take ownership of sustainability practices, creating a sense of shared responsibility for environmental outcomes.</w:t>
      </w:r>
    </w:p>
    <w:p xmlns:wp14="http://schemas.microsoft.com/office/word/2010/wordml" w:rsidP="681D4CEA" wp14:paraId="5568CD32" wp14:textId="08FA7BB9" wp14:noSpellErr="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0CF45875" w:rsidR="2DAEFB29">
        <w:rPr>
          <w:rFonts w:ascii="Arial" w:hAnsi="Arial" w:eastAsia="Arial" w:cs="Arial"/>
          <w:b w:val="1"/>
          <w:bCs w:val="1"/>
          <w:noProof w:val="0"/>
          <w:color w:val="000000" w:themeColor="text1" w:themeTint="FF" w:themeShade="FF"/>
          <w:sz w:val="22"/>
          <w:szCs w:val="22"/>
          <w:lang w:val="en-GB"/>
        </w:rPr>
        <w:t>Supplier and Partner Relationships:</w:t>
      </w:r>
      <w:r w:rsidRPr="0CF45875" w:rsidR="2DAEFB29">
        <w:rPr>
          <w:rFonts w:ascii="Arial" w:hAnsi="Arial" w:eastAsia="Arial" w:cs="Arial"/>
          <w:noProof w:val="0"/>
          <w:color w:val="000000" w:themeColor="text1" w:themeTint="FF" w:themeShade="FF"/>
          <w:sz w:val="22"/>
          <w:szCs w:val="22"/>
          <w:lang w:val="en-GB"/>
        </w:rPr>
        <w:t xml:space="preserve"> Toyota’s culture emphasises trust, collaboration, and mutual respect, which extends to suppliers and external partners. The company implements strict quality control and continuous improvement practices in its supply chain, ensuring global consistency. This cultural alignment enables smooth collaboration and reliable delivery of products worldwide (Rother, 2010).</w:t>
      </w:r>
    </w:p>
    <w:p xmlns:wp14="http://schemas.microsoft.com/office/word/2010/wordml" w:rsidP="681D4CEA" wp14:paraId="323D66BA" wp14:textId="4CC99DD0" wp14:noSpellErr="1">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0CF45875" w:rsidR="2DAEFB29">
        <w:rPr>
          <w:rFonts w:ascii="Arial" w:hAnsi="Arial" w:eastAsia="Arial" w:cs="Arial"/>
          <w:b w:val="1"/>
          <w:bCs w:val="1"/>
          <w:noProof w:val="0"/>
          <w:color w:val="000000" w:themeColor="text1" w:themeTint="FF" w:themeShade="FF"/>
          <w:sz w:val="22"/>
          <w:szCs w:val="22"/>
          <w:lang w:val="en-GB"/>
        </w:rPr>
        <w:t>5. Barriers to Effective Functioning</w:t>
      </w:r>
    </w:p>
    <w:p xmlns:wp14="http://schemas.microsoft.com/office/word/2010/wordml" w:rsidP="681D4CEA" wp14:paraId="7546592D" wp14:textId="05D6B049" wp14:noSpellErr="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0CF45875" w:rsidR="2DAEFB29">
        <w:rPr>
          <w:rFonts w:ascii="Arial" w:hAnsi="Arial" w:eastAsia="Arial" w:cs="Arial"/>
          <w:noProof w:val="0"/>
          <w:color w:val="000000" w:themeColor="text1" w:themeTint="FF" w:themeShade="FF"/>
          <w:sz w:val="22"/>
          <w:szCs w:val="22"/>
          <w:lang w:val="en-GB"/>
        </w:rPr>
        <w:t>While Toyota’s culture supports performance and adaptation, it can also create challenges:</w:t>
      </w:r>
    </w:p>
    <w:p xmlns:wp14="http://schemas.microsoft.com/office/word/2010/wordml" w:rsidP="681D4CEA" wp14:paraId="77F75921" wp14:textId="37A9DF29" wp14:noSpellErr="1">
      <w:pPr>
        <w:pStyle w:val="ListParagraph"/>
        <w:numPr>
          <w:ilvl w:val="0"/>
          <w:numId w:val="16"/>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0CF45875" w:rsidR="2DAEFB29">
        <w:rPr>
          <w:rFonts w:ascii="Arial" w:hAnsi="Arial" w:eastAsia="Arial" w:cs="Arial"/>
          <w:b w:val="1"/>
          <w:bCs w:val="1"/>
          <w:noProof w:val="0"/>
          <w:color w:val="000000" w:themeColor="text1" w:themeTint="FF" w:themeShade="FF"/>
          <w:sz w:val="22"/>
          <w:szCs w:val="22"/>
          <w:lang w:val="en-GB"/>
        </w:rPr>
        <w:t>Rigidity in Procedures:</w:t>
      </w:r>
      <w:r w:rsidRPr="0CF45875" w:rsidR="2DAEFB29">
        <w:rPr>
          <w:rFonts w:ascii="Arial" w:hAnsi="Arial" w:eastAsia="Arial" w:cs="Arial"/>
          <w:noProof w:val="0"/>
          <w:color w:val="000000" w:themeColor="text1" w:themeTint="FF" w:themeShade="FF"/>
          <w:sz w:val="22"/>
          <w:szCs w:val="22"/>
          <w:lang w:val="en-GB"/>
        </w:rPr>
        <w:t xml:space="preserve"> Strict adherence to standardised processes can limit flexibility and responsiveness in unexpected situations (Hamel and Prahalad, 2010). Employees may be hesitant to deviate from protocols, even when rapid adaptation is needed.</w:t>
      </w:r>
    </w:p>
    <w:p xmlns:wp14="http://schemas.microsoft.com/office/word/2010/wordml" w:rsidP="681D4CEA" wp14:paraId="7A40F4CC" wp14:textId="09B21E14" wp14:noSpellErr="1">
      <w:pPr>
        <w:pStyle w:val="ListParagraph"/>
        <w:numPr>
          <w:ilvl w:val="0"/>
          <w:numId w:val="16"/>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0CF45875" w:rsidR="2DAEFB29">
        <w:rPr>
          <w:rFonts w:ascii="Arial" w:hAnsi="Arial" w:eastAsia="Arial" w:cs="Arial"/>
          <w:b w:val="1"/>
          <w:bCs w:val="1"/>
          <w:noProof w:val="0"/>
          <w:color w:val="000000" w:themeColor="text1" w:themeTint="FF" w:themeShade="FF"/>
          <w:sz w:val="22"/>
          <w:szCs w:val="22"/>
          <w:lang w:val="en-GB"/>
        </w:rPr>
        <w:t>Consensus-Based Decision-Making:</w:t>
      </w:r>
      <w:r w:rsidRPr="0CF45875" w:rsidR="2DAEFB29">
        <w:rPr>
          <w:rFonts w:ascii="Arial" w:hAnsi="Arial" w:eastAsia="Arial" w:cs="Arial"/>
          <w:noProof w:val="0"/>
          <w:color w:val="000000" w:themeColor="text1" w:themeTint="FF" w:themeShade="FF"/>
          <w:sz w:val="22"/>
          <w:szCs w:val="22"/>
          <w:lang w:val="en-GB"/>
        </w:rPr>
        <w:t xml:space="preserve"> The </w:t>
      </w:r>
      <w:r w:rsidRPr="0CF45875" w:rsidR="2DAEFB29">
        <w:rPr>
          <w:rFonts w:ascii="Arial" w:hAnsi="Arial" w:eastAsia="Arial" w:cs="Arial"/>
          <w:i w:val="1"/>
          <w:iCs w:val="1"/>
          <w:noProof w:val="0"/>
          <w:color w:val="000000" w:themeColor="text1" w:themeTint="FF" w:themeShade="FF"/>
          <w:sz w:val="22"/>
          <w:szCs w:val="22"/>
          <w:lang w:val="en-GB"/>
        </w:rPr>
        <w:t>Nemawashi</w:t>
      </w:r>
      <w:r w:rsidRPr="0CF45875" w:rsidR="2DAEFB29">
        <w:rPr>
          <w:rFonts w:ascii="Arial" w:hAnsi="Arial" w:eastAsia="Arial" w:cs="Arial"/>
          <w:noProof w:val="0"/>
          <w:color w:val="000000" w:themeColor="text1" w:themeTint="FF" w:themeShade="FF"/>
          <w:sz w:val="22"/>
          <w:szCs w:val="22"/>
          <w:lang w:val="en-GB"/>
        </w:rPr>
        <w:t xml:space="preserve"> approach encourages inclusive consultation but can slow decision-making, particularly in fast-moving markets or crisis situations.</w:t>
      </w:r>
    </w:p>
    <w:p xmlns:wp14="http://schemas.microsoft.com/office/word/2010/wordml" w:rsidP="681D4CEA" wp14:paraId="5B689A3F" wp14:textId="171C6115" wp14:noSpellErr="1">
      <w:pPr>
        <w:pStyle w:val="ListParagraph"/>
        <w:numPr>
          <w:ilvl w:val="0"/>
          <w:numId w:val="16"/>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0CF45875" w:rsidR="2DAEFB29">
        <w:rPr>
          <w:rFonts w:ascii="Arial" w:hAnsi="Arial" w:eastAsia="Arial" w:cs="Arial"/>
          <w:b w:val="1"/>
          <w:bCs w:val="1"/>
          <w:noProof w:val="0"/>
          <w:color w:val="000000" w:themeColor="text1" w:themeTint="FF" w:themeShade="FF"/>
          <w:sz w:val="22"/>
          <w:szCs w:val="22"/>
          <w:lang w:val="en-GB"/>
        </w:rPr>
        <w:t>Cultural Misalignment in Subsidiaries:</w:t>
      </w:r>
      <w:r w:rsidRPr="0CF45875" w:rsidR="2DAEFB29">
        <w:rPr>
          <w:rFonts w:ascii="Arial" w:hAnsi="Arial" w:eastAsia="Arial" w:cs="Arial"/>
          <w:noProof w:val="0"/>
          <w:color w:val="000000" w:themeColor="text1" w:themeTint="FF" w:themeShade="FF"/>
          <w:sz w:val="22"/>
          <w:szCs w:val="22"/>
          <w:lang w:val="en-GB"/>
        </w:rPr>
        <w:t xml:space="preserve"> Applying Japanese-centric values in diverse global contexts can create tensions, especially in countries with individualistic or high-power-distance cultures (Hofstede et al., 2010). Toyota mitigates this through cultural training, localisation strategies, and leadership support.</w:t>
      </w:r>
    </w:p>
    <w:p xmlns:wp14="http://schemas.microsoft.com/office/word/2010/wordml" w:rsidP="681D4CEA" wp14:paraId="39D2979A" wp14:textId="1ACA61EF" wp14:noSpellErr="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0CF45875" w:rsidR="2DAEFB29">
        <w:rPr>
          <w:rFonts w:ascii="Arial" w:hAnsi="Arial" w:eastAsia="Arial" w:cs="Arial"/>
          <w:noProof w:val="0"/>
          <w:color w:val="000000" w:themeColor="text1" w:themeTint="FF" w:themeShade="FF"/>
          <w:sz w:val="22"/>
          <w:szCs w:val="22"/>
          <w:lang w:val="en-GB"/>
        </w:rPr>
        <w:t xml:space="preserve">Despite these barriers, Toyota addresses risks by promoting leadership alignment, effective communication, and continuous employee development (Liker and </w:t>
      </w:r>
      <w:r w:rsidRPr="0CF45875" w:rsidR="2DAEFB29">
        <w:rPr>
          <w:rFonts w:ascii="Arial" w:hAnsi="Arial" w:eastAsia="Arial" w:cs="Arial"/>
          <w:noProof w:val="0"/>
          <w:color w:val="000000" w:themeColor="text1" w:themeTint="FF" w:themeShade="FF"/>
          <w:sz w:val="22"/>
          <w:szCs w:val="22"/>
          <w:lang w:val="en-GB"/>
        </w:rPr>
        <w:t>Hoseus</w:t>
      </w:r>
      <w:r w:rsidRPr="0CF45875" w:rsidR="2DAEFB29">
        <w:rPr>
          <w:rFonts w:ascii="Arial" w:hAnsi="Arial" w:eastAsia="Arial" w:cs="Arial"/>
          <w:noProof w:val="0"/>
          <w:color w:val="000000" w:themeColor="text1" w:themeTint="FF" w:themeShade="FF"/>
          <w:sz w:val="22"/>
          <w:szCs w:val="22"/>
          <w:lang w:val="en-GB"/>
        </w:rPr>
        <w:t>, 2008).</w:t>
      </w:r>
    </w:p>
    <w:p xmlns:wp14="http://schemas.microsoft.com/office/word/2010/wordml" w:rsidP="681D4CEA" wp14:paraId="2176287A" wp14:textId="125F3BA8" wp14:noSpellErr="1">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0CF45875" w:rsidR="2DAEFB29">
        <w:rPr>
          <w:rFonts w:ascii="Arial" w:hAnsi="Arial" w:eastAsia="Arial" w:cs="Arial"/>
          <w:b w:val="1"/>
          <w:bCs w:val="1"/>
          <w:noProof w:val="0"/>
          <w:color w:val="000000" w:themeColor="text1" w:themeTint="FF" w:themeShade="FF"/>
          <w:sz w:val="22"/>
          <w:szCs w:val="22"/>
          <w:lang w:val="en-GB"/>
        </w:rPr>
        <w:t>6. Impact of Organisational Culture on Performance</w:t>
      </w:r>
    </w:p>
    <w:p xmlns:wp14="http://schemas.microsoft.com/office/word/2010/wordml" w:rsidP="681D4CEA" wp14:paraId="371DC046" wp14:textId="684EA495" wp14:noSpellErr="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0CF45875" w:rsidR="2DAEFB29">
        <w:rPr>
          <w:rFonts w:ascii="Arial" w:hAnsi="Arial" w:eastAsia="Arial" w:cs="Arial"/>
          <w:noProof w:val="0"/>
          <w:color w:val="000000" w:themeColor="text1" w:themeTint="FF" w:themeShade="FF"/>
          <w:sz w:val="22"/>
          <w:szCs w:val="22"/>
          <w:lang w:val="en-GB"/>
        </w:rPr>
        <w:t>Toyota’s culture has significantly influenced organisational performance:</w:t>
      </w:r>
    </w:p>
    <w:p xmlns:wp14="http://schemas.microsoft.com/office/word/2010/wordml" w:rsidP="681D4CEA" wp14:paraId="77B59441" wp14:textId="6273C25A" wp14:noSpellErr="1">
      <w:pPr>
        <w:pStyle w:val="ListParagraph"/>
        <w:numPr>
          <w:ilvl w:val="0"/>
          <w:numId w:val="17"/>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0CF45875" w:rsidR="2DAEFB29">
        <w:rPr>
          <w:rFonts w:ascii="Arial" w:hAnsi="Arial" w:eastAsia="Arial" w:cs="Arial"/>
          <w:b w:val="1"/>
          <w:bCs w:val="1"/>
          <w:noProof w:val="0"/>
          <w:color w:val="000000" w:themeColor="text1" w:themeTint="FF" w:themeShade="FF"/>
          <w:sz w:val="22"/>
          <w:szCs w:val="22"/>
          <w:lang w:val="en-GB"/>
        </w:rPr>
        <w:t>Quality:</w:t>
      </w:r>
      <w:r w:rsidRPr="0CF45875" w:rsidR="2DAEFB29">
        <w:rPr>
          <w:rFonts w:ascii="Arial" w:hAnsi="Arial" w:eastAsia="Arial" w:cs="Arial"/>
          <w:noProof w:val="0"/>
          <w:color w:val="000000" w:themeColor="text1" w:themeTint="FF" w:themeShade="FF"/>
          <w:sz w:val="22"/>
          <w:szCs w:val="22"/>
          <w:lang w:val="en-GB"/>
        </w:rPr>
        <w:t xml:space="preserve"> Emphasis on Kaizen and standardised work ensures reliable, high-quality vehicles (Liker, 2004). Continuous monitoring and improvement reduce defects and enhance customer satisfaction.</w:t>
      </w:r>
    </w:p>
    <w:p xmlns:wp14="http://schemas.microsoft.com/office/word/2010/wordml" w:rsidP="681D4CEA" wp14:paraId="22B6C81B" wp14:textId="3165F01E" wp14:noSpellErr="1">
      <w:pPr>
        <w:pStyle w:val="ListParagraph"/>
        <w:numPr>
          <w:ilvl w:val="0"/>
          <w:numId w:val="17"/>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0CF45875" w:rsidR="2DAEFB29">
        <w:rPr>
          <w:rFonts w:ascii="Arial" w:hAnsi="Arial" w:eastAsia="Arial" w:cs="Arial"/>
          <w:b w:val="1"/>
          <w:bCs w:val="1"/>
          <w:noProof w:val="0"/>
          <w:color w:val="000000" w:themeColor="text1" w:themeTint="FF" w:themeShade="FF"/>
          <w:sz w:val="22"/>
          <w:szCs w:val="22"/>
          <w:lang w:val="en-GB"/>
        </w:rPr>
        <w:t>Employee Engagement:</w:t>
      </w:r>
      <w:r w:rsidRPr="0CF45875" w:rsidR="2DAEFB29">
        <w:rPr>
          <w:rFonts w:ascii="Arial" w:hAnsi="Arial" w:eastAsia="Arial" w:cs="Arial"/>
          <w:noProof w:val="0"/>
          <w:color w:val="000000" w:themeColor="text1" w:themeTint="FF" w:themeShade="FF"/>
          <w:sz w:val="22"/>
          <w:szCs w:val="22"/>
          <w:lang w:val="en-GB"/>
        </w:rPr>
        <w:t xml:space="preserve"> Respect for people and empowerment fosters motivation, job satisfaction, and retention (Adler, 2013). Employees feel valued and responsible, contributing to higher productivity.</w:t>
      </w:r>
    </w:p>
    <w:p xmlns:wp14="http://schemas.microsoft.com/office/word/2010/wordml" w:rsidP="681D4CEA" wp14:paraId="35F29484" wp14:textId="14871EA8" wp14:noSpellErr="1">
      <w:pPr>
        <w:pStyle w:val="ListParagraph"/>
        <w:numPr>
          <w:ilvl w:val="0"/>
          <w:numId w:val="17"/>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0CF45875" w:rsidR="2DAEFB29">
        <w:rPr>
          <w:rFonts w:ascii="Arial" w:hAnsi="Arial" w:eastAsia="Arial" w:cs="Arial"/>
          <w:b w:val="1"/>
          <w:bCs w:val="1"/>
          <w:noProof w:val="0"/>
          <w:color w:val="000000" w:themeColor="text1" w:themeTint="FF" w:themeShade="FF"/>
          <w:sz w:val="22"/>
          <w:szCs w:val="22"/>
          <w:lang w:val="en-GB"/>
        </w:rPr>
        <w:t>Innovation:</w:t>
      </w:r>
      <w:r w:rsidRPr="0CF45875" w:rsidR="2DAEFB29">
        <w:rPr>
          <w:rFonts w:ascii="Arial" w:hAnsi="Arial" w:eastAsia="Arial" w:cs="Arial"/>
          <w:noProof w:val="0"/>
          <w:color w:val="000000" w:themeColor="text1" w:themeTint="FF" w:themeShade="FF"/>
          <w:sz w:val="22"/>
          <w:szCs w:val="22"/>
          <w:lang w:val="en-GB"/>
        </w:rPr>
        <w:t xml:space="preserve"> Continuous improvement drives product and process innovation (Ohno, 1988). Employees are encouraged to experiment with </w:t>
      </w:r>
      <w:r w:rsidRPr="0CF45875" w:rsidR="2DAEFB29">
        <w:rPr>
          <w:rFonts w:ascii="Arial" w:hAnsi="Arial" w:eastAsia="Arial" w:cs="Arial"/>
          <w:noProof w:val="0"/>
          <w:color w:val="000000" w:themeColor="text1" w:themeTint="FF" w:themeShade="FF"/>
          <w:sz w:val="22"/>
          <w:szCs w:val="22"/>
          <w:lang w:val="en-GB"/>
        </w:rPr>
        <w:t>new ideas</w:t>
      </w:r>
      <w:r w:rsidRPr="0CF45875" w:rsidR="2DAEFB29">
        <w:rPr>
          <w:rFonts w:ascii="Arial" w:hAnsi="Arial" w:eastAsia="Arial" w:cs="Arial"/>
          <w:noProof w:val="0"/>
          <w:color w:val="000000" w:themeColor="text1" w:themeTint="FF" w:themeShade="FF"/>
          <w:sz w:val="22"/>
          <w:szCs w:val="22"/>
          <w:lang w:val="en-GB"/>
        </w:rPr>
        <w:t>, enhancing operational efficiency and product offerings.</w:t>
      </w:r>
    </w:p>
    <w:p xmlns:wp14="http://schemas.microsoft.com/office/word/2010/wordml" w:rsidP="681D4CEA" wp14:paraId="490085CC" wp14:textId="305BF659" wp14:noSpellErr="1">
      <w:pPr>
        <w:pStyle w:val="ListParagraph"/>
        <w:numPr>
          <w:ilvl w:val="0"/>
          <w:numId w:val="17"/>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0CF45875" w:rsidR="2DAEFB29">
        <w:rPr>
          <w:rFonts w:ascii="Arial" w:hAnsi="Arial" w:eastAsia="Arial" w:cs="Arial"/>
          <w:b w:val="1"/>
          <w:bCs w:val="1"/>
          <w:noProof w:val="0"/>
          <w:color w:val="000000" w:themeColor="text1" w:themeTint="FF" w:themeShade="FF"/>
          <w:sz w:val="22"/>
          <w:szCs w:val="22"/>
          <w:lang w:val="en-GB"/>
        </w:rPr>
        <w:t>Global Consistency:</w:t>
      </w:r>
      <w:r w:rsidRPr="0CF45875" w:rsidR="2DAEFB29">
        <w:rPr>
          <w:rFonts w:ascii="Arial" w:hAnsi="Arial" w:eastAsia="Arial" w:cs="Arial"/>
          <w:noProof w:val="0"/>
          <w:color w:val="000000" w:themeColor="text1" w:themeTint="FF" w:themeShade="FF"/>
          <w:sz w:val="22"/>
          <w:szCs w:val="22"/>
          <w:lang w:val="en-GB"/>
        </w:rPr>
        <w:t xml:space="preserve"> Strong cultural alignment ensures consistent performance and standards across international operations, strengthening Toyota’s brand and competitive position (Rother, 2010).</w:t>
      </w:r>
    </w:p>
    <w:p xmlns:wp14="http://schemas.microsoft.com/office/word/2010/wordml" w:rsidP="681D4CEA" wp14:paraId="0CF7D635" wp14:textId="71DFE189" wp14:noSpellErr="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0CF45875" w:rsidR="2DAEFB29">
        <w:rPr>
          <w:rFonts w:ascii="Arial" w:hAnsi="Arial" w:eastAsia="Arial" w:cs="Arial"/>
          <w:noProof w:val="0"/>
          <w:color w:val="000000" w:themeColor="text1" w:themeTint="FF" w:themeShade="FF"/>
          <w:sz w:val="22"/>
          <w:szCs w:val="22"/>
          <w:lang w:val="en-GB"/>
        </w:rPr>
        <w:t xml:space="preserve">Performance metrics, such as high-quality ratings, production efficiency, and employee engagement scores, </w:t>
      </w:r>
      <w:r w:rsidRPr="0CF45875" w:rsidR="2DAEFB29">
        <w:rPr>
          <w:rFonts w:ascii="Arial" w:hAnsi="Arial" w:eastAsia="Arial" w:cs="Arial"/>
          <w:noProof w:val="0"/>
          <w:color w:val="000000" w:themeColor="text1" w:themeTint="FF" w:themeShade="FF"/>
          <w:sz w:val="22"/>
          <w:szCs w:val="22"/>
          <w:lang w:val="en-GB"/>
        </w:rPr>
        <w:t>demonstrate</w:t>
      </w:r>
      <w:r w:rsidRPr="0CF45875" w:rsidR="2DAEFB29">
        <w:rPr>
          <w:rFonts w:ascii="Arial" w:hAnsi="Arial" w:eastAsia="Arial" w:cs="Arial"/>
          <w:noProof w:val="0"/>
          <w:color w:val="000000" w:themeColor="text1" w:themeTint="FF" w:themeShade="FF"/>
          <w:sz w:val="22"/>
          <w:szCs w:val="22"/>
          <w:lang w:val="en-GB"/>
        </w:rPr>
        <w:t xml:space="preserve"> the positive influence of organisational culture (Imai, 2012; Toyota, 2023).</w:t>
      </w:r>
    </w:p>
    <w:p w:rsidR="479FC63F" w:rsidP="0CF45875" w:rsidRDefault="479FC63F" w14:paraId="33A35F24" w14:textId="2CC621ED">
      <w:pPr>
        <w:pStyle w:val="Heading3"/>
        <w:spacing w:before="281" w:beforeAutospacing="off" w:after="281" w:afterAutospacing="off"/>
        <w:jc w:val="both"/>
        <w:rPr>
          <w:rFonts w:ascii="Arial" w:hAnsi="Arial" w:eastAsia="Arial" w:cs="Arial"/>
          <w:b w:val="1"/>
          <w:bCs w:val="1"/>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 xml:space="preserve">7. Recommendations for Improvement </w:t>
      </w:r>
    </w:p>
    <w:p w:rsidR="479FC63F" w:rsidP="0CF45875" w:rsidRDefault="479FC63F" w14:paraId="1C85D4DD" w14:textId="3CA8E99D">
      <w:pPr>
        <w:pStyle w:val="Heading4"/>
        <w:spacing w:before="319" w:beforeAutospacing="off" w:after="319" w:afterAutospacing="off"/>
        <w:jc w:val="both"/>
        <w:rPr>
          <w:rFonts w:ascii="Arial" w:hAnsi="Arial" w:eastAsia="Arial" w:cs="Arial"/>
          <w:b w:val="1"/>
          <w:bCs w:val="1"/>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7.1 Encourage Flexible Innovation</w:t>
      </w:r>
    </w:p>
    <w:p w:rsidR="479FC63F" w:rsidP="0CF45875" w:rsidRDefault="479FC63F" w14:paraId="7F0D63D1" w14:textId="7894A609">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 xml:space="preserve">Toyota’s culture of Kaizen and continuous improvement has long supported high-quality products and efficient operations. However, because Kaizen </w:t>
      </w:r>
      <w:r w:rsidRPr="0CF45875" w:rsidR="479FC63F">
        <w:rPr>
          <w:rFonts w:ascii="Arial" w:hAnsi="Arial" w:eastAsia="Arial" w:cs="Arial"/>
          <w:i w:val="0"/>
          <w:iCs w:val="0"/>
          <w:noProof w:val="0"/>
          <w:color w:val="000000" w:themeColor="text1" w:themeTint="FF" w:themeShade="FF"/>
          <w:sz w:val="22"/>
          <w:szCs w:val="22"/>
          <w:lang w:val="en-GB"/>
        </w:rPr>
        <w:t>mainly focuses</w:t>
      </w:r>
      <w:r w:rsidRPr="0CF45875" w:rsidR="479FC63F">
        <w:rPr>
          <w:rFonts w:ascii="Arial" w:hAnsi="Arial" w:eastAsia="Arial" w:cs="Arial"/>
          <w:i w:val="0"/>
          <w:iCs w:val="0"/>
          <w:noProof w:val="0"/>
          <w:color w:val="000000" w:themeColor="text1" w:themeTint="FF" w:themeShade="FF"/>
          <w:sz w:val="22"/>
          <w:szCs w:val="22"/>
          <w:lang w:val="en-GB"/>
        </w:rPr>
        <w:t xml:space="preserve"> on small, incremental changes, it may sometimes limit the company’s ability to respond quickly to major market shifts or disruptive technologies (Hamel and Prahalad, 2010).</w:t>
      </w:r>
    </w:p>
    <w:p w:rsidR="479FC63F" w:rsidP="0CF45875" w:rsidRDefault="479FC63F" w14:paraId="588F6D7B" w14:textId="05E148B0">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 xml:space="preserve">One way to address this is to adopt a dual innovation approach, combining the traditional Kaizen with more flexible, rapid experimentation. For example, creating dedicated “innovation pods” within R&amp;D or manufacturing teams could allow employees to test </w:t>
      </w:r>
      <w:r w:rsidRPr="0CF45875" w:rsidR="479FC63F">
        <w:rPr>
          <w:rFonts w:ascii="Arial" w:hAnsi="Arial" w:eastAsia="Arial" w:cs="Arial"/>
          <w:i w:val="0"/>
          <w:iCs w:val="0"/>
          <w:noProof w:val="0"/>
          <w:color w:val="000000" w:themeColor="text1" w:themeTint="FF" w:themeShade="FF"/>
          <w:sz w:val="22"/>
          <w:szCs w:val="22"/>
          <w:lang w:val="en-GB"/>
        </w:rPr>
        <w:t>new ideas</w:t>
      </w:r>
      <w:r w:rsidRPr="0CF45875" w:rsidR="479FC63F">
        <w:rPr>
          <w:rFonts w:ascii="Arial" w:hAnsi="Arial" w:eastAsia="Arial" w:cs="Arial"/>
          <w:i w:val="0"/>
          <w:iCs w:val="0"/>
          <w:noProof w:val="0"/>
          <w:color w:val="000000" w:themeColor="text1" w:themeTint="FF" w:themeShade="FF"/>
          <w:sz w:val="22"/>
          <w:szCs w:val="22"/>
          <w:lang w:val="en-GB"/>
        </w:rPr>
        <w:t xml:space="preserve"> with fewer procedural constraints while still following Toyota’s core values.</w:t>
      </w:r>
    </w:p>
    <w:p w:rsidR="479FC63F" w:rsidP="0CF45875" w:rsidRDefault="479FC63F" w14:paraId="64180D62" w14:textId="548E9CA5">
      <w:pPr>
        <w:spacing w:before="240" w:beforeAutospacing="off" w:after="240" w:afterAutospacing="off"/>
        <w:jc w:val="both"/>
        <w:rPr>
          <w:rFonts w:ascii="Arial" w:hAnsi="Arial" w:eastAsia="Arial" w:cs="Arial"/>
          <w:b w:val="1"/>
          <w:bCs w:val="1"/>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 xml:space="preserve">Such an approach could help Toyota respond faster to </w:t>
      </w:r>
      <w:r w:rsidRPr="0CF45875" w:rsidR="479FC63F">
        <w:rPr>
          <w:rFonts w:ascii="Arial" w:hAnsi="Arial" w:eastAsia="Arial" w:cs="Arial"/>
          <w:i w:val="0"/>
          <w:iCs w:val="0"/>
          <w:noProof w:val="0"/>
          <w:color w:val="000000" w:themeColor="text1" w:themeTint="FF" w:themeShade="FF"/>
          <w:sz w:val="22"/>
          <w:szCs w:val="22"/>
          <w:lang w:val="en-GB"/>
        </w:rPr>
        <w:t>emerging</w:t>
      </w:r>
      <w:r w:rsidRPr="0CF45875" w:rsidR="479FC63F">
        <w:rPr>
          <w:rFonts w:ascii="Arial" w:hAnsi="Arial" w:eastAsia="Arial" w:cs="Arial"/>
          <w:i w:val="0"/>
          <w:iCs w:val="0"/>
          <w:noProof w:val="0"/>
          <w:color w:val="000000" w:themeColor="text1" w:themeTint="FF" w:themeShade="FF"/>
          <w:sz w:val="22"/>
          <w:szCs w:val="22"/>
          <w:lang w:val="en-GB"/>
        </w:rPr>
        <w:t xml:space="preserve"> technologies like electric vehicles, autonomous driving systems, and advanced mobility solutions. Leadership support is key here, as employees should feel safe taking calculated risks. Recognition programs that reward successful experimentation and learning from failures can reinforce a culture that values both innovation and Kaizen (Brynjolfsson and McAfee, 2014).</w:t>
      </w:r>
    </w:p>
    <w:p w:rsidR="479FC63F" w:rsidP="0CF45875" w:rsidRDefault="479FC63F" w14:paraId="11C7A51B" w14:textId="62258580">
      <w:pPr>
        <w:spacing w:before="240" w:beforeAutospacing="off" w:after="240" w:afterAutospacing="off"/>
        <w:jc w:val="both"/>
        <w:rPr>
          <w:rFonts w:ascii="Arial" w:hAnsi="Arial" w:eastAsia="Arial" w:cs="Arial"/>
          <w:b w:val="1"/>
          <w:bCs w:val="1"/>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7.2 Cultural Training in Subsidiaries</w:t>
      </w:r>
    </w:p>
    <w:p w:rsidR="479FC63F" w:rsidP="0CF45875" w:rsidRDefault="479FC63F" w14:paraId="05BF04BC" w14:textId="7542E562">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 xml:space="preserve">Toyota </w:t>
      </w:r>
      <w:r w:rsidRPr="0CF45875" w:rsidR="479FC63F">
        <w:rPr>
          <w:rFonts w:ascii="Arial" w:hAnsi="Arial" w:eastAsia="Arial" w:cs="Arial"/>
          <w:i w:val="0"/>
          <w:iCs w:val="0"/>
          <w:noProof w:val="0"/>
          <w:color w:val="000000" w:themeColor="text1" w:themeTint="FF" w:themeShade="FF"/>
          <w:sz w:val="22"/>
          <w:szCs w:val="22"/>
          <w:lang w:val="en-GB"/>
        </w:rPr>
        <w:t>operates</w:t>
      </w:r>
      <w:r w:rsidRPr="0CF45875" w:rsidR="479FC63F">
        <w:rPr>
          <w:rFonts w:ascii="Arial" w:hAnsi="Arial" w:eastAsia="Arial" w:cs="Arial"/>
          <w:i w:val="0"/>
          <w:iCs w:val="0"/>
          <w:noProof w:val="0"/>
          <w:color w:val="000000" w:themeColor="text1" w:themeTint="FF" w:themeShade="FF"/>
          <w:sz w:val="22"/>
          <w:szCs w:val="22"/>
          <w:lang w:val="en-GB"/>
        </w:rPr>
        <w:t xml:space="preserve"> in many countries, and while the Toyota Way provides a global framework, differences in local cultures can sometimes cause misunderstandings or misalignment. Variations in communication styles, decision-making, and expectations may reduce how effectively the Toyota Way is applied (Hofstede et al., 2010).</w:t>
      </w:r>
    </w:p>
    <w:p w:rsidR="479FC63F" w:rsidP="0CF45875" w:rsidRDefault="479FC63F" w14:paraId="4330D391" w14:textId="02F8BA1B">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To improve this, Toyota could introduce comprehensive cultural training for employees and managers in all subsidiaries. Training could focus on:</w:t>
      </w:r>
    </w:p>
    <w:p w:rsidR="479FC63F" w:rsidP="0CF45875" w:rsidRDefault="479FC63F" w14:paraId="7BA6DDB0" w14:textId="4F34F4D1">
      <w:pPr>
        <w:pStyle w:val="ListParagraph"/>
        <w:numPr>
          <w:ilvl w:val="0"/>
          <w:numId w:val="24"/>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Understanding Toyota’s core values:</w:t>
      </w:r>
      <w:r w:rsidRPr="0CF45875" w:rsidR="479FC63F">
        <w:rPr>
          <w:rFonts w:ascii="Arial" w:hAnsi="Arial" w:eastAsia="Arial" w:cs="Arial"/>
          <w:i w:val="0"/>
          <w:iCs w:val="0"/>
          <w:noProof w:val="0"/>
          <w:color w:val="000000" w:themeColor="text1" w:themeTint="FF" w:themeShade="FF"/>
          <w:sz w:val="22"/>
          <w:szCs w:val="22"/>
          <w:lang w:val="en-GB"/>
        </w:rPr>
        <w:t xml:space="preserve"> Ensuring employees know what Kaizen, respect for people, quality, teamwork, and long-term thinking mean in practice.</w:t>
      </w:r>
    </w:p>
    <w:p w:rsidR="479FC63F" w:rsidP="0CF45875" w:rsidRDefault="479FC63F" w14:paraId="12256D32" w14:textId="41E4D6F0">
      <w:pPr>
        <w:pStyle w:val="ListParagraph"/>
        <w:numPr>
          <w:ilvl w:val="0"/>
          <w:numId w:val="24"/>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Cultural sensitivity:</w:t>
      </w:r>
      <w:r w:rsidRPr="0CF45875" w:rsidR="479FC63F">
        <w:rPr>
          <w:rFonts w:ascii="Arial" w:hAnsi="Arial" w:eastAsia="Arial" w:cs="Arial"/>
          <w:i w:val="0"/>
          <w:iCs w:val="0"/>
          <w:noProof w:val="0"/>
          <w:color w:val="000000" w:themeColor="text1" w:themeTint="FF" w:themeShade="FF"/>
          <w:sz w:val="22"/>
          <w:szCs w:val="22"/>
          <w:lang w:val="en-GB"/>
        </w:rPr>
        <w:t xml:space="preserve"> Teaching employees how to adapt communication and collaboration to local contexts while staying aligned with Toyota’s standards.</w:t>
      </w:r>
    </w:p>
    <w:p w:rsidR="479FC63F" w:rsidP="0CF45875" w:rsidRDefault="479FC63F" w14:paraId="2BB8F636" w14:textId="10279221">
      <w:pPr>
        <w:pStyle w:val="ListParagraph"/>
        <w:numPr>
          <w:ilvl w:val="0"/>
          <w:numId w:val="24"/>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Leadership development:</w:t>
      </w:r>
      <w:r w:rsidRPr="0CF45875" w:rsidR="479FC63F">
        <w:rPr>
          <w:rFonts w:ascii="Arial" w:hAnsi="Arial" w:eastAsia="Arial" w:cs="Arial"/>
          <w:i w:val="0"/>
          <w:iCs w:val="0"/>
          <w:noProof w:val="0"/>
          <w:color w:val="000000" w:themeColor="text1" w:themeTint="FF" w:themeShade="FF"/>
          <w:sz w:val="22"/>
          <w:szCs w:val="22"/>
          <w:lang w:val="en-GB"/>
        </w:rPr>
        <w:t xml:space="preserve"> Preparing managers to lead cross-cultural teams, resolve conflicts, and reinforce Toyota’s culture locally.</w:t>
      </w:r>
    </w:p>
    <w:p w:rsidR="479FC63F" w:rsidP="0CF45875" w:rsidRDefault="479FC63F" w14:paraId="0963386C" w14:textId="49692631">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This approach could reduce cultural misalignment, improve efficiency, and strengthen engagement. For instance, in countries with more individualistic cultures, training could emphasise team-based incentives to align with Toyota’s collectivist approach (Adler, 2013).</w:t>
      </w:r>
    </w:p>
    <w:p w:rsidR="479FC63F" w:rsidP="0CF45875" w:rsidRDefault="479FC63F" w14:paraId="26409408" w14:textId="1DA6D104">
      <w:pPr>
        <w:pStyle w:val="Heading4"/>
        <w:jc w:val="both"/>
        <w:rPr>
          <w:rFonts w:ascii="Arial" w:hAnsi="Arial" w:eastAsia="Arial" w:cs="Arial"/>
          <w:b w:val="1"/>
          <w:bCs w:val="1"/>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7.3 Streamline Decision-Making</w:t>
      </w:r>
    </w:p>
    <w:p w:rsidR="479FC63F" w:rsidP="0CF45875" w:rsidRDefault="479FC63F" w14:paraId="6AE7770E" w14:textId="5CE62D40">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 xml:space="preserve">The </w:t>
      </w:r>
      <w:r w:rsidRPr="0CF45875" w:rsidR="479FC63F">
        <w:rPr>
          <w:rFonts w:ascii="Arial" w:hAnsi="Arial" w:eastAsia="Arial" w:cs="Arial"/>
          <w:i w:val="0"/>
          <w:iCs w:val="0"/>
          <w:noProof w:val="0"/>
          <w:color w:val="000000" w:themeColor="text1" w:themeTint="FF" w:themeShade="FF"/>
          <w:sz w:val="22"/>
          <w:szCs w:val="22"/>
          <w:lang w:val="en-GB"/>
        </w:rPr>
        <w:t>Nemawashi</w:t>
      </w:r>
      <w:r w:rsidRPr="0CF45875" w:rsidR="479FC63F">
        <w:rPr>
          <w:rFonts w:ascii="Arial" w:hAnsi="Arial" w:eastAsia="Arial" w:cs="Arial"/>
          <w:i w:val="0"/>
          <w:iCs w:val="0"/>
          <w:noProof w:val="0"/>
          <w:color w:val="000000" w:themeColor="text1" w:themeTint="FF" w:themeShade="FF"/>
          <w:sz w:val="22"/>
          <w:szCs w:val="22"/>
          <w:lang w:val="en-GB"/>
        </w:rPr>
        <w:t xml:space="preserve"> approach, while fostering inclusion and consensus, can sometimes slow decision-making, which might affect production efficiency or responsiveness to market changes (Liker and </w:t>
      </w:r>
      <w:r w:rsidRPr="0CF45875" w:rsidR="479FC63F">
        <w:rPr>
          <w:rFonts w:ascii="Arial" w:hAnsi="Arial" w:eastAsia="Arial" w:cs="Arial"/>
          <w:i w:val="0"/>
          <w:iCs w:val="0"/>
          <w:noProof w:val="0"/>
          <w:color w:val="000000" w:themeColor="text1" w:themeTint="FF" w:themeShade="FF"/>
          <w:sz w:val="22"/>
          <w:szCs w:val="22"/>
          <w:lang w:val="en-GB"/>
        </w:rPr>
        <w:t>Hoseus</w:t>
      </w:r>
      <w:r w:rsidRPr="0CF45875" w:rsidR="479FC63F">
        <w:rPr>
          <w:rFonts w:ascii="Arial" w:hAnsi="Arial" w:eastAsia="Arial" w:cs="Arial"/>
          <w:i w:val="0"/>
          <w:iCs w:val="0"/>
          <w:noProof w:val="0"/>
          <w:color w:val="000000" w:themeColor="text1" w:themeTint="FF" w:themeShade="FF"/>
          <w:sz w:val="22"/>
          <w:szCs w:val="22"/>
          <w:lang w:val="en-GB"/>
        </w:rPr>
        <w:t>, 2008).</w:t>
      </w:r>
    </w:p>
    <w:p w:rsidR="479FC63F" w:rsidP="0CF45875" w:rsidRDefault="479FC63F" w14:paraId="17EEC5B3" w14:textId="75FD8204">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A tiered decision-making framework could help:</w:t>
      </w:r>
    </w:p>
    <w:p w:rsidR="479FC63F" w:rsidP="0CF45875" w:rsidRDefault="479FC63F" w14:paraId="6B8FA0A5" w14:textId="18AED1DF">
      <w:pPr>
        <w:pStyle w:val="ListParagraph"/>
        <w:numPr>
          <w:ilvl w:val="0"/>
          <w:numId w:val="25"/>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Operational decisions:</w:t>
      </w:r>
      <w:r w:rsidRPr="0CF45875" w:rsidR="479FC63F">
        <w:rPr>
          <w:rFonts w:ascii="Arial" w:hAnsi="Arial" w:eastAsia="Arial" w:cs="Arial"/>
          <w:i w:val="0"/>
          <w:iCs w:val="0"/>
          <w:noProof w:val="0"/>
          <w:color w:val="000000" w:themeColor="text1" w:themeTint="FF" w:themeShade="FF"/>
          <w:sz w:val="22"/>
          <w:szCs w:val="22"/>
          <w:lang w:val="en-GB"/>
        </w:rPr>
        <w:t xml:space="preserve"> Give teams the authority to make day-to-day choices within defined limits. For example, assembly line managers could implement minor process adjustments </w:t>
      </w:r>
      <w:r w:rsidRPr="0CF45875" w:rsidR="479FC63F">
        <w:rPr>
          <w:rFonts w:ascii="Arial" w:hAnsi="Arial" w:eastAsia="Arial" w:cs="Arial"/>
          <w:i w:val="0"/>
          <w:iCs w:val="0"/>
          <w:noProof w:val="0"/>
          <w:color w:val="000000" w:themeColor="text1" w:themeTint="FF" w:themeShade="FF"/>
          <w:sz w:val="22"/>
          <w:szCs w:val="22"/>
          <w:lang w:val="en-GB"/>
        </w:rPr>
        <w:t>immediately</w:t>
      </w:r>
      <w:r w:rsidRPr="0CF45875" w:rsidR="479FC63F">
        <w:rPr>
          <w:rFonts w:ascii="Arial" w:hAnsi="Arial" w:eastAsia="Arial" w:cs="Arial"/>
          <w:i w:val="0"/>
          <w:iCs w:val="0"/>
          <w:noProof w:val="0"/>
          <w:color w:val="000000" w:themeColor="text1" w:themeTint="FF" w:themeShade="FF"/>
          <w:sz w:val="22"/>
          <w:szCs w:val="22"/>
          <w:lang w:val="en-GB"/>
        </w:rPr>
        <w:t>.</w:t>
      </w:r>
    </w:p>
    <w:p w:rsidR="479FC63F" w:rsidP="0CF45875" w:rsidRDefault="479FC63F" w14:paraId="6E51F1C6" w14:textId="0AACE0E4">
      <w:pPr>
        <w:pStyle w:val="ListParagraph"/>
        <w:numPr>
          <w:ilvl w:val="0"/>
          <w:numId w:val="25"/>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Strategic decisions:</w:t>
      </w:r>
      <w:r w:rsidRPr="0CF45875" w:rsidR="479FC63F">
        <w:rPr>
          <w:rFonts w:ascii="Arial" w:hAnsi="Arial" w:eastAsia="Arial" w:cs="Arial"/>
          <w:i w:val="0"/>
          <w:iCs w:val="0"/>
          <w:noProof w:val="0"/>
          <w:color w:val="000000" w:themeColor="text1" w:themeTint="FF" w:themeShade="FF"/>
          <w:sz w:val="22"/>
          <w:szCs w:val="22"/>
          <w:lang w:val="en-GB"/>
        </w:rPr>
        <w:t xml:space="preserve"> Reserve </w:t>
      </w:r>
      <w:r w:rsidRPr="0CF45875" w:rsidR="479FC63F">
        <w:rPr>
          <w:rFonts w:ascii="Arial" w:hAnsi="Arial" w:eastAsia="Arial" w:cs="Arial"/>
          <w:i w:val="0"/>
          <w:iCs w:val="0"/>
          <w:noProof w:val="0"/>
          <w:color w:val="000000" w:themeColor="text1" w:themeTint="FF" w:themeShade="FF"/>
          <w:sz w:val="22"/>
          <w:szCs w:val="22"/>
          <w:lang w:val="en-GB"/>
        </w:rPr>
        <w:t>Nemawashi</w:t>
      </w:r>
      <w:r w:rsidRPr="0CF45875" w:rsidR="479FC63F">
        <w:rPr>
          <w:rFonts w:ascii="Arial" w:hAnsi="Arial" w:eastAsia="Arial" w:cs="Arial"/>
          <w:i w:val="0"/>
          <w:iCs w:val="0"/>
          <w:noProof w:val="0"/>
          <w:color w:val="000000" w:themeColor="text1" w:themeTint="FF" w:themeShade="FF"/>
          <w:sz w:val="22"/>
          <w:szCs w:val="22"/>
          <w:lang w:val="en-GB"/>
        </w:rPr>
        <w:t xml:space="preserve"> for major initiatives that require input from multiple stakeholders.</w:t>
      </w:r>
    </w:p>
    <w:p w:rsidR="479FC63F" w:rsidP="0CF45875" w:rsidRDefault="479FC63F" w14:paraId="7FBBD6FC" w14:textId="03A9445B">
      <w:pPr>
        <w:pStyle w:val="ListParagraph"/>
        <w:numPr>
          <w:ilvl w:val="0"/>
          <w:numId w:val="25"/>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Digital decision support:</w:t>
      </w:r>
      <w:r w:rsidRPr="0CF45875" w:rsidR="479FC63F">
        <w:rPr>
          <w:rFonts w:ascii="Arial" w:hAnsi="Arial" w:eastAsia="Arial" w:cs="Arial"/>
          <w:i w:val="0"/>
          <w:iCs w:val="0"/>
          <w:noProof w:val="0"/>
          <w:color w:val="000000" w:themeColor="text1" w:themeTint="FF" w:themeShade="FF"/>
          <w:sz w:val="22"/>
          <w:szCs w:val="22"/>
          <w:lang w:val="en-GB"/>
        </w:rPr>
        <w:t xml:space="preserve"> Use technology to track decisions, approvals, and communication, speeding up consensus without compromising transparency or alignment.</w:t>
      </w:r>
    </w:p>
    <w:p w:rsidR="479FC63F" w:rsidP="0CF45875" w:rsidRDefault="479FC63F" w14:paraId="24A6F356" w14:textId="230D8523">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This would allow Toyota to respond faster to change while keeping the benefits of inclusive, consensus-driven culture (Brynjolfsson and McAfee, 2014).</w:t>
      </w:r>
    </w:p>
    <w:p w:rsidR="479FC63F" w:rsidP="0CF45875" w:rsidRDefault="479FC63F" w14:paraId="0B2AB7DB" w14:textId="46FF77D7">
      <w:pPr>
        <w:pStyle w:val="Heading4"/>
        <w:jc w:val="both"/>
        <w:rPr>
          <w:rFonts w:ascii="Arial" w:hAnsi="Arial" w:eastAsia="Arial" w:cs="Arial"/>
          <w:b w:val="1"/>
          <w:bCs w:val="1"/>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7.4 Enhance Diversity and Inclusion</w:t>
      </w:r>
    </w:p>
    <w:p w:rsidR="479FC63F" w:rsidP="0CF45875" w:rsidRDefault="479FC63F" w14:paraId="4463CB48" w14:textId="1E71DB91">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Respect for people has been a cornerstone of Toyota’s culture, but the company could further strengthen diversity and inclusion. Research shows that greater diversity can improve creativity, problem-solving, and innovation in global organisations (Cox and Blake, 1991).</w:t>
      </w:r>
    </w:p>
    <w:p w:rsidR="479FC63F" w:rsidP="0CF45875" w:rsidRDefault="479FC63F" w14:paraId="3B1CCEB3" w14:textId="234C656D">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Possible initiatives</w:t>
      </w:r>
      <w:r w:rsidRPr="0CF45875" w:rsidR="479FC63F">
        <w:rPr>
          <w:rFonts w:ascii="Arial" w:hAnsi="Arial" w:eastAsia="Arial" w:cs="Arial"/>
          <w:i w:val="0"/>
          <w:iCs w:val="0"/>
          <w:noProof w:val="0"/>
          <w:color w:val="000000" w:themeColor="text1" w:themeTint="FF" w:themeShade="FF"/>
          <w:sz w:val="22"/>
          <w:szCs w:val="22"/>
          <w:lang w:val="en-GB"/>
        </w:rPr>
        <w:t xml:space="preserve"> include:</w:t>
      </w:r>
    </w:p>
    <w:p w:rsidR="479FC63F" w:rsidP="0CF45875" w:rsidRDefault="479FC63F" w14:paraId="3762A5D5" w14:textId="48F39B86">
      <w:pPr>
        <w:pStyle w:val="ListParagraph"/>
        <w:numPr>
          <w:ilvl w:val="0"/>
          <w:numId w:val="26"/>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Diverse recruitment:</w:t>
      </w:r>
      <w:r w:rsidRPr="0CF45875" w:rsidR="479FC63F">
        <w:rPr>
          <w:rFonts w:ascii="Arial" w:hAnsi="Arial" w:eastAsia="Arial" w:cs="Arial"/>
          <w:i w:val="0"/>
          <w:iCs w:val="0"/>
          <w:noProof w:val="0"/>
          <w:color w:val="000000" w:themeColor="text1" w:themeTint="FF" w:themeShade="FF"/>
          <w:sz w:val="22"/>
          <w:szCs w:val="22"/>
          <w:lang w:val="en-GB"/>
        </w:rPr>
        <w:t xml:space="preserve"> Hiring more employees from underrepresented groups.</w:t>
      </w:r>
    </w:p>
    <w:p w:rsidR="479FC63F" w:rsidP="0CF45875" w:rsidRDefault="479FC63F" w14:paraId="3D83454C" w14:textId="6C419DC4">
      <w:pPr>
        <w:pStyle w:val="ListParagraph"/>
        <w:numPr>
          <w:ilvl w:val="0"/>
          <w:numId w:val="26"/>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Mentorship programs:</w:t>
      </w:r>
      <w:r w:rsidRPr="0CF45875" w:rsidR="479FC63F">
        <w:rPr>
          <w:rFonts w:ascii="Arial" w:hAnsi="Arial" w:eastAsia="Arial" w:cs="Arial"/>
          <w:i w:val="0"/>
          <w:iCs w:val="0"/>
          <w:noProof w:val="0"/>
          <w:color w:val="000000" w:themeColor="text1" w:themeTint="FF" w:themeShade="FF"/>
          <w:sz w:val="22"/>
          <w:szCs w:val="22"/>
          <w:lang w:val="en-GB"/>
        </w:rPr>
        <w:t xml:space="preserve"> Pairing diverse employees with senior leaders for career development and cultural integration.</w:t>
      </w:r>
    </w:p>
    <w:p w:rsidR="479FC63F" w:rsidP="0CF45875" w:rsidRDefault="479FC63F" w14:paraId="1C7A5D89" w14:textId="325C2649">
      <w:pPr>
        <w:pStyle w:val="ListParagraph"/>
        <w:numPr>
          <w:ilvl w:val="0"/>
          <w:numId w:val="26"/>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Employee voice:</w:t>
      </w:r>
      <w:r w:rsidRPr="0CF45875" w:rsidR="479FC63F">
        <w:rPr>
          <w:rFonts w:ascii="Arial" w:hAnsi="Arial" w:eastAsia="Arial" w:cs="Arial"/>
          <w:i w:val="0"/>
          <w:iCs w:val="0"/>
          <w:noProof w:val="0"/>
          <w:color w:val="000000" w:themeColor="text1" w:themeTint="FF" w:themeShade="FF"/>
          <w:sz w:val="22"/>
          <w:szCs w:val="22"/>
          <w:lang w:val="en-GB"/>
        </w:rPr>
        <w:t xml:space="preserve"> Creating structured channels for employees to share ideas and feedback, especially in subsidiaries.</w:t>
      </w:r>
    </w:p>
    <w:p w:rsidR="479FC63F" w:rsidP="0CF45875" w:rsidRDefault="479FC63F" w14:paraId="73756929" w14:textId="227E46A5">
      <w:pPr>
        <w:pStyle w:val="ListParagraph"/>
        <w:numPr>
          <w:ilvl w:val="0"/>
          <w:numId w:val="26"/>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Inclusive leadership training:</w:t>
      </w:r>
      <w:r w:rsidRPr="0CF45875" w:rsidR="479FC63F">
        <w:rPr>
          <w:rFonts w:ascii="Arial" w:hAnsi="Arial" w:eastAsia="Arial" w:cs="Arial"/>
          <w:i w:val="0"/>
          <w:iCs w:val="0"/>
          <w:noProof w:val="0"/>
          <w:color w:val="000000" w:themeColor="text1" w:themeTint="FF" w:themeShade="FF"/>
          <w:sz w:val="22"/>
          <w:szCs w:val="22"/>
          <w:lang w:val="en-GB"/>
        </w:rPr>
        <w:t xml:space="preserve"> Helping managers lead diverse teams effectively and resolve conflicts fairly.</w:t>
      </w:r>
    </w:p>
    <w:p w:rsidR="479FC63F" w:rsidP="0CF45875" w:rsidRDefault="479FC63F" w14:paraId="447196DA" w14:textId="1605BF92">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By expanding diversity initiatives, Toyota can enhance engagement, innovation, and competitiveness while staying true to the Toyota Way.</w:t>
      </w:r>
    </w:p>
    <w:p w:rsidR="479FC63F" w:rsidP="0CF45875" w:rsidRDefault="479FC63F" w14:paraId="5EB34FCC" w14:textId="4FB97C55">
      <w:pPr>
        <w:pStyle w:val="Heading4"/>
        <w:jc w:val="both"/>
        <w:rPr>
          <w:rFonts w:ascii="Arial" w:hAnsi="Arial" w:eastAsia="Arial" w:cs="Arial"/>
          <w:b w:val="1"/>
          <w:bCs w:val="1"/>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7.5 Digital Transformation and Cultural Integration</w:t>
      </w:r>
    </w:p>
    <w:p w:rsidR="479FC63F" w:rsidP="0CF45875" w:rsidRDefault="479FC63F" w14:paraId="4DF944CE" w14:textId="0030B218">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The automotive sector is rapidly embracing digital tools, from advanced manufacturing to AI-driven processes. Toyota can integrate its culture with these technologies rather than letting them replace it.</w:t>
      </w:r>
    </w:p>
    <w:p w:rsidR="479FC63F" w:rsidP="0CF45875" w:rsidRDefault="479FC63F" w14:paraId="1222DBC8" w14:textId="2FCAC28E">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 xml:space="preserve">Virtual Kaizen boards could allow global teams to track improvements, share solutions, and collaborate in real-time. Data analytics could support evidence-based decision-making by helping employees </w:t>
      </w:r>
      <w:r w:rsidRPr="0CF45875" w:rsidR="479FC63F">
        <w:rPr>
          <w:rFonts w:ascii="Arial" w:hAnsi="Arial" w:eastAsia="Arial" w:cs="Arial"/>
          <w:i w:val="0"/>
          <w:iCs w:val="0"/>
          <w:noProof w:val="0"/>
          <w:color w:val="000000" w:themeColor="text1" w:themeTint="FF" w:themeShade="FF"/>
          <w:sz w:val="22"/>
          <w:szCs w:val="22"/>
          <w:lang w:val="en-GB"/>
        </w:rPr>
        <w:t>identify</w:t>
      </w:r>
      <w:r w:rsidRPr="0CF45875" w:rsidR="479FC63F">
        <w:rPr>
          <w:rFonts w:ascii="Arial" w:hAnsi="Arial" w:eastAsia="Arial" w:cs="Arial"/>
          <w:i w:val="0"/>
          <w:iCs w:val="0"/>
          <w:noProof w:val="0"/>
          <w:color w:val="000000" w:themeColor="text1" w:themeTint="FF" w:themeShade="FF"/>
          <w:sz w:val="22"/>
          <w:szCs w:val="22"/>
          <w:lang w:val="en-GB"/>
        </w:rPr>
        <w:t xml:space="preserve"> inefficiencies, optimise processes, and develop innovative solutions.</w:t>
      </w:r>
    </w:p>
    <w:p w:rsidR="479FC63F" w:rsidP="0CF45875" w:rsidRDefault="479FC63F" w14:paraId="391F0271" w14:textId="09029AA0">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 xml:space="preserve">By embedding cultural practices into digital platforms, Toyota can </w:t>
      </w:r>
      <w:r w:rsidRPr="0CF45875" w:rsidR="479FC63F">
        <w:rPr>
          <w:rFonts w:ascii="Arial" w:hAnsi="Arial" w:eastAsia="Arial" w:cs="Arial"/>
          <w:i w:val="0"/>
          <w:iCs w:val="0"/>
          <w:noProof w:val="0"/>
          <w:color w:val="000000" w:themeColor="text1" w:themeTint="FF" w:themeShade="FF"/>
          <w:sz w:val="22"/>
          <w:szCs w:val="22"/>
          <w:lang w:val="en-GB"/>
        </w:rPr>
        <w:t>maintain</w:t>
      </w:r>
      <w:r w:rsidRPr="0CF45875" w:rsidR="479FC63F">
        <w:rPr>
          <w:rFonts w:ascii="Arial" w:hAnsi="Arial" w:eastAsia="Arial" w:cs="Arial"/>
          <w:i w:val="0"/>
          <w:iCs w:val="0"/>
          <w:noProof w:val="0"/>
          <w:color w:val="000000" w:themeColor="text1" w:themeTint="FF" w:themeShade="FF"/>
          <w:sz w:val="22"/>
          <w:szCs w:val="22"/>
          <w:lang w:val="en-GB"/>
        </w:rPr>
        <w:t xml:space="preserve"> engagement, collaboration, and continuous improvement even as operations become more automated and virtual (Brynjolfsson and McAfee, 2014).</w:t>
      </w:r>
    </w:p>
    <w:p w:rsidR="0CF45875" w:rsidP="0CF45875" w:rsidRDefault="0CF45875" w14:paraId="1C8AE3C6" w14:textId="2E055977">
      <w:pPr>
        <w:jc w:val="both"/>
        <w:rPr>
          <w:rFonts w:ascii="Arial" w:hAnsi="Arial" w:eastAsia="Arial" w:cs="Arial"/>
          <w:i w:val="0"/>
          <w:iCs w:val="0"/>
          <w:color w:val="000000" w:themeColor="text1" w:themeTint="FF" w:themeShade="FF"/>
          <w:sz w:val="22"/>
          <w:szCs w:val="22"/>
        </w:rPr>
      </w:pPr>
    </w:p>
    <w:p w:rsidR="479FC63F" w:rsidP="0CF45875" w:rsidRDefault="479FC63F" w14:paraId="6E480CEB" w14:textId="672CDF8F">
      <w:pPr>
        <w:pStyle w:val="Heading4"/>
        <w:spacing w:before="319" w:beforeAutospacing="off" w:after="319" w:afterAutospacing="off"/>
        <w:jc w:val="both"/>
        <w:rPr>
          <w:rFonts w:ascii="Arial" w:hAnsi="Arial" w:eastAsia="Arial" w:cs="Arial"/>
          <w:b w:val="1"/>
          <w:bCs w:val="1"/>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7.6 Strengthening Employee Engagement</w:t>
      </w:r>
    </w:p>
    <w:p w:rsidR="479FC63F" w:rsidP="0CF45875" w:rsidRDefault="479FC63F" w14:paraId="04669F8F" w14:textId="249EBCD6">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 xml:space="preserve">Toyota’s culture already promotes engagement through respect and empowerment, but </w:t>
      </w:r>
      <w:r w:rsidRPr="0CF45875" w:rsidR="479FC63F">
        <w:rPr>
          <w:rFonts w:ascii="Arial" w:hAnsi="Arial" w:eastAsia="Arial" w:cs="Arial"/>
          <w:i w:val="0"/>
          <w:iCs w:val="0"/>
          <w:noProof w:val="0"/>
          <w:color w:val="000000" w:themeColor="text1" w:themeTint="FF" w:themeShade="FF"/>
          <w:sz w:val="22"/>
          <w:szCs w:val="22"/>
          <w:lang w:val="en-GB"/>
        </w:rPr>
        <w:t>additional</w:t>
      </w:r>
      <w:r w:rsidRPr="0CF45875" w:rsidR="479FC63F">
        <w:rPr>
          <w:rFonts w:ascii="Arial" w:hAnsi="Arial" w:eastAsia="Arial" w:cs="Arial"/>
          <w:i w:val="0"/>
          <w:iCs w:val="0"/>
          <w:noProof w:val="0"/>
          <w:color w:val="000000" w:themeColor="text1" w:themeTint="FF" w:themeShade="FF"/>
          <w:sz w:val="22"/>
          <w:szCs w:val="22"/>
          <w:lang w:val="en-GB"/>
        </w:rPr>
        <w:t xml:space="preserve"> steps could boost motivation, retention, and performance.</w:t>
      </w:r>
    </w:p>
    <w:p w:rsidR="479FC63F" w:rsidP="0CF45875" w:rsidRDefault="479FC63F" w14:paraId="2ED30098" w14:textId="3D09FE18">
      <w:pPr>
        <w:pStyle w:val="ListParagraph"/>
        <w:numPr>
          <w:ilvl w:val="0"/>
          <w:numId w:val="27"/>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Feedback systems:</w:t>
      </w:r>
      <w:r w:rsidRPr="0CF45875" w:rsidR="479FC63F">
        <w:rPr>
          <w:rFonts w:ascii="Arial" w:hAnsi="Arial" w:eastAsia="Arial" w:cs="Arial"/>
          <w:i w:val="0"/>
          <w:iCs w:val="0"/>
          <w:noProof w:val="0"/>
          <w:color w:val="000000" w:themeColor="text1" w:themeTint="FF" w:themeShade="FF"/>
          <w:sz w:val="22"/>
          <w:szCs w:val="22"/>
          <w:lang w:val="en-GB"/>
        </w:rPr>
        <w:t xml:space="preserve"> Regular surveys and structured reviews allow employees to share concerns and suggestions.</w:t>
      </w:r>
    </w:p>
    <w:p w:rsidR="479FC63F" w:rsidP="0CF45875" w:rsidRDefault="479FC63F" w14:paraId="74095056" w14:textId="3F658FCA">
      <w:pPr>
        <w:pStyle w:val="ListParagraph"/>
        <w:numPr>
          <w:ilvl w:val="0"/>
          <w:numId w:val="27"/>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Recognition programs:</w:t>
      </w:r>
      <w:r w:rsidRPr="0CF45875" w:rsidR="479FC63F">
        <w:rPr>
          <w:rFonts w:ascii="Arial" w:hAnsi="Arial" w:eastAsia="Arial" w:cs="Arial"/>
          <w:i w:val="0"/>
          <w:iCs w:val="0"/>
          <w:noProof w:val="0"/>
          <w:color w:val="000000" w:themeColor="text1" w:themeTint="FF" w:themeShade="FF"/>
          <w:sz w:val="22"/>
          <w:szCs w:val="22"/>
          <w:lang w:val="en-GB"/>
        </w:rPr>
        <w:t xml:space="preserve"> Rewarding teamwork, successful Kaizen projects, and innovative contributions reinforces desired behaviours.</w:t>
      </w:r>
    </w:p>
    <w:p w:rsidR="479FC63F" w:rsidP="0CF45875" w:rsidRDefault="479FC63F" w14:paraId="5DEFDBB7" w14:textId="75EB1763">
      <w:pPr>
        <w:pStyle w:val="ListParagraph"/>
        <w:numPr>
          <w:ilvl w:val="0"/>
          <w:numId w:val="27"/>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Career development:</w:t>
      </w:r>
      <w:r w:rsidRPr="0CF45875" w:rsidR="479FC63F">
        <w:rPr>
          <w:rFonts w:ascii="Arial" w:hAnsi="Arial" w:eastAsia="Arial" w:cs="Arial"/>
          <w:i w:val="0"/>
          <w:iCs w:val="0"/>
          <w:noProof w:val="0"/>
          <w:color w:val="000000" w:themeColor="text1" w:themeTint="FF" w:themeShade="FF"/>
          <w:sz w:val="22"/>
          <w:szCs w:val="22"/>
          <w:lang w:val="en-GB"/>
        </w:rPr>
        <w:t xml:space="preserve"> Offering clear paths for growth, training, and skill development increases loyalty and motivation.</w:t>
      </w:r>
    </w:p>
    <w:p w:rsidR="479FC63F" w:rsidP="0CF45875" w:rsidRDefault="479FC63F" w14:paraId="07E53B83" w14:textId="43449E91">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 xml:space="preserve">These measures would help ensure Toyota </w:t>
      </w:r>
      <w:r w:rsidRPr="0CF45875" w:rsidR="479FC63F">
        <w:rPr>
          <w:rFonts w:ascii="Arial" w:hAnsi="Arial" w:eastAsia="Arial" w:cs="Arial"/>
          <w:i w:val="0"/>
          <w:iCs w:val="0"/>
          <w:noProof w:val="0"/>
          <w:color w:val="000000" w:themeColor="text1" w:themeTint="FF" w:themeShade="FF"/>
          <w:sz w:val="22"/>
          <w:szCs w:val="22"/>
          <w:lang w:val="en-GB"/>
        </w:rPr>
        <w:t>maintains</w:t>
      </w:r>
      <w:r w:rsidRPr="0CF45875" w:rsidR="479FC63F">
        <w:rPr>
          <w:rFonts w:ascii="Arial" w:hAnsi="Arial" w:eastAsia="Arial" w:cs="Arial"/>
          <w:i w:val="0"/>
          <w:iCs w:val="0"/>
          <w:noProof w:val="0"/>
          <w:color w:val="000000" w:themeColor="text1" w:themeTint="FF" w:themeShade="FF"/>
          <w:sz w:val="22"/>
          <w:szCs w:val="22"/>
          <w:lang w:val="en-GB"/>
        </w:rPr>
        <w:t xml:space="preserve"> a committed workforce capable of driving continuous improvement and innovation worldwide.</w:t>
      </w:r>
    </w:p>
    <w:p w:rsidR="479FC63F" w:rsidP="0CF45875" w:rsidRDefault="479FC63F" w14:paraId="566BAFD2" w14:textId="1E0F1803">
      <w:pPr>
        <w:pStyle w:val="Heading4"/>
        <w:jc w:val="both"/>
        <w:rPr>
          <w:rFonts w:ascii="Arial" w:hAnsi="Arial" w:eastAsia="Arial" w:cs="Arial"/>
          <w:b w:val="1"/>
          <w:bCs w:val="1"/>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7.7 Sustainability and Corporate Social Responsibility</w:t>
      </w:r>
    </w:p>
    <w:p w:rsidR="479FC63F" w:rsidP="0CF45875" w:rsidRDefault="479FC63F" w14:paraId="16B59E09" w14:textId="2584F567">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Long-term thinking is central to Toyota’s culture, and sustainability initiatives can be more deeply embedded to strengthen performance.</w:t>
      </w:r>
    </w:p>
    <w:p w:rsidR="479FC63F" w:rsidP="0CF45875" w:rsidRDefault="479FC63F" w14:paraId="4AFD06E7" w14:textId="02C9911C">
      <w:pPr>
        <w:pStyle w:val="ListParagraph"/>
        <w:numPr>
          <w:ilvl w:val="0"/>
          <w:numId w:val="28"/>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Green Kaizen:</w:t>
      </w:r>
      <w:r w:rsidRPr="0CF45875" w:rsidR="479FC63F">
        <w:rPr>
          <w:rFonts w:ascii="Arial" w:hAnsi="Arial" w:eastAsia="Arial" w:cs="Arial"/>
          <w:i w:val="0"/>
          <w:iCs w:val="0"/>
          <w:noProof w:val="0"/>
          <w:color w:val="000000" w:themeColor="text1" w:themeTint="FF" w:themeShade="FF"/>
          <w:sz w:val="22"/>
          <w:szCs w:val="22"/>
          <w:lang w:val="en-GB"/>
        </w:rPr>
        <w:t xml:space="preserve"> Encourage employees to propose environmental improvements alongside operational efficiencies.</w:t>
      </w:r>
    </w:p>
    <w:p w:rsidR="479FC63F" w:rsidP="0CF45875" w:rsidRDefault="479FC63F" w14:paraId="4923D413" w14:textId="748596EA">
      <w:pPr>
        <w:pStyle w:val="ListParagraph"/>
        <w:numPr>
          <w:ilvl w:val="0"/>
          <w:numId w:val="28"/>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Sustainable innovation:</w:t>
      </w:r>
      <w:r w:rsidRPr="0CF45875" w:rsidR="479FC63F">
        <w:rPr>
          <w:rFonts w:ascii="Arial" w:hAnsi="Arial" w:eastAsia="Arial" w:cs="Arial"/>
          <w:i w:val="0"/>
          <w:iCs w:val="0"/>
          <w:noProof w:val="0"/>
          <w:color w:val="000000" w:themeColor="text1" w:themeTint="FF" w:themeShade="FF"/>
          <w:sz w:val="22"/>
          <w:szCs w:val="22"/>
          <w:lang w:val="en-GB"/>
        </w:rPr>
        <w:t xml:space="preserve"> Focus R&amp;D on reducing emissions, improving fuel efficiency, and supporting renewable energy.</w:t>
      </w:r>
    </w:p>
    <w:p w:rsidR="479FC63F" w:rsidP="0CF45875" w:rsidRDefault="479FC63F" w14:paraId="6E933E48" w14:textId="1482D878">
      <w:pPr>
        <w:pStyle w:val="ListParagraph"/>
        <w:numPr>
          <w:ilvl w:val="0"/>
          <w:numId w:val="28"/>
        </w:num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b w:val="1"/>
          <w:bCs w:val="1"/>
          <w:i w:val="0"/>
          <w:iCs w:val="0"/>
          <w:noProof w:val="0"/>
          <w:color w:val="000000" w:themeColor="text1" w:themeTint="FF" w:themeShade="FF"/>
          <w:sz w:val="22"/>
          <w:szCs w:val="22"/>
          <w:lang w:val="en-GB"/>
        </w:rPr>
        <w:t>Community engagement:</w:t>
      </w:r>
      <w:r w:rsidRPr="0CF45875" w:rsidR="479FC63F">
        <w:rPr>
          <w:rFonts w:ascii="Arial" w:hAnsi="Arial" w:eastAsia="Arial" w:cs="Arial"/>
          <w:i w:val="0"/>
          <w:iCs w:val="0"/>
          <w:noProof w:val="0"/>
          <w:color w:val="000000" w:themeColor="text1" w:themeTint="FF" w:themeShade="FF"/>
          <w:sz w:val="22"/>
          <w:szCs w:val="22"/>
          <w:lang w:val="en-GB"/>
        </w:rPr>
        <w:t xml:space="preserve"> Expand programs </w:t>
      </w:r>
      <w:r w:rsidRPr="0CF45875" w:rsidR="479FC63F">
        <w:rPr>
          <w:rFonts w:ascii="Arial" w:hAnsi="Arial" w:eastAsia="Arial" w:cs="Arial"/>
          <w:i w:val="0"/>
          <w:iCs w:val="0"/>
          <w:noProof w:val="0"/>
          <w:color w:val="000000" w:themeColor="text1" w:themeTint="FF" w:themeShade="FF"/>
          <w:sz w:val="22"/>
          <w:szCs w:val="22"/>
          <w:lang w:val="en-GB"/>
        </w:rPr>
        <w:t>benefiting</w:t>
      </w:r>
      <w:r w:rsidRPr="0CF45875" w:rsidR="479FC63F">
        <w:rPr>
          <w:rFonts w:ascii="Arial" w:hAnsi="Arial" w:eastAsia="Arial" w:cs="Arial"/>
          <w:i w:val="0"/>
          <w:iCs w:val="0"/>
          <w:noProof w:val="0"/>
          <w:color w:val="000000" w:themeColor="text1" w:themeTint="FF" w:themeShade="FF"/>
          <w:sz w:val="22"/>
          <w:szCs w:val="22"/>
          <w:lang w:val="en-GB"/>
        </w:rPr>
        <w:t xml:space="preserve"> local communities, reinforcing respect for people and social responsibility.</w:t>
      </w:r>
    </w:p>
    <w:p w:rsidR="479FC63F" w:rsidP="0CF45875" w:rsidRDefault="479FC63F" w14:paraId="264BB082" w14:textId="630B0597">
      <w:pPr>
        <w:spacing w:before="240" w:beforeAutospacing="off" w:after="240" w:afterAutospacing="off"/>
        <w:jc w:val="both"/>
        <w:rPr>
          <w:rFonts w:ascii="Arial" w:hAnsi="Arial" w:eastAsia="Arial" w:cs="Arial"/>
          <w:i w:val="0"/>
          <w:iCs w:val="0"/>
          <w:noProof w:val="0"/>
          <w:color w:val="000000" w:themeColor="text1" w:themeTint="FF" w:themeShade="FF"/>
          <w:sz w:val="22"/>
          <w:szCs w:val="22"/>
          <w:lang w:val="en-GB"/>
        </w:rPr>
      </w:pPr>
      <w:r w:rsidRPr="0CF45875" w:rsidR="479FC63F">
        <w:rPr>
          <w:rFonts w:ascii="Arial" w:hAnsi="Arial" w:eastAsia="Arial" w:cs="Arial"/>
          <w:i w:val="0"/>
          <w:iCs w:val="0"/>
          <w:noProof w:val="0"/>
          <w:color w:val="000000" w:themeColor="text1" w:themeTint="FF" w:themeShade="FF"/>
          <w:sz w:val="22"/>
          <w:szCs w:val="22"/>
          <w:lang w:val="en-GB"/>
        </w:rPr>
        <w:t>Integrating sustainability into daily operations, culture, and innovation strategies will enhance Toyota’s reputation, attract talent, and ensure alignment with global environmental standards (Toyota, 2023).</w:t>
      </w:r>
    </w:p>
    <w:p w:rsidR="0CF45875" w:rsidP="0CF45875" w:rsidRDefault="0CF45875" w14:paraId="291983C5" w14:textId="64061E12">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p>
    <w:p xmlns:wp14="http://schemas.microsoft.com/office/word/2010/wordml" w:rsidP="0CF45875" wp14:paraId="61EF28E9" wp14:textId="2C9D018D" wp14:noSpellErr="1">
      <w:pPr>
        <w:pStyle w:val="Heading2"/>
        <w:spacing w:line="360" w:lineRule="auto"/>
        <w:jc w:val="both"/>
        <w:rPr>
          <w:rFonts w:ascii="Arial" w:hAnsi="Arial" w:eastAsia="Arial" w:cs="Arial"/>
          <w:b w:val="1"/>
          <w:bCs w:val="1"/>
          <w:i w:val="0"/>
          <w:iCs w:val="0"/>
          <w:noProof w:val="0"/>
          <w:color w:val="000000" w:themeColor="text1" w:themeTint="FF" w:themeShade="FF"/>
          <w:sz w:val="22"/>
          <w:szCs w:val="22"/>
          <w:lang w:val="en-GB"/>
        </w:rPr>
      </w:pPr>
      <w:r w:rsidRPr="0CF45875" w:rsidR="45D41373">
        <w:rPr>
          <w:rFonts w:ascii="Arial" w:hAnsi="Arial" w:eastAsia="Arial" w:cs="Arial"/>
          <w:b w:val="1"/>
          <w:bCs w:val="1"/>
          <w:i w:val="0"/>
          <w:iCs w:val="0"/>
          <w:noProof w:val="0"/>
          <w:color w:val="000000" w:themeColor="text1" w:themeTint="FF" w:themeShade="FF"/>
          <w:sz w:val="22"/>
          <w:szCs w:val="22"/>
          <w:lang w:val="en-GB"/>
        </w:rPr>
        <w:t>References</w:t>
      </w:r>
    </w:p>
    <w:p xmlns:wp14="http://schemas.microsoft.com/office/word/2010/wordml" w:rsidP="0CF45875" wp14:paraId="004BC010" wp14:textId="15331AA0" wp14:noSpellErr="1">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0CF45875" w:rsidR="45D41373">
        <w:rPr>
          <w:rFonts w:ascii="Arial" w:hAnsi="Arial" w:eastAsia="Arial" w:cs="Arial"/>
          <w:i w:val="0"/>
          <w:iCs w:val="0"/>
          <w:noProof w:val="0"/>
          <w:color w:val="000000" w:themeColor="text1" w:themeTint="FF" w:themeShade="FF"/>
          <w:sz w:val="22"/>
          <w:szCs w:val="22"/>
          <w:lang w:val="en-GB"/>
        </w:rPr>
        <w:t xml:space="preserve">Adler, N.J. (2013) </w:t>
      </w:r>
      <w:r w:rsidRPr="0CF45875" w:rsidR="45D41373">
        <w:rPr>
          <w:rFonts w:ascii="Arial" w:hAnsi="Arial" w:eastAsia="Arial" w:cs="Arial"/>
          <w:i w:val="0"/>
          <w:iCs w:val="0"/>
          <w:noProof w:val="0"/>
          <w:color w:val="000000" w:themeColor="text1" w:themeTint="FF" w:themeShade="FF"/>
          <w:sz w:val="22"/>
          <w:szCs w:val="22"/>
          <w:lang w:val="en-GB"/>
        </w:rPr>
        <w:t xml:space="preserve">International Dimensions of Organizational </w:t>
      </w:r>
      <w:r w:rsidRPr="0CF45875" w:rsidR="45D41373">
        <w:rPr>
          <w:rFonts w:ascii="Arial" w:hAnsi="Arial" w:eastAsia="Arial" w:cs="Arial"/>
          <w:i w:val="0"/>
          <w:iCs w:val="0"/>
          <w:noProof w:val="0"/>
          <w:color w:val="000000" w:themeColor="text1" w:themeTint="FF" w:themeShade="FF"/>
          <w:sz w:val="22"/>
          <w:szCs w:val="22"/>
          <w:lang w:val="en-GB"/>
        </w:rPr>
        <w:t>Behavior</w:t>
      </w:r>
      <w:r w:rsidRPr="0CF45875" w:rsidR="45D41373">
        <w:rPr>
          <w:rFonts w:ascii="Arial" w:hAnsi="Arial" w:eastAsia="Arial" w:cs="Arial"/>
          <w:i w:val="0"/>
          <w:iCs w:val="0"/>
          <w:noProof w:val="0"/>
          <w:color w:val="000000" w:themeColor="text1" w:themeTint="FF" w:themeShade="FF"/>
          <w:sz w:val="22"/>
          <w:szCs w:val="22"/>
          <w:lang w:val="en-GB"/>
        </w:rPr>
        <w:t>.</w:t>
      </w:r>
      <w:r w:rsidRPr="0CF45875" w:rsidR="45D41373">
        <w:rPr>
          <w:rFonts w:ascii="Arial" w:hAnsi="Arial" w:eastAsia="Arial" w:cs="Arial"/>
          <w:i w:val="0"/>
          <w:iCs w:val="0"/>
          <w:noProof w:val="0"/>
          <w:color w:val="000000" w:themeColor="text1" w:themeTint="FF" w:themeShade="FF"/>
          <w:sz w:val="22"/>
          <w:szCs w:val="22"/>
          <w:lang w:val="en-GB"/>
        </w:rPr>
        <w:t xml:space="preserve"> 6th ed. Boston: Cengage Learning.</w:t>
      </w:r>
    </w:p>
    <w:p xmlns:wp14="http://schemas.microsoft.com/office/word/2010/wordml" w:rsidP="681D4CEA" wp14:paraId="0F447A25" wp14:textId="184FEA0C" wp14:noSpellErr="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0CF45875" w:rsidR="45D41373">
        <w:rPr>
          <w:rFonts w:ascii="Arial" w:hAnsi="Arial" w:eastAsia="Arial" w:cs="Arial"/>
          <w:i w:val="0"/>
          <w:iCs w:val="0"/>
          <w:noProof w:val="0"/>
          <w:color w:val="000000" w:themeColor="text1" w:themeTint="FF" w:themeShade="FF"/>
          <w:sz w:val="22"/>
          <w:szCs w:val="22"/>
          <w:lang w:val="en-GB"/>
        </w:rPr>
        <w:t xml:space="preserve">Anderson, D. (2010) </w:t>
      </w:r>
      <w:r w:rsidRPr="0CF45875" w:rsidR="45D41373">
        <w:rPr>
          <w:rFonts w:ascii="Arial" w:hAnsi="Arial" w:eastAsia="Arial" w:cs="Arial"/>
          <w:i w:val="0"/>
          <w:iCs w:val="0"/>
          <w:noProof w:val="0"/>
          <w:color w:val="000000" w:themeColor="text1" w:themeTint="FF" w:themeShade="FF"/>
          <w:sz w:val="22"/>
          <w:szCs w:val="22"/>
          <w:lang w:val="en-GB"/>
        </w:rPr>
        <w:t>Toyota Production System: Beyond Large-Scale Production.</w:t>
      </w:r>
      <w:r w:rsidRPr="0CF45875" w:rsidR="45D41373">
        <w:rPr>
          <w:rFonts w:ascii="Arial" w:hAnsi="Arial" w:eastAsia="Arial" w:cs="Arial"/>
          <w:i w:val="0"/>
          <w:iCs w:val="0"/>
          <w:noProof w:val="0"/>
          <w:color w:val="000000" w:themeColor="text1" w:themeTint="FF" w:themeShade="FF"/>
          <w:sz w:val="22"/>
          <w:szCs w:val="22"/>
          <w:lang w:val="en-GB"/>
        </w:rPr>
        <w:t xml:space="preserve"> New York: Produ</w:t>
      </w:r>
      <w:r w:rsidRPr="0CF45875" w:rsidR="45D41373">
        <w:rPr>
          <w:rFonts w:ascii="Arial" w:hAnsi="Arial" w:eastAsia="Arial" w:cs="Arial"/>
          <w:noProof w:val="0"/>
          <w:color w:val="000000" w:themeColor="text1" w:themeTint="FF" w:themeShade="FF"/>
          <w:sz w:val="22"/>
          <w:szCs w:val="22"/>
          <w:lang w:val="en-GB"/>
        </w:rPr>
        <w:t>ctivity Press.</w:t>
      </w:r>
    </w:p>
    <w:p xmlns:wp14="http://schemas.microsoft.com/office/word/2010/wordml" w:rsidP="681D4CEA" wp14:paraId="2550D75E" wp14:textId="03EDCAA0">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Brynjolfsson, E., and McAfee, A. (2014) </w:t>
      </w:r>
      <w:r w:rsidRPr="681D4CEA" w:rsidR="45D41373">
        <w:rPr>
          <w:rFonts w:ascii="Arial" w:hAnsi="Arial" w:eastAsia="Arial" w:cs="Arial"/>
          <w:i w:val="1"/>
          <w:iCs w:val="1"/>
          <w:noProof w:val="0"/>
          <w:color w:val="000000" w:themeColor="text1" w:themeTint="FF" w:themeShade="FF"/>
          <w:sz w:val="22"/>
          <w:szCs w:val="22"/>
          <w:lang w:val="en-GB"/>
        </w:rPr>
        <w:t>The Second Machine Age: Work, Progress, and Prosperity in a Time of Brilliant Technologies.</w:t>
      </w:r>
      <w:r w:rsidRPr="681D4CEA" w:rsidR="45D41373">
        <w:rPr>
          <w:rFonts w:ascii="Arial" w:hAnsi="Arial" w:eastAsia="Arial" w:cs="Arial"/>
          <w:noProof w:val="0"/>
          <w:color w:val="000000" w:themeColor="text1" w:themeTint="FF" w:themeShade="FF"/>
          <w:sz w:val="22"/>
          <w:szCs w:val="22"/>
          <w:lang w:val="en-GB"/>
        </w:rPr>
        <w:t xml:space="preserve"> New York: W.W. Norton &amp; Company.</w:t>
      </w:r>
    </w:p>
    <w:p xmlns:wp14="http://schemas.microsoft.com/office/word/2010/wordml" w:rsidP="681D4CEA" wp14:paraId="17FFBFB7" wp14:textId="0357411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Cox, </w:t>
      </w:r>
      <w:r w:rsidRPr="681D4CEA" w:rsidR="45D41373">
        <w:rPr>
          <w:rFonts w:ascii="Arial" w:hAnsi="Arial" w:eastAsia="Arial" w:cs="Arial"/>
          <w:noProof w:val="0"/>
          <w:color w:val="000000" w:themeColor="text1" w:themeTint="FF" w:themeShade="FF"/>
          <w:sz w:val="22"/>
          <w:szCs w:val="22"/>
          <w:lang w:val="en-GB"/>
        </w:rPr>
        <w:t>T.</w:t>
      </w:r>
      <w:r w:rsidRPr="681D4CEA" w:rsidR="45D41373">
        <w:rPr>
          <w:rFonts w:ascii="Arial" w:hAnsi="Arial" w:eastAsia="Arial" w:cs="Arial"/>
          <w:noProof w:val="0"/>
          <w:color w:val="000000" w:themeColor="text1" w:themeTint="FF" w:themeShade="FF"/>
          <w:sz w:val="22"/>
          <w:szCs w:val="22"/>
          <w:lang w:val="en-GB"/>
        </w:rPr>
        <w:t xml:space="preserve"> and Blake, S. (1991) ‘Managing Cultural Diversity: Implications for Organizational Competitiveness’, </w:t>
      </w:r>
      <w:r w:rsidRPr="681D4CEA" w:rsidR="45D41373">
        <w:rPr>
          <w:rFonts w:ascii="Arial" w:hAnsi="Arial" w:eastAsia="Arial" w:cs="Arial"/>
          <w:i w:val="1"/>
          <w:iCs w:val="1"/>
          <w:noProof w:val="0"/>
          <w:color w:val="000000" w:themeColor="text1" w:themeTint="FF" w:themeShade="FF"/>
          <w:sz w:val="22"/>
          <w:szCs w:val="22"/>
          <w:lang w:val="en-GB"/>
        </w:rPr>
        <w:t>Academy of Management Executive</w:t>
      </w:r>
      <w:r w:rsidRPr="681D4CEA" w:rsidR="45D41373">
        <w:rPr>
          <w:rFonts w:ascii="Arial" w:hAnsi="Arial" w:eastAsia="Arial" w:cs="Arial"/>
          <w:noProof w:val="0"/>
          <w:color w:val="000000" w:themeColor="text1" w:themeTint="FF" w:themeShade="FF"/>
          <w:sz w:val="22"/>
          <w:szCs w:val="22"/>
          <w:lang w:val="en-GB"/>
        </w:rPr>
        <w:t>, 5(3), pp. 45–56.</w:t>
      </w:r>
    </w:p>
    <w:p xmlns:wp14="http://schemas.microsoft.com/office/word/2010/wordml" w:rsidP="681D4CEA" wp14:paraId="3D76120F" wp14:textId="45EB270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Hamel, G. and Prahalad, C.K. (2010) </w:t>
      </w:r>
      <w:r w:rsidRPr="681D4CEA" w:rsidR="45D41373">
        <w:rPr>
          <w:rFonts w:ascii="Arial" w:hAnsi="Arial" w:eastAsia="Arial" w:cs="Arial"/>
          <w:i w:val="1"/>
          <w:iCs w:val="1"/>
          <w:noProof w:val="0"/>
          <w:color w:val="000000" w:themeColor="text1" w:themeTint="FF" w:themeShade="FF"/>
          <w:sz w:val="22"/>
          <w:szCs w:val="22"/>
          <w:lang w:val="en-GB"/>
        </w:rPr>
        <w:t>Competing for the Future.</w:t>
      </w:r>
      <w:r w:rsidRPr="681D4CEA" w:rsidR="45D41373">
        <w:rPr>
          <w:rFonts w:ascii="Arial" w:hAnsi="Arial" w:eastAsia="Arial" w:cs="Arial"/>
          <w:noProof w:val="0"/>
          <w:color w:val="000000" w:themeColor="text1" w:themeTint="FF" w:themeShade="FF"/>
          <w:sz w:val="22"/>
          <w:szCs w:val="22"/>
          <w:lang w:val="en-GB"/>
        </w:rPr>
        <w:t xml:space="preserve"> Boston: Harvard Business Review Press.</w:t>
      </w:r>
    </w:p>
    <w:p xmlns:wp14="http://schemas.microsoft.com/office/word/2010/wordml" w:rsidP="681D4CEA" wp14:paraId="05C807BE" wp14:textId="75F52AA7">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Handy, C. (1993) </w:t>
      </w:r>
      <w:r w:rsidRPr="681D4CEA" w:rsidR="45D41373">
        <w:rPr>
          <w:rFonts w:ascii="Arial" w:hAnsi="Arial" w:eastAsia="Arial" w:cs="Arial"/>
          <w:i w:val="1"/>
          <w:iCs w:val="1"/>
          <w:noProof w:val="0"/>
          <w:color w:val="000000" w:themeColor="text1" w:themeTint="FF" w:themeShade="FF"/>
          <w:sz w:val="22"/>
          <w:szCs w:val="22"/>
          <w:lang w:val="en-GB"/>
        </w:rPr>
        <w:t>Understanding Organisations.</w:t>
      </w:r>
      <w:r w:rsidRPr="681D4CEA" w:rsidR="45D41373">
        <w:rPr>
          <w:rFonts w:ascii="Arial" w:hAnsi="Arial" w:eastAsia="Arial" w:cs="Arial"/>
          <w:noProof w:val="0"/>
          <w:color w:val="000000" w:themeColor="text1" w:themeTint="FF" w:themeShade="FF"/>
          <w:sz w:val="22"/>
          <w:szCs w:val="22"/>
          <w:lang w:val="en-GB"/>
        </w:rPr>
        <w:t xml:space="preserve"> 4th ed. London: Penguin.</w:t>
      </w:r>
    </w:p>
    <w:p xmlns:wp14="http://schemas.microsoft.com/office/word/2010/wordml" w:rsidP="681D4CEA" wp14:paraId="74E28F18" wp14:textId="02468A3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Hofstede, G., Hofstede, G.J., and Minkov, M. (2010) </w:t>
      </w:r>
      <w:r w:rsidRPr="681D4CEA" w:rsidR="45D41373">
        <w:rPr>
          <w:rFonts w:ascii="Arial" w:hAnsi="Arial" w:eastAsia="Arial" w:cs="Arial"/>
          <w:i w:val="1"/>
          <w:iCs w:val="1"/>
          <w:noProof w:val="0"/>
          <w:color w:val="000000" w:themeColor="text1" w:themeTint="FF" w:themeShade="FF"/>
          <w:sz w:val="22"/>
          <w:szCs w:val="22"/>
          <w:lang w:val="en-GB"/>
        </w:rPr>
        <w:t>Cultures and Organisations: Software of the Mind.</w:t>
      </w:r>
      <w:r w:rsidRPr="681D4CEA" w:rsidR="45D41373">
        <w:rPr>
          <w:rFonts w:ascii="Arial" w:hAnsi="Arial" w:eastAsia="Arial" w:cs="Arial"/>
          <w:noProof w:val="0"/>
          <w:color w:val="000000" w:themeColor="text1" w:themeTint="FF" w:themeShade="FF"/>
          <w:sz w:val="22"/>
          <w:szCs w:val="22"/>
          <w:lang w:val="en-GB"/>
        </w:rPr>
        <w:t xml:space="preserve"> 3rd ed. New York: McGraw-Hill.</w:t>
      </w:r>
    </w:p>
    <w:p xmlns:wp14="http://schemas.microsoft.com/office/word/2010/wordml" w:rsidP="681D4CEA" wp14:paraId="7172BFD3" wp14:textId="6BD485F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Imai, M. (2012) </w:t>
      </w:r>
      <w:r w:rsidRPr="681D4CEA" w:rsidR="45D41373">
        <w:rPr>
          <w:rFonts w:ascii="Arial" w:hAnsi="Arial" w:eastAsia="Arial" w:cs="Arial"/>
          <w:i w:val="1"/>
          <w:iCs w:val="1"/>
          <w:noProof w:val="0"/>
          <w:color w:val="000000" w:themeColor="text1" w:themeTint="FF" w:themeShade="FF"/>
          <w:sz w:val="22"/>
          <w:szCs w:val="22"/>
          <w:lang w:val="en-GB"/>
        </w:rPr>
        <w:t>Gemba Kaizen: A Commonsense, Low-Cost Approach to Management.</w:t>
      </w:r>
      <w:r w:rsidRPr="681D4CEA" w:rsidR="45D41373">
        <w:rPr>
          <w:rFonts w:ascii="Arial" w:hAnsi="Arial" w:eastAsia="Arial" w:cs="Arial"/>
          <w:noProof w:val="0"/>
          <w:color w:val="000000" w:themeColor="text1" w:themeTint="FF" w:themeShade="FF"/>
          <w:sz w:val="22"/>
          <w:szCs w:val="22"/>
          <w:lang w:val="en-GB"/>
        </w:rPr>
        <w:t xml:space="preserve"> 2nd ed. New York: McGraw-Hill.</w:t>
      </w:r>
    </w:p>
    <w:p xmlns:wp14="http://schemas.microsoft.com/office/word/2010/wordml" w:rsidP="681D4CEA" wp14:paraId="6F1B7661" wp14:textId="30EB98A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Liker, J.K. (2004) </w:t>
      </w:r>
      <w:r w:rsidRPr="681D4CEA" w:rsidR="45D41373">
        <w:rPr>
          <w:rFonts w:ascii="Arial" w:hAnsi="Arial" w:eastAsia="Arial" w:cs="Arial"/>
          <w:i w:val="1"/>
          <w:iCs w:val="1"/>
          <w:noProof w:val="0"/>
          <w:color w:val="000000" w:themeColor="text1" w:themeTint="FF" w:themeShade="FF"/>
          <w:sz w:val="22"/>
          <w:szCs w:val="22"/>
          <w:lang w:val="en-GB"/>
        </w:rPr>
        <w:t>The Toyota Way: 14 Management Principles from the World’s Greatest Manufacturer.</w:t>
      </w:r>
      <w:r w:rsidRPr="681D4CEA" w:rsidR="45D41373">
        <w:rPr>
          <w:rFonts w:ascii="Arial" w:hAnsi="Arial" w:eastAsia="Arial" w:cs="Arial"/>
          <w:noProof w:val="0"/>
          <w:color w:val="000000" w:themeColor="text1" w:themeTint="FF" w:themeShade="FF"/>
          <w:sz w:val="22"/>
          <w:szCs w:val="22"/>
          <w:lang w:val="en-GB"/>
        </w:rPr>
        <w:t xml:space="preserve"> New York: McGraw-Hill.</w:t>
      </w:r>
    </w:p>
    <w:p xmlns:wp14="http://schemas.microsoft.com/office/word/2010/wordml" w:rsidP="681D4CEA" wp14:paraId="71D543BA" wp14:textId="61EEB48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Liker, J.K., and </w:t>
      </w:r>
      <w:r w:rsidRPr="681D4CEA" w:rsidR="45D41373">
        <w:rPr>
          <w:rFonts w:ascii="Arial" w:hAnsi="Arial" w:eastAsia="Arial" w:cs="Arial"/>
          <w:noProof w:val="0"/>
          <w:color w:val="000000" w:themeColor="text1" w:themeTint="FF" w:themeShade="FF"/>
          <w:sz w:val="22"/>
          <w:szCs w:val="22"/>
          <w:lang w:val="en-GB"/>
        </w:rPr>
        <w:t>Hoseus</w:t>
      </w:r>
      <w:r w:rsidRPr="681D4CEA" w:rsidR="45D41373">
        <w:rPr>
          <w:rFonts w:ascii="Arial" w:hAnsi="Arial" w:eastAsia="Arial" w:cs="Arial"/>
          <w:noProof w:val="0"/>
          <w:color w:val="000000" w:themeColor="text1" w:themeTint="FF" w:themeShade="FF"/>
          <w:sz w:val="22"/>
          <w:szCs w:val="22"/>
          <w:lang w:val="en-GB"/>
        </w:rPr>
        <w:t xml:space="preserve">, M. (2008) </w:t>
      </w:r>
      <w:r w:rsidRPr="681D4CEA" w:rsidR="45D41373">
        <w:rPr>
          <w:rFonts w:ascii="Arial" w:hAnsi="Arial" w:eastAsia="Arial" w:cs="Arial"/>
          <w:i w:val="1"/>
          <w:iCs w:val="1"/>
          <w:noProof w:val="0"/>
          <w:color w:val="000000" w:themeColor="text1" w:themeTint="FF" w:themeShade="FF"/>
          <w:sz w:val="22"/>
          <w:szCs w:val="22"/>
          <w:lang w:val="en-GB"/>
        </w:rPr>
        <w:t>Toyota Culture: The Heart and Soul of the Toyota Way.</w:t>
      </w:r>
      <w:r w:rsidRPr="681D4CEA" w:rsidR="45D41373">
        <w:rPr>
          <w:rFonts w:ascii="Arial" w:hAnsi="Arial" w:eastAsia="Arial" w:cs="Arial"/>
          <w:noProof w:val="0"/>
          <w:color w:val="000000" w:themeColor="text1" w:themeTint="FF" w:themeShade="FF"/>
          <w:sz w:val="22"/>
          <w:szCs w:val="22"/>
          <w:lang w:val="en-GB"/>
        </w:rPr>
        <w:t xml:space="preserve"> New York: McGraw-Hill.</w:t>
      </w:r>
    </w:p>
    <w:p xmlns:wp14="http://schemas.microsoft.com/office/word/2010/wordml" w:rsidP="681D4CEA" wp14:paraId="69BC948D" wp14:textId="536E0C1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Mullins, L. and Christy, G. (2016) </w:t>
      </w:r>
      <w:r w:rsidRPr="681D4CEA" w:rsidR="45D41373">
        <w:rPr>
          <w:rFonts w:ascii="Arial" w:hAnsi="Arial" w:eastAsia="Arial" w:cs="Arial"/>
          <w:i w:val="1"/>
          <w:iCs w:val="1"/>
          <w:noProof w:val="0"/>
          <w:color w:val="000000" w:themeColor="text1" w:themeTint="FF" w:themeShade="FF"/>
          <w:sz w:val="22"/>
          <w:szCs w:val="22"/>
          <w:lang w:val="en-GB"/>
        </w:rPr>
        <w:t>Management and Organisational Behaviour.</w:t>
      </w:r>
      <w:r w:rsidRPr="681D4CEA" w:rsidR="45D41373">
        <w:rPr>
          <w:rFonts w:ascii="Arial" w:hAnsi="Arial" w:eastAsia="Arial" w:cs="Arial"/>
          <w:noProof w:val="0"/>
          <w:color w:val="000000" w:themeColor="text1" w:themeTint="FF" w:themeShade="FF"/>
          <w:sz w:val="22"/>
          <w:szCs w:val="22"/>
          <w:lang w:val="en-GB"/>
        </w:rPr>
        <w:t xml:space="preserve"> 11th ed. Harlow: Pearson.</w:t>
      </w:r>
    </w:p>
    <w:p xmlns:wp14="http://schemas.microsoft.com/office/word/2010/wordml" w:rsidP="681D4CEA" wp14:paraId="1C89A64A" wp14:textId="06BBDCA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Nonaka, I., and Takeuchi, H. (1995) </w:t>
      </w:r>
      <w:r w:rsidRPr="681D4CEA" w:rsidR="45D41373">
        <w:rPr>
          <w:rFonts w:ascii="Arial" w:hAnsi="Arial" w:eastAsia="Arial" w:cs="Arial"/>
          <w:i w:val="1"/>
          <w:iCs w:val="1"/>
          <w:noProof w:val="0"/>
          <w:color w:val="000000" w:themeColor="text1" w:themeTint="FF" w:themeShade="FF"/>
          <w:sz w:val="22"/>
          <w:szCs w:val="22"/>
          <w:lang w:val="en-GB"/>
        </w:rPr>
        <w:t>The Knowledge-Creating Company: How Japanese Companies Create the Dynamics of Innovation.</w:t>
      </w:r>
      <w:r w:rsidRPr="681D4CEA" w:rsidR="45D41373">
        <w:rPr>
          <w:rFonts w:ascii="Arial" w:hAnsi="Arial" w:eastAsia="Arial" w:cs="Arial"/>
          <w:noProof w:val="0"/>
          <w:color w:val="000000" w:themeColor="text1" w:themeTint="FF" w:themeShade="FF"/>
          <w:sz w:val="22"/>
          <w:szCs w:val="22"/>
          <w:lang w:val="en-GB"/>
        </w:rPr>
        <w:t xml:space="preserve"> New York: Oxford University Press.</w:t>
      </w:r>
    </w:p>
    <w:p xmlns:wp14="http://schemas.microsoft.com/office/word/2010/wordml" w:rsidP="681D4CEA" wp14:paraId="25A68F4C" wp14:textId="77A7597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Ohno, T. (1988) </w:t>
      </w:r>
      <w:r w:rsidRPr="681D4CEA" w:rsidR="45D41373">
        <w:rPr>
          <w:rFonts w:ascii="Arial" w:hAnsi="Arial" w:eastAsia="Arial" w:cs="Arial"/>
          <w:i w:val="1"/>
          <w:iCs w:val="1"/>
          <w:noProof w:val="0"/>
          <w:color w:val="000000" w:themeColor="text1" w:themeTint="FF" w:themeShade="FF"/>
          <w:sz w:val="22"/>
          <w:szCs w:val="22"/>
          <w:lang w:val="en-GB"/>
        </w:rPr>
        <w:t>Toyota Production System: Beyond Large-Scale Production.</w:t>
      </w:r>
      <w:r w:rsidRPr="681D4CEA" w:rsidR="45D41373">
        <w:rPr>
          <w:rFonts w:ascii="Arial" w:hAnsi="Arial" w:eastAsia="Arial" w:cs="Arial"/>
          <w:noProof w:val="0"/>
          <w:color w:val="000000" w:themeColor="text1" w:themeTint="FF" w:themeShade="FF"/>
          <w:sz w:val="22"/>
          <w:szCs w:val="22"/>
          <w:lang w:val="en-GB"/>
        </w:rPr>
        <w:t xml:space="preserve"> Portland: Productivity Press.</w:t>
      </w:r>
    </w:p>
    <w:p xmlns:wp14="http://schemas.microsoft.com/office/word/2010/wordml" w:rsidP="681D4CEA" wp14:paraId="13C7F9DE" wp14:textId="04449BB7">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Rother, M. (2010) </w:t>
      </w:r>
      <w:r w:rsidRPr="681D4CEA" w:rsidR="45D41373">
        <w:rPr>
          <w:rFonts w:ascii="Arial" w:hAnsi="Arial" w:eastAsia="Arial" w:cs="Arial"/>
          <w:i w:val="1"/>
          <w:iCs w:val="1"/>
          <w:noProof w:val="0"/>
          <w:color w:val="000000" w:themeColor="text1" w:themeTint="FF" w:themeShade="FF"/>
          <w:sz w:val="22"/>
          <w:szCs w:val="22"/>
          <w:lang w:val="en-GB"/>
        </w:rPr>
        <w:t>Toyota Kata: Managing People for Improvement, Adaptiveness and Superior Results.</w:t>
      </w:r>
      <w:r w:rsidRPr="681D4CEA" w:rsidR="45D41373">
        <w:rPr>
          <w:rFonts w:ascii="Arial" w:hAnsi="Arial" w:eastAsia="Arial" w:cs="Arial"/>
          <w:noProof w:val="0"/>
          <w:color w:val="000000" w:themeColor="text1" w:themeTint="FF" w:themeShade="FF"/>
          <w:sz w:val="22"/>
          <w:szCs w:val="22"/>
          <w:lang w:val="en-GB"/>
        </w:rPr>
        <w:t xml:space="preserve"> New York: McGraw-Hill.</w:t>
      </w:r>
    </w:p>
    <w:p xmlns:wp14="http://schemas.microsoft.com/office/word/2010/wordml" w:rsidP="681D4CEA" wp14:paraId="5F889151" wp14:textId="044F8EA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Schein, E.H. (2010) </w:t>
      </w:r>
      <w:r w:rsidRPr="681D4CEA" w:rsidR="45D41373">
        <w:rPr>
          <w:rFonts w:ascii="Arial" w:hAnsi="Arial" w:eastAsia="Arial" w:cs="Arial"/>
          <w:i w:val="1"/>
          <w:iCs w:val="1"/>
          <w:noProof w:val="0"/>
          <w:color w:val="000000" w:themeColor="text1" w:themeTint="FF" w:themeShade="FF"/>
          <w:sz w:val="22"/>
          <w:szCs w:val="22"/>
          <w:lang w:val="en-GB"/>
        </w:rPr>
        <w:t>Organizational Culture and Leadership.</w:t>
      </w:r>
      <w:r w:rsidRPr="681D4CEA" w:rsidR="45D41373">
        <w:rPr>
          <w:rFonts w:ascii="Arial" w:hAnsi="Arial" w:eastAsia="Arial" w:cs="Arial"/>
          <w:noProof w:val="0"/>
          <w:color w:val="000000" w:themeColor="text1" w:themeTint="FF" w:themeShade="FF"/>
          <w:sz w:val="22"/>
          <w:szCs w:val="22"/>
          <w:lang w:val="en-GB"/>
        </w:rPr>
        <w:t xml:space="preserve"> 4th ed. San Francisco: Jossey-Bass.</w:t>
      </w:r>
    </w:p>
    <w:p xmlns:wp14="http://schemas.microsoft.com/office/word/2010/wordml" w:rsidP="681D4CEA" wp14:paraId="095E363C" wp14:textId="469DBC6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81D4CEA" w:rsidR="45D41373">
        <w:rPr>
          <w:rFonts w:ascii="Arial" w:hAnsi="Arial" w:eastAsia="Arial" w:cs="Arial"/>
          <w:noProof w:val="0"/>
          <w:color w:val="000000" w:themeColor="text1" w:themeTint="FF" w:themeShade="FF"/>
          <w:sz w:val="22"/>
          <w:szCs w:val="22"/>
          <w:lang w:val="en-GB"/>
        </w:rPr>
        <w:t xml:space="preserve">Toyota. (2023) </w:t>
      </w:r>
      <w:r w:rsidRPr="681D4CEA" w:rsidR="45D41373">
        <w:rPr>
          <w:rFonts w:ascii="Arial" w:hAnsi="Arial" w:eastAsia="Arial" w:cs="Arial"/>
          <w:i w:val="1"/>
          <w:iCs w:val="1"/>
          <w:noProof w:val="0"/>
          <w:color w:val="000000" w:themeColor="text1" w:themeTint="FF" w:themeShade="FF"/>
          <w:sz w:val="22"/>
          <w:szCs w:val="22"/>
          <w:lang w:val="en-GB"/>
        </w:rPr>
        <w:t>Sustainability Report 2023.</w:t>
      </w:r>
      <w:r w:rsidRPr="681D4CEA" w:rsidR="45D41373">
        <w:rPr>
          <w:rFonts w:ascii="Arial" w:hAnsi="Arial" w:eastAsia="Arial" w:cs="Arial"/>
          <w:noProof w:val="0"/>
          <w:color w:val="000000" w:themeColor="text1" w:themeTint="FF" w:themeShade="FF"/>
          <w:sz w:val="22"/>
          <w:szCs w:val="22"/>
          <w:lang w:val="en-GB"/>
        </w:rPr>
        <w:t xml:space="preserve"> Available at: </w:t>
      </w:r>
      <w:hyperlink r:id="Rf436fa1523bd4620">
        <w:r w:rsidRPr="681D4CEA" w:rsidR="45D41373">
          <w:rPr>
            <w:rStyle w:val="Hyperlink"/>
            <w:rFonts w:ascii="Arial" w:hAnsi="Arial" w:eastAsia="Arial" w:cs="Arial"/>
            <w:noProof w:val="0"/>
            <w:color w:val="000000" w:themeColor="text1" w:themeTint="FF" w:themeShade="FF"/>
            <w:sz w:val="22"/>
            <w:szCs w:val="22"/>
            <w:lang w:val="en-GB"/>
          </w:rPr>
          <w:t>https://global.toyota/en/sustainability</w:t>
        </w:r>
      </w:hyperlink>
      <w:r w:rsidRPr="681D4CEA" w:rsidR="45D41373">
        <w:rPr>
          <w:rFonts w:ascii="Arial" w:hAnsi="Arial" w:eastAsia="Arial" w:cs="Arial"/>
          <w:noProof w:val="0"/>
          <w:color w:val="000000" w:themeColor="text1" w:themeTint="FF" w:themeShade="FF"/>
          <w:sz w:val="22"/>
          <w:szCs w:val="22"/>
          <w:lang w:val="en-GB"/>
        </w:rPr>
        <w:t xml:space="preserve"> </w:t>
      </w:r>
      <w:r w:rsidRPr="681D4CEA" w:rsidR="325B8B3F">
        <w:rPr>
          <w:rFonts w:ascii="Arial" w:hAnsi="Arial" w:eastAsia="Arial" w:cs="Arial"/>
          <w:noProof w:val="0"/>
          <w:color w:val="000000" w:themeColor="text1" w:themeTint="FF" w:themeShade="FF"/>
          <w:sz w:val="22"/>
          <w:szCs w:val="22"/>
          <w:lang w:val="en-GB"/>
        </w:rPr>
        <w:t>(</w:t>
      </w:r>
      <w:r w:rsidRPr="681D4CEA" w:rsidR="45D41373">
        <w:rPr>
          <w:rFonts w:ascii="Arial" w:hAnsi="Arial" w:eastAsia="Arial" w:cs="Arial"/>
          <w:noProof w:val="0"/>
          <w:color w:val="000000" w:themeColor="text1" w:themeTint="FF" w:themeShade="FF"/>
          <w:sz w:val="22"/>
          <w:szCs w:val="22"/>
          <w:lang w:val="en-GB"/>
        </w:rPr>
        <w:t>Accessed 9 November 2025</w:t>
      </w:r>
      <w:r w:rsidRPr="681D4CEA" w:rsidR="6B4AAE87">
        <w:rPr>
          <w:rFonts w:ascii="Arial" w:hAnsi="Arial" w:eastAsia="Arial" w:cs="Arial"/>
          <w:noProof w:val="0"/>
          <w:color w:val="000000" w:themeColor="text1" w:themeTint="FF" w:themeShade="FF"/>
          <w:sz w:val="22"/>
          <w:szCs w:val="22"/>
          <w:lang w:val="en-GB"/>
        </w:rPr>
        <w:t>)</w:t>
      </w:r>
      <w:r w:rsidRPr="681D4CEA" w:rsidR="45D41373">
        <w:rPr>
          <w:rFonts w:ascii="Arial" w:hAnsi="Arial" w:eastAsia="Arial" w:cs="Arial"/>
          <w:noProof w:val="0"/>
          <w:color w:val="000000" w:themeColor="text1" w:themeTint="FF" w:themeShade="FF"/>
          <w:sz w:val="22"/>
          <w:szCs w:val="22"/>
          <w:lang w:val="en-GB"/>
        </w:rPr>
        <w:t>.</w:t>
      </w:r>
    </w:p>
    <w:p xmlns:wp14="http://schemas.microsoft.com/office/word/2010/wordml" w:rsidP="681D4CEA" wp14:paraId="3F82BB77" wp14:textId="57287FF5">
      <w:pPr>
        <w:pStyle w:val="Normal"/>
      </w:pPr>
    </w:p>
    <w:p xmlns:wp14="http://schemas.microsoft.com/office/word/2010/wordml" wp14:paraId="5E5787A5" wp14:textId="31BF6A4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8">
    <w:nsid w:val="4d9e6e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4fe55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b7c7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2e146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2ec97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2d49c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d01c2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2ac79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91043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86862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359e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c2e7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8295b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458ef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384b8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d7bab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c1f1d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f69ba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e6d3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570fd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5ff6f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f57db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3788e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96e24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4bba8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6ff22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6a90a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6dca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44C701"/>
    <w:rsid w:val="01B5674B"/>
    <w:rsid w:val="01FCD677"/>
    <w:rsid w:val="02F589B0"/>
    <w:rsid w:val="041BD6B4"/>
    <w:rsid w:val="07FB1E57"/>
    <w:rsid w:val="0AE565E0"/>
    <w:rsid w:val="0CF45875"/>
    <w:rsid w:val="15D2AB46"/>
    <w:rsid w:val="1D44C701"/>
    <w:rsid w:val="20417E09"/>
    <w:rsid w:val="2DAEFB29"/>
    <w:rsid w:val="325B8B3F"/>
    <w:rsid w:val="3362E268"/>
    <w:rsid w:val="33DF44F6"/>
    <w:rsid w:val="383F61AB"/>
    <w:rsid w:val="3DB046D6"/>
    <w:rsid w:val="45D41373"/>
    <w:rsid w:val="473A36B9"/>
    <w:rsid w:val="479FC63F"/>
    <w:rsid w:val="482940CB"/>
    <w:rsid w:val="5218777F"/>
    <w:rsid w:val="58D73A41"/>
    <w:rsid w:val="636C0DA2"/>
    <w:rsid w:val="6550FDCB"/>
    <w:rsid w:val="681D4CEA"/>
    <w:rsid w:val="69342F74"/>
    <w:rsid w:val="6B4AAE87"/>
    <w:rsid w:val="6BE1A38D"/>
    <w:rsid w:val="721FDBB5"/>
    <w:rsid w:val="7329CBF9"/>
    <w:rsid w:val="73C535EA"/>
    <w:rsid w:val="7A61323E"/>
    <w:rsid w:val="7B95AB10"/>
    <w:rsid w:val="7C5D0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4C701"/>
  <w15:chartTrackingRefBased/>
  <w15:docId w15:val="{54CB3902-E791-466A-B989-3FF9048767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81D4CE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81D4CE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81D4CE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81D4CEA"/>
    <w:pPr>
      <w:spacing/>
      <w:ind w:left="720"/>
      <w:contextualSpacing/>
    </w:pPr>
  </w:style>
  <w:style w:type="character" w:styleId="Hyperlink">
    <w:uiPriority w:val="99"/>
    <w:name w:val="Hyperlink"/>
    <w:basedOn w:val="DefaultParagraphFont"/>
    <w:unhideWhenUsed/>
    <w:rsid w:val="681D4CEA"/>
    <w:rPr>
      <w:color w:val="467886"/>
      <w:u w:val="single"/>
    </w:rPr>
  </w:style>
  <w:style w:type="paragraph" w:styleId="Heading4">
    <w:uiPriority w:val="9"/>
    <w:name w:val="heading 4"/>
    <w:basedOn w:val="Normal"/>
    <w:next w:val="Normal"/>
    <w:unhideWhenUsed/>
    <w:qFormat/>
    <w:rsid w:val="0CF45875"/>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global.toyota/en/sustainability" TargetMode="External" Id="Rf436fa1523bd4620" /><Relationship Type="http://schemas.openxmlformats.org/officeDocument/2006/relationships/numbering" Target="/word/numbering.xml" Id="R18a7c519c4524ed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Toseef Waseem (2319155)</dc:creator>
  <keywords/>
  <dc:description/>
  <lastModifiedBy>Toseef Waseem (2319155)</lastModifiedBy>
  <revision>3</revision>
  <dcterms:created xsi:type="dcterms:W3CDTF">2025-11-09T19:17:36.6901949Z</dcterms:created>
  <dcterms:modified xsi:type="dcterms:W3CDTF">2025-11-09T20:55:27.9501825Z</dcterms:modified>
</coreProperties>
</file>