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8007CF"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r w:rsidRPr="00346731">
        <w:rPr>
          <w:rStyle w:val="normaltextrun"/>
          <w:rFonts w:asciiTheme="minorHAnsi" w:eastAsiaTheme="majorEastAsia" w:hAnsiTheme="minorHAnsi" w:cs="Segoe UI"/>
          <w:sz w:val="22"/>
          <w:szCs w:val="22"/>
        </w:rPr>
        <w:t>Stacey DAVIES student number 2236373</w:t>
      </w:r>
      <w:r w:rsidRPr="00346731">
        <w:rPr>
          <w:rStyle w:val="eop"/>
          <w:rFonts w:asciiTheme="minorHAnsi" w:eastAsiaTheme="majorEastAsia" w:hAnsiTheme="minorHAnsi" w:cs="Segoe UI"/>
          <w:sz w:val="22"/>
          <w:szCs w:val="22"/>
        </w:rPr>
        <w:t> </w:t>
      </w:r>
    </w:p>
    <w:p w14:paraId="56B892CC"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r w:rsidRPr="00346731">
        <w:rPr>
          <w:rStyle w:val="normaltextrun"/>
          <w:rFonts w:asciiTheme="minorHAnsi" w:eastAsiaTheme="majorEastAsia" w:hAnsiTheme="minorHAnsi" w:cs="Segoe UI"/>
          <w:b/>
          <w:bCs/>
          <w:sz w:val="22"/>
          <w:szCs w:val="22"/>
        </w:rPr>
        <w:t>How might personal attitudes, values and bias impact upon the effective investigation of volume crime?</w:t>
      </w:r>
      <w:r w:rsidRPr="00346731">
        <w:rPr>
          <w:rStyle w:val="eop"/>
          <w:rFonts w:asciiTheme="minorHAnsi" w:eastAsiaTheme="majorEastAsia" w:hAnsiTheme="minorHAnsi" w:cs="Segoe UI"/>
          <w:sz w:val="22"/>
          <w:szCs w:val="22"/>
        </w:rPr>
        <w:t> </w:t>
      </w:r>
    </w:p>
    <w:p w14:paraId="01E48D08" w14:textId="63526DF8" w:rsidR="00027A5E" w:rsidRPr="00346731" w:rsidRDefault="00027A5E" w:rsidP="00027A5E">
      <w:pPr>
        <w:pStyle w:val="paragraph"/>
        <w:textAlignment w:val="baseline"/>
        <w:rPr>
          <w:rStyle w:val="normaltextrun"/>
          <w:rFonts w:asciiTheme="minorHAnsi" w:eastAsiaTheme="majorEastAsia" w:hAnsiTheme="minorHAnsi"/>
          <w:sz w:val="22"/>
          <w:szCs w:val="22"/>
        </w:rPr>
      </w:pPr>
      <w:r w:rsidRPr="00346731">
        <w:rPr>
          <w:rStyle w:val="normaltextrun"/>
          <w:rFonts w:asciiTheme="minorHAnsi" w:eastAsiaTheme="majorEastAsia" w:hAnsiTheme="minorHAnsi" w:cs="Segoe UI"/>
          <w:sz w:val="22"/>
          <w:szCs w:val="22"/>
        </w:rPr>
        <w:t>Volume crime refers to frequently occurring offenses with lower severity, such as low-level theft, shoplifting, and vandalism. While each incident may be less serious than violent crimes, their high prevalence can significantly impact communities. Lawrence Cohen and Marcus Felson are theories focusing on high volume crime. In the late 1970s they developed the Routine Activity Theory. This theory suggests that volume crimes occur when three elements converge: a motivated offender, a suitable target, and a lack of capable guardianship,</w:t>
      </w:r>
      <w:r w:rsidR="00FB7C7C" w:rsidRPr="00346731">
        <w:rPr>
          <w:rStyle w:val="normaltextrun"/>
          <w:rFonts w:asciiTheme="minorHAnsi" w:eastAsiaTheme="majorEastAsia" w:hAnsiTheme="minorHAnsi" w:cs="Segoe UI"/>
          <w:sz w:val="22"/>
          <w:szCs w:val="22"/>
        </w:rPr>
        <w:t xml:space="preserve"> (McNeeley, 2015). </w:t>
      </w:r>
      <w:r w:rsidRPr="00346731">
        <w:rPr>
          <w:rStyle w:val="normaltextrun"/>
          <w:rFonts w:asciiTheme="minorHAnsi" w:eastAsiaTheme="majorEastAsia" w:hAnsiTheme="minorHAnsi" w:cs="Segoe UI"/>
          <w:sz w:val="22"/>
          <w:szCs w:val="22"/>
        </w:rPr>
        <w:t>Another relevant framework is Broken Windows Theory, proposed by James Q. Wilson and George L. Kelling. This theory argues that addressing minor offenses, like vandalism and disorderly behaviour, can prevent more serious crimes, highlighting the importance of tackling volume crimes to maintain community order and safety, (Bhowmik, Keesee, 2019). Both theories emphasize the environmental and social contexts that contribute to the prevalence of volume crimes.</w:t>
      </w:r>
    </w:p>
    <w:p w14:paraId="694DF5FE" w14:textId="66CDAEBB" w:rsidR="00027A5E" w:rsidRPr="00414489" w:rsidRDefault="00027A5E" w:rsidP="00027A5E">
      <w:pPr>
        <w:pStyle w:val="paragraph"/>
        <w:spacing w:before="0" w:beforeAutospacing="0" w:after="0" w:afterAutospacing="0"/>
        <w:textAlignment w:val="baseline"/>
        <w:rPr>
          <w:rFonts w:asciiTheme="minorHAnsi" w:eastAsiaTheme="majorEastAsia" w:hAnsiTheme="minorHAnsi"/>
          <w:sz w:val="22"/>
          <w:szCs w:val="22"/>
        </w:rPr>
      </w:pPr>
      <w:r w:rsidRPr="00346731">
        <w:rPr>
          <w:rStyle w:val="normaltextrun"/>
          <w:rFonts w:asciiTheme="minorHAnsi" w:eastAsiaTheme="majorEastAsia" w:hAnsiTheme="minorHAnsi" w:cs="Segoe UI"/>
          <w:sz w:val="22"/>
          <w:szCs w:val="22"/>
        </w:rPr>
        <w:t>Personal attitudes, values, and biases of individuals involved in the investigation process can significantly impact the effective investigation of volume crime.</w:t>
      </w:r>
      <w:r w:rsidRPr="00346731">
        <w:rPr>
          <w:rStyle w:val="eop"/>
          <w:rFonts w:asciiTheme="minorHAnsi" w:eastAsiaTheme="majorEastAsia" w:hAnsiTheme="minorHAnsi" w:cs="Segoe UI"/>
          <w:sz w:val="22"/>
          <w:szCs w:val="22"/>
        </w:rPr>
        <w:t> </w:t>
      </w:r>
      <w:proofErr w:type="spellStart"/>
      <w:r w:rsidRPr="00346731">
        <w:rPr>
          <w:rStyle w:val="normaltextrun"/>
          <w:rFonts w:asciiTheme="minorHAnsi" w:eastAsiaTheme="majorEastAsia" w:hAnsiTheme="minorHAnsi" w:cs="Segoe UI"/>
          <w:sz w:val="22"/>
          <w:szCs w:val="22"/>
        </w:rPr>
        <w:t>Bahti</w:t>
      </w:r>
      <w:proofErr w:type="spellEnd"/>
      <w:r w:rsidRPr="00346731">
        <w:rPr>
          <w:rStyle w:val="normaltextrun"/>
          <w:rFonts w:asciiTheme="minorHAnsi" w:eastAsiaTheme="majorEastAsia" w:hAnsiTheme="minorHAnsi" w:cs="Segoe UI"/>
          <w:sz w:val="22"/>
          <w:szCs w:val="22"/>
        </w:rPr>
        <w:t xml:space="preserve"> (2022) suggests that there are many ways in which this influence may manifest. Examples include stereotyping, profiling, selective perception, communication, decision making and judgement and community resolutions. Minas and Walsh (2021) agree that personal biases can lead investigators to rely on stereotypes or profiles, potentially resulting in the misidentification of suspects. This can contribute to the continuation of systemic biases and lead to the targeting of certain groups based on preconceived notions. </w:t>
      </w:r>
      <w:proofErr w:type="spellStart"/>
      <w:r w:rsidRPr="00346731">
        <w:rPr>
          <w:rStyle w:val="normaltextrun"/>
          <w:rFonts w:asciiTheme="minorHAnsi" w:eastAsiaTheme="majorEastAsia" w:hAnsiTheme="minorHAnsi" w:cs="Segoe UI"/>
          <w:sz w:val="22"/>
          <w:szCs w:val="22"/>
        </w:rPr>
        <w:t>Bahti</w:t>
      </w:r>
      <w:proofErr w:type="spellEnd"/>
      <w:r w:rsidRPr="00346731">
        <w:rPr>
          <w:rStyle w:val="normaltextrun"/>
          <w:rFonts w:asciiTheme="minorHAnsi" w:eastAsiaTheme="majorEastAsia" w:hAnsiTheme="minorHAnsi" w:cs="Segoe UI"/>
          <w:sz w:val="22"/>
          <w:szCs w:val="22"/>
        </w:rPr>
        <w:t xml:space="preserve"> (2022) claims that selective perception is a cognitive distortion which makes you overlook information around you and shifts your attention to things your mind tells you to. For this reason, investigators may unconsciously focus on certain aspects of a case that align with their personal beliefs or biases, potentially overlooking crucial evidence or alternative perspectives. This selective perception can hinder the thorough examination of all available information</w:t>
      </w:r>
      <w:r w:rsidRPr="00346731">
        <w:rPr>
          <w:rStyle w:val="eop"/>
          <w:rFonts w:asciiTheme="minorHAnsi" w:eastAsiaTheme="majorEastAsia" w:hAnsiTheme="minorHAnsi" w:cs="Segoe UI"/>
          <w:sz w:val="22"/>
          <w:szCs w:val="22"/>
        </w:rPr>
        <w:t> </w:t>
      </w:r>
    </w:p>
    <w:p w14:paraId="6EE2F6CC" w14:textId="73F5047E"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r w:rsidRPr="00346731">
        <w:rPr>
          <w:rStyle w:val="normaltextrun"/>
          <w:rFonts w:asciiTheme="minorHAnsi" w:eastAsiaTheme="majorEastAsia" w:hAnsiTheme="minorHAnsi" w:cs="Segoe UI"/>
          <w:sz w:val="22"/>
          <w:szCs w:val="22"/>
        </w:rPr>
        <w:t xml:space="preserve">Phillips-Wren &amp; Power (2019) believe that cognitive bias is connected to a person’s decision making because people learn and develop predictable thinking patterns. </w:t>
      </w:r>
      <w:r w:rsidR="00D102DB" w:rsidRPr="00346731">
        <w:rPr>
          <w:rStyle w:val="normaltextrun"/>
          <w:rFonts w:asciiTheme="minorHAnsi" w:eastAsiaTheme="majorEastAsia" w:hAnsiTheme="minorHAnsi" w:cs="Segoe UI"/>
          <w:sz w:val="22"/>
          <w:szCs w:val="22"/>
        </w:rPr>
        <w:t>Davies</w:t>
      </w:r>
      <w:r w:rsidRPr="00346731">
        <w:rPr>
          <w:rStyle w:val="normaltextrun"/>
          <w:rFonts w:asciiTheme="minorHAnsi" w:eastAsiaTheme="majorEastAsia" w:hAnsiTheme="minorHAnsi" w:cs="Segoe UI"/>
          <w:sz w:val="22"/>
          <w:szCs w:val="22"/>
        </w:rPr>
        <w:t xml:space="preserve"> (2019) agrees and believes that decisions can be influenced by behaviour. These similarities suggest that personal biases can impact decision-making processes, affecting how investigators prioritise leads, allocate resources, and make critical judgments during the investigation. This can influence the overall direction and success of the investigative process. </w:t>
      </w:r>
      <w:r w:rsidRPr="00346731">
        <w:rPr>
          <w:rStyle w:val="eop"/>
          <w:rFonts w:asciiTheme="minorHAnsi" w:eastAsiaTheme="majorEastAsia" w:hAnsiTheme="minorHAnsi" w:cs="Segoe UI"/>
          <w:sz w:val="22"/>
          <w:szCs w:val="22"/>
        </w:rPr>
        <w:t> </w:t>
      </w:r>
    </w:p>
    <w:p w14:paraId="1422F509" w14:textId="04FC3A7C" w:rsidR="00027A5E" w:rsidRPr="00346731" w:rsidRDefault="00027A5E" w:rsidP="00027A5E">
      <w:pPr>
        <w:pStyle w:val="paragraph"/>
        <w:textAlignment w:val="baseline"/>
        <w:rPr>
          <w:rFonts w:asciiTheme="minorHAnsi" w:hAnsiTheme="minorHAnsi" w:cs="Segoe UI"/>
          <w:sz w:val="22"/>
          <w:szCs w:val="22"/>
        </w:rPr>
      </w:pPr>
      <w:r w:rsidRPr="00346731">
        <w:rPr>
          <w:rFonts w:asciiTheme="minorHAnsi" w:hAnsiTheme="minorHAnsi" w:cs="Segoe UI"/>
          <w:sz w:val="22"/>
          <w:szCs w:val="22"/>
        </w:rPr>
        <w:t>Minhas, R., &amp; Walsh, D. (2021) propose that Investigators' personal beliefs about certain communities or demographics can lead to biased perceptions of victims and suspects. For instance, if an investigator holds negative stereotypes about a particular neighbourhood, they may prioritize or deprioritize certain cases based on these biases, affecting the thoroughness and objectivity of the investigation. Foreman (2020) supports this idea and suggests that biases can influence how individuals approach situations and individuals. She believes that biases can pose as a threat. Because of this, investigators may approach their investigations with bias of “how worthy" they are of their attention. Investigators may unconsciously focus on crimes in areas they perceive as more dangerous or on victims they deem more sympathetic, potentially leading to neglect of other cases. As a result, this could skew crime statistics and resource allocation.</w:t>
      </w:r>
      <w:r w:rsidRPr="00346731">
        <w:rPr>
          <w:rFonts w:asciiTheme="minorHAnsi" w:hAnsiTheme="minorHAnsi"/>
          <w:sz w:val="22"/>
          <w:szCs w:val="22"/>
        </w:rPr>
        <w:t xml:space="preserve"> </w:t>
      </w:r>
      <w:r w:rsidRPr="00346731">
        <w:rPr>
          <w:rFonts w:asciiTheme="minorHAnsi" w:hAnsiTheme="minorHAnsi" w:cs="Segoe UI"/>
          <w:sz w:val="22"/>
          <w:szCs w:val="22"/>
        </w:rPr>
        <w:t>Personal biases are subjective views that affect our perceptions and decisions, influenced by experiences and culture. Recognising them is vital for fair judgment and effective communication, (Foreman</w:t>
      </w:r>
      <w:r w:rsidR="00D102DB" w:rsidRPr="00346731">
        <w:rPr>
          <w:rFonts w:asciiTheme="minorHAnsi" w:hAnsiTheme="minorHAnsi" w:cs="Segoe UI"/>
          <w:sz w:val="22"/>
          <w:szCs w:val="22"/>
        </w:rPr>
        <w:t>,</w:t>
      </w:r>
      <w:r w:rsidRPr="00346731">
        <w:rPr>
          <w:rFonts w:asciiTheme="minorHAnsi" w:hAnsiTheme="minorHAnsi" w:cs="Segoe UI"/>
          <w:sz w:val="22"/>
          <w:szCs w:val="22"/>
        </w:rPr>
        <w:t xml:space="preserve"> 2020). Worryingly, this supports that personal biases can influence how evidence is interpreted. Investigators may give undue weight to certain pieces of evidence </w:t>
      </w:r>
      <w:r w:rsidRPr="00346731">
        <w:rPr>
          <w:rFonts w:asciiTheme="minorHAnsi" w:hAnsiTheme="minorHAnsi" w:cs="Segoe UI"/>
          <w:sz w:val="22"/>
          <w:szCs w:val="22"/>
        </w:rPr>
        <w:lastRenderedPageBreak/>
        <w:t>that align with their preconceived notions while discounting evidence that contradicts their beliefs. This can lead to flawed conclusions and potentially wrongful accusation.</w:t>
      </w:r>
    </w:p>
    <w:p w14:paraId="474A60C2" w14:textId="77777777" w:rsidR="00862327" w:rsidRDefault="00027A5E" w:rsidP="00027A5E">
      <w:pPr>
        <w:pStyle w:val="paragraph"/>
        <w:textAlignment w:val="baseline"/>
        <w:rPr>
          <w:rFonts w:asciiTheme="minorHAnsi" w:hAnsiTheme="minorHAnsi" w:cs="Segoe UI"/>
          <w:sz w:val="22"/>
          <w:szCs w:val="22"/>
        </w:rPr>
      </w:pPr>
      <w:r w:rsidRPr="00346731">
        <w:rPr>
          <w:rFonts w:asciiTheme="minorHAnsi" w:hAnsiTheme="minorHAnsi" w:cs="Segoe UI"/>
          <w:sz w:val="22"/>
          <w:szCs w:val="22"/>
        </w:rPr>
        <w:t>Studies also show that communication and rapport building can have a vast impact on how volume crime is investigated. Lumb (2022) highlights the importance and influence of a police officer’s attitude when dealing with crime and communities. Attitudes towards certain groups can affect an investigator's ability to build rapport with victims and witnesses. A lack of trust may lead to reluctance in providing information, hindering the investigation. If investigators approach communities with preconceived notions, it can alienate potential sources of critical information.</w:t>
      </w:r>
    </w:p>
    <w:p w14:paraId="6FB81A89" w14:textId="7334AFD5" w:rsidR="00027A5E" w:rsidRPr="00346731" w:rsidRDefault="00027A5E" w:rsidP="00027A5E">
      <w:pPr>
        <w:pStyle w:val="paragraph"/>
        <w:textAlignment w:val="baseline"/>
        <w:rPr>
          <w:rFonts w:asciiTheme="minorHAnsi" w:hAnsiTheme="minorHAnsi" w:cs="Segoe UI"/>
          <w:sz w:val="22"/>
          <w:szCs w:val="22"/>
        </w:rPr>
      </w:pPr>
      <w:r w:rsidRPr="00346731">
        <w:rPr>
          <w:rFonts w:asciiTheme="minorHAnsi" w:hAnsiTheme="minorHAnsi" w:cs="Segoe UI"/>
          <w:sz w:val="22"/>
          <w:szCs w:val="22"/>
        </w:rPr>
        <w:t xml:space="preserve">It is argued that team dynamics and the leadership style can influence how high-volume crime is investigated. In a team setting, an investigator's attitudes and values can impact the group dynamic. Davis, Silvestri (2020) argues that a leader who exhibits bias may influence the team's culture, encouraging similar biases among team members. This can perpetuate systemic issues within the investigation process, leading to collective blind spots. However, there are agreements that suggests leadership is not simple and it can be broken up into leadership and management. Davis (2020) </w:t>
      </w:r>
      <w:r w:rsidR="00D102DB" w:rsidRPr="00346731">
        <w:rPr>
          <w:rFonts w:asciiTheme="minorHAnsi" w:hAnsiTheme="minorHAnsi" w:cs="Segoe UI"/>
          <w:sz w:val="22"/>
          <w:szCs w:val="22"/>
        </w:rPr>
        <w:t>argues</w:t>
      </w:r>
      <w:r w:rsidRPr="00346731">
        <w:rPr>
          <w:rFonts w:asciiTheme="minorHAnsi" w:hAnsiTheme="minorHAnsi" w:cs="Segoe UI"/>
          <w:sz w:val="22"/>
          <w:szCs w:val="22"/>
        </w:rPr>
        <w:t xml:space="preserve"> that police face two competing sets of expectations process, scrutiny and status quo in management but on the other hand you have risk taking of good leadership. </w:t>
      </w:r>
      <w:r w:rsidR="00D102DB" w:rsidRPr="00346731">
        <w:rPr>
          <w:rFonts w:asciiTheme="minorHAnsi" w:hAnsiTheme="minorHAnsi" w:cs="Segoe UI"/>
          <w:sz w:val="22"/>
          <w:szCs w:val="22"/>
        </w:rPr>
        <w:t>Both</w:t>
      </w:r>
      <w:r w:rsidRPr="00346731">
        <w:rPr>
          <w:rFonts w:asciiTheme="minorHAnsi" w:hAnsiTheme="minorHAnsi" w:cs="Segoe UI"/>
          <w:sz w:val="22"/>
          <w:szCs w:val="22"/>
        </w:rPr>
        <w:t xml:space="preserve"> can be seen as leadership, but with differing objectives. Furthermore, </w:t>
      </w:r>
      <w:r w:rsidR="00D102DB" w:rsidRPr="00346731">
        <w:rPr>
          <w:rFonts w:asciiTheme="minorHAnsi" w:hAnsiTheme="minorHAnsi" w:cs="Segoe UI"/>
          <w:sz w:val="22"/>
          <w:szCs w:val="22"/>
        </w:rPr>
        <w:t>D</w:t>
      </w:r>
      <w:r w:rsidRPr="00346731">
        <w:rPr>
          <w:rFonts w:asciiTheme="minorHAnsi" w:hAnsiTheme="minorHAnsi" w:cs="Segoe UI"/>
          <w:sz w:val="22"/>
          <w:szCs w:val="22"/>
        </w:rPr>
        <w:t xml:space="preserve">ennis (2010) believes that leadership is superior </w:t>
      </w:r>
      <w:proofErr w:type="gramStart"/>
      <w:r w:rsidRPr="00346731">
        <w:rPr>
          <w:rFonts w:asciiTheme="minorHAnsi" w:hAnsiTheme="minorHAnsi" w:cs="Segoe UI"/>
          <w:sz w:val="22"/>
          <w:szCs w:val="22"/>
        </w:rPr>
        <w:t>over</w:t>
      </w:r>
      <w:proofErr w:type="gramEnd"/>
      <w:r w:rsidRPr="00346731">
        <w:rPr>
          <w:rFonts w:asciiTheme="minorHAnsi" w:hAnsiTheme="minorHAnsi" w:cs="Segoe UI"/>
          <w:sz w:val="22"/>
          <w:szCs w:val="22"/>
        </w:rPr>
        <w:t xml:space="preserve"> management, which emphasis how vital strong, positive leaders are in police, managing high volume crime and serving communities in the best way possible. He believes the leader is the innovator. </w:t>
      </w:r>
    </w:p>
    <w:p w14:paraId="63CD544E" w14:textId="77777777" w:rsidR="00346731" w:rsidRDefault="00027A5E" w:rsidP="00346731">
      <w:pPr>
        <w:pStyle w:val="paragraph"/>
        <w:textAlignment w:val="baseline"/>
        <w:rPr>
          <w:rFonts w:asciiTheme="minorHAnsi" w:hAnsiTheme="minorHAnsi" w:cs="Segoe UI"/>
          <w:sz w:val="22"/>
          <w:szCs w:val="22"/>
        </w:rPr>
      </w:pPr>
      <w:r w:rsidRPr="00346731">
        <w:rPr>
          <w:rFonts w:asciiTheme="minorHAnsi" w:hAnsiTheme="minorHAnsi" w:cs="Segoe UI"/>
          <w:sz w:val="22"/>
          <w:szCs w:val="22"/>
        </w:rPr>
        <w:t xml:space="preserve">Additionally, training and awareness regarding personal biases plays a crucial role. Bias training in the workplace could help build a culture of inclusion. By encompassing training around various biases such as gender, racial, age, and unconscious bias it should help create a better approach to investigations of high-volume crime. By self-reflecting, active listening, feedback analyse decision making and observing interactions, it could help individuals gain a deeper understanding of social identities, recognize biases, and learn tools and strategies to manage and overcome them. Investigators who are educated about implicit bias may be more adept at recognising and mitigating its effects. Conversely, those who are unaware may operate on instinct, further entrenching biases in their work. </w:t>
      </w:r>
    </w:p>
    <w:p w14:paraId="79B850BC" w14:textId="329A481D" w:rsidR="00027A5E" w:rsidRPr="00346731" w:rsidRDefault="00027A5E" w:rsidP="00346731">
      <w:pPr>
        <w:pStyle w:val="paragraph"/>
        <w:textAlignment w:val="baseline"/>
        <w:rPr>
          <w:rFonts w:asciiTheme="minorHAnsi" w:hAnsiTheme="minorHAnsi" w:cs="Segoe UI"/>
          <w:sz w:val="22"/>
          <w:szCs w:val="22"/>
        </w:rPr>
      </w:pPr>
      <w:r w:rsidRPr="00346731">
        <w:rPr>
          <w:rFonts w:asciiTheme="minorHAnsi" w:hAnsiTheme="minorHAnsi" w:cs="Segoe UI"/>
          <w:sz w:val="22"/>
          <w:szCs w:val="22"/>
        </w:rPr>
        <w:t xml:space="preserve">To conclude, </w:t>
      </w:r>
      <w:r w:rsidR="00257195" w:rsidRPr="00346731">
        <w:rPr>
          <w:rFonts w:asciiTheme="minorHAnsi" w:hAnsiTheme="minorHAnsi" w:cs="Segoe UI"/>
          <w:sz w:val="22"/>
          <w:szCs w:val="22"/>
        </w:rPr>
        <w:t>to</w:t>
      </w:r>
      <w:r w:rsidRPr="00346731">
        <w:rPr>
          <w:rFonts w:asciiTheme="minorHAnsi" w:hAnsiTheme="minorHAnsi" w:cs="Segoe UI"/>
          <w:sz w:val="22"/>
          <w:szCs w:val="22"/>
        </w:rPr>
        <w:t xml:space="preserve"> mitigate the impact of personal attitudes, values, and biases on volume crime investigations, police should prioritise training in bias recognition, promote diversity within teams, and encourage community engagement. By fostering an environment of awareness and accountability, investigators can work more effectively, ensuring that their work is impartial and unbiassed. Trust is essential in tackling high volume crime, but biases can erode trust between communities and police. Effective crime solving is possible if investigators are seen to be fair and transparent. Strong leadership is also essential, as they have the capacity to influence and enhance how high-volume crime is investigated in communities.  </w:t>
      </w:r>
    </w:p>
    <w:p w14:paraId="2EFE34C8"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p>
    <w:p w14:paraId="693BB97D"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p>
    <w:p w14:paraId="4CD11F90" w14:textId="5019F2D5" w:rsidR="00802621" w:rsidRPr="00346731" w:rsidRDefault="00802621" w:rsidP="00027A5E">
      <w:pPr>
        <w:pStyle w:val="paragraph"/>
        <w:spacing w:before="0" w:beforeAutospacing="0" w:after="0" w:afterAutospacing="0"/>
        <w:textAlignment w:val="baseline"/>
        <w:rPr>
          <w:rFonts w:asciiTheme="minorHAnsi" w:hAnsiTheme="minorHAnsi" w:cs="Segoe UI"/>
          <w:sz w:val="22"/>
          <w:szCs w:val="22"/>
        </w:rPr>
      </w:pPr>
      <w:r w:rsidRPr="00346731">
        <w:rPr>
          <w:rStyle w:val="normaltextrun"/>
          <w:rFonts w:asciiTheme="minorHAnsi" w:eastAsiaTheme="majorEastAsia" w:hAnsiTheme="minorHAnsi" w:cs="Segoe UI"/>
          <w:sz w:val="22"/>
          <w:szCs w:val="22"/>
        </w:rPr>
        <w:t xml:space="preserve">Bhati, K. (2022). </w:t>
      </w:r>
      <w:r w:rsidRPr="00346731">
        <w:rPr>
          <w:rStyle w:val="normaltextrun"/>
          <w:rFonts w:asciiTheme="minorHAnsi" w:eastAsiaTheme="majorEastAsia" w:hAnsiTheme="minorHAnsi" w:cs="Segoe UI"/>
          <w:i/>
          <w:iCs/>
          <w:sz w:val="22"/>
          <w:szCs w:val="22"/>
        </w:rPr>
        <w:t>Selective Perception: Definition, Types &amp; Examples</w:t>
      </w:r>
      <w:r w:rsidRPr="00346731">
        <w:rPr>
          <w:rStyle w:val="normaltextrun"/>
          <w:rFonts w:asciiTheme="minorHAnsi" w:eastAsiaTheme="majorEastAsia" w:hAnsiTheme="minorHAnsi" w:cs="Segoe UI"/>
          <w:sz w:val="22"/>
          <w:szCs w:val="22"/>
        </w:rPr>
        <w:t xml:space="preserve">. [online] Calm Sage - Your Guide to Mental and Emotional Well-being. Available at: </w:t>
      </w:r>
      <w:hyperlink r:id="rId5" w:tgtFrame="_blank" w:history="1">
        <w:r w:rsidRPr="00346731">
          <w:rPr>
            <w:rStyle w:val="normaltextrun"/>
            <w:rFonts w:asciiTheme="minorHAnsi" w:eastAsiaTheme="majorEastAsia" w:hAnsiTheme="minorHAnsi" w:cs="Segoe UI"/>
            <w:color w:val="467886"/>
            <w:sz w:val="22"/>
            <w:szCs w:val="22"/>
            <w:u w:val="single"/>
          </w:rPr>
          <w:t>https://www.calmsage.com/what-is-selective-perception/</w:t>
        </w:r>
      </w:hyperlink>
      <w:r w:rsidRPr="00346731">
        <w:rPr>
          <w:rStyle w:val="normaltextrun"/>
          <w:rFonts w:asciiTheme="minorHAnsi" w:eastAsiaTheme="majorEastAsia" w:hAnsiTheme="minorHAnsi" w:cs="Segoe UI"/>
          <w:sz w:val="22"/>
          <w:szCs w:val="22"/>
        </w:rPr>
        <w:t>.  </w:t>
      </w:r>
      <w:r w:rsidRPr="00346731">
        <w:rPr>
          <w:rStyle w:val="eop"/>
          <w:rFonts w:asciiTheme="minorHAnsi" w:eastAsiaTheme="majorEastAsia" w:hAnsiTheme="minorHAnsi" w:cs="Segoe UI"/>
          <w:sz w:val="22"/>
          <w:szCs w:val="22"/>
        </w:rPr>
        <w:t> </w:t>
      </w:r>
    </w:p>
    <w:p w14:paraId="0DB4BE58" w14:textId="77777777" w:rsidR="00802621" w:rsidRPr="00346731" w:rsidRDefault="00802621" w:rsidP="00D102DB">
      <w:pPr>
        <w:pStyle w:val="paragraph"/>
        <w:textAlignment w:val="baseline"/>
        <w:rPr>
          <w:rFonts w:asciiTheme="minorHAnsi" w:eastAsiaTheme="majorEastAsia" w:hAnsiTheme="minorHAnsi"/>
          <w:sz w:val="22"/>
          <w:szCs w:val="22"/>
        </w:rPr>
      </w:pPr>
      <w:r w:rsidRPr="00346731">
        <w:rPr>
          <w:rStyle w:val="eop"/>
          <w:rFonts w:asciiTheme="minorHAnsi" w:eastAsiaTheme="majorEastAsia" w:hAnsiTheme="minorHAnsi" w:cs="Segoe UI"/>
          <w:sz w:val="22"/>
          <w:szCs w:val="22"/>
        </w:rPr>
        <w:t>Bhowmik, R. Keesee, T (2019) </w:t>
      </w:r>
      <w:r w:rsidRPr="00346731">
        <w:rPr>
          <w:rStyle w:val="eop"/>
          <w:rFonts w:asciiTheme="minorHAnsi" w:eastAsiaTheme="majorEastAsia" w:hAnsiTheme="minorHAnsi" w:cs="Segoe UI"/>
          <w:i/>
          <w:iCs/>
          <w:sz w:val="22"/>
          <w:szCs w:val="22"/>
        </w:rPr>
        <w:t>Broken Windows Theory: The Core</w:t>
      </w:r>
      <w:r w:rsidRPr="00346731">
        <w:rPr>
          <w:rStyle w:val="eop"/>
          <w:rFonts w:asciiTheme="minorHAnsi" w:eastAsiaTheme="majorEastAsia" w:hAnsiTheme="minorHAnsi" w:cs="Segoe UI"/>
          <w:sz w:val="22"/>
          <w:szCs w:val="22"/>
        </w:rPr>
        <w:t xml:space="preserve">. Germany: Lambert Academic Publishing </w:t>
      </w:r>
    </w:p>
    <w:p w14:paraId="69F6E014" w14:textId="77777777" w:rsidR="00802621" w:rsidRPr="00346731" w:rsidRDefault="00802621" w:rsidP="00FB7C7C">
      <w:pPr>
        <w:pStyle w:val="paragraph"/>
        <w:textAlignment w:val="baseline"/>
        <w:rPr>
          <w:rFonts w:asciiTheme="minorHAnsi" w:eastAsiaTheme="majorEastAsia" w:hAnsiTheme="minorHAnsi"/>
          <w:sz w:val="22"/>
          <w:szCs w:val="22"/>
        </w:rPr>
      </w:pPr>
      <w:r w:rsidRPr="00346731">
        <w:rPr>
          <w:rStyle w:val="eop"/>
          <w:rFonts w:asciiTheme="minorHAnsi" w:eastAsiaTheme="majorEastAsia" w:hAnsiTheme="minorHAnsi" w:cs="Segoe UI"/>
          <w:sz w:val="22"/>
          <w:szCs w:val="22"/>
        </w:rPr>
        <w:lastRenderedPageBreak/>
        <w:t xml:space="preserve"> Davies. Francis, P (2019) </w:t>
      </w:r>
      <w:r w:rsidRPr="00346731">
        <w:rPr>
          <w:rStyle w:val="eop"/>
          <w:rFonts w:asciiTheme="minorHAnsi" w:eastAsiaTheme="majorEastAsia" w:hAnsiTheme="minorHAnsi" w:cs="Segoe UI"/>
          <w:i/>
          <w:iCs/>
          <w:sz w:val="22"/>
          <w:szCs w:val="22"/>
        </w:rPr>
        <w:t>Victims, Crime and Society: An Introduction</w:t>
      </w:r>
      <w:r w:rsidRPr="00346731">
        <w:rPr>
          <w:rStyle w:val="eop"/>
          <w:rFonts w:asciiTheme="minorHAnsi" w:eastAsiaTheme="majorEastAsia" w:hAnsiTheme="minorHAnsi"/>
          <w:sz w:val="22"/>
          <w:szCs w:val="22"/>
        </w:rPr>
        <w:t xml:space="preserve">. London: </w:t>
      </w:r>
      <w:r w:rsidRPr="00346731">
        <w:rPr>
          <w:rStyle w:val="eop"/>
          <w:rFonts w:asciiTheme="minorHAnsi" w:eastAsiaTheme="majorEastAsia" w:hAnsiTheme="minorHAnsi" w:cs="Segoe UI"/>
          <w:sz w:val="22"/>
          <w:szCs w:val="22"/>
        </w:rPr>
        <w:t xml:space="preserve">SAGE </w:t>
      </w:r>
    </w:p>
    <w:p w14:paraId="3EFF3C41" w14:textId="77777777" w:rsidR="00802621" w:rsidRPr="00346731" w:rsidRDefault="00802621" w:rsidP="00027A5E">
      <w:pPr>
        <w:pStyle w:val="paragraph"/>
        <w:spacing w:before="0" w:beforeAutospacing="0" w:after="0" w:afterAutospacing="0"/>
        <w:textAlignment w:val="baseline"/>
        <w:rPr>
          <w:rFonts w:asciiTheme="minorHAnsi" w:hAnsiTheme="minorHAnsi" w:cs="Segoe UI"/>
          <w:sz w:val="22"/>
          <w:szCs w:val="22"/>
        </w:rPr>
      </w:pPr>
      <w:r w:rsidRPr="00346731">
        <w:rPr>
          <w:rStyle w:val="normaltextrun"/>
          <w:rFonts w:asciiTheme="minorHAnsi" w:eastAsiaTheme="majorEastAsia" w:hAnsiTheme="minorHAnsi" w:cs="Segoe UI"/>
          <w:sz w:val="22"/>
          <w:szCs w:val="22"/>
        </w:rPr>
        <w:t xml:space="preserve">Davis, </w:t>
      </w:r>
      <w:proofErr w:type="gramStart"/>
      <w:r w:rsidRPr="00346731">
        <w:rPr>
          <w:rStyle w:val="normaltextrun"/>
          <w:rFonts w:asciiTheme="minorHAnsi" w:eastAsiaTheme="majorEastAsia" w:hAnsiTheme="minorHAnsi" w:cs="Segoe UI"/>
          <w:sz w:val="22"/>
          <w:szCs w:val="22"/>
        </w:rPr>
        <w:t>A,M</w:t>
      </w:r>
      <w:proofErr w:type="gramEnd"/>
      <w:r w:rsidRPr="00346731">
        <w:rPr>
          <w:rStyle w:val="normaltextrun"/>
          <w:rFonts w:asciiTheme="minorHAnsi" w:eastAsiaTheme="majorEastAsia" w:hAnsiTheme="minorHAnsi" w:cs="Segoe UI"/>
          <w:sz w:val="22"/>
          <w:szCs w:val="22"/>
        </w:rPr>
        <w:t xml:space="preserve"> (2019) </w:t>
      </w:r>
      <w:r w:rsidRPr="00346731">
        <w:rPr>
          <w:rStyle w:val="normaltextrun"/>
          <w:rFonts w:asciiTheme="minorHAnsi" w:eastAsiaTheme="majorEastAsia" w:hAnsiTheme="minorHAnsi" w:cs="Segoe UI"/>
          <w:i/>
          <w:iCs/>
          <w:sz w:val="22"/>
          <w:szCs w:val="22"/>
        </w:rPr>
        <w:t>The Handbook of Behavioural Operations.</w:t>
      </w:r>
      <w:r w:rsidRPr="00346731">
        <w:rPr>
          <w:rStyle w:val="normaltextrun"/>
          <w:rFonts w:asciiTheme="minorHAnsi" w:eastAsiaTheme="majorEastAsia" w:hAnsiTheme="minorHAnsi" w:cs="Segoe UI"/>
          <w:sz w:val="22"/>
          <w:szCs w:val="22"/>
        </w:rPr>
        <w:t xml:space="preserve"> Hoboken: Wiley</w:t>
      </w:r>
      <w:r w:rsidRPr="00346731">
        <w:rPr>
          <w:rStyle w:val="eop"/>
          <w:rFonts w:asciiTheme="minorHAnsi" w:eastAsiaTheme="majorEastAsia" w:hAnsiTheme="minorHAnsi" w:cs="Segoe UI"/>
          <w:sz w:val="22"/>
          <w:szCs w:val="22"/>
        </w:rPr>
        <w:t> </w:t>
      </w:r>
    </w:p>
    <w:p w14:paraId="60B74D0C" w14:textId="77777777" w:rsidR="00802621" w:rsidRPr="00346731" w:rsidRDefault="00802621" w:rsidP="00027A5E">
      <w:pPr>
        <w:pStyle w:val="paragraph"/>
        <w:textAlignment w:val="baseline"/>
        <w:rPr>
          <w:rStyle w:val="eop"/>
          <w:rFonts w:asciiTheme="minorHAnsi" w:eastAsiaTheme="majorEastAsia" w:hAnsiTheme="minorHAnsi" w:cs="Segoe UI"/>
          <w:sz w:val="22"/>
          <w:szCs w:val="22"/>
        </w:rPr>
      </w:pPr>
      <w:r w:rsidRPr="00346731">
        <w:rPr>
          <w:rStyle w:val="eop"/>
          <w:rFonts w:asciiTheme="minorHAnsi" w:eastAsiaTheme="majorEastAsia" w:hAnsiTheme="minorHAnsi" w:cs="Segoe UI"/>
          <w:sz w:val="22"/>
          <w:szCs w:val="22"/>
        </w:rPr>
        <w:t xml:space="preserve">Davis, C (2020) </w:t>
      </w:r>
      <w:r w:rsidRPr="00346731">
        <w:rPr>
          <w:rStyle w:val="eop"/>
          <w:rFonts w:asciiTheme="minorHAnsi" w:eastAsiaTheme="majorEastAsia" w:hAnsiTheme="minorHAnsi" w:cs="Segoe UI"/>
          <w:i/>
          <w:iCs/>
          <w:sz w:val="22"/>
          <w:szCs w:val="22"/>
        </w:rPr>
        <w:t>Critical Perspectives on Police Leadership (Key Themes in Policing)</w:t>
      </w:r>
      <w:r w:rsidRPr="00346731">
        <w:rPr>
          <w:rStyle w:val="eop"/>
          <w:rFonts w:asciiTheme="minorHAnsi" w:eastAsiaTheme="majorEastAsia" w:hAnsiTheme="minorHAnsi" w:cs="Segoe UI"/>
          <w:sz w:val="22"/>
          <w:szCs w:val="22"/>
        </w:rPr>
        <w:t xml:space="preserve"> Bristol: Policy Press</w:t>
      </w:r>
    </w:p>
    <w:p w14:paraId="7313B17A" w14:textId="77777777" w:rsidR="00802621" w:rsidRPr="00346731" w:rsidRDefault="00802621" w:rsidP="00027A5E">
      <w:pPr>
        <w:pStyle w:val="paragraph"/>
        <w:textAlignment w:val="baseline"/>
        <w:rPr>
          <w:rStyle w:val="eop"/>
          <w:rFonts w:asciiTheme="minorHAnsi" w:eastAsiaTheme="majorEastAsia" w:hAnsiTheme="minorHAnsi" w:cs="Segoe UI"/>
          <w:sz w:val="22"/>
          <w:szCs w:val="22"/>
        </w:rPr>
      </w:pPr>
      <w:r w:rsidRPr="00346731">
        <w:rPr>
          <w:rStyle w:val="eop"/>
          <w:rFonts w:asciiTheme="minorHAnsi" w:eastAsiaTheme="majorEastAsia" w:hAnsiTheme="minorHAnsi" w:cs="Segoe UI"/>
          <w:sz w:val="22"/>
          <w:szCs w:val="22"/>
        </w:rPr>
        <w:t xml:space="preserve">Dennis. W (2010) </w:t>
      </w:r>
      <w:r w:rsidRPr="00346731">
        <w:rPr>
          <w:rStyle w:val="eop"/>
          <w:rFonts w:asciiTheme="minorHAnsi" w:eastAsiaTheme="majorEastAsia" w:hAnsiTheme="minorHAnsi" w:cs="Segoe UI"/>
          <w:i/>
          <w:iCs/>
          <w:sz w:val="22"/>
          <w:szCs w:val="22"/>
        </w:rPr>
        <w:t>On Becoming a Leader.</w:t>
      </w:r>
      <w:r w:rsidRPr="00346731">
        <w:rPr>
          <w:rStyle w:val="eop"/>
          <w:rFonts w:asciiTheme="minorHAnsi" w:eastAsiaTheme="majorEastAsia" w:hAnsiTheme="minorHAnsi" w:cs="Segoe UI"/>
          <w:sz w:val="22"/>
          <w:szCs w:val="22"/>
        </w:rPr>
        <w:t xml:space="preserve"> New York: Basic books</w:t>
      </w:r>
    </w:p>
    <w:p w14:paraId="558C99A5" w14:textId="77777777" w:rsidR="00802621" w:rsidRPr="00346731" w:rsidRDefault="00802621" w:rsidP="00027A5E">
      <w:pPr>
        <w:pStyle w:val="paragraph"/>
        <w:textAlignment w:val="baseline"/>
        <w:rPr>
          <w:rStyle w:val="eop"/>
          <w:rFonts w:asciiTheme="minorHAnsi" w:eastAsiaTheme="majorEastAsia" w:hAnsiTheme="minorHAnsi"/>
          <w:sz w:val="22"/>
          <w:szCs w:val="22"/>
        </w:rPr>
      </w:pPr>
      <w:r w:rsidRPr="00346731">
        <w:rPr>
          <w:rStyle w:val="eop"/>
          <w:rFonts w:asciiTheme="minorHAnsi" w:eastAsiaTheme="majorEastAsia" w:hAnsiTheme="minorHAnsi" w:cs="Segoe UI"/>
          <w:sz w:val="22"/>
          <w:szCs w:val="22"/>
        </w:rPr>
        <w:t>Forman, J (2020) </w:t>
      </w:r>
      <w:r w:rsidRPr="00346731">
        <w:rPr>
          <w:rStyle w:val="eop"/>
          <w:rFonts w:asciiTheme="minorHAnsi" w:eastAsiaTheme="majorEastAsia" w:hAnsiTheme="minorHAnsi" w:cs="Segoe UI"/>
          <w:i/>
          <w:iCs/>
          <w:sz w:val="22"/>
          <w:szCs w:val="22"/>
        </w:rPr>
        <w:t xml:space="preserve">Cognitive Biases: A Fascinating Look into Human Psychology and What You Can Do to Avoid Cognitive Dissonance, Improve Your Problem-Solving Skills, and Make Better </w:t>
      </w:r>
      <w:proofErr w:type="gramStart"/>
      <w:r w:rsidRPr="00346731">
        <w:rPr>
          <w:rStyle w:val="eop"/>
          <w:rFonts w:asciiTheme="minorHAnsi" w:eastAsiaTheme="majorEastAsia" w:hAnsiTheme="minorHAnsi" w:cs="Segoe UI"/>
          <w:i/>
          <w:iCs/>
          <w:sz w:val="22"/>
          <w:szCs w:val="22"/>
        </w:rPr>
        <w:t xml:space="preserve">Decisions </w:t>
      </w:r>
      <w:r w:rsidRPr="00346731">
        <w:rPr>
          <w:rStyle w:val="eop"/>
          <w:rFonts w:asciiTheme="minorHAnsi" w:eastAsiaTheme="majorEastAsia" w:hAnsiTheme="minorHAnsi" w:cs="Segoe UI"/>
          <w:sz w:val="22"/>
          <w:szCs w:val="22"/>
        </w:rPr>
        <w:t>.</w:t>
      </w:r>
      <w:proofErr w:type="gramEnd"/>
      <w:r w:rsidRPr="00346731">
        <w:rPr>
          <w:rStyle w:val="eop"/>
          <w:rFonts w:asciiTheme="minorHAnsi" w:eastAsiaTheme="majorEastAsia" w:hAnsiTheme="minorHAnsi" w:cs="Segoe UI"/>
          <w:sz w:val="22"/>
          <w:szCs w:val="22"/>
        </w:rPr>
        <w:t xml:space="preserve"> London: </w:t>
      </w:r>
      <w:proofErr w:type="spellStart"/>
      <w:r w:rsidRPr="00346731">
        <w:rPr>
          <w:rStyle w:val="eop"/>
          <w:rFonts w:asciiTheme="minorHAnsi" w:eastAsiaTheme="majorEastAsia" w:hAnsiTheme="minorHAnsi" w:cs="Segoe UI"/>
          <w:sz w:val="22"/>
          <w:szCs w:val="22"/>
        </w:rPr>
        <w:t>Primasta</w:t>
      </w:r>
      <w:proofErr w:type="spellEnd"/>
    </w:p>
    <w:p w14:paraId="0DEF2064" w14:textId="77777777" w:rsidR="00802621" w:rsidRPr="00346731" w:rsidRDefault="00802621" w:rsidP="00027A5E">
      <w:pPr>
        <w:pStyle w:val="paragraph"/>
        <w:textAlignment w:val="baseline"/>
        <w:rPr>
          <w:rFonts w:asciiTheme="minorHAnsi" w:eastAsiaTheme="majorEastAsia" w:hAnsiTheme="minorHAnsi"/>
          <w:sz w:val="22"/>
          <w:szCs w:val="22"/>
        </w:rPr>
      </w:pPr>
      <w:r w:rsidRPr="00346731">
        <w:rPr>
          <w:rFonts w:asciiTheme="minorHAnsi" w:hAnsiTheme="minorHAnsi" w:cs="Segoe UI"/>
          <w:sz w:val="22"/>
          <w:szCs w:val="22"/>
        </w:rPr>
        <w:t>Lumb, R. C. (2002</w:t>
      </w:r>
      <w:r w:rsidRPr="00346731">
        <w:rPr>
          <w:rFonts w:asciiTheme="minorHAnsi" w:hAnsiTheme="minorHAnsi" w:cs="Segoe UI"/>
          <w:i/>
          <w:iCs/>
          <w:sz w:val="22"/>
          <w:szCs w:val="22"/>
        </w:rPr>
        <w:t>) ‘Police Officer Attitudes and Community Policing Implementation: Developing Strategies for Durable Organizational Change’, Policing and Society</w:t>
      </w:r>
      <w:r w:rsidRPr="00346731">
        <w:rPr>
          <w:rFonts w:asciiTheme="minorHAnsi" w:hAnsiTheme="minorHAnsi" w:cs="Segoe UI"/>
          <w:sz w:val="22"/>
          <w:szCs w:val="22"/>
        </w:rPr>
        <w:t xml:space="preserve">, 13(1), pp. 91–106. </w:t>
      </w:r>
      <w:proofErr w:type="spellStart"/>
      <w:r w:rsidRPr="00346731">
        <w:rPr>
          <w:rFonts w:asciiTheme="minorHAnsi" w:hAnsiTheme="minorHAnsi" w:cs="Segoe UI"/>
          <w:sz w:val="22"/>
          <w:szCs w:val="22"/>
        </w:rPr>
        <w:t>doi</w:t>
      </w:r>
      <w:proofErr w:type="spellEnd"/>
      <w:r w:rsidRPr="00346731">
        <w:rPr>
          <w:rFonts w:asciiTheme="minorHAnsi" w:hAnsiTheme="minorHAnsi" w:cs="Segoe UI"/>
          <w:sz w:val="22"/>
          <w:szCs w:val="22"/>
        </w:rPr>
        <w:t xml:space="preserve">: 10.1080/10439460290032340 </w:t>
      </w:r>
    </w:p>
    <w:p w14:paraId="29BA60D0" w14:textId="77777777" w:rsidR="00802621" w:rsidRPr="00346731" w:rsidRDefault="00802621" w:rsidP="00027A5E">
      <w:pPr>
        <w:pStyle w:val="paragraph"/>
        <w:spacing w:before="0" w:beforeAutospacing="0" w:after="0" w:afterAutospacing="0"/>
        <w:textAlignment w:val="baseline"/>
        <w:rPr>
          <w:rFonts w:asciiTheme="minorHAnsi" w:hAnsiTheme="minorHAnsi" w:cs="Segoe UI"/>
          <w:sz w:val="22"/>
          <w:szCs w:val="22"/>
        </w:rPr>
      </w:pPr>
      <w:r w:rsidRPr="00346731">
        <w:rPr>
          <w:rStyle w:val="eop"/>
          <w:rFonts w:asciiTheme="minorHAnsi" w:eastAsiaTheme="majorEastAsia" w:hAnsiTheme="minorHAnsi" w:cs="Segoe UI"/>
          <w:sz w:val="22"/>
          <w:szCs w:val="22"/>
        </w:rPr>
        <w:t xml:space="preserve"> McNeeley S. (2015). </w:t>
      </w:r>
      <w:r w:rsidRPr="00346731">
        <w:rPr>
          <w:rStyle w:val="eop"/>
          <w:rFonts w:asciiTheme="minorHAnsi" w:eastAsiaTheme="majorEastAsia" w:hAnsiTheme="minorHAnsi" w:cs="Segoe UI"/>
          <w:i/>
          <w:iCs/>
          <w:sz w:val="22"/>
          <w:szCs w:val="22"/>
        </w:rPr>
        <w:t>Lifestyle-routine activities and crime events. Journal of Contemporary Criminal Justice</w:t>
      </w:r>
      <w:r w:rsidRPr="00346731">
        <w:rPr>
          <w:rStyle w:val="eop"/>
          <w:rFonts w:asciiTheme="minorHAnsi" w:eastAsiaTheme="majorEastAsia" w:hAnsiTheme="minorHAnsi" w:cs="Segoe UI"/>
          <w:sz w:val="22"/>
          <w:szCs w:val="22"/>
        </w:rPr>
        <w:t xml:space="preserve">, 31(1), 30–52. </w:t>
      </w:r>
      <w:hyperlink r:id="rId6" w:history="1">
        <w:r w:rsidRPr="00346731">
          <w:rPr>
            <w:rStyle w:val="Hyperlink"/>
            <w:rFonts w:asciiTheme="minorHAnsi" w:eastAsiaTheme="majorEastAsia" w:hAnsiTheme="minorHAnsi" w:cs="Segoe UI"/>
            <w:sz w:val="22"/>
            <w:szCs w:val="22"/>
          </w:rPr>
          <w:t>https://doi.org/10.1177/1043986214552607</w:t>
        </w:r>
      </w:hyperlink>
      <w:r w:rsidRPr="00346731">
        <w:rPr>
          <w:rStyle w:val="eop"/>
          <w:rFonts w:asciiTheme="minorHAnsi" w:eastAsiaTheme="majorEastAsia" w:hAnsiTheme="minorHAnsi" w:cs="Segoe UI"/>
          <w:sz w:val="22"/>
          <w:szCs w:val="22"/>
        </w:rPr>
        <w:t xml:space="preserve"> </w:t>
      </w:r>
    </w:p>
    <w:p w14:paraId="6E20E626" w14:textId="77777777" w:rsidR="00802621" w:rsidRPr="00346731" w:rsidRDefault="00802621" w:rsidP="00027A5E">
      <w:pPr>
        <w:pStyle w:val="paragraph"/>
        <w:spacing w:before="0" w:beforeAutospacing="0" w:after="0" w:afterAutospacing="0"/>
        <w:textAlignment w:val="baseline"/>
        <w:rPr>
          <w:rFonts w:asciiTheme="minorHAnsi" w:hAnsiTheme="minorHAnsi" w:cs="Segoe UI"/>
          <w:sz w:val="22"/>
          <w:szCs w:val="22"/>
        </w:rPr>
      </w:pPr>
      <w:r w:rsidRPr="00346731">
        <w:rPr>
          <w:rStyle w:val="normaltextrun"/>
          <w:rFonts w:asciiTheme="minorHAnsi" w:eastAsiaTheme="majorEastAsia" w:hAnsiTheme="minorHAnsi" w:cs="Segoe UI"/>
          <w:sz w:val="22"/>
          <w:szCs w:val="22"/>
        </w:rPr>
        <w:t xml:space="preserve">Minhas, R, Walsh, D. (2021). </w:t>
      </w:r>
      <w:r w:rsidRPr="00346731">
        <w:rPr>
          <w:rStyle w:val="normaltextrun"/>
          <w:rFonts w:asciiTheme="minorHAnsi" w:eastAsiaTheme="majorEastAsia" w:hAnsiTheme="minorHAnsi" w:cs="Segoe UI"/>
          <w:i/>
          <w:iCs/>
          <w:sz w:val="22"/>
          <w:szCs w:val="22"/>
        </w:rPr>
        <w:t>The role of prejudicial stereotypes in the formation of suspicion: An examination of operational procedures in stop and search practices</w:t>
      </w:r>
      <w:r w:rsidRPr="00346731">
        <w:rPr>
          <w:rStyle w:val="normaltextrun"/>
          <w:rFonts w:asciiTheme="minorHAnsi" w:eastAsiaTheme="majorEastAsia" w:hAnsiTheme="minorHAnsi" w:cs="Segoe UI"/>
          <w:sz w:val="22"/>
          <w:szCs w:val="22"/>
        </w:rPr>
        <w:t xml:space="preserve">. International Journal of Police Science &amp; Management, 23(3), 293-305. </w:t>
      </w:r>
      <w:hyperlink r:id="rId7" w:tgtFrame="_blank" w:history="1">
        <w:r w:rsidRPr="00346731">
          <w:rPr>
            <w:rStyle w:val="normaltextrun"/>
            <w:rFonts w:asciiTheme="minorHAnsi" w:eastAsiaTheme="majorEastAsia" w:hAnsiTheme="minorHAnsi" w:cs="Segoe UI"/>
            <w:color w:val="467886"/>
            <w:sz w:val="22"/>
            <w:szCs w:val="22"/>
            <w:u w:val="single"/>
          </w:rPr>
          <w:t>https://doi.org/10.1177/14613557211016499</w:t>
        </w:r>
      </w:hyperlink>
      <w:r w:rsidRPr="00346731">
        <w:rPr>
          <w:rStyle w:val="normaltextrun"/>
          <w:rFonts w:asciiTheme="minorHAnsi" w:eastAsiaTheme="majorEastAsia" w:hAnsiTheme="minorHAnsi" w:cs="Segoe UI"/>
          <w:sz w:val="22"/>
          <w:szCs w:val="22"/>
        </w:rPr>
        <w:t> </w:t>
      </w:r>
      <w:r w:rsidRPr="00346731">
        <w:rPr>
          <w:rStyle w:val="eop"/>
          <w:rFonts w:asciiTheme="minorHAnsi" w:eastAsiaTheme="majorEastAsia" w:hAnsiTheme="minorHAnsi" w:cs="Segoe UI"/>
          <w:sz w:val="22"/>
          <w:szCs w:val="22"/>
        </w:rPr>
        <w:t> </w:t>
      </w:r>
    </w:p>
    <w:p w14:paraId="7F2A30CB" w14:textId="77777777" w:rsidR="00802621" w:rsidRPr="00346731" w:rsidRDefault="00802621" w:rsidP="00027A5E">
      <w:pPr>
        <w:pStyle w:val="paragraph"/>
        <w:textAlignment w:val="baseline"/>
        <w:rPr>
          <w:rStyle w:val="eop"/>
          <w:rFonts w:asciiTheme="minorHAnsi" w:eastAsiaTheme="majorEastAsia" w:hAnsiTheme="minorHAnsi" w:cs="Segoe UI"/>
          <w:sz w:val="22"/>
          <w:szCs w:val="22"/>
        </w:rPr>
      </w:pPr>
      <w:r w:rsidRPr="00346731">
        <w:rPr>
          <w:rStyle w:val="eop"/>
          <w:rFonts w:asciiTheme="minorHAnsi" w:eastAsiaTheme="majorEastAsia" w:hAnsiTheme="minorHAnsi" w:cs="Segoe UI"/>
          <w:sz w:val="22"/>
          <w:szCs w:val="22"/>
        </w:rPr>
        <w:t xml:space="preserve">Minhas, R. Walsh, D. (2021). </w:t>
      </w:r>
      <w:r w:rsidRPr="00346731">
        <w:rPr>
          <w:rStyle w:val="eop"/>
          <w:rFonts w:asciiTheme="minorHAnsi" w:eastAsiaTheme="majorEastAsia" w:hAnsiTheme="minorHAnsi" w:cs="Segoe UI"/>
          <w:i/>
          <w:iCs/>
          <w:sz w:val="22"/>
          <w:szCs w:val="22"/>
        </w:rPr>
        <w:t>The role of prejudicial stereotypes in the formation of suspicion: An examination of operational procedures in stop and search practices. International Journal of Police Science &amp; Management</w:t>
      </w:r>
      <w:r w:rsidRPr="00346731">
        <w:rPr>
          <w:rStyle w:val="eop"/>
          <w:rFonts w:asciiTheme="minorHAnsi" w:eastAsiaTheme="majorEastAsia" w:hAnsiTheme="minorHAnsi" w:cs="Segoe UI"/>
          <w:sz w:val="22"/>
          <w:szCs w:val="22"/>
        </w:rPr>
        <w:t xml:space="preserve">, 23(3), 293-305. </w:t>
      </w:r>
      <w:hyperlink r:id="rId8" w:history="1">
        <w:r w:rsidRPr="00346731">
          <w:rPr>
            <w:rStyle w:val="Hyperlink"/>
            <w:rFonts w:asciiTheme="minorHAnsi" w:eastAsiaTheme="majorEastAsia" w:hAnsiTheme="minorHAnsi" w:cs="Segoe UI"/>
            <w:sz w:val="22"/>
            <w:szCs w:val="22"/>
          </w:rPr>
          <w:t>https://doi.org/10.1177/14613557211016499</w:t>
        </w:r>
      </w:hyperlink>
    </w:p>
    <w:p w14:paraId="109ED8A8" w14:textId="77777777" w:rsidR="00802621" w:rsidRPr="00346731" w:rsidRDefault="00802621" w:rsidP="00027A5E">
      <w:pPr>
        <w:pStyle w:val="paragraph"/>
        <w:spacing w:before="0" w:beforeAutospacing="0" w:after="0" w:afterAutospacing="0"/>
        <w:textAlignment w:val="baseline"/>
        <w:rPr>
          <w:rFonts w:asciiTheme="minorHAnsi" w:hAnsiTheme="minorHAnsi" w:cs="Segoe UI"/>
          <w:sz w:val="22"/>
          <w:szCs w:val="22"/>
        </w:rPr>
      </w:pPr>
      <w:r w:rsidRPr="00346731">
        <w:rPr>
          <w:rStyle w:val="normaltextrun"/>
          <w:rFonts w:asciiTheme="minorHAnsi" w:eastAsiaTheme="majorEastAsia" w:hAnsiTheme="minorHAnsi" w:cs="Segoe UI"/>
          <w:sz w:val="22"/>
          <w:szCs w:val="22"/>
        </w:rPr>
        <w:t xml:space="preserve">Phillips-Wren, G. Power, D.J. Mora, M. (2019). </w:t>
      </w:r>
      <w:r w:rsidRPr="00346731">
        <w:rPr>
          <w:rStyle w:val="normaltextrun"/>
          <w:rFonts w:asciiTheme="minorHAnsi" w:eastAsiaTheme="majorEastAsia" w:hAnsiTheme="minorHAnsi" w:cs="Segoe UI"/>
          <w:i/>
          <w:iCs/>
          <w:sz w:val="22"/>
          <w:szCs w:val="22"/>
        </w:rPr>
        <w:t>Cognitive bias, decision styles, and risk attitudes in decision making and DSS</w:t>
      </w:r>
      <w:r w:rsidRPr="00346731">
        <w:rPr>
          <w:rStyle w:val="normaltextrun"/>
          <w:rFonts w:asciiTheme="minorHAnsi" w:eastAsiaTheme="majorEastAsia" w:hAnsiTheme="minorHAnsi" w:cs="Segoe UI"/>
          <w:sz w:val="22"/>
          <w:szCs w:val="22"/>
        </w:rPr>
        <w:t xml:space="preserve">. Journal of Decision Systems, 28(2).  </w:t>
      </w:r>
      <w:proofErr w:type="spellStart"/>
      <w:proofErr w:type="gramStart"/>
      <w:r w:rsidRPr="00346731">
        <w:rPr>
          <w:rStyle w:val="normaltextrun"/>
          <w:rFonts w:asciiTheme="minorHAnsi" w:eastAsiaTheme="majorEastAsia" w:hAnsiTheme="minorHAnsi" w:cs="Segoe UI"/>
          <w:sz w:val="22"/>
          <w:szCs w:val="22"/>
        </w:rPr>
        <w:t>doi:https</w:t>
      </w:r>
      <w:proofErr w:type="spellEnd"/>
      <w:r w:rsidRPr="00346731">
        <w:rPr>
          <w:rStyle w:val="normaltextrun"/>
          <w:rFonts w:asciiTheme="minorHAnsi" w:eastAsiaTheme="majorEastAsia" w:hAnsiTheme="minorHAnsi" w:cs="Segoe UI"/>
          <w:sz w:val="22"/>
          <w:szCs w:val="22"/>
        </w:rPr>
        <w:t>://doi.org/10.1080/12460125.2019.1646509</w:t>
      </w:r>
      <w:proofErr w:type="gramEnd"/>
      <w:r w:rsidRPr="00346731">
        <w:rPr>
          <w:rStyle w:val="normaltextrun"/>
          <w:rFonts w:asciiTheme="minorHAnsi" w:eastAsiaTheme="majorEastAsia" w:hAnsiTheme="minorHAnsi" w:cs="Segoe UI"/>
          <w:sz w:val="22"/>
          <w:szCs w:val="22"/>
        </w:rPr>
        <w:t>   </w:t>
      </w:r>
      <w:r w:rsidRPr="00346731">
        <w:rPr>
          <w:rStyle w:val="eop"/>
          <w:rFonts w:asciiTheme="minorHAnsi" w:eastAsiaTheme="majorEastAsia" w:hAnsiTheme="minorHAnsi" w:cs="Segoe UI"/>
          <w:sz w:val="22"/>
          <w:szCs w:val="22"/>
        </w:rPr>
        <w:t> </w:t>
      </w:r>
    </w:p>
    <w:p w14:paraId="7F09C99B" w14:textId="77777777" w:rsidR="00027A5E" w:rsidRPr="00346731" w:rsidRDefault="00027A5E" w:rsidP="00027A5E">
      <w:pPr>
        <w:pStyle w:val="paragraph"/>
        <w:textAlignment w:val="baseline"/>
        <w:rPr>
          <w:rStyle w:val="eop"/>
          <w:rFonts w:asciiTheme="minorHAnsi" w:eastAsiaTheme="majorEastAsia" w:hAnsiTheme="minorHAnsi" w:cs="Segoe UI"/>
          <w:sz w:val="22"/>
          <w:szCs w:val="22"/>
        </w:rPr>
      </w:pPr>
    </w:p>
    <w:p w14:paraId="358829A2" w14:textId="77777777" w:rsidR="00027A5E" w:rsidRDefault="00027A5E"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346731">
        <w:rPr>
          <w:rStyle w:val="eop"/>
          <w:rFonts w:asciiTheme="minorHAnsi" w:eastAsiaTheme="majorEastAsia" w:hAnsiTheme="minorHAnsi" w:cs="Segoe UI"/>
          <w:sz w:val="22"/>
          <w:szCs w:val="22"/>
        </w:rPr>
        <w:t> </w:t>
      </w:r>
    </w:p>
    <w:p w14:paraId="3A99DDC4" w14:textId="77777777" w:rsidR="00346731" w:rsidRDefault="0034673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39C4A956" w14:textId="77777777" w:rsidR="00346731" w:rsidRDefault="0034673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669D08B5" w14:textId="77777777" w:rsidR="00346731" w:rsidRDefault="0034673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624D994F" w14:textId="77777777" w:rsidR="00346731" w:rsidRDefault="0034673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3E88A061" w14:textId="77777777" w:rsidR="00346731" w:rsidRDefault="0034673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5E17310C" w14:textId="77777777" w:rsidR="00346731" w:rsidRDefault="0034673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2A47DEE2" w14:textId="77777777" w:rsidR="00346731" w:rsidRDefault="0034673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4A1D40F6" w14:textId="77777777" w:rsidR="00346731" w:rsidRDefault="0034673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6585A96F" w14:textId="77777777" w:rsidR="00346731" w:rsidRDefault="0034673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530F9597" w14:textId="77777777" w:rsidR="00346731" w:rsidRDefault="0034673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1D417A66" w14:textId="77777777" w:rsidR="00346731" w:rsidRDefault="0034673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75FFB198" w14:textId="77777777" w:rsidR="00346731" w:rsidRDefault="0034673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408B4B30" w14:textId="77777777" w:rsidR="00346731" w:rsidRDefault="0034673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65A141BC" w14:textId="77777777" w:rsidR="00346731" w:rsidRDefault="0034673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6CDFC90D" w14:textId="77777777" w:rsidR="00346731" w:rsidRDefault="0034673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4D1AC517" w14:textId="77777777" w:rsidR="00346731" w:rsidRDefault="0034673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27021334" w14:textId="77777777" w:rsidR="00346731" w:rsidRPr="00346731" w:rsidRDefault="00346731" w:rsidP="00027A5E">
      <w:pPr>
        <w:pStyle w:val="paragraph"/>
        <w:spacing w:before="0" w:beforeAutospacing="0" w:after="0" w:afterAutospacing="0"/>
        <w:textAlignment w:val="baseline"/>
        <w:rPr>
          <w:rFonts w:asciiTheme="minorHAnsi" w:eastAsiaTheme="majorEastAsia" w:hAnsiTheme="minorHAnsi"/>
          <w:sz w:val="22"/>
          <w:szCs w:val="22"/>
        </w:rPr>
      </w:pPr>
    </w:p>
    <w:p w14:paraId="43B1FC1A"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r w:rsidRPr="00346731">
        <w:rPr>
          <w:rStyle w:val="normaltextrun"/>
          <w:rFonts w:asciiTheme="minorHAnsi" w:eastAsiaTheme="majorEastAsia" w:hAnsiTheme="minorHAnsi" w:cs="Segoe UI"/>
          <w:b/>
          <w:bCs/>
          <w:sz w:val="22"/>
          <w:szCs w:val="22"/>
        </w:rPr>
        <w:lastRenderedPageBreak/>
        <w:t>Community policing – Why is partnership working the most effective way to reach </w:t>
      </w:r>
      <w:r w:rsidRPr="00346731">
        <w:rPr>
          <w:rStyle w:val="eop"/>
          <w:rFonts w:asciiTheme="minorHAnsi" w:eastAsiaTheme="majorEastAsia" w:hAnsiTheme="minorHAnsi" w:cs="Segoe UI"/>
          <w:sz w:val="22"/>
          <w:szCs w:val="22"/>
        </w:rPr>
        <w:t> </w:t>
      </w:r>
    </w:p>
    <w:p w14:paraId="1E213987" w14:textId="77777777" w:rsidR="00027A5E" w:rsidRPr="00346731" w:rsidRDefault="00027A5E" w:rsidP="00027A5E">
      <w:pPr>
        <w:pStyle w:val="paragraph"/>
        <w:spacing w:before="0" w:beforeAutospacing="0" w:after="0" w:afterAutospacing="0"/>
        <w:textAlignment w:val="baseline"/>
        <w:rPr>
          <w:rStyle w:val="eop"/>
          <w:rFonts w:asciiTheme="minorHAnsi" w:eastAsiaTheme="majorEastAsia" w:hAnsiTheme="minorHAnsi"/>
          <w:sz w:val="22"/>
          <w:szCs w:val="22"/>
        </w:rPr>
      </w:pPr>
      <w:r w:rsidRPr="00346731">
        <w:rPr>
          <w:rStyle w:val="normaltextrun"/>
          <w:rFonts w:asciiTheme="minorHAnsi" w:eastAsiaTheme="majorEastAsia" w:hAnsiTheme="minorHAnsi" w:cs="Segoe UI"/>
          <w:b/>
          <w:bCs/>
          <w:sz w:val="22"/>
          <w:szCs w:val="22"/>
        </w:rPr>
        <w:t>groups or communities who are unwilling to engage with police? </w:t>
      </w:r>
      <w:r w:rsidRPr="00346731">
        <w:rPr>
          <w:rStyle w:val="eop"/>
          <w:rFonts w:asciiTheme="minorHAnsi" w:eastAsiaTheme="majorEastAsia" w:hAnsiTheme="minorHAnsi" w:cs="Segoe UI"/>
          <w:sz w:val="22"/>
          <w:szCs w:val="22"/>
        </w:rPr>
        <w:t> </w:t>
      </w:r>
    </w:p>
    <w:p w14:paraId="7BA8BFD7" w14:textId="77777777" w:rsidR="00027A5E" w:rsidRPr="00346731" w:rsidRDefault="00027A5E" w:rsidP="00027A5E">
      <w:pPr>
        <w:pStyle w:val="paragraph"/>
        <w:spacing w:before="0" w:beforeAutospacing="0" w:after="0" w:afterAutospacing="0"/>
        <w:textAlignment w:val="baseline"/>
        <w:rPr>
          <w:rFonts w:asciiTheme="minorHAnsi" w:eastAsiaTheme="majorEastAsia" w:hAnsiTheme="minorHAnsi"/>
          <w:sz w:val="22"/>
          <w:szCs w:val="22"/>
        </w:rPr>
      </w:pPr>
    </w:p>
    <w:p w14:paraId="7AE0AF12" w14:textId="77777777" w:rsidR="00346731" w:rsidRDefault="00027A5E" w:rsidP="00027A5E">
      <w:pPr>
        <w:rPr>
          <w:rStyle w:val="normaltextrun"/>
          <w:rFonts w:eastAsia="Times New Roman"/>
          <w:kern w:val="0"/>
          <w:lang w:eastAsia="en-GB"/>
        </w:rPr>
      </w:pPr>
      <w:r w:rsidRPr="00346731">
        <w:rPr>
          <w:rStyle w:val="normaltextrun"/>
          <w:rFonts w:eastAsia="Times New Roman" w:cs="Segoe UI"/>
          <w:kern w:val="0"/>
          <w:lang w:eastAsia="en-GB"/>
        </w:rPr>
        <w:t>Policing in the UK is based on the principle of policing by consent, which emphasises methods aimed at gaining public approval, respect, and support. Police officers play a vital role in the communities they serve; however, their effectiveness is significantly hindered without the trust and confidence of the public (Rosenbaum 2013).</w:t>
      </w:r>
    </w:p>
    <w:p w14:paraId="5B297BF8" w14:textId="4C4E8211" w:rsidR="00027A5E" w:rsidRPr="00346731" w:rsidRDefault="00027A5E" w:rsidP="00027A5E">
      <w:pPr>
        <w:rPr>
          <w:rStyle w:val="normaltextrun"/>
          <w:rFonts w:eastAsia="Times New Roman"/>
          <w:kern w:val="0"/>
          <w:lang w:eastAsia="en-GB"/>
        </w:rPr>
      </w:pPr>
      <w:r w:rsidRPr="00346731">
        <w:rPr>
          <w:rStyle w:val="normaltextrun"/>
          <w:rFonts w:eastAsia="Times New Roman" w:cs="Segoe UI"/>
          <w:kern w:val="0"/>
          <w:lang w:eastAsia="en-GB"/>
        </w:rPr>
        <w:t xml:space="preserve">One of the first things to understand is why do people not want to engage with police? People may hesitate to engage with police due to fear of negative encounters, mistrust stemming from past experiences or systemic issues, concerns about discrimination, or a belief that their concerns won’t be taken seriously. Additionally, cultural differences and a lack of familiarity with the legal system can contribute to reluctance in seeking police assistance. Some key findings from the Office for National Statistics (2015) in England and Wales highlights that there is clear lack of confidence in police from different communities. One example shows that adults who reside in deprived areas and had a high volume of crime where more likely to give police a negative rating, than those residing in less deprived and low volume crime areas. </w:t>
      </w:r>
    </w:p>
    <w:p w14:paraId="6185C1D7" w14:textId="77777777" w:rsidR="00027A5E" w:rsidRPr="00346731" w:rsidRDefault="00027A5E" w:rsidP="00027A5E">
      <w:pPr>
        <w:rPr>
          <w:rStyle w:val="normaltextrun"/>
          <w:rFonts w:eastAsia="Times New Roman" w:cs="Segoe UI"/>
          <w:kern w:val="0"/>
          <w:lang w:eastAsia="en-GB"/>
        </w:rPr>
      </w:pPr>
      <w:r w:rsidRPr="00346731">
        <w:rPr>
          <w:rStyle w:val="normaltextrun"/>
          <w:rFonts w:eastAsia="Times New Roman" w:cs="Segoe UI"/>
          <w:kern w:val="0"/>
          <w:lang w:eastAsia="en-GB"/>
        </w:rPr>
        <w:t>Partnership working is an effective strategy for engaging groups or communities that may initially resist interacting with the police. According to the College of Policing (2023), statutory partnerships are fundamental to joint efforts. Statutory organisations share legal responsibilities under the Equality Act 2010, which requires them to:</w:t>
      </w:r>
    </w:p>
    <w:p w14:paraId="636A52C2" w14:textId="77777777" w:rsidR="00027A5E" w:rsidRPr="00346731" w:rsidRDefault="00027A5E" w:rsidP="00027A5E">
      <w:pPr>
        <w:pStyle w:val="ListParagraph"/>
        <w:numPr>
          <w:ilvl w:val="0"/>
          <w:numId w:val="1"/>
        </w:numPr>
        <w:rPr>
          <w:rStyle w:val="normaltextrun"/>
          <w:rFonts w:eastAsia="Times New Roman" w:cs="Segoe UI"/>
          <w:kern w:val="0"/>
          <w:lang w:eastAsia="en-GB"/>
        </w:rPr>
      </w:pPr>
      <w:r w:rsidRPr="00346731">
        <w:rPr>
          <w:rStyle w:val="normaltextrun"/>
          <w:rFonts w:eastAsia="Times New Roman" w:cs="Segoe UI"/>
          <w:kern w:val="0"/>
          <w:lang w:eastAsia="en-GB"/>
        </w:rPr>
        <w:t>Eliminate discrimination, victimisation, and harassment.</w:t>
      </w:r>
    </w:p>
    <w:p w14:paraId="00F5CDC6" w14:textId="77777777" w:rsidR="00027A5E" w:rsidRPr="00346731" w:rsidRDefault="00027A5E" w:rsidP="00027A5E">
      <w:pPr>
        <w:pStyle w:val="ListParagraph"/>
        <w:numPr>
          <w:ilvl w:val="0"/>
          <w:numId w:val="1"/>
        </w:numPr>
        <w:rPr>
          <w:rStyle w:val="normaltextrun"/>
          <w:rFonts w:eastAsia="Times New Roman" w:cs="Segoe UI"/>
          <w:kern w:val="0"/>
          <w:lang w:eastAsia="en-GB"/>
        </w:rPr>
      </w:pPr>
      <w:r w:rsidRPr="00346731">
        <w:rPr>
          <w:rStyle w:val="normaltextrun"/>
          <w:rFonts w:eastAsia="Times New Roman" w:cs="Segoe UI"/>
          <w:kern w:val="0"/>
          <w:lang w:eastAsia="en-GB"/>
        </w:rPr>
        <w:t>Foster good relations between individuals with and without protected characteristics.</w:t>
      </w:r>
    </w:p>
    <w:p w14:paraId="70E3CA9E" w14:textId="77777777" w:rsidR="00027A5E" w:rsidRPr="00346731" w:rsidRDefault="00027A5E" w:rsidP="00027A5E">
      <w:pPr>
        <w:pStyle w:val="ListParagraph"/>
        <w:numPr>
          <w:ilvl w:val="0"/>
          <w:numId w:val="1"/>
        </w:numPr>
        <w:rPr>
          <w:rStyle w:val="normaltextrun"/>
          <w:rFonts w:eastAsia="Times New Roman" w:cs="Segoe UI"/>
          <w:kern w:val="0"/>
          <w:lang w:eastAsia="en-GB"/>
        </w:rPr>
      </w:pPr>
      <w:r w:rsidRPr="00346731">
        <w:rPr>
          <w:rStyle w:val="normaltextrun"/>
          <w:rFonts w:eastAsia="Times New Roman" w:cs="Segoe UI"/>
          <w:kern w:val="0"/>
          <w:lang w:eastAsia="en-GB"/>
        </w:rPr>
        <w:t xml:space="preserve">Advance equality of opportunity among these groups. </w:t>
      </w:r>
    </w:p>
    <w:p w14:paraId="6DE0F73F" w14:textId="0E164608" w:rsidR="00027A5E" w:rsidRPr="00346731" w:rsidRDefault="00027A5E" w:rsidP="00027A5E">
      <w:pPr>
        <w:pStyle w:val="paragraph"/>
        <w:spacing w:before="0" w:beforeAutospacing="0" w:after="0" w:afterAutospacing="0"/>
        <w:textAlignment w:val="baseline"/>
        <w:rPr>
          <w:rFonts w:asciiTheme="minorHAnsi" w:hAnsiTheme="minorHAnsi"/>
          <w:sz w:val="22"/>
          <w:szCs w:val="22"/>
        </w:rPr>
      </w:pPr>
      <w:proofErr w:type="spellStart"/>
      <w:r w:rsidRPr="00346731">
        <w:rPr>
          <w:rStyle w:val="eop"/>
          <w:rFonts w:asciiTheme="minorHAnsi" w:eastAsiaTheme="majorEastAsia" w:hAnsiTheme="minorHAnsi" w:cs="Segoe UI"/>
          <w:sz w:val="22"/>
          <w:szCs w:val="22"/>
        </w:rPr>
        <w:t>Jelph</w:t>
      </w:r>
      <w:proofErr w:type="spellEnd"/>
      <w:r w:rsidRPr="00346731">
        <w:rPr>
          <w:rStyle w:val="eop"/>
          <w:rFonts w:asciiTheme="minorHAnsi" w:eastAsiaTheme="majorEastAsia" w:hAnsiTheme="minorHAnsi" w:cs="Segoe UI"/>
          <w:sz w:val="22"/>
          <w:szCs w:val="22"/>
        </w:rPr>
        <w:t xml:space="preserve"> </w:t>
      </w:r>
      <w:r w:rsidR="00A63751" w:rsidRPr="00346731">
        <w:rPr>
          <w:rStyle w:val="eop"/>
          <w:rFonts w:asciiTheme="minorHAnsi" w:eastAsiaTheme="majorEastAsia" w:hAnsiTheme="minorHAnsi" w:cs="Segoe UI"/>
          <w:sz w:val="22"/>
          <w:szCs w:val="22"/>
        </w:rPr>
        <w:t>(</w:t>
      </w:r>
      <w:r w:rsidRPr="00346731">
        <w:rPr>
          <w:rStyle w:val="eop"/>
          <w:rFonts w:asciiTheme="minorHAnsi" w:eastAsiaTheme="majorEastAsia" w:hAnsiTheme="minorHAnsi" w:cs="Segoe UI"/>
          <w:sz w:val="22"/>
          <w:szCs w:val="22"/>
        </w:rPr>
        <w:t>2016</w:t>
      </w:r>
      <w:r w:rsidR="00A63751" w:rsidRPr="00346731">
        <w:rPr>
          <w:rStyle w:val="eop"/>
          <w:rFonts w:asciiTheme="minorHAnsi" w:eastAsiaTheme="majorEastAsia" w:hAnsiTheme="minorHAnsi" w:cs="Segoe UI"/>
          <w:sz w:val="22"/>
          <w:szCs w:val="22"/>
        </w:rPr>
        <w:t>)</w:t>
      </w:r>
      <w:r w:rsidRPr="00346731">
        <w:rPr>
          <w:rStyle w:val="eop"/>
          <w:rFonts w:asciiTheme="minorHAnsi" w:eastAsiaTheme="majorEastAsia" w:hAnsiTheme="minorHAnsi" w:cs="Segoe UI"/>
          <w:sz w:val="22"/>
          <w:szCs w:val="22"/>
        </w:rPr>
        <w:t xml:space="preserve"> argues that when services do not communicate and work collaboratively, the outcomes are weak for everyone involved. These include wasted resources, time, duplication of work and ultimately it can lead to ineffectiveness and missed opportunities. She describes partnership working as a matter of life or death in some circumstances, where lack of joint working can lead to tragic situations, such as a death of a child, serious crime or mental health. She believes that if you are to make a positive difference then most of the difficulties faced will be from working with other professionals and services. However, </w:t>
      </w:r>
      <w:r w:rsidRPr="00346731">
        <w:rPr>
          <w:rFonts w:asciiTheme="minorHAnsi" w:hAnsiTheme="minorHAnsi" w:cs="Segoe UI"/>
          <w:sz w:val="22"/>
          <w:szCs w:val="22"/>
        </w:rPr>
        <w:t xml:space="preserve">Glasby and Dickinson (2014) argue that it is not easy to make partnership work and although there are models which aid collaborative working, the individuals compromising the collaboration will ultimately be the ones to make it a success or not. </w:t>
      </w:r>
    </w:p>
    <w:p w14:paraId="0A2D9ABF" w14:textId="15A78151"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r w:rsidRPr="00346731">
        <w:rPr>
          <w:rFonts w:asciiTheme="minorHAnsi" w:hAnsiTheme="minorHAnsi" w:cs="Segoe UI"/>
          <w:sz w:val="22"/>
          <w:szCs w:val="22"/>
        </w:rPr>
        <w:t xml:space="preserve">Epstein (2018) claims that when schools, families, and communities collaborate and share responsibility for students′ education, more students succeed in schools, in the same way that this approach can be used for policing. Collaboration and shared responsibility within communities is not just the police's duty; it requires a broader commitment from all services to actively build partnerships with diverse groups. Success hinges on engaging a wide range of partners, including those that other agencies may find difficult to reach. Wankhade (2019) says that by taking joint ownership of community issues, problems and solutions, it allows partners to collaboratively address hate crime initiatives. This shared responsibility fosters further collaborative efforts in the ongoing pursuit of effective solutions. When partnerships aim to achieve common goal, communities may be more receptive to information and assistance when it comes from familiar and trusted sources, such as local mosque leaders or youth workers in local community centres.  One agency may have a strong relationship with a particular group, such as the black community, so by developing a positive and trusting relationship with the mosque leaders could help break down barriers, allow access to those </w:t>
      </w:r>
      <w:r w:rsidRPr="00346731">
        <w:rPr>
          <w:rFonts w:asciiTheme="minorHAnsi" w:hAnsiTheme="minorHAnsi" w:cs="Segoe UI"/>
          <w:sz w:val="22"/>
          <w:szCs w:val="22"/>
        </w:rPr>
        <w:lastRenderedPageBreak/>
        <w:t>hard-to-reach individuals and ultimately build positive, and effective relationships. This also helps to reduce stigma associated with police. Furthermore, Man (2021) believes that cultural competence is crucial in partnership working and tackling community issues. Cultural competence involves understanding, communicating, and interacting effectively with people from diverse backgrounds. It requires awareness and respect for different cultures, beliefs, and practices, contributing to the creation of an inclusive and respectful community. By partnering with organisations or individuals who understand the cultural nuances and sensitivities of a community leads to more effective communication. This helps to avoid misunderstandings and fosters a more inclusive and culturally competent approach. Cason (2023) agrees and emphasises that by being culturally competent, can help police open their minds, listen to understand, and accept that other people learn, work, and think differently, thus breaking down barriers, building trust and respect between police and those disengaged. This supports that partnership working can facilitate better conflict resolution mechanisms. In cases where there may be tension or mistrust between the police and certain groups, third-party organisations can mediate and facilitate dialogue, promoting resolution and understanding.</w:t>
      </w:r>
    </w:p>
    <w:p w14:paraId="12963FC5" w14:textId="7FA6D7A3"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r w:rsidRPr="00346731">
        <w:rPr>
          <w:rFonts w:asciiTheme="minorHAnsi" w:hAnsiTheme="minorHAnsi" w:cs="Segoe UI"/>
          <w:sz w:val="22"/>
          <w:szCs w:val="22"/>
        </w:rPr>
        <w:t xml:space="preserve">It is </w:t>
      </w:r>
      <w:r w:rsidR="00FC64DF" w:rsidRPr="00346731">
        <w:rPr>
          <w:rFonts w:asciiTheme="minorHAnsi" w:hAnsiTheme="minorHAnsi" w:cs="Segoe UI"/>
          <w:sz w:val="22"/>
          <w:szCs w:val="22"/>
        </w:rPr>
        <w:t>argued</w:t>
      </w:r>
      <w:r w:rsidRPr="00346731">
        <w:rPr>
          <w:rFonts w:asciiTheme="minorHAnsi" w:hAnsiTheme="minorHAnsi" w:cs="Segoe UI"/>
          <w:sz w:val="22"/>
          <w:szCs w:val="22"/>
        </w:rPr>
        <w:t xml:space="preserve"> that one way in getting communities to engage with police is by building sustainable relationships, ultimately through community policing.</w:t>
      </w:r>
      <w:r w:rsidR="004E2E47" w:rsidRPr="00346731">
        <w:rPr>
          <w:rFonts w:asciiTheme="minorHAnsi" w:hAnsiTheme="minorHAnsi" w:cs="Segoe UI"/>
          <w:sz w:val="22"/>
          <w:szCs w:val="22"/>
        </w:rPr>
        <w:t xml:space="preserve"> </w:t>
      </w:r>
      <w:proofErr w:type="spellStart"/>
      <w:r w:rsidR="004E2E47" w:rsidRPr="00346731">
        <w:rPr>
          <w:rFonts w:asciiTheme="minorHAnsi" w:hAnsiTheme="minorHAnsi" w:cs="Segoe UI"/>
          <w:sz w:val="22"/>
          <w:szCs w:val="22"/>
        </w:rPr>
        <w:t>Signori</w:t>
      </w:r>
      <w:proofErr w:type="spellEnd"/>
      <w:r w:rsidR="00EE4865" w:rsidRPr="00346731">
        <w:rPr>
          <w:rFonts w:asciiTheme="minorHAnsi" w:hAnsiTheme="minorHAnsi" w:cs="Segoe UI"/>
          <w:sz w:val="22"/>
          <w:szCs w:val="22"/>
        </w:rPr>
        <w:t xml:space="preserve"> et al, </w:t>
      </w:r>
      <w:r w:rsidRPr="00346731">
        <w:rPr>
          <w:rFonts w:asciiTheme="minorHAnsi" w:hAnsiTheme="minorHAnsi" w:cs="Segoe UI"/>
          <w:sz w:val="22"/>
          <w:szCs w:val="22"/>
        </w:rPr>
        <w:t>(2023) believes that community policing emphasises fostering positive relationships between police officers and local communities. This approach prioritises collaboration with residents to identify and tackle the root causes of crime and disorder, rather than merely responding to service calls. However, there have been concerns about officer turnover in community policing, with calls for more consistent assignments to local neighbourhoods. The Cutting Crime Impact (CCI) project revealed that when community police officers leave their positions, the knowledge and relationships they've developed within the community are often lost. This again can lead to disengagement</w:t>
      </w:r>
      <w:r w:rsidR="00257195" w:rsidRPr="00346731">
        <w:rPr>
          <w:rFonts w:asciiTheme="minorHAnsi" w:hAnsiTheme="minorHAnsi" w:cs="Segoe UI"/>
          <w:sz w:val="22"/>
          <w:szCs w:val="22"/>
        </w:rPr>
        <w:t>,</w:t>
      </w:r>
      <w:r w:rsidR="00257195" w:rsidRPr="00346731">
        <w:rPr>
          <w:rFonts w:asciiTheme="minorHAnsi" w:hAnsiTheme="minorHAnsi"/>
          <w:sz w:val="22"/>
          <w:szCs w:val="22"/>
        </w:rPr>
        <w:t xml:space="preserve"> (</w:t>
      </w:r>
      <w:r w:rsidR="00257195" w:rsidRPr="00346731">
        <w:rPr>
          <w:rFonts w:asciiTheme="minorHAnsi" w:hAnsiTheme="minorHAnsi" w:cs="Segoe UI"/>
          <w:sz w:val="22"/>
          <w:szCs w:val="22"/>
        </w:rPr>
        <w:t xml:space="preserve">CCI Project - Cutting Crime Impact, </w:t>
      </w:r>
      <w:proofErr w:type="spellStart"/>
      <w:r w:rsidR="00257195" w:rsidRPr="00346731">
        <w:rPr>
          <w:rFonts w:asciiTheme="minorHAnsi" w:hAnsiTheme="minorHAnsi" w:cs="Segoe UI"/>
          <w:sz w:val="22"/>
          <w:szCs w:val="22"/>
        </w:rPr>
        <w:t>n.d</w:t>
      </w:r>
      <w:proofErr w:type="spellEnd"/>
      <w:r w:rsidR="00257195" w:rsidRPr="00346731">
        <w:rPr>
          <w:rFonts w:asciiTheme="minorHAnsi" w:hAnsiTheme="minorHAnsi" w:cs="Segoe UI"/>
          <w:sz w:val="22"/>
          <w:szCs w:val="22"/>
        </w:rPr>
        <w:t xml:space="preserve">). </w:t>
      </w:r>
      <w:r w:rsidRPr="00346731">
        <w:rPr>
          <w:rFonts w:asciiTheme="minorHAnsi" w:hAnsiTheme="minorHAnsi" w:cs="Segoe UI"/>
          <w:sz w:val="22"/>
          <w:szCs w:val="22"/>
        </w:rPr>
        <w:t xml:space="preserve"> With that, building partnerships is a long-term strategy. It allows for sustained engagement and relationship-building, fostering an environment where community members may become more willing to collaborate with the police over time. Furthermore, by fostering enduring relationships between the police and minority communities, could allow for collaborative efforts to address local issues related to hate crimes. Being open and transparent with communities is fundamental, granting the police a deeper understanding of the impact of hate crimes on the community. Simultaneously, it helps the community comprehend the operational constraints and legal requirements under which the police operate.</w:t>
      </w:r>
    </w:p>
    <w:p w14:paraId="29192CC1"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r w:rsidRPr="00346731">
        <w:rPr>
          <w:rStyle w:val="normaltextrun"/>
          <w:rFonts w:asciiTheme="minorHAnsi" w:eastAsiaTheme="majorEastAsia" w:hAnsiTheme="minorHAnsi" w:cs="Segoe UI"/>
          <w:sz w:val="22"/>
          <w:szCs w:val="22"/>
        </w:rPr>
        <w:t>Another way in which partnership working in engaging with disengaged communities is effective is the opportunity to access resources. Collaborating with community organisations provides access to resources and services that the police may not have on their own. This enhances the ability to address underlying issues within the community, such as social services, mental health support, or educational programs. This could also allow for a quicker response for the communities in need, again breaking down barriers and building trust with disengaged individuals. </w:t>
      </w:r>
      <w:r w:rsidRPr="00346731">
        <w:rPr>
          <w:rStyle w:val="eop"/>
          <w:rFonts w:asciiTheme="minorHAnsi" w:eastAsiaTheme="majorEastAsia" w:hAnsiTheme="minorHAnsi" w:cs="Segoe UI"/>
          <w:sz w:val="22"/>
          <w:szCs w:val="22"/>
        </w:rPr>
        <w:t> </w:t>
      </w:r>
    </w:p>
    <w:p w14:paraId="56CAEE21" w14:textId="5618C895"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r w:rsidRPr="00346731">
        <w:rPr>
          <w:rFonts w:asciiTheme="minorHAnsi" w:hAnsiTheme="minorHAnsi" w:cs="Segoe UI"/>
          <w:sz w:val="22"/>
          <w:szCs w:val="22"/>
        </w:rPr>
        <w:t xml:space="preserve">Problem-Oriented Policing (POP) is </w:t>
      </w:r>
      <w:r w:rsidR="00FC64DF" w:rsidRPr="00346731">
        <w:rPr>
          <w:rFonts w:asciiTheme="minorHAnsi" w:hAnsiTheme="minorHAnsi" w:cs="Segoe UI"/>
          <w:sz w:val="22"/>
          <w:szCs w:val="22"/>
        </w:rPr>
        <w:t>an</w:t>
      </w:r>
      <w:r w:rsidRPr="00346731">
        <w:rPr>
          <w:rFonts w:asciiTheme="minorHAnsi" w:hAnsiTheme="minorHAnsi" w:cs="Segoe UI"/>
          <w:sz w:val="22"/>
          <w:szCs w:val="22"/>
        </w:rPr>
        <w:t xml:space="preserve"> approach that focuses on identifying and analysing specific community issues to develop tailored strategies. Instead of just responding to incidents, POP aims to understand the root causes of recurring problems and implement targeted solutions. This method promotes collaboration among police, community members, and stakeholders for effective public safety solutions (College of Policing, 2003). It aligns with partnership working, emphasizing a holistic, community-centred response. According to the College of Policing (2021), chief officers and police and crime commissioners should prioritize neighbourhood policing through active community engagement, maintaining a visible presence, fostering regular contact, collaborating with partners, and tailoring efforts to meet diverse community needs. This aligns with Section 34 of the Police Reform and Social </w:t>
      </w:r>
      <w:r w:rsidRPr="00346731">
        <w:rPr>
          <w:rFonts w:asciiTheme="minorHAnsi" w:hAnsiTheme="minorHAnsi" w:cs="Segoe UI"/>
          <w:sz w:val="22"/>
          <w:szCs w:val="22"/>
        </w:rPr>
        <w:lastRenderedPageBreak/>
        <w:t>Responsibility Act 2011, which outlines legal requirements for consultation and public engagement.</w:t>
      </w:r>
    </w:p>
    <w:p w14:paraId="421E3D08"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r w:rsidRPr="00346731">
        <w:rPr>
          <w:rFonts w:asciiTheme="minorHAnsi" w:hAnsiTheme="minorHAnsi" w:cs="Segoe UI"/>
          <w:sz w:val="22"/>
          <w:szCs w:val="22"/>
        </w:rPr>
        <w:t xml:space="preserve">In summary, partnership working provides a collaborative, inclusive, and community-focused approach that helps overcome initial reluctance and fosters positive relationships between the police and communities. It emphasizes shared responsibility for public safety and aims to address the root causes of issues within neighbourhoods. There is a strong connection between community policing and partnership working, both of which adopt a human-centred approach. </w:t>
      </w:r>
      <w:proofErr w:type="spellStart"/>
      <w:r w:rsidRPr="00346731">
        <w:rPr>
          <w:rFonts w:asciiTheme="minorHAnsi" w:hAnsiTheme="minorHAnsi" w:cs="Segoe UI"/>
          <w:sz w:val="22"/>
          <w:szCs w:val="22"/>
        </w:rPr>
        <w:t>Signori</w:t>
      </w:r>
      <w:proofErr w:type="spellEnd"/>
      <w:r w:rsidRPr="00346731">
        <w:rPr>
          <w:rFonts w:asciiTheme="minorHAnsi" w:hAnsiTheme="minorHAnsi" w:cs="Segoe UI"/>
          <w:sz w:val="22"/>
          <w:szCs w:val="22"/>
        </w:rPr>
        <w:t xml:space="preserve"> (2013) highlights parallels between continuity in healthcare and its application in community policing. By partnering with others to engage those who feel disconnected, a sense of coherence emerges. When police officers are familiar with a neighbourhood’s history and its residents, they can take a holistic approach, noticing early signs of crime and social issues. This can build confidence in policing and cultivate trusting relationships, where communities are met with empathy and encouraged to actively participate in their own safety and security.</w:t>
      </w:r>
    </w:p>
    <w:p w14:paraId="1D183BF7"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p>
    <w:p w14:paraId="6C3EFD2E" w14:textId="77777777" w:rsidR="00802621" w:rsidRPr="00346731" w:rsidRDefault="00802621" w:rsidP="00257195">
      <w:pPr>
        <w:pStyle w:val="paragraph"/>
        <w:spacing w:before="0" w:beforeAutospacing="0" w:after="0" w:afterAutospacing="0"/>
        <w:textAlignment w:val="baseline"/>
        <w:rPr>
          <w:rFonts w:asciiTheme="minorHAnsi" w:hAnsiTheme="minorHAnsi" w:cs="Segoe UI"/>
          <w:sz w:val="22"/>
          <w:szCs w:val="22"/>
        </w:rPr>
      </w:pPr>
      <w:r w:rsidRPr="00346731">
        <w:rPr>
          <w:rFonts w:asciiTheme="minorHAnsi" w:hAnsiTheme="minorHAnsi" w:cs="Segoe UI"/>
          <w:sz w:val="22"/>
          <w:szCs w:val="22"/>
        </w:rPr>
        <w:t>‌</w:t>
      </w:r>
    </w:p>
    <w:p w14:paraId="09F73C06" w14:textId="08A0C30C" w:rsidR="00802621" w:rsidRDefault="00802621" w:rsidP="00346731">
      <w:pPr>
        <w:pStyle w:val="paragraph"/>
        <w:spacing w:before="0" w:beforeAutospacing="0" w:after="0" w:afterAutospacing="0"/>
        <w:textAlignment w:val="baseline"/>
        <w:rPr>
          <w:rFonts w:asciiTheme="minorHAnsi" w:hAnsiTheme="minorHAnsi" w:cs="Segoe UI"/>
          <w:sz w:val="22"/>
          <w:szCs w:val="22"/>
        </w:rPr>
      </w:pPr>
      <w:r w:rsidRPr="00346731">
        <w:rPr>
          <w:rFonts w:asciiTheme="minorHAnsi" w:hAnsiTheme="minorHAnsi" w:cs="Segoe UI"/>
          <w:sz w:val="22"/>
          <w:szCs w:val="22"/>
        </w:rPr>
        <w:t xml:space="preserve">Cason, T. (2023) </w:t>
      </w:r>
      <w:r w:rsidRPr="00346731">
        <w:rPr>
          <w:rFonts w:asciiTheme="minorHAnsi" w:hAnsiTheme="minorHAnsi" w:cs="Segoe UI"/>
          <w:i/>
          <w:iCs/>
          <w:sz w:val="22"/>
          <w:szCs w:val="22"/>
        </w:rPr>
        <w:t>Cultural Competence: What It Is, Why It's Important, and How to Develop It (Cultural Competence: What It Is, Why It's Important, and How to Develop It</w:t>
      </w:r>
      <w:r w:rsidRPr="00346731">
        <w:rPr>
          <w:rFonts w:asciiTheme="minorHAnsi" w:hAnsiTheme="minorHAnsi" w:cs="Segoe UI"/>
          <w:sz w:val="22"/>
          <w:szCs w:val="22"/>
        </w:rPr>
        <w:t xml:space="preserve">. Cosa Rica: Theoria </w:t>
      </w:r>
      <w:proofErr w:type="gramStart"/>
      <w:r w:rsidRPr="00346731">
        <w:rPr>
          <w:rFonts w:asciiTheme="minorHAnsi" w:hAnsiTheme="minorHAnsi" w:cs="Segoe UI"/>
          <w:sz w:val="22"/>
          <w:szCs w:val="22"/>
        </w:rPr>
        <w:t>In</w:t>
      </w:r>
      <w:proofErr w:type="gramEnd"/>
      <w:r w:rsidRPr="00346731">
        <w:rPr>
          <w:rFonts w:asciiTheme="minorHAnsi" w:hAnsiTheme="minorHAnsi" w:cs="Segoe UI"/>
          <w:sz w:val="22"/>
          <w:szCs w:val="22"/>
        </w:rPr>
        <w:t xml:space="preserve"> Praxis, LLC</w:t>
      </w:r>
    </w:p>
    <w:p w14:paraId="08DD0888" w14:textId="77777777" w:rsidR="00346731" w:rsidRPr="00346731" w:rsidRDefault="00346731" w:rsidP="00346731">
      <w:pPr>
        <w:pStyle w:val="paragraph"/>
        <w:spacing w:before="0" w:beforeAutospacing="0" w:after="0" w:afterAutospacing="0"/>
        <w:textAlignment w:val="baseline"/>
        <w:rPr>
          <w:rFonts w:asciiTheme="minorHAnsi" w:hAnsiTheme="minorHAnsi" w:cs="Segoe UI"/>
          <w:sz w:val="22"/>
          <w:szCs w:val="22"/>
        </w:rPr>
      </w:pPr>
    </w:p>
    <w:p w14:paraId="6CC66461" w14:textId="77777777" w:rsidR="00802621" w:rsidRPr="00346731" w:rsidRDefault="00802621" w:rsidP="00257195">
      <w:pPr>
        <w:pStyle w:val="paragraph"/>
        <w:spacing w:after="0"/>
        <w:textAlignment w:val="baseline"/>
        <w:rPr>
          <w:rFonts w:asciiTheme="minorHAnsi" w:hAnsiTheme="minorHAnsi" w:cs="Segoe UI"/>
          <w:sz w:val="22"/>
          <w:szCs w:val="22"/>
        </w:rPr>
      </w:pPr>
      <w:r w:rsidRPr="00346731">
        <w:rPr>
          <w:rFonts w:asciiTheme="minorHAnsi" w:hAnsiTheme="minorHAnsi" w:cs="Segoe UI"/>
          <w:sz w:val="22"/>
          <w:szCs w:val="22"/>
        </w:rPr>
        <w:t xml:space="preserve">CCI Project - Cutting Crime Impact. (n.d.). </w:t>
      </w:r>
      <w:r w:rsidRPr="00346731">
        <w:rPr>
          <w:rFonts w:asciiTheme="minorHAnsi" w:hAnsiTheme="minorHAnsi" w:cs="Segoe UI"/>
          <w:i/>
          <w:iCs/>
          <w:sz w:val="22"/>
          <w:szCs w:val="22"/>
        </w:rPr>
        <w:t>Welcome to the Cutting Crime Impact (CCI) project.</w:t>
      </w:r>
      <w:r w:rsidRPr="00346731">
        <w:rPr>
          <w:rFonts w:asciiTheme="minorHAnsi" w:hAnsiTheme="minorHAnsi" w:cs="Segoe UI"/>
          <w:sz w:val="22"/>
          <w:szCs w:val="22"/>
        </w:rPr>
        <w:t xml:space="preserve"> [online] Available at: https://www.cuttingcrimeimpact.eu/about/introduction-to-cci/.</w:t>
      </w:r>
    </w:p>
    <w:p w14:paraId="1205D1E8" w14:textId="77777777" w:rsidR="00802621"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346731">
        <w:rPr>
          <w:rStyle w:val="normaltextrun"/>
          <w:rFonts w:asciiTheme="minorHAnsi" w:eastAsiaTheme="majorEastAsia" w:hAnsiTheme="minorHAnsi" w:cs="Segoe UI"/>
          <w:sz w:val="22"/>
          <w:szCs w:val="22"/>
        </w:rPr>
        <w:t xml:space="preserve">College of Policing (2020). Partnership working. [online] College of Policing. Available at: </w:t>
      </w:r>
      <w:hyperlink r:id="rId9" w:tgtFrame="_blank" w:history="1">
        <w:r w:rsidRPr="00346731">
          <w:rPr>
            <w:rStyle w:val="normaltextrun"/>
            <w:rFonts w:asciiTheme="minorHAnsi" w:eastAsiaTheme="majorEastAsia" w:hAnsiTheme="minorHAnsi" w:cs="Segoe UI"/>
            <w:color w:val="467886"/>
            <w:sz w:val="22"/>
            <w:szCs w:val="22"/>
            <w:u w:val="single"/>
          </w:rPr>
          <w:t>https://www.college.police.uk/app/major-investigation-and-public-protection/hate-crime/partnership-working</w:t>
        </w:r>
      </w:hyperlink>
      <w:r w:rsidRPr="00346731">
        <w:rPr>
          <w:rStyle w:val="normaltextrun"/>
          <w:rFonts w:asciiTheme="minorHAnsi" w:eastAsiaTheme="majorEastAsia" w:hAnsiTheme="minorHAnsi" w:cs="Segoe UI"/>
          <w:sz w:val="22"/>
          <w:szCs w:val="22"/>
        </w:rPr>
        <w:t>  </w:t>
      </w:r>
      <w:r w:rsidRPr="00346731">
        <w:rPr>
          <w:rStyle w:val="eop"/>
          <w:rFonts w:asciiTheme="minorHAnsi" w:eastAsiaTheme="majorEastAsia" w:hAnsiTheme="minorHAnsi" w:cs="Segoe UI"/>
          <w:sz w:val="22"/>
          <w:szCs w:val="22"/>
        </w:rPr>
        <w:t> </w:t>
      </w:r>
    </w:p>
    <w:p w14:paraId="7B05E2A0" w14:textId="77777777" w:rsidR="00346731" w:rsidRPr="00346731" w:rsidRDefault="0034673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04525DB8" w14:textId="77777777" w:rsidR="00802621"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346731">
        <w:rPr>
          <w:rStyle w:val="normaltextrun"/>
          <w:rFonts w:asciiTheme="minorHAnsi" w:eastAsiaTheme="majorEastAsia" w:hAnsiTheme="minorHAnsi" w:cs="Segoe UI"/>
          <w:sz w:val="22"/>
          <w:szCs w:val="22"/>
        </w:rPr>
        <w:t xml:space="preserve">College of Policing (2021). </w:t>
      </w:r>
      <w:r w:rsidRPr="00346731">
        <w:rPr>
          <w:rStyle w:val="normaltextrun"/>
          <w:rFonts w:asciiTheme="minorHAnsi" w:eastAsiaTheme="majorEastAsia" w:hAnsiTheme="minorHAnsi" w:cs="Segoe UI"/>
          <w:i/>
          <w:iCs/>
          <w:sz w:val="22"/>
          <w:szCs w:val="22"/>
        </w:rPr>
        <w:t>Engaging communities</w:t>
      </w:r>
      <w:r w:rsidRPr="00346731">
        <w:rPr>
          <w:rStyle w:val="normaltextrun"/>
          <w:rFonts w:asciiTheme="minorHAnsi" w:eastAsiaTheme="majorEastAsia" w:hAnsiTheme="minorHAnsi" w:cs="Segoe UI"/>
          <w:sz w:val="22"/>
          <w:szCs w:val="22"/>
        </w:rPr>
        <w:t xml:space="preserve">. [online] College of Policing. Available at: </w:t>
      </w:r>
      <w:hyperlink r:id="rId10" w:tgtFrame="_blank" w:history="1">
        <w:r w:rsidRPr="00346731">
          <w:rPr>
            <w:rStyle w:val="normaltextrun"/>
            <w:rFonts w:asciiTheme="minorHAnsi" w:eastAsiaTheme="majorEastAsia" w:hAnsiTheme="minorHAnsi" w:cs="Segoe UI"/>
            <w:color w:val="467886"/>
            <w:sz w:val="22"/>
            <w:szCs w:val="22"/>
            <w:u w:val="single"/>
          </w:rPr>
          <w:t>https://www.college.police.uk/guidance/neighbourhood-policing/engaging-communities</w:t>
        </w:r>
      </w:hyperlink>
      <w:r w:rsidRPr="00346731">
        <w:rPr>
          <w:rStyle w:val="normaltextrun"/>
          <w:rFonts w:asciiTheme="minorHAnsi" w:eastAsiaTheme="majorEastAsia" w:hAnsiTheme="minorHAnsi" w:cs="Segoe UI"/>
          <w:sz w:val="22"/>
          <w:szCs w:val="22"/>
        </w:rPr>
        <w:t>  </w:t>
      </w:r>
      <w:r w:rsidRPr="00346731">
        <w:rPr>
          <w:rStyle w:val="eop"/>
          <w:rFonts w:asciiTheme="minorHAnsi" w:eastAsiaTheme="majorEastAsia" w:hAnsiTheme="minorHAnsi" w:cs="Segoe UI"/>
          <w:sz w:val="22"/>
          <w:szCs w:val="22"/>
        </w:rPr>
        <w:t> </w:t>
      </w:r>
    </w:p>
    <w:p w14:paraId="00482146" w14:textId="77777777" w:rsidR="00346731" w:rsidRPr="00346731" w:rsidRDefault="0034673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66E2044E" w14:textId="77777777" w:rsidR="00802621"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346731">
        <w:rPr>
          <w:rStyle w:val="normaltextrun"/>
          <w:rFonts w:asciiTheme="minorHAnsi" w:eastAsiaTheme="majorEastAsia" w:hAnsiTheme="minorHAnsi" w:cs="Segoe UI"/>
          <w:sz w:val="22"/>
          <w:szCs w:val="22"/>
        </w:rPr>
        <w:t xml:space="preserve">College of Policing. (2003). </w:t>
      </w:r>
      <w:r w:rsidRPr="00346731">
        <w:rPr>
          <w:rStyle w:val="normaltextrun"/>
          <w:rFonts w:asciiTheme="minorHAnsi" w:eastAsiaTheme="majorEastAsia" w:hAnsiTheme="minorHAnsi" w:cs="Segoe UI"/>
          <w:i/>
          <w:iCs/>
          <w:sz w:val="22"/>
          <w:szCs w:val="22"/>
        </w:rPr>
        <w:t>Problem-oriented policing (POP) guidelines.</w:t>
      </w:r>
      <w:r w:rsidRPr="00346731">
        <w:rPr>
          <w:rStyle w:val="normaltextrun"/>
          <w:rFonts w:asciiTheme="minorHAnsi" w:eastAsiaTheme="majorEastAsia" w:hAnsiTheme="minorHAnsi" w:cs="Segoe UI"/>
          <w:sz w:val="22"/>
          <w:szCs w:val="22"/>
        </w:rPr>
        <w:t xml:space="preserve"> [online] Available at: https://www.college.police.uk/article/problem-oriented-policing-pop-guidelines </w:t>
      </w:r>
      <w:r w:rsidRPr="00346731">
        <w:rPr>
          <w:rStyle w:val="eop"/>
          <w:rFonts w:asciiTheme="minorHAnsi" w:eastAsiaTheme="majorEastAsia" w:hAnsiTheme="minorHAnsi" w:cs="Segoe UI"/>
          <w:sz w:val="22"/>
          <w:szCs w:val="22"/>
        </w:rPr>
        <w:t> </w:t>
      </w:r>
    </w:p>
    <w:p w14:paraId="78D83030" w14:textId="77777777" w:rsidR="00346731" w:rsidRP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07CC017A" w14:textId="77777777" w:rsidR="00802621" w:rsidRDefault="00802621" w:rsidP="00027A5E">
      <w:pPr>
        <w:pStyle w:val="paragraph"/>
        <w:spacing w:before="0" w:beforeAutospacing="0" w:after="0" w:afterAutospacing="0"/>
        <w:textAlignment w:val="baseline"/>
        <w:rPr>
          <w:rFonts w:asciiTheme="minorHAnsi" w:hAnsiTheme="minorHAnsi" w:cs="Segoe UI"/>
          <w:sz w:val="22"/>
          <w:szCs w:val="22"/>
        </w:rPr>
      </w:pPr>
      <w:r w:rsidRPr="00346731">
        <w:rPr>
          <w:rFonts w:asciiTheme="minorHAnsi" w:hAnsiTheme="minorHAnsi" w:cs="Segoe UI"/>
          <w:sz w:val="22"/>
          <w:szCs w:val="22"/>
        </w:rPr>
        <w:t xml:space="preserve">Epstein, J (2018) </w:t>
      </w:r>
      <w:r w:rsidRPr="00346731">
        <w:rPr>
          <w:rFonts w:asciiTheme="minorHAnsi" w:hAnsiTheme="minorHAnsi" w:cs="Segoe UI"/>
          <w:i/>
          <w:iCs/>
          <w:sz w:val="22"/>
          <w:szCs w:val="22"/>
        </w:rPr>
        <w:t>School, Family, and Community Partnerships:</w:t>
      </w:r>
      <w:r w:rsidRPr="00346731">
        <w:rPr>
          <w:rFonts w:asciiTheme="minorHAnsi" w:hAnsiTheme="minorHAnsi" w:cs="Segoe UI"/>
          <w:sz w:val="22"/>
          <w:szCs w:val="22"/>
        </w:rPr>
        <w:t xml:space="preserve"> Dallas: Your Handbook for Action Corwin</w:t>
      </w:r>
    </w:p>
    <w:p w14:paraId="3DC3C431" w14:textId="77777777" w:rsidR="00346731" w:rsidRP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38615054" w14:textId="77777777" w:rsidR="00802621" w:rsidRPr="00346731" w:rsidRDefault="00802621" w:rsidP="00027A5E">
      <w:pPr>
        <w:pStyle w:val="paragraph"/>
        <w:spacing w:before="0" w:beforeAutospacing="0" w:after="0" w:afterAutospacing="0"/>
        <w:textAlignment w:val="baseline"/>
        <w:rPr>
          <w:rFonts w:asciiTheme="minorHAnsi" w:eastAsiaTheme="majorEastAsia" w:hAnsiTheme="minorHAnsi"/>
          <w:sz w:val="22"/>
          <w:szCs w:val="22"/>
        </w:rPr>
      </w:pPr>
      <w:r w:rsidRPr="00346731">
        <w:rPr>
          <w:rStyle w:val="eop"/>
          <w:rFonts w:asciiTheme="minorHAnsi" w:eastAsiaTheme="majorEastAsia" w:hAnsiTheme="minorHAnsi" w:cs="Segoe UI"/>
          <w:sz w:val="22"/>
          <w:szCs w:val="22"/>
        </w:rPr>
        <w:t xml:space="preserve">Glasby, J. Dickinson, H (2014) </w:t>
      </w:r>
      <w:r w:rsidRPr="00346731">
        <w:rPr>
          <w:rStyle w:val="eop"/>
          <w:rFonts w:asciiTheme="minorHAnsi" w:eastAsiaTheme="majorEastAsia" w:hAnsiTheme="minorHAnsi" w:cs="Segoe UI"/>
          <w:i/>
          <w:iCs/>
          <w:sz w:val="22"/>
          <w:szCs w:val="22"/>
        </w:rPr>
        <w:t>Partnership in health and social care</w:t>
      </w:r>
      <w:r w:rsidRPr="00346731">
        <w:rPr>
          <w:rStyle w:val="eop"/>
          <w:rFonts w:asciiTheme="minorHAnsi" w:eastAsiaTheme="majorEastAsia" w:hAnsiTheme="minorHAnsi" w:cs="Segoe UI"/>
          <w:sz w:val="22"/>
          <w:szCs w:val="22"/>
        </w:rPr>
        <w:t xml:space="preserve">. Policy Press: Bristol </w:t>
      </w:r>
    </w:p>
    <w:p w14:paraId="08538A66" w14:textId="77777777" w:rsidR="00802621" w:rsidRDefault="00802621" w:rsidP="00027A5E">
      <w:pPr>
        <w:pStyle w:val="paragraph"/>
        <w:spacing w:before="0" w:beforeAutospacing="0" w:after="0" w:afterAutospacing="0"/>
        <w:textAlignment w:val="baseline"/>
        <w:rPr>
          <w:rFonts w:asciiTheme="minorHAnsi" w:hAnsiTheme="minorHAnsi" w:cs="Segoe UI"/>
          <w:sz w:val="22"/>
          <w:szCs w:val="22"/>
        </w:rPr>
      </w:pPr>
      <w:proofErr w:type="spellStart"/>
      <w:r w:rsidRPr="00346731">
        <w:rPr>
          <w:rFonts w:asciiTheme="minorHAnsi" w:hAnsiTheme="minorHAnsi" w:cs="Segoe UI"/>
          <w:sz w:val="22"/>
          <w:szCs w:val="22"/>
        </w:rPr>
        <w:t>Jelphs</w:t>
      </w:r>
      <w:proofErr w:type="spellEnd"/>
      <w:r w:rsidRPr="00346731">
        <w:rPr>
          <w:rFonts w:asciiTheme="minorHAnsi" w:hAnsiTheme="minorHAnsi" w:cs="Segoe UI"/>
          <w:sz w:val="22"/>
          <w:szCs w:val="22"/>
        </w:rPr>
        <w:t xml:space="preserve">, K. Dickinson, H. (2016) </w:t>
      </w:r>
      <w:r w:rsidRPr="00346731">
        <w:rPr>
          <w:rFonts w:asciiTheme="minorHAnsi" w:hAnsiTheme="minorHAnsi" w:cs="Segoe UI"/>
          <w:i/>
          <w:iCs/>
          <w:sz w:val="22"/>
          <w:szCs w:val="22"/>
        </w:rPr>
        <w:t>Working in Teams</w:t>
      </w:r>
      <w:r w:rsidRPr="00346731">
        <w:rPr>
          <w:rFonts w:asciiTheme="minorHAnsi" w:hAnsiTheme="minorHAnsi" w:cs="Segoe UI"/>
          <w:sz w:val="22"/>
          <w:szCs w:val="22"/>
        </w:rPr>
        <w:t xml:space="preserve"> London: Policy Press</w:t>
      </w:r>
    </w:p>
    <w:p w14:paraId="30DCD0C3" w14:textId="77777777" w:rsidR="00346731" w:rsidRP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07F12368" w14:textId="77777777" w:rsidR="00802621" w:rsidRDefault="00802621" w:rsidP="00EE4865">
      <w:pPr>
        <w:pStyle w:val="paragraph"/>
        <w:spacing w:before="0" w:beforeAutospacing="0" w:after="0" w:afterAutospacing="0"/>
        <w:textAlignment w:val="baseline"/>
        <w:rPr>
          <w:rStyle w:val="normaltextrun"/>
          <w:rFonts w:asciiTheme="minorHAnsi" w:eastAsiaTheme="majorEastAsia" w:hAnsiTheme="minorHAnsi" w:cs="Segoe UI"/>
          <w:sz w:val="22"/>
          <w:szCs w:val="22"/>
        </w:rPr>
      </w:pPr>
      <w:r w:rsidRPr="00346731">
        <w:rPr>
          <w:rStyle w:val="normaltextrun"/>
          <w:rFonts w:asciiTheme="minorHAnsi" w:eastAsiaTheme="majorEastAsia" w:hAnsiTheme="minorHAnsi" w:cs="Segoe UI"/>
          <w:sz w:val="22"/>
          <w:szCs w:val="22"/>
        </w:rPr>
        <w:t xml:space="preserve">‌Kilgallon, M. Wright, M (2022) </w:t>
      </w:r>
      <w:r w:rsidRPr="00346731">
        <w:rPr>
          <w:rStyle w:val="normaltextrun"/>
          <w:rFonts w:asciiTheme="minorHAnsi" w:eastAsiaTheme="majorEastAsia" w:hAnsiTheme="minorHAnsi" w:cs="Segoe UI"/>
          <w:i/>
          <w:iCs/>
          <w:sz w:val="22"/>
          <w:szCs w:val="22"/>
        </w:rPr>
        <w:t>Behavioural skills for effective policing: The service speaks</w:t>
      </w:r>
      <w:r w:rsidRPr="00346731">
        <w:rPr>
          <w:rStyle w:val="normaltextrun"/>
          <w:rFonts w:asciiTheme="minorHAnsi" w:eastAsiaTheme="majorEastAsia" w:hAnsiTheme="minorHAnsi" w:cs="Segoe UI"/>
          <w:sz w:val="22"/>
          <w:szCs w:val="22"/>
        </w:rPr>
        <w:t>. St Albans: Critical Publishing</w:t>
      </w:r>
    </w:p>
    <w:p w14:paraId="4B191E3C" w14:textId="77777777" w:rsidR="00346731" w:rsidRPr="00346731" w:rsidRDefault="00346731" w:rsidP="00EE4865">
      <w:pPr>
        <w:pStyle w:val="paragraph"/>
        <w:spacing w:before="0" w:beforeAutospacing="0" w:after="0" w:afterAutospacing="0"/>
        <w:textAlignment w:val="baseline"/>
        <w:rPr>
          <w:rStyle w:val="normaltextrun"/>
          <w:rFonts w:asciiTheme="minorHAnsi" w:eastAsiaTheme="majorEastAsia" w:hAnsiTheme="minorHAnsi" w:cs="Segoe UI"/>
          <w:sz w:val="22"/>
          <w:szCs w:val="22"/>
        </w:rPr>
      </w:pPr>
    </w:p>
    <w:p w14:paraId="48E7F0AC" w14:textId="77777777" w:rsidR="00802621" w:rsidRPr="00346731"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346731">
        <w:rPr>
          <w:rStyle w:val="normaltextrun"/>
          <w:rFonts w:asciiTheme="minorHAnsi" w:eastAsiaTheme="majorEastAsia" w:hAnsiTheme="minorHAnsi" w:cs="Segoe UI"/>
          <w:sz w:val="22"/>
          <w:szCs w:val="22"/>
        </w:rPr>
        <w:t xml:space="preserve">Man, J. (2021). </w:t>
      </w:r>
      <w:r w:rsidRPr="00346731">
        <w:rPr>
          <w:rStyle w:val="normaltextrun"/>
          <w:rFonts w:asciiTheme="minorHAnsi" w:eastAsiaTheme="majorEastAsia" w:hAnsiTheme="minorHAnsi" w:cs="Segoe UI"/>
          <w:i/>
          <w:iCs/>
          <w:sz w:val="22"/>
          <w:szCs w:val="22"/>
        </w:rPr>
        <w:t>Cultural Competence: The Ultimate Guide to Cultural Proficien</w:t>
      </w:r>
      <w:r w:rsidRPr="00346731">
        <w:rPr>
          <w:rStyle w:val="normaltextrun"/>
          <w:rFonts w:asciiTheme="minorHAnsi" w:eastAsiaTheme="majorEastAsia" w:hAnsiTheme="minorHAnsi" w:cs="Segoe UI"/>
          <w:sz w:val="22"/>
          <w:szCs w:val="22"/>
        </w:rPr>
        <w:t xml:space="preserve">cy | Diversity for Social Impact. [online] Diversity for Social Impact. Available at: </w:t>
      </w:r>
      <w:hyperlink r:id="rId11" w:tgtFrame="_blank" w:history="1">
        <w:r w:rsidRPr="00346731">
          <w:rPr>
            <w:rStyle w:val="normaltextrun"/>
            <w:rFonts w:asciiTheme="minorHAnsi" w:eastAsiaTheme="majorEastAsia" w:hAnsiTheme="minorHAnsi" w:cs="Segoe UI"/>
            <w:color w:val="467886"/>
            <w:sz w:val="22"/>
            <w:szCs w:val="22"/>
            <w:u w:val="single"/>
          </w:rPr>
          <w:t>https://diversity.social/cultural-competence/</w:t>
        </w:r>
      </w:hyperlink>
      <w:r w:rsidRPr="00346731">
        <w:rPr>
          <w:rStyle w:val="normaltextrun"/>
          <w:rFonts w:asciiTheme="minorHAnsi" w:eastAsiaTheme="majorEastAsia" w:hAnsiTheme="minorHAnsi" w:cs="Segoe UI"/>
          <w:sz w:val="22"/>
          <w:szCs w:val="22"/>
        </w:rPr>
        <w:t>. </w:t>
      </w:r>
      <w:r w:rsidRPr="00346731">
        <w:rPr>
          <w:rStyle w:val="eop"/>
          <w:rFonts w:asciiTheme="minorHAnsi" w:eastAsiaTheme="majorEastAsia" w:hAnsiTheme="minorHAnsi" w:cs="Segoe UI"/>
          <w:sz w:val="22"/>
          <w:szCs w:val="22"/>
        </w:rPr>
        <w:t> </w:t>
      </w:r>
    </w:p>
    <w:p w14:paraId="0508D08D" w14:textId="77777777" w:rsidR="00802621" w:rsidRPr="00346731" w:rsidRDefault="00802621" w:rsidP="00A63751">
      <w:pPr>
        <w:pStyle w:val="paragraph"/>
        <w:textAlignment w:val="baseline"/>
        <w:rPr>
          <w:rStyle w:val="eop"/>
          <w:rFonts w:asciiTheme="minorHAnsi" w:eastAsiaTheme="majorEastAsia" w:hAnsiTheme="minorHAnsi" w:cs="Segoe UI"/>
          <w:sz w:val="22"/>
          <w:szCs w:val="22"/>
        </w:rPr>
      </w:pPr>
      <w:r w:rsidRPr="00346731">
        <w:rPr>
          <w:rStyle w:val="eop"/>
          <w:rFonts w:asciiTheme="minorHAnsi" w:eastAsiaTheme="majorEastAsia" w:hAnsiTheme="minorHAnsi" w:cs="Segoe UI"/>
          <w:sz w:val="22"/>
          <w:szCs w:val="22"/>
        </w:rPr>
        <w:t xml:space="preserve">Office for National Statistics (2015). </w:t>
      </w:r>
      <w:r w:rsidRPr="00346731">
        <w:rPr>
          <w:rStyle w:val="eop"/>
          <w:rFonts w:asciiTheme="minorHAnsi" w:eastAsiaTheme="majorEastAsia" w:hAnsiTheme="minorHAnsi" w:cs="Segoe UI"/>
          <w:i/>
          <w:iCs/>
          <w:sz w:val="22"/>
          <w:szCs w:val="22"/>
        </w:rPr>
        <w:t>Chapter 1: Perceptions of the Police - Office for National Statistics.</w:t>
      </w:r>
      <w:r w:rsidRPr="00346731">
        <w:rPr>
          <w:rStyle w:val="eop"/>
          <w:rFonts w:asciiTheme="minorHAnsi" w:eastAsiaTheme="majorEastAsia" w:hAnsiTheme="minorHAnsi" w:cs="Segoe UI"/>
          <w:sz w:val="22"/>
          <w:szCs w:val="22"/>
        </w:rPr>
        <w:t xml:space="preserve"> [online] www.ons.gov.uk. Available at: https://www.ons.gov.uk/peoplepopulationandcommunity/crimeandjustice/compendium/crim</w:t>
      </w:r>
      <w:r w:rsidRPr="00346731">
        <w:rPr>
          <w:rStyle w:val="eop"/>
          <w:rFonts w:asciiTheme="minorHAnsi" w:eastAsiaTheme="majorEastAsia" w:hAnsiTheme="minorHAnsi" w:cs="Segoe UI"/>
          <w:sz w:val="22"/>
          <w:szCs w:val="22"/>
        </w:rPr>
        <w:lastRenderedPageBreak/>
        <w:t>estatisticsfocusonpublicperceptionsofcrimeandthepoliceandthepersonalwellbeingofvictims/2015-03-26/chapter1perceptionsofthepolice.</w:t>
      </w:r>
    </w:p>
    <w:p w14:paraId="3E357170" w14:textId="77777777" w:rsidR="00802621" w:rsidRPr="00346731" w:rsidRDefault="00802621" w:rsidP="00027A5E">
      <w:pPr>
        <w:pStyle w:val="paragraph"/>
        <w:spacing w:before="0" w:beforeAutospacing="0" w:after="0" w:afterAutospacing="0"/>
        <w:textAlignment w:val="baseline"/>
        <w:rPr>
          <w:rFonts w:asciiTheme="minorHAnsi" w:hAnsiTheme="minorHAnsi" w:cs="Segoe UI"/>
          <w:sz w:val="22"/>
          <w:szCs w:val="22"/>
        </w:rPr>
      </w:pPr>
      <w:r w:rsidRPr="00346731">
        <w:rPr>
          <w:rStyle w:val="normaltextrun"/>
          <w:rFonts w:asciiTheme="minorHAnsi" w:eastAsiaTheme="majorEastAsia" w:hAnsiTheme="minorHAnsi" w:cs="Segoe UI"/>
          <w:sz w:val="22"/>
          <w:szCs w:val="22"/>
        </w:rPr>
        <w:t>Public Health Wales. (</w:t>
      </w:r>
      <w:proofErr w:type="spellStart"/>
      <w:r w:rsidRPr="00346731">
        <w:rPr>
          <w:rStyle w:val="normaltextrun"/>
          <w:rFonts w:asciiTheme="minorHAnsi" w:eastAsiaTheme="majorEastAsia" w:hAnsiTheme="minorHAnsi" w:cs="Segoe UI"/>
          <w:sz w:val="22"/>
          <w:szCs w:val="22"/>
        </w:rPr>
        <w:t>n.d</w:t>
      </w:r>
      <w:proofErr w:type="spellEnd"/>
      <w:proofErr w:type="gramStart"/>
      <w:r w:rsidRPr="00346731">
        <w:rPr>
          <w:rStyle w:val="normaltextrun"/>
          <w:rFonts w:asciiTheme="minorHAnsi" w:eastAsiaTheme="majorEastAsia" w:hAnsiTheme="minorHAnsi" w:cs="Segoe UI"/>
          <w:sz w:val="22"/>
          <w:szCs w:val="22"/>
        </w:rPr>
        <w:t xml:space="preserve">)  </w:t>
      </w:r>
      <w:r w:rsidRPr="00346731">
        <w:rPr>
          <w:rStyle w:val="normaltextrun"/>
          <w:rFonts w:asciiTheme="minorHAnsi" w:eastAsiaTheme="majorEastAsia" w:hAnsiTheme="minorHAnsi" w:cs="Segoe UI"/>
          <w:i/>
          <w:iCs/>
          <w:sz w:val="22"/>
          <w:szCs w:val="22"/>
        </w:rPr>
        <w:t>Principles</w:t>
      </w:r>
      <w:proofErr w:type="gramEnd"/>
      <w:r w:rsidRPr="00346731">
        <w:rPr>
          <w:rStyle w:val="normaltextrun"/>
          <w:rFonts w:asciiTheme="minorHAnsi" w:eastAsiaTheme="majorEastAsia" w:hAnsiTheme="minorHAnsi" w:cs="Segoe UI"/>
          <w:i/>
          <w:iCs/>
          <w:sz w:val="22"/>
          <w:szCs w:val="22"/>
        </w:rPr>
        <w:t xml:space="preserve"> of Community Engagement for Empowerment</w:t>
      </w:r>
      <w:r w:rsidRPr="00346731">
        <w:rPr>
          <w:rStyle w:val="normaltextrun"/>
          <w:rFonts w:asciiTheme="minorHAnsi" w:eastAsiaTheme="majorEastAsia" w:hAnsiTheme="minorHAnsi" w:cs="Segoe UI"/>
          <w:sz w:val="22"/>
          <w:szCs w:val="22"/>
        </w:rPr>
        <w:t xml:space="preserve">. Available at: </w:t>
      </w:r>
      <w:hyperlink r:id="rId12" w:tgtFrame="_blank" w:history="1">
        <w:r w:rsidRPr="00346731">
          <w:rPr>
            <w:rStyle w:val="normaltextrun"/>
            <w:rFonts w:asciiTheme="minorHAnsi" w:eastAsiaTheme="majorEastAsia" w:hAnsiTheme="minorHAnsi" w:cs="Segoe UI"/>
            <w:color w:val="467886"/>
            <w:sz w:val="22"/>
            <w:szCs w:val="22"/>
            <w:u w:val="single"/>
          </w:rPr>
          <w:t>https://phw.nhs.wales/news/rules-of-community-engagement-relinquish-your-power-so-that-communities-can-take-control/principles-of-community-engagement-for-empowerment/</w:t>
        </w:r>
      </w:hyperlink>
      <w:r w:rsidRPr="00346731">
        <w:rPr>
          <w:rStyle w:val="normaltextrun"/>
          <w:rFonts w:asciiTheme="minorHAnsi" w:eastAsiaTheme="majorEastAsia" w:hAnsiTheme="minorHAnsi" w:cs="Segoe UI"/>
          <w:sz w:val="22"/>
          <w:szCs w:val="22"/>
        </w:rPr>
        <w:t>  </w:t>
      </w:r>
      <w:r w:rsidRPr="00346731">
        <w:rPr>
          <w:rStyle w:val="eop"/>
          <w:rFonts w:asciiTheme="minorHAnsi" w:eastAsiaTheme="majorEastAsia" w:hAnsiTheme="minorHAnsi" w:cs="Segoe UI"/>
          <w:sz w:val="22"/>
          <w:szCs w:val="22"/>
        </w:rPr>
        <w:t> </w:t>
      </w:r>
    </w:p>
    <w:p w14:paraId="234DA2B7" w14:textId="77777777" w:rsidR="00802621" w:rsidRPr="00346731"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346731">
        <w:rPr>
          <w:rStyle w:val="eop"/>
          <w:rFonts w:asciiTheme="minorHAnsi" w:eastAsiaTheme="majorEastAsia" w:hAnsiTheme="minorHAnsi" w:cs="Segoe UI"/>
          <w:sz w:val="22"/>
          <w:szCs w:val="22"/>
        </w:rPr>
        <w:t>Rosenbaum, D (2013) The</w:t>
      </w:r>
      <w:r w:rsidRPr="00346731">
        <w:rPr>
          <w:rStyle w:val="eop"/>
          <w:rFonts w:asciiTheme="minorHAnsi" w:eastAsiaTheme="majorEastAsia" w:hAnsiTheme="minorHAnsi" w:cs="Segoe UI"/>
          <w:i/>
          <w:iCs/>
          <w:sz w:val="22"/>
          <w:szCs w:val="22"/>
        </w:rPr>
        <w:t xml:space="preserve"> Challenge of Community Policing: Testing the Promises</w:t>
      </w:r>
      <w:r w:rsidRPr="00346731">
        <w:rPr>
          <w:rStyle w:val="eop"/>
          <w:rFonts w:asciiTheme="minorHAnsi" w:eastAsiaTheme="majorEastAsia" w:hAnsiTheme="minorHAnsi" w:cs="Segoe UI"/>
          <w:sz w:val="22"/>
          <w:szCs w:val="22"/>
        </w:rPr>
        <w:t>. London: Sage</w:t>
      </w:r>
    </w:p>
    <w:p w14:paraId="746815D4" w14:textId="77777777" w:rsidR="00802621" w:rsidRPr="00346731" w:rsidRDefault="00802621" w:rsidP="00A63751">
      <w:pPr>
        <w:pStyle w:val="paragraph"/>
        <w:textAlignment w:val="baseline"/>
        <w:rPr>
          <w:rFonts w:asciiTheme="minorHAnsi" w:hAnsiTheme="minorHAnsi" w:cs="Segoe UI"/>
          <w:sz w:val="22"/>
          <w:szCs w:val="22"/>
        </w:rPr>
      </w:pPr>
      <w:proofErr w:type="spellStart"/>
      <w:r w:rsidRPr="00346731">
        <w:rPr>
          <w:rFonts w:asciiTheme="minorHAnsi" w:hAnsiTheme="minorHAnsi" w:cs="Segoe UI"/>
          <w:sz w:val="22"/>
          <w:szCs w:val="22"/>
        </w:rPr>
        <w:t>Signori</w:t>
      </w:r>
      <w:proofErr w:type="spellEnd"/>
      <w:r w:rsidRPr="00346731">
        <w:rPr>
          <w:rFonts w:asciiTheme="minorHAnsi" w:hAnsiTheme="minorHAnsi" w:cs="Segoe UI"/>
          <w:sz w:val="22"/>
          <w:szCs w:val="22"/>
        </w:rPr>
        <w:t xml:space="preserve">, R. Heinrich, D.P. </w:t>
      </w:r>
      <w:proofErr w:type="spellStart"/>
      <w:proofErr w:type="gramStart"/>
      <w:r w:rsidRPr="00346731">
        <w:rPr>
          <w:rFonts w:asciiTheme="minorHAnsi" w:hAnsiTheme="minorHAnsi" w:cs="Segoe UI"/>
          <w:sz w:val="22"/>
          <w:szCs w:val="22"/>
        </w:rPr>
        <w:t>Wootton,A</w:t>
      </w:r>
      <w:proofErr w:type="spellEnd"/>
      <w:r w:rsidRPr="00346731">
        <w:rPr>
          <w:rFonts w:asciiTheme="minorHAnsi" w:hAnsiTheme="minorHAnsi" w:cs="Segoe UI"/>
          <w:sz w:val="22"/>
          <w:szCs w:val="22"/>
        </w:rPr>
        <w:t>.</w:t>
      </w:r>
      <w:proofErr w:type="gramEnd"/>
      <w:r w:rsidRPr="00346731">
        <w:rPr>
          <w:rFonts w:asciiTheme="minorHAnsi" w:hAnsiTheme="minorHAnsi" w:cs="Segoe UI"/>
          <w:sz w:val="22"/>
          <w:szCs w:val="22"/>
        </w:rPr>
        <w:t xml:space="preserve"> B. Davey, C, L (2023) </w:t>
      </w:r>
      <w:r w:rsidRPr="00346731">
        <w:rPr>
          <w:rFonts w:asciiTheme="minorHAnsi" w:hAnsiTheme="minorHAnsi" w:cs="Segoe UI"/>
          <w:i/>
          <w:iCs/>
          <w:sz w:val="22"/>
          <w:szCs w:val="22"/>
        </w:rPr>
        <w:t>Relational continuity in community policing: Insights from a human-centred design perspective . Policing: A Journal of Policy and Practice.</w:t>
      </w:r>
      <w:r w:rsidRPr="00346731">
        <w:rPr>
          <w:rFonts w:asciiTheme="minorHAnsi" w:hAnsiTheme="minorHAnsi" w:cs="Segoe UI"/>
          <w:sz w:val="22"/>
          <w:szCs w:val="22"/>
        </w:rPr>
        <w:t xml:space="preserve"> 17. 10.1093/police/paad038.</w:t>
      </w:r>
    </w:p>
    <w:p w14:paraId="581A4D91" w14:textId="77777777" w:rsidR="00802621" w:rsidRPr="00346731" w:rsidRDefault="00802621" w:rsidP="00027A5E">
      <w:pPr>
        <w:pStyle w:val="paragraph"/>
        <w:textAlignment w:val="baseline"/>
        <w:rPr>
          <w:rFonts w:asciiTheme="minorHAnsi" w:hAnsiTheme="minorHAnsi" w:cs="Segoe UI"/>
          <w:sz w:val="22"/>
          <w:szCs w:val="22"/>
        </w:rPr>
      </w:pPr>
      <w:r w:rsidRPr="00346731">
        <w:rPr>
          <w:rFonts w:asciiTheme="minorHAnsi" w:hAnsiTheme="minorHAnsi" w:cs="Segoe UI"/>
          <w:sz w:val="22"/>
          <w:szCs w:val="22"/>
        </w:rPr>
        <w:t>Wankhade, P. McCann, L, Murphy, P (2019)</w:t>
      </w:r>
      <w:r w:rsidRPr="00346731">
        <w:rPr>
          <w:rFonts w:asciiTheme="minorHAnsi" w:hAnsiTheme="minorHAnsi" w:cs="Segoe UI"/>
          <w:i/>
          <w:iCs/>
          <w:sz w:val="22"/>
          <w:szCs w:val="22"/>
        </w:rPr>
        <w:t xml:space="preserve"> Critical Perspectives on the Management and Organization of Emergency Services</w:t>
      </w:r>
      <w:r w:rsidRPr="00346731">
        <w:rPr>
          <w:rFonts w:asciiTheme="minorHAnsi" w:hAnsiTheme="minorHAnsi" w:cs="Segoe UI"/>
          <w:sz w:val="22"/>
          <w:szCs w:val="22"/>
        </w:rPr>
        <w:t xml:space="preserve">. London: Routledge </w:t>
      </w:r>
    </w:p>
    <w:p w14:paraId="030D9DD2"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p>
    <w:p w14:paraId="3C6C3C09"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p>
    <w:p w14:paraId="1F47E856"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p>
    <w:p w14:paraId="7E6C3F64"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p>
    <w:p w14:paraId="19C8D5F1"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p>
    <w:p w14:paraId="48C446B5"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p>
    <w:p w14:paraId="2CD96486"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p>
    <w:p w14:paraId="2AF22932"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p>
    <w:p w14:paraId="272325B4"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p>
    <w:p w14:paraId="0A6A2942"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p>
    <w:p w14:paraId="25BD8BAA" w14:textId="77777777"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p>
    <w:p w14:paraId="73A3C58E" w14:textId="77777777" w:rsidR="00027A5E" w:rsidRDefault="00027A5E" w:rsidP="00027A5E">
      <w:pPr>
        <w:pStyle w:val="paragraph"/>
        <w:spacing w:before="0" w:beforeAutospacing="0" w:after="0" w:afterAutospacing="0"/>
        <w:textAlignment w:val="baseline"/>
        <w:rPr>
          <w:rFonts w:asciiTheme="minorHAnsi" w:hAnsiTheme="minorHAnsi" w:cs="Segoe UI"/>
          <w:sz w:val="22"/>
          <w:szCs w:val="22"/>
        </w:rPr>
      </w:pPr>
    </w:p>
    <w:p w14:paraId="1674EA04"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71DAA69F"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16D49873"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2E96C5AB"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09C2F5C5"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24A8A8D2"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31168952"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0F66E72B"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33FB882F"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5EBA9A9D"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68F3E05F"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0FB68DD9"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03F28AF5"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6FB4ECA6"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6FAE9887"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5FA8D2B4"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50C93756"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48A1BFBA"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74407242"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46EEC566" w14:textId="77777777" w:rsidR="00346731" w:rsidRDefault="00346731" w:rsidP="00027A5E">
      <w:pPr>
        <w:pStyle w:val="paragraph"/>
        <w:spacing w:before="0" w:beforeAutospacing="0" w:after="0" w:afterAutospacing="0"/>
        <w:textAlignment w:val="baseline"/>
        <w:rPr>
          <w:rFonts w:asciiTheme="minorHAnsi" w:hAnsiTheme="minorHAnsi" w:cs="Segoe UI"/>
          <w:sz w:val="22"/>
          <w:szCs w:val="22"/>
        </w:rPr>
      </w:pPr>
    </w:p>
    <w:p w14:paraId="6CDEDFC1" w14:textId="631F683D"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r w:rsidRPr="00346731">
        <w:rPr>
          <w:rStyle w:val="normaltextrun"/>
          <w:rFonts w:asciiTheme="minorHAnsi" w:eastAsiaTheme="majorEastAsia" w:hAnsiTheme="minorHAnsi" w:cs="Segoe UI"/>
          <w:b/>
          <w:bCs/>
          <w:sz w:val="22"/>
          <w:szCs w:val="22"/>
        </w:rPr>
        <w:lastRenderedPageBreak/>
        <w:t xml:space="preserve">Outline potential links between serious and organised crime and public protection issues. </w:t>
      </w:r>
      <w:proofErr w:type="gramStart"/>
      <w:r w:rsidRPr="00346731">
        <w:rPr>
          <w:rStyle w:val="normaltextrun"/>
          <w:rFonts w:asciiTheme="minorHAnsi" w:eastAsiaTheme="majorEastAsia" w:hAnsiTheme="minorHAnsi" w:cs="Segoe UI"/>
          <w:b/>
          <w:bCs/>
          <w:sz w:val="22"/>
          <w:szCs w:val="22"/>
        </w:rPr>
        <w:t>What </w:t>
      </w:r>
      <w:r w:rsidRPr="00346731">
        <w:rPr>
          <w:rStyle w:val="eop"/>
          <w:rFonts w:asciiTheme="minorHAnsi" w:eastAsiaTheme="majorEastAsia" w:hAnsiTheme="minorHAnsi" w:cs="Segoe UI"/>
          <w:sz w:val="22"/>
          <w:szCs w:val="22"/>
        </w:rPr>
        <w:t> </w:t>
      </w:r>
      <w:r w:rsidRPr="00346731">
        <w:rPr>
          <w:rStyle w:val="normaltextrun"/>
          <w:rFonts w:asciiTheme="minorHAnsi" w:eastAsiaTheme="majorEastAsia" w:hAnsiTheme="minorHAnsi" w:cs="Segoe UI"/>
          <w:b/>
          <w:bCs/>
          <w:sz w:val="22"/>
          <w:szCs w:val="22"/>
        </w:rPr>
        <w:t>characteristics</w:t>
      </w:r>
      <w:proofErr w:type="gramEnd"/>
      <w:r w:rsidRPr="00346731">
        <w:rPr>
          <w:rStyle w:val="normaltextrun"/>
          <w:rFonts w:asciiTheme="minorHAnsi" w:eastAsiaTheme="majorEastAsia" w:hAnsiTheme="minorHAnsi" w:cs="Segoe UI"/>
          <w:b/>
          <w:bCs/>
          <w:sz w:val="22"/>
          <w:szCs w:val="22"/>
        </w:rPr>
        <w:t xml:space="preserve"> make some people more vulnerable to exploitation by serious and organised crime gangs?</w:t>
      </w:r>
      <w:r w:rsidRPr="00346731">
        <w:rPr>
          <w:rStyle w:val="eop"/>
          <w:rFonts w:asciiTheme="minorHAnsi" w:eastAsiaTheme="majorEastAsia" w:hAnsiTheme="minorHAnsi" w:cs="Segoe UI"/>
          <w:sz w:val="22"/>
          <w:szCs w:val="22"/>
        </w:rPr>
        <w:t> </w:t>
      </w:r>
    </w:p>
    <w:p w14:paraId="3D3AE307" w14:textId="1748B3C0" w:rsidR="00027A5E" w:rsidRPr="00346731" w:rsidRDefault="00027A5E" w:rsidP="00027A5E">
      <w:pPr>
        <w:pStyle w:val="paragraph"/>
        <w:spacing w:before="0" w:beforeAutospacing="0" w:after="0" w:afterAutospacing="0"/>
        <w:textAlignment w:val="baseline"/>
        <w:rPr>
          <w:rFonts w:asciiTheme="minorHAnsi" w:hAnsiTheme="minorHAnsi" w:cs="Segoe UI"/>
          <w:sz w:val="22"/>
          <w:szCs w:val="22"/>
        </w:rPr>
      </w:pPr>
      <w:r w:rsidRPr="00346731">
        <w:rPr>
          <w:rStyle w:val="normaltextrun"/>
          <w:rFonts w:asciiTheme="minorHAnsi" w:eastAsiaTheme="majorEastAsia" w:hAnsiTheme="minorHAnsi" w:cs="Segoe UI"/>
          <w:sz w:val="22"/>
          <w:szCs w:val="22"/>
        </w:rPr>
        <w:t>Serious and organised crime (SOC) refers to planned, coordinated criminal activities carried out by individuals operating independently, in groups, or as international networks. Winchester (2020) states to this unlawful behaviour typically revolves around obtaining money, profit, influence, power, and, in certain cases, sexual gratification. The methods employed to achieve these objectives vary, such as violence</w:t>
      </w:r>
      <w:r w:rsidR="00346731" w:rsidRPr="00346731">
        <w:rPr>
          <w:rStyle w:val="normaltextrun"/>
          <w:rFonts w:asciiTheme="minorHAnsi" w:eastAsiaTheme="majorEastAsia" w:hAnsiTheme="minorHAnsi" w:cs="Segoe UI"/>
          <w:sz w:val="22"/>
          <w:szCs w:val="22"/>
        </w:rPr>
        <w:t xml:space="preserve"> and</w:t>
      </w:r>
      <w:r w:rsidRPr="00346731">
        <w:rPr>
          <w:rStyle w:val="normaltextrun"/>
          <w:rFonts w:asciiTheme="minorHAnsi" w:eastAsiaTheme="majorEastAsia" w:hAnsiTheme="minorHAnsi" w:cs="Segoe UI"/>
          <w:sz w:val="22"/>
          <w:szCs w:val="22"/>
        </w:rPr>
        <w:t xml:space="preserve"> intimidation. Examples of serious and organised crimes include drug trafficking</w:t>
      </w:r>
      <w:r w:rsidR="00346731" w:rsidRPr="00346731">
        <w:rPr>
          <w:rStyle w:val="normaltextrun"/>
          <w:rFonts w:asciiTheme="minorHAnsi" w:eastAsiaTheme="majorEastAsia" w:hAnsiTheme="minorHAnsi" w:cs="Segoe UI"/>
          <w:sz w:val="22"/>
          <w:szCs w:val="22"/>
        </w:rPr>
        <w:t xml:space="preserve"> and modern-day</w:t>
      </w:r>
      <w:r w:rsidRPr="00346731">
        <w:rPr>
          <w:rStyle w:val="normaltextrun"/>
          <w:rFonts w:asciiTheme="minorHAnsi" w:eastAsiaTheme="majorEastAsia" w:hAnsiTheme="minorHAnsi" w:cs="Segoe UI"/>
          <w:sz w:val="22"/>
          <w:szCs w:val="22"/>
        </w:rPr>
        <w:t xml:space="preserve"> slavery</w:t>
      </w:r>
      <w:r w:rsidR="00346731" w:rsidRPr="00346731">
        <w:rPr>
          <w:rStyle w:val="normaltextrun"/>
          <w:rFonts w:asciiTheme="minorHAnsi" w:eastAsiaTheme="majorEastAsia" w:hAnsiTheme="minorHAnsi" w:cs="Segoe UI"/>
          <w:sz w:val="22"/>
          <w:szCs w:val="22"/>
        </w:rPr>
        <w:t xml:space="preserve"> and exploitation. </w:t>
      </w:r>
    </w:p>
    <w:p w14:paraId="7FC62F0E" w14:textId="4E33D0B3" w:rsidR="00027A5E" w:rsidRPr="00346731" w:rsidRDefault="00027A5E" w:rsidP="00027A5E">
      <w:pPr>
        <w:pStyle w:val="paragraph"/>
        <w:spacing w:before="0" w:beforeAutospacing="0" w:after="0" w:afterAutospacing="0"/>
        <w:textAlignment w:val="baseline"/>
        <w:rPr>
          <w:rStyle w:val="normaltextrun"/>
          <w:rFonts w:asciiTheme="minorHAnsi" w:hAnsiTheme="minorHAnsi" w:cs="Segoe UI"/>
          <w:sz w:val="22"/>
          <w:szCs w:val="22"/>
        </w:rPr>
      </w:pPr>
      <w:r w:rsidRPr="00346731">
        <w:rPr>
          <w:rStyle w:val="normaltextrun"/>
          <w:rFonts w:asciiTheme="minorHAnsi" w:eastAsiaTheme="majorEastAsia" w:hAnsiTheme="minorHAnsi" w:cs="Segoe UI"/>
          <w:sz w:val="22"/>
          <w:szCs w:val="22"/>
        </w:rPr>
        <w:t xml:space="preserve">These offenses are frequently </w:t>
      </w:r>
      <w:r w:rsidR="00346731" w:rsidRPr="00346731">
        <w:rPr>
          <w:rStyle w:val="normaltextrun"/>
          <w:rFonts w:asciiTheme="minorHAnsi" w:eastAsiaTheme="majorEastAsia" w:hAnsiTheme="minorHAnsi" w:cs="Segoe UI"/>
          <w:sz w:val="22"/>
          <w:szCs w:val="22"/>
        </w:rPr>
        <w:t>performed</w:t>
      </w:r>
      <w:r w:rsidRPr="00346731">
        <w:rPr>
          <w:rStyle w:val="normaltextrun"/>
          <w:rFonts w:asciiTheme="minorHAnsi" w:eastAsiaTheme="majorEastAsia" w:hAnsiTheme="minorHAnsi" w:cs="Segoe UI"/>
          <w:sz w:val="22"/>
          <w:szCs w:val="22"/>
        </w:rPr>
        <w:t xml:space="preserve"> by organised crime groups (OCGs). In 2013, the UK Government issued a serious and organised crime strategy</w:t>
      </w:r>
      <w:r w:rsidR="00346731" w:rsidRPr="00346731">
        <w:rPr>
          <w:rStyle w:val="normaltextrun"/>
          <w:rFonts w:asciiTheme="minorHAnsi" w:eastAsiaTheme="majorEastAsia" w:hAnsiTheme="minorHAnsi" w:cs="Segoe UI"/>
          <w:sz w:val="22"/>
          <w:szCs w:val="22"/>
        </w:rPr>
        <w:t xml:space="preserve">. </w:t>
      </w:r>
      <w:r w:rsidRPr="00346731">
        <w:rPr>
          <w:rStyle w:val="normaltextrun"/>
          <w:rFonts w:asciiTheme="minorHAnsi" w:eastAsiaTheme="majorEastAsia" w:hAnsiTheme="minorHAnsi" w:cs="Segoe UI"/>
          <w:sz w:val="22"/>
          <w:szCs w:val="22"/>
        </w:rPr>
        <w:t>The strategy highlighted a 4 P framework, Prevent, Pursue, Protect and Prepare. Winchester (2020) highlights that protect focuses on protecting individuals and communities against SOC with the objective to build the high levels of protection and resilience in vulnerable people and communities. This highlights that there is clear evidence that some characteristics are at greater risk of being a victim of or involved with SOC. </w:t>
      </w:r>
      <w:r w:rsidRPr="00346731">
        <w:rPr>
          <w:rStyle w:val="eop"/>
          <w:rFonts w:asciiTheme="minorHAnsi" w:eastAsiaTheme="majorEastAsia" w:hAnsiTheme="minorHAnsi" w:cs="Segoe UI"/>
          <w:sz w:val="22"/>
          <w:szCs w:val="22"/>
        </w:rPr>
        <w:t> </w:t>
      </w:r>
      <w:r w:rsidR="00346731" w:rsidRPr="00346731">
        <w:rPr>
          <w:rStyle w:val="normaltextrun"/>
          <w:rFonts w:asciiTheme="minorHAnsi" w:eastAsiaTheme="majorEastAsia" w:hAnsiTheme="minorHAnsi" w:cs="Segoe UI"/>
          <w:sz w:val="22"/>
          <w:szCs w:val="22"/>
        </w:rPr>
        <w:t xml:space="preserve">Some </w:t>
      </w:r>
      <w:r w:rsidRPr="00346731">
        <w:rPr>
          <w:rStyle w:val="normaltextrun"/>
          <w:rFonts w:asciiTheme="minorHAnsi" w:eastAsiaTheme="majorEastAsia" w:hAnsiTheme="minorHAnsi" w:cs="Segoe UI"/>
          <w:sz w:val="22"/>
          <w:szCs w:val="22"/>
        </w:rPr>
        <w:t xml:space="preserve">exploitation </w:t>
      </w:r>
      <w:r w:rsidR="00346731" w:rsidRPr="00346731">
        <w:rPr>
          <w:rStyle w:val="normaltextrun"/>
          <w:rFonts w:asciiTheme="minorHAnsi" w:eastAsiaTheme="majorEastAsia" w:hAnsiTheme="minorHAnsi" w:cs="Segoe UI"/>
          <w:sz w:val="22"/>
          <w:szCs w:val="22"/>
        </w:rPr>
        <w:t xml:space="preserve">may </w:t>
      </w:r>
      <w:r w:rsidRPr="00346731">
        <w:rPr>
          <w:rStyle w:val="normaltextrun"/>
          <w:rFonts w:asciiTheme="minorHAnsi" w:eastAsiaTheme="majorEastAsia" w:hAnsiTheme="minorHAnsi" w:cs="Segoe UI"/>
          <w:sz w:val="22"/>
          <w:szCs w:val="22"/>
        </w:rPr>
        <w:t>overlap</w:t>
      </w:r>
      <w:r w:rsidR="00346731" w:rsidRPr="00346731">
        <w:rPr>
          <w:rStyle w:val="normaltextrun"/>
          <w:rFonts w:asciiTheme="minorHAnsi" w:eastAsiaTheme="majorEastAsia" w:hAnsiTheme="minorHAnsi" w:cs="Segoe UI"/>
          <w:sz w:val="22"/>
          <w:szCs w:val="22"/>
        </w:rPr>
        <w:t xml:space="preserve"> and there</w:t>
      </w:r>
      <w:r w:rsidR="00346731" w:rsidRPr="00346731">
        <w:rPr>
          <w:rFonts w:asciiTheme="minorHAnsi" w:hAnsiTheme="minorHAnsi" w:cs="Segoe UI"/>
          <w:sz w:val="22"/>
          <w:szCs w:val="22"/>
        </w:rPr>
        <w:t xml:space="preserve"> are </w:t>
      </w:r>
      <w:r w:rsidRPr="00346731">
        <w:rPr>
          <w:rStyle w:val="normaltextrun"/>
          <w:rFonts w:asciiTheme="minorHAnsi" w:eastAsiaTheme="majorEastAsia" w:hAnsiTheme="minorHAnsi" w:cs="Segoe UI"/>
          <w:sz w:val="22"/>
          <w:szCs w:val="22"/>
        </w:rPr>
        <w:t>risk factors</w:t>
      </w:r>
      <w:r w:rsidR="00346731" w:rsidRPr="00346731">
        <w:rPr>
          <w:rStyle w:val="normaltextrun"/>
          <w:rFonts w:asciiTheme="minorHAnsi" w:eastAsiaTheme="majorEastAsia" w:hAnsiTheme="minorHAnsi" w:cs="Segoe UI"/>
          <w:sz w:val="22"/>
          <w:szCs w:val="22"/>
        </w:rPr>
        <w:t xml:space="preserve"> to exploitation such as </w:t>
      </w:r>
      <w:r w:rsidRPr="00346731">
        <w:rPr>
          <w:rStyle w:val="normaltextrun"/>
          <w:rFonts w:asciiTheme="minorHAnsi" w:eastAsiaTheme="majorEastAsia" w:hAnsiTheme="minorHAnsi" w:cs="Segoe UI"/>
          <w:sz w:val="22"/>
          <w:szCs w:val="22"/>
        </w:rPr>
        <w:t xml:space="preserve">criminality, ability, networks and identity. </w:t>
      </w:r>
    </w:p>
    <w:p w14:paraId="71081D86" w14:textId="77777777" w:rsidR="00027A5E" w:rsidRPr="00346731" w:rsidRDefault="00027A5E" w:rsidP="00027A5E">
      <w:pPr>
        <w:pStyle w:val="paragraph"/>
        <w:textAlignment w:val="baseline"/>
        <w:rPr>
          <w:rStyle w:val="normaltextrun"/>
          <w:rFonts w:asciiTheme="minorHAnsi" w:eastAsiaTheme="majorEastAsia" w:hAnsiTheme="minorHAnsi" w:cs="Segoe UI"/>
          <w:sz w:val="22"/>
          <w:szCs w:val="22"/>
        </w:rPr>
      </w:pPr>
      <w:r w:rsidRPr="00346731">
        <w:rPr>
          <w:rStyle w:val="normaltextrun"/>
          <w:rFonts w:asciiTheme="minorHAnsi" w:eastAsiaTheme="majorEastAsia" w:hAnsiTheme="minorHAnsi" w:cs="Segoe UI"/>
          <w:sz w:val="22"/>
          <w:szCs w:val="22"/>
        </w:rPr>
        <w:t xml:space="preserve">I will firstly examine how identity, a person’s upbringings and lifestyle factors, can make a person more vulnerable to exploitation. Bower and Solomon (2024) argue that a child missing maternal care can make them extremely vulnerable to exploitation. Missing such a vital figure in their life can make a person seek the love, security and care they sought maternally can be so desperately sought from others. Deprivation and trauma can invade a child’s ability to grieve the attachments of childhood. Bronstein (2020) argues that during adolescence, individuals who do not have a maternal care and love will develop depressive anxieties. These individuals will begin a new sense of themselves which can lead to vulnerabilities to exploitation. </w:t>
      </w:r>
      <w:proofErr w:type="spellStart"/>
      <w:r w:rsidRPr="00346731">
        <w:rPr>
          <w:rStyle w:val="normaltextrun"/>
          <w:rFonts w:asciiTheme="minorHAnsi" w:eastAsiaTheme="majorEastAsia" w:hAnsiTheme="minorHAnsi" w:cs="Segoe UI"/>
          <w:sz w:val="22"/>
          <w:szCs w:val="22"/>
        </w:rPr>
        <w:t>Polmear</w:t>
      </w:r>
      <w:proofErr w:type="spellEnd"/>
      <w:r w:rsidRPr="00346731">
        <w:rPr>
          <w:rStyle w:val="normaltextrun"/>
          <w:rFonts w:asciiTheme="minorHAnsi" w:eastAsiaTheme="majorEastAsia" w:hAnsiTheme="minorHAnsi" w:cs="Segoe UI"/>
          <w:sz w:val="22"/>
          <w:szCs w:val="22"/>
        </w:rPr>
        <w:t xml:space="preserve"> (2010) supports this idea and believes that individuals who have failed or disturbed parental figures are likely to turn the pain from mourning the attachments and turn towards something or someone who is destructive and selfish. Neurologist Sigmund Freud fully supports these thoughts and believed that early childhood experiences are vital in shaping personality and behaviour, often leading to neuroses in adulthood.</w:t>
      </w:r>
      <w:r w:rsidRPr="00346731">
        <w:rPr>
          <w:rFonts w:asciiTheme="minorHAnsi" w:hAnsiTheme="minorHAnsi"/>
          <w:sz w:val="22"/>
          <w:szCs w:val="22"/>
        </w:rPr>
        <w:t xml:space="preserve"> </w:t>
      </w:r>
      <w:r w:rsidRPr="00346731">
        <w:rPr>
          <w:rStyle w:val="normaltextrun"/>
          <w:rFonts w:asciiTheme="minorHAnsi" w:eastAsiaTheme="majorEastAsia" w:hAnsiTheme="minorHAnsi" w:cs="Segoe UI"/>
          <w:sz w:val="22"/>
          <w:szCs w:val="22"/>
        </w:rPr>
        <w:t>He suggested that unresolved conflicts during crucial developmental stages can affect mental health, often leading to neuroses in adulthood. His theories, particularly the psychosexual stages of development, underscore how relationships with parents and significant childhood events can influence adult psychological functioning, (Freud 2012).</w:t>
      </w:r>
      <w:r w:rsidRPr="00346731">
        <w:rPr>
          <w:rFonts w:asciiTheme="minorHAnsi" w:hAnsiTheme="minorHAnsi"/>
          <w:sz w:val="22"/>
          <w:szCs w:val="22"/>
        </w:rPr>
        <w:t xml:space="preserve"> Interestingly, </w:t>
      </w:r>
      <w:r w:rsidRPr="00346731">
        <w:rPr>
          <w:rStyle w:val="normaltextrun"/>
          <w:rFonts w:asciiTheme="minorHAnsi" w:eastAsiaTheme="majorEastAsia" w:hAnsiTheme="minorHAnsi" w:cs="Segoe UI"/>
          <w:sz w:val="22"/>
          <w:szCs w:val="22"/>
        </w:rPr>
        <w:t xml:space="preserve">Bower and Solomon (2023) disagree and argues that exploitation can occur with individuals from privileged backgrounds also and that no one is exempt from this possibility.  To conclude, there is a clear link between individuals who have had negative early childhood experiences and have not had paternal figures in their life could be more vulnerable to exploitation, as they have low self-esteem, trout issues, have a great desire for acceptance, are isolated and have poor boundaries. A person who is subject to these could be easily groomed. Grooming is a manipulative process where someone builds trust with a child or vulnerable person to exploit them, often for sexual abuse. It involves establishing trust, normalising inappropriate behaviours, isolating the victim, using emotional manipulation, and encouraging secrecy. </w:t>
      </w:r>
    </w:p>
    <w:p w14:paraId="5F619E2E" w14:textId="77777777" w:rsidR="00027A5E" w:rsidRPr="00346731" w:rsidRDefault="00027A5E" w:rsidP="00027A5E">
      <w:pPr>
        <w:pStyle w:val="paragraph"/>
        <w:textAlignment w:val="baseline"/>
        <w:rPr>
          <w:rStyle w:val="normaltextrun"/>
          <w:rFonts w:asciiTheme="minorHAnsi" w:eastAsiaTheme="majorEastAsia" w:hAnsiTheme="minorHAnsi" w:cs="Segoe UI"/>
          <w:sz w:val="22"/>
          <w:szCs w:val="22"/>
        </w:rPr>
      </w:pPr>
      <w:r w:rsidRPr="00346731">
        <w:rPr>
          <w:rStyle w:val="normaltextrun"/>
          <w:rFonts w:asciiTheme="minorHAnsi" w:eastAsiaTheme="majorEastAsia" w:hAnsiTheme="minorHAnsi" w:cs="Segoe UI"/>
          <w:sz w:val="22"/>
          <w:szCs w:val="22"/>
        </w:rPr>
        <w:t xml:space="preserve">Lifestyle factors are also argued to make a person vulnerable. Pearse (2019) argues that exploitation can be influenced by various lifestyle factors that increase vulnerability, such as weak social connections, poor mental health, and substance use, which can impair judgment and resilience. Economic instability may also force individuals to tolerate manipulative situations, while a lack of education about healthy relationships can further heighten susceptibility. Social learning theorist Bandura suggests that individuals may become </w:t>
      </w:r>
      <w:r w:rsidRPr="00346731">
        <w:rPr>
          <w:rStyle w:val="normaltextrun"/>
          <w:rFonts w:asciiTheme="minorHAnsi" w:eastAsiaTheme="majorEastAsia" w:hAnsiTheme="minorHAnsi" w:cs="Segoe UI"/>
          <w:sz w:val="22"/>
          <w:szCs w:val="22"/>
        </w:rPr>
        <w:lastRenderedPageBreak/>
        <w:t>vulnerable to exploitation by modelling behaviours from their environment. He believes that motivation and role models are key in this, whereby a person is motivated by what is observed as a reward, and that individuals are more likely to imitate behaviours and actions of people they perceive to be role models, (Gilbride, 2025). If a person is around a particular behaviour or activity, such as taking drugs and drinking alcohol, then they are more likely to mirror this behaviour/activity. For this reason, a person who is struggling with addiction may be coerced into criminal activities to sustain their habits, continuing a cycle of vulnerability.</w:t>
      </w:r>
      <w:r w:rsidRPr="00346731">
        <w:rPr>
          <w:rFonts w:asciiTheme="minorHAnsi" w:hAnsiTheme="minorHAnsi"/>
          <w:sz w:val="22"/>
          <w:szCs w:val="22"/>
        </w:rPr>
        <w:t xml:space="preserve"> </w:t>
      </w:r>
      <w:r w:rsidRPr="00346731">
        <w:rPr>
          <w:rStyle w:val="normaltextrun"/>
          <w:rFonts w:asciiTheme="minorHAnsi" w:eastAsiaTheme="majorEastAsia" w:hAnsiTheme="minorHAnsi" w:cs="Segoe UI"/>
          <w:sz w:val="22"/>
          <w:szCs w:val="22"/>
        </w:rPr>
        <w:t xml:space="preserve">Individuals who have limited access to education leaves them with fewer opportunities, making them susceptible to criminal offers. Furthermore, individuals who have physical or learning disabilities, whereby they have a reduced ability to recognise or communicate exploitation are also at risk. They could pose a risk of being cuckooed. It is clear to see that lifestyle factors play a crucial role in making a person vulnerable to exploitation. </w:t>
      </w:r>
    </w:p>
    <w:p w14:paraId="3EFE3855" w14:textId="729C4043" w:rsidR="00027A5E" w:rsidRPr="00346731" w:rsidRDefault="00027A5E" w:rsidP="00027A5E">
      <w:pPr>
        <w:pStyle w:val="paragraph"/>
        <w:textAlignment w:val="baseline"/>
        <w:rPr>
          <w:rFonts w:asciiTheme="minorHAnsi" w:eastAsiaTheme="majorEastAsia" w:hAnsiTheme="minorHAnsi"/>
          <w:sz w:val="22"/>
          <w:szCs w:val="22"/>
        </w:rPr>
      </w:pPr>
      <w:r w:rsidRPr="00346731">
        <w:rPr>
          <w:rStyle w:val="normaltextrun"/>
          <w:rFonts w:asciiTheme="minorHAnsi" w:eastAsiaTheme="majorEastAsia" w:hAnsiTheme="minorHAnsi" w:cs="Segoe UI"/>
          <w:sz w:val="22"/>
          <w:szCs w:val="22"/>
        </w:rPr>
        <w:t>Criminality also intertwines into Bandura’s theory, and that involving patterns and trends of offending behaviour, can make a person more vulnerable to exploitation</w:t>
      </w:r>
      <w:r w:rsidR="00196354" w:rsidRPr="00346731">
        <w:rPr>
          <w:rStyle w:val="normaltextrun"/>
          <w:rFonts w:asciiTheme="minorHAnsi" w:eastAsiaTheme="majorEastAsia" w:hAnsiTheme="minorHAnsi" w:cs="Segoe UI"/>
          <w:sz w:val="22"/>
          <w:szCs w:val="22"/>
        </w:rPr>
        <w:t>, (Gilbride, 2025)</w:t>
      </w:r>
      <w:r w:rsidRPr="00346731">
        <w:rPr>
          <w:rStyle w:val="normaltextrun"/>
          <w:rFonts w:asciiTheme="minorHAnsi" w:eastAsiaTheme="majorEastAsia" w:hAnsiTheme="minorHAnsi" w:cs="Segoe UI"/>
          <w:sz w:val="22"/>
          <w:szCs w:val="22"/>
        </w:rPr>
        <w:t xml:space="preserve">. Home Office research suggests that a significant portion of organised criminals have a history of engaging in prolific criminal behaviour from a young age. Just under 25% of all organised criminals are below 25 years old. Early experiences with criminality can lead to sustained involvement into adulthood and progression into serious and organized criminal activities, (HM Government, 2015).  </w:t>
      </w:r>
    </w:p>
    <w:p w14:paraId="39C3E4C1" w14:textId="77777777" w:rsidR="00027A5E" w:rsidRPr="00264250" w:rsidRDefault="00027A5E" w:rsidP="00027A5E">
      <w:pPr>
        <w:pStyle w:val="paragraph"/>
        <w:textAlignment w:val="baseline"/>
        <w:rPr>
          <w:rFonts w:asciiTheme="minorHAnsi" w:hAnsiTheme="minorHAnsi" w:cs="Segoe UI"/>
          <w:sz w:val="22"/>
          <w:szCs w:val="22"/>
        </w:rPr>
      </w:pPr>
      <w:r w:rsidRPr="00346731">
        <w:rPr>
          <w:rFonts w:asciiTheme="minorHAnsi" w:hAnsiTheme="minorHAnsi" w:cs="Segoe UI"/>
          <w:sz w:val="22"/>
          <w:szCs w:val="22"/>
        </w:rPr>
        <w:t xml:space="preserve">In summary, comparing the methods of perpetrators with the characteristics of vulnerable individuals reveals why these individuals are often easy targets for organised crime groups and can easily become involved in serious organised crime. The risk factors present are not direct causes of exploitation but rather create an imbalance of power that perpetrators exploit. Not everyone with vulnerable traits will be exploited or drawn into organised crime; however, research underscores that this is a significant issue in the UK, with vulnerable children and adults frequently at the centre of criminal activities. </w:t>
      </w:r>
      <w:proofErr w:type="gramStart"/>
      <w:r w:rsidRPr="00346731">
        <w:rPr>
          <w:rFonts w:asciiTheme="minorHAnsi" w:hAnsiTheme="minorHAnsi" w:cs="Segoe UI"/>
          <w:sz w:val="22"/>
          <w:szCs w:val="22"/>
        </w:rPr>
        <w:t>It is clear that there</w:t>
      </w:r>
      <w:proofErr w:type="gramEnd"/>
      <w:r w:rsidRPr="00346731">
        <w:rPr>
          <w:rFonts w:asciiTheme="minorHAnsi" w:hAnsiTheme="minorHAnsi" w:cs="Segoe UI"/>
          <w:sz w:val="22"/>
          <w:szCs w:val="22"/>
        </w:rPr>
        <w:t xml:space="preserve"> is a connection between vulnerability factors and exploitation. Maslow hierarchy of needs highlights how unmet basic needs (like safety and belonging) can make individuals more vulnerable to exploitation as they seek security and acceptance, (Maslow, 2019).</w:t>
      </w:r>
      <w:r w:rsidRPr="00264250">
        <w:rPr>
          <w:rFonts w:asciiTheme="minorHAnsi" w:hAnsiTheme="minorHAnsi" w:cs="Segoe UI"/>
          <w:sz w:val="22"/>
          <w:szCs w:val="22"/>
        </w:rPr>
        <w:t xml:space="preserve"> </w:t>
      </w:r>
    </w:p>
    <w:p w14:paraId="620204AD" w14:textId="439F040E" w:rsidR="00802621" w:rsidRPr="00346731" w:rsidRDefault="00346731" w:rsidP="00346731">
      <w:pPr>
        <w:pStyle w:val="paragraph"/>
        <w:spacing w:before="0" w:beforeAutospacing="0" w:after="0" w:afterAutospacing="0"/>
        <w:textAlignment w:val="baseline"/>
        <w:rPr>
          <w:rStyle w:val="eop"/>
          <w:rFonts w:asciiTheme="minorHAnsi" w:hAnsiTheme="minorHAnsi" w:cs="Segoe UI"/>
          <w:sz w:val="22"/>
          <w:szCs w:val="22"/>
        </w:rPr>
      </w:pPr>
      <w:r>
        <w:rPr>
          <w:rFonts w:asciiTheme="minorHAnsi" w:hAnsiTheme="minorHAnsi" w:cs="Segoe UI"/>
          <w:sz w:val="22"/>
          <w:szCs w:val="22"/>
        </w:rPr>
        <w:t>B</w:t>
      </w:r>
      <w:r w:rsidR="00802621" w:rsidRPr="00264250">
        <w:rPr>
          <w:rStyle w:val="eop"/>
          <w:rFonts w:asciiTheme="minorHAnsi" w:eastAsiaTheme="majorEastAsia" w:hAnsiTheme="minorHAnsi" w:cs="Segoe UI"/>
          <w:sz w:val="22"/>
          <w:szCs w:val="22"/>
        </w:rPr>
        <w:t xml:space="preserve">ower, M. Solomon, R (2024) </w:t>
      </w:r>
      <w:r w:rsidR="00802621" w:rsidRPr="00264250">
        <w:rPr>
          <w:rStyle w:val="eop"/>
          <w:rFonts w:asciiTheme="minorHAnsi" w:eastAsiaTheme="majorEastAsia" w:hAnsiTheme="minorHAnsi" w:cs="Segoe UI"/>
          <w:i/>
          <w:iCs/>
          <w:sz w:val="22"/>
          <w:szCs w:val="22"/>
        </w:rPr>
        <w:t>The Challenges of Working with Child Sexual Exploitation and How a Psychoanalytic Understanding Can Help</w:t>
      </w:r>
      <w:r w:rsidR="00802621" w:rsidRPr="00264250">
        <w:rPr>
          <w:rStyle w:val="eop"/>
          <w:rFonts w:asciiTheme="minorHAnsi" w:eastAsiaTheme="majorEastAsia" w:hAnsiTheme="minorHAnsi" w:cs="Segoe UI"/>
          <w:sz w:val="22"/>
          <w:szCs w:val="22"/>
        </w:rPr>
        <w:t xml:space="preserve">.  London: Routledge </w:t>
      </w:r>
    </w:p>
    <w:p w14:paraId="027A55BD" w14:textId="77777777" w:rsidR="00802621" w:rsidRPr="00264250" w:rsidRDefault="00802621" w:rsidP="00027A5E">
      <w:pPr>
        <w:pStyle w:val="paragraph"/>
        <w:spacing w:before="0" w:beforeAutospacing="0" w:after="0" w:afterAutospacing="0"/>
        <w:textAlignment w:val="baseline"/>
        <w:rPr>
          <w:rFonts w:asciiTheme="minorHAnsi" w:eastAsiaTheme="majorEastAsia" w:hAnsiTheme="minorHAnsi"/>
          <w:sz w:val="22"/>
          <w:szCs w:val="22"/>
        </w:rPr>
      </w:pPr>
      <w:r w:rsidRPr="00264250">
        <w:rPr>
          <w:rStyle w:val="eop"/>
          <w:rFonts w:asciiTheme="minorHAnsi" w:eastAsiaTheme="majorEastAsia" w:hAnsiTheme="minorHAnsi" w:cs="Segoe UI"/>
          <w:sz w:val="22"/>
          <w:szCs w:val="22"/>
        </w:rPr>
        <w:t>Freud, S. (2012) </w:t>
      </w:r>
      <w:r w:rsidRPr="00264250">
        <w:rPr>
          <w:rStyle w:val="eop"/>
          <w:rFonts w:asciiTheme="minorHAnsi" w:eastAsiaTheme="majorEastAsia" w:hAnsiTheme="minorHAnsi" w:cs="Segoe UI"/>
          <w:i/>
          <w:iCs/>
          <w:sz w:val="22"/>
          <w:szCs w:val="22"/>
        </w:rPr>
        <w:t>A General Introduction to Psychoanalysis</w:t>
      </w:r>
      <w:r w:rsidRPr="00264250">
        <w:rPr>
          <w:rStyle w:val="eop"/>
          <w:rFonts w:asciiTheme="minorHAnsi" w:eastAsiaTheme="majorEastAsia" w:hAnsiTheme="minorHAnsi" w:cs="Segoe UI"/>
          <w:sz w:val="22"/>
          <w:szCs w:val="22"/>
        </w:rPr>
        <w:t xml:space="preserve">. London: Wordsworth  </w:t>
      </w:r>
    </w:p>
    <w:p w14:paraId="2A37F4ED" w14:textId="77777777" w:rsidR="00802621" w:rsidRPr="00264250" w:rsidRDefault="00802621" w:rsidP="00E40FDA">
      <w:pPr>
        <w:pStyle w:val="paragraph"/>
        <w:spacing w:after="0"/>
        <w:textAlignment w:val="baseline"/>
        <w:rPr>
          <w:rStyle w:val="normaltextrun"/>
          <w:rFonts w:asciiTheme="minorHAnsi" w:eastAsiaTheme="majorEastAsia" w:hAnsiTheme="minorHAnsi"/>
          <w:sz w:val="22"/>
          <w:szCs w:val="22"/>
        </w:rPr>
      </w:pPr>
      <w:r w:rsidRPr="00264250">
        <w:rPr>
          <w:rStyle w:val="normaltextrun"/>
          <w:rFonts w:asciiTheme="minorHAnsi" w:eastAsiaTheme="majorEastAsia" w:hAnsiTheme="minorHAnsi"/>
          <w:sz w:val="22"/>
          <w:szCs w:val="22"/>
        </w:rPr>
        <w:t xml:space="preserve">Gilbride, N (2025) </w:t>
      </w:r>
      <w:r w:rsidRPr="00264250">
        <w:rPr>
          <w:rStyle w:val="normaltextrun"/>
          <w:rFonts w:asciiTheme="minorHAnsi" w:eastAsiaTheme="majorEastAsia" w:hAnsiTheme="minorHAnsi"/>
          <w:i/>
          <w:iCs/>
          <w:sz w:val="22"/>
          <w:szCs w:val="22"/>
        </w:rPr>
        <w:t>Bandura's Self-Efficacy Theory in Action.</w:t>
      </w:r>
      <w:r w:rsidRPr="00264250">
        <w:rPr>
          <w:rStyle w:val="normaltextrun"/>
          <w:rFonts w:asciiTheme="minorHAnsi" w:eastAsiaTheme="majorEastAsia" w:hAnsiTheme="minorHAnsi"/>
          <w:sz w:val="22"/>
          <w:szCs w:val="22"/>
        </w:rPr>
        <w:t xml:space="preserve"> London: Hodder Education</w:t>
      </w:r>
    </w:p>
    <w:p w14:paraId="3FBBE398" w14:textId="77777777" w:rsidR="00802621"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264250">
        <w:rPr>
          <w:rStyle w:val="normaltextrun"/>
          <w:rFonts w:asciiTheme="minorHAnsi" w:eastAsiaTheme="majorEastAsia" w:hAnsiTheme="minorHAnsi" w:cs="Segoe UI"/>
          <w:sz w:val="22"/>
          <w:szCs w:val="22"/>
        </w:rPr>
        <w:t xml:space="preserve">HM Government (2015) </w:t>
      </w:r>
      <w:r w:rsidRPr="00264250">
        <w:rPr>
          <w:rStyle w:val="normaltextrun"/>
          <w:rFonts w:asciiTheme="minorHAnsi" w:eastAsiaTheme="majorEastAsia" w:hAnsiTheme="minorHAnsi" w:cs="Segoe UI"/>
          <w:i/>
          <w:iCs/>
          <w:sz w:val="22"/>
          <w:szCs w:val="22"/>
        </w:rPr>
        <w:t>Strategic Centre for Organised Crime Office for Security and Counterterrorism. Individuals at risk of being drawn into Serious and Organised Crime -a Prevent Guide</w:t>
      </w:r>
      <w:r w:rsidRPr="00264250">
        <w:rPr>
          <w:rStyle w:val="normaltextrun"/>
          <w:rFonts w:asciiTheme="minorHAnsi" w:eastAsiaTheme="majorEastAsia" w:hAnsiTheme="minorHAnsi" w:cs="Segoe UI"/>
          <w:sz w:val="22"/>
          <w:szCs w:val="22"/>
        </w:rPr>
        <w:t xml:space="preserve">. Available at: </w:t>
      </w:r>
      <w:hyperlink r:id="rId13" w:tgtFrame="_blank" w:history="1">
        <w:r w:rsidRPr="00264250">
          <w:rPr>
            <w:rStyle w:val="normaltextrun"/>
            <w:rFonts w:asciiTheme="minorHAnsi" w:eastAsiaTheme="majorEastAsia" w:hAnsiTheme="minorHAnsi" w:cs="Segoe UI"/>
            <w:color w:val="467886"/>
            <w:sz w:val="22"/>
            <w:szCs w:val="22"/>
            <w:u w:val="single"/>
          </w:rPr>
          <w:t>https://assets.publishing.service.gov.uk/government/uploads/system/uploads/attachment_data/file/408585/6_162_HO_SOC_PI_Guidance_Mar2015_v10_FINAL_270215_WEB__2_.pdf</w:t>
        </w:r>
      </w:hyperlink>
      <w:r w:rsidRPr="00264250">
        <w:rPr>
          <w:rStyle w:val="normaltextrun"/>
          <w:rFonts w:asciiTheme="minorHAnsi" w:eastAsiaTheme="majorEastAsia" w:hAnsiTheme="minorHAnsi" w:cs="Segoe UI"/>
          <w:sz w:val="22"/>
          <w:szCs w:val="22"/>
        </w:rPr>
        <w:t>.  </w:t>
      </w:r>
      <w:r w:rsidRPr="00264250">
        <w:rPr>
          <w:rStyle w:val="eop"/>
          <w:rFonts w:asciiTheme="minorHAnsi" w:eastAsiaTheme="majorEastAsia" w:hAnsiTheme="minorHAnsi" w:cs="Segoe UI"/>
          <w:sz w:val="22"/>
          <w:szCs w:val="22"/>
        </w:rPr>
        <w:t> </w:t>
      </w:r>
    </w:p>
    <w:p w14:paraId="78835E4B" w14:textId="77777777" w:rsidR="00802621" w:rsidRPr="00264250"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2617113E" w14:textId="77777777" w:rsidR="00802621" w:rsidRPr="00264250"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264250">
        <w:rPr>
          <w:rStyle w:val="normaltextrun"/>
          <w:rFonts w:asciiTheme="minorHAnsi" w:eastAsiaTheme="majorEastAsia" w:hAnsiTheme="minorHAnsi" w:cs="Segoe UI"/>
          <w:sz w:val="22"/>
          <w:szCs w:val="22"/>
        </w:rPr>
        <w:t xml:space="preserve">Home Office (2023). </w:t>
      </w:r>
      <w:r w:rsidRPr="00264250">
        <w:rPr>
          <w:rStyle w:val="normaltextrun"/>
          <w:rFonts w:asciiTheme="minorHAnsi" w:eastAsiaTheme="majorEastAsia" w:hAnsiTheme="minorHAnsi" w:cs="Segoe UI"/>
          <w:i/>
          <w:iCs/>
          <w:sz w:val="22"/>
          <w:szCs w:val="22"/>
        </w:rPr>
        <w:t xml:space="preserve">Criminal exploitation of children and vulnerable adults: county lines. </w:t>
      </w:r>
      <w:r w:rsidRPr="00264250">
        <w:rPr>
          <w:rStyle w:val="normaltextrun"/>
          <w:rFonts w:asciiTheme="minorHAnsi" w:eastAsiaTheme="majorEastAsia" w:hAnsiTheme="minorHAnsi" w:cs="Segoe UI"/>
          <w:sz w:val="22"/>
          <w:szCs w:val="22"/>
        </w:rPr>
        <w:t xml:space="preserve">[online] GOV.UK. Available at: </w:t>
      </w:r>
      <w:hyperlink r:id="rId14" w:tgtFrame="_blank" w:history="1">
        <w:r w:rsidRPr="00264250">
          <w:rPr>
            <w:rStyle w:val="normaltextrun"/>
            <w:rFonts w:asciiTheme="minorHAnsi" w:eastAsiaTheme="majorEastAsia" w:hAnsiTheme="minorHAnsi" w:cs="Segoe UI"/>
            <w:color w:val="467886"/>
            <w:sz w:val="22"/>
            <w:szCs w:val="22"/>
            <w:u w:val="single"/>
          </w:rPr>
          <w:t>https://www.gov.uk/government/publications/criminal-exploitation-of-children-and-vulnerable-adults-county-lines/criminal-exploitation-of-children-and-vulnerable-adults-county-lines</w:t>
        </w:r>
      </w:hyperlink>
      <w:r w:rsidRPr="00264250">
        <w:rPr>
          <w:rStyle w:val="normaltextrun"/>
          <w:rFonts w:asciiTheme="minorHAnsi" w:eastAsiaTheme="majorEastAsia" w:hAnsiTheme="minorHAnsi" w:cs="Segoe UI"/>
          <w:sz w:val="22"/>
          <w:szCs w:val="22"/>
        </w:rPr>
        <w:t>.  </w:t>
      </w:r>
      <w:r w:rsidRPr="00264250">
        <w:rPr>
          <w:rStyle w:val="eop"/>
          <w:rFonts w:asciiTheme="minorHAnsi" w:eastAsiaTheme="majorEastAsia" w:hAnsiTheme="minorHAnsi" w:cs="Segoe UI"/>
          <w:sz w:val="22"/>
          <w:szCs w:val="22"/>
        </w:rPr>
        <w:t> </w:t>
      </w:r>
    </w:p>
    <w:p w14:paraId="5DFD34E3" w14:textId="77777777" w:rsidR="00802621" w:rsidRPr="00264250" w:rsidRDefault="00802621" w:rsidP="00027A5E">
      <w:pPr>
        <w:pStyle w:val="paragraph"/>
        <w:textAlignment w:val="baseline"/>
        <w:rPr>
          <w:rStyle w:val="eop"/>
          <w:rFonts w:asciiTheme="minorHAnsi" w:eastAsiaTheme="majorEastAsia" w:hAnsiTheme="minorHAnsi"/>
          <w:sz w:val="22"/>
          <w:szCs w:val="22"/>
        </w:rPr>
      </w:pPr>
      <w:r w:rsidRPr="00264250">
        <w:rPr>
          <w:rStyle w:val="eop"/>
          <w:rFonts w:asciiTheme="minorHAnsi" w:eastAsiaTheme="majorEastAsia" w:hAnsiTheme="minorHAnsi" w:cs="Segoe UI"/>
          <w:sz w:val="22"/>
          <w:szCs w:val="22"/>
        </w:rPr>
        <w:t xml:space="preserve">Maslow, A. (2019) </w:t>
      </w:r>
      <w:r w:rsidRPr="00264250">
        <w:rPr>
          <w:rStyle w:val="eop"/>
          <w:rFonts w:asciiTheme="minorHAnsi" w:eastAsiaTheme="majorEastAsia" w:hAnsiTheme="minorHAnsi" w:cs="Segoe UI"/>
          <w:i/>
          <w:iCs/>
          <w:sz w:val="22"/>
          <w:szCs w:val="22"/>
        </w:rPr>
        <w:t xml:space="preserve">Motivation </w:t>
      </w:r>
      <w:proofErr w:type="gramStart"/>
      <w:r w:rsidRPr="00264250">
        <w:rPr>
          <w:rStyle w:val="eop"/>
          <w:rFonts w:asciiTheme="minorHAnsi" w:eastAsiaTheme="majorEastAsia" w:hAnsiTheme="minorHAnsi" w:cs="Segoe UI"/>
          <w:i/>
          <w:iCs/>
          <w:sz w:val="22"/>
          <w:szCs w:val="22"/>
        </w:rPr>
        <w:t>And</w:t>
      </w:r>
      <w:proofErr w:type="gramEnd"/>
      <w:r w:rsidRPr="00264250">
        <w:rPr>
          <w:rStyle w:val="eop"/>
          <w:rFonts w:asciiTheme="minorHAnsi" w:eastAsiaTheme="majorEastAsia" w:hAnsiTheme="minorHAnsi" w:cs="Segoe UI"/>
          <w:i/>
          <w:iCs/>
          <w:sz w:val="22"/>
          <w:szCs w:val="22"/>
        </w:rPr>
        <w:t xml:space="preserve"> Personality: Unlocking Your Inner Drive and Understanding Human Behaviour.</w:t>
      </w:r>
      <w:r w:rsidRPr="00264250">
        <w:rPr>
          <w:rStyle w:val="eop"/>
          <w:rFonts w:asciiTheme="minorHAnsi" w:eastAsiaTheme="majorEastAsia" w:hAnsiTheme="minorHAnsi" w:cs="Segoe UI"/>
          <w:sz w:val="22"/>
          <w:szCs w:val="22"/>
        </w:rPr>
        <w:t xml:space="preserve"> Delhi: Prabhat</w:t>
      </w:r>
    </w:p>
    <w:p w14:paraId="7BA8E970" w14:textId="07E0F201" w:rsidR="00802621" w:rsidRPr="00264250" w:rsidRDefault="00802621" w:rsidP="00027A5E">
      <w:pPr>
        <w:pStyle w:val="paragraph"/>
        <w:textAlignment w:val="baseline"/>
        <w:rPr>
          <w:rFonts w:asciiTheme="minorHAnsi" w:hAnsiTheme="minorHAnsi" w:cs="Segoe UI"/>
          <w:sz w:val="22"/>
          <w:szCs w:val="22"/>
        </w:rPr>
      </w:pPr>
      <w:r w:rsidRPr="00264250">
        <w:rPr>
          <w:rStyle w:val="eop"/>
          <w:rFonts w:asciiTheme="minorHAnsi" w:eastAsiaTheme="majorEastAsia" w:hAnsiTheme="minorHAnsi" w:cs="Segoe UI"/>
          <w:sz w:val="22"/>
          <w:szCs w:val="22"/>
        </w:rPr>
        <w:lastRenderedPageBreak/>
        <w:t>Pearse, J (2019) </w:t>
      </w:r>
      <w:r w:rsidRPr="00264250">
        <w:rPr>
          <w:rStyle w:val="eop"/>
          <w:rFonts w:asciiTheme="minorHAnsi" w:eastAsiaTheme="majorEastAsia" w:hAnsiTheme="minorHAnsi" w:cs="Segoe UI"/>
          <w:i/>
          <w:iCs/>
          <w:sz w:val="22"/>
          <w:szCs w:val="22"/>
        </w:rPr>
        <w:t>Child Sexual Exploitation: Why Theory Matters</w:t>
      </w:r>
      <w:r w:rsidRPr="00264250">
        <w:rPr>
          <w:rStyle w:val="eop"/>
          <w:rFonts w:asciiTheme="minorHAnsi" w:eastAsiaTheme="majorEastAsia" w:hAnsiTheme="minorHAnsi" w:cs="Segoe UI"/>
          <w:sz w:val="22"/>
          <w:szCs w:val="22"/>
        </w:rPr>
        <w:t>. Bristol: Policy Press</w:t>
      </w:r>
    </w:p>
    <w:p w14:paraId="1A106D5E" w14:textId="77777777" w:rsidR="00802621" w:rsidRPr="00264250" w:rsidRDefault="00802621" w:rsidP="00027A5E">
      <w:pPr>
        <w:pStyle w:val="paragraph"/>
        <w:textAlignment w:val="baseline"/>
        <w:rPr>
          <w:rFonts w:asciiTheme="minorHAnsi" w:hAnsiTheme="minorHAnsi" w:cs="Segoe UI"/>
          <w:sz w:val="22"/>
          <w:szCs w:val="22"/>
        </w:rPr>
      </w:pPr>
      <w:r w:rsidRPr="00264250">
        <w:rPr>
          <w:rStyle w:val="eop"/>
          <w:rFonts w:asciiTheme="minorHAnsi" w:eastAsiaTheme="majorEastAsia" w:hAnsiTheme="minorHAnsi" w:cs="Segoe UI"/>
          <w:sz w:val="22"/>
          <w:szCs w:val="22"/>
        </w:rPr>
        <w:t xml:space="preserve">Sampson, L (2020) </w:t>
      </w:r>
      <w:r w:rsidRPr="00264250">
        <w:rPr>
          <w:rStyle w:val="eop"/>
          <w:rFonts w:asciiTheme="minorHAnsi" w:eastAsiaTheme="majorEastAsia" w:hAnsiTheme="minorHAnsi" w:cs="Segoe UI"/>
          <w:i/>
          <w:iCs/>
          <w:sz w:val="22"/>
          <w:szCs w:val="22"/>
        </w:rPr>
        <w:t>Grooming in the 21st Century: How Children are Recruited for Sex, County Lines and Terrorism</w:t>
      </w:r>
      <w:r w:rsidRPr="00264250">
        <w:rPr>
          <w:rStyle w:val="eop"/>
          <w:rFonts w:asciiTheme="minorHAnsi" w:eastAsiaTheme="majorEastAsia" w:hAnsiTheme="minorHAnsi" w:cs="Segoe UI"/>
          <w:sz w:val="22"/>
          <w:szCs w:val="22"/>
        </w:rPr>
        <w:t>. London: NJA Publishing</w:t>
      </w:r>
    </w:p>
    <w:p w14:paraId="03407669" w14:textId="77777777" w:rsidR="00802621" w:rsidRPr="00264250" w:rsidRDefault="00802621" w:rsidP="00027A5E">
      <w:pPr>
        <w:pStyle w:val="paragraph"/>
        <w:textAlignment w:val="baseline"/>
        <w:rPr>
          <w:rFonts w:asciiTheme="minorHAnsi" w:eastAsiaTheme="majorEastAsia" w:hAnsiTheme="minorHAnsi"/>
          <w:sz w:val="22"/>
          <w:szCs w:val="22"/>
        </w:rPr>
      </w:pPr>
      <w:r w:rsidRPr="00264250">
        <w:rPr>
          <w:rFonts w:asciiTheme="minorHAnsi" w:hAnsiTheme="minorHAnsi" w:cs="Segoe UI"/>
          <w:sz w:val="22"/>
          <w:szCs w:val="22"/>
        </w:rPr>
        <w:t>Shaw, J. Greenhow, S (2023) The Criminalisation and Exploitation of Children in Care: Multi-Agency Perspectives. London: Routledge</w:t>
      </w:r>
    </w:p>
    <w:p w14:paraId="5B0B43A7" w14:textId="77777777" w:rsidR="00802621" w:rsidRPr="00264250" w:rsidRDefault="00802621" w:rsidP="00027A5E">
      <w:pPr>
        <w:pStyle w:val="paragraph"/>
        <w:spacing w:before="0" w:beforeAutospacing="0" w:after="0" w:afterAutospacing="0"/>
        <w:textAlignment w:val="baseline"/>
        <w:rPr>
          <w:rFonts w:asciiTheme="minorHAnsi" w:hAnsiTheme="minorHAnsi" w:cs="Segoe UI"/>
          <w:sz w:val="22"/>
          <w:szCs w:val="22"/>
        </w:rPr>
      </w:pPr>
      <w:r w:rsidRPr="00264250">
        <w:rPr>
          <w:rStyle w:val="normaltextrun"/>
          <w:rFonts w:asciiTheme="minorHAnsi" w:eastAsiaTheme="majorEastAsia" w:hAnsiTheme="minorHAnsi" w:cs="Segoe UI"/>
          <w:sz w:val="22"/>
          <w:szCs w:val="22"/>
        </w:rPr>
        <w:t xml:space="preserve">Winchester, N. (2020). Library Briefing. [online] Available at: </w:t>
      </w:r>
      <w:hyperlink r:id="rId15" w:tgtFrame="_blank" w:history="1">
        <w:r w:rsidRPr="00264250">
          <w:rPr>
            <w:rStyle w:val="normaltextrun"/>
            <w:rFonts w:asciiTheme="minorHAnsi" w:eastAsiaTheme="majorEastAsia" w:hAnsiTheme="minorHAnsi" w:cs="Segoe UI"/>
            <w:color w:val="467886"/>
            <w:sz w:val="22"/>
            <w:szCs w:val="22"/>
            <w:u w:val="single"/>
          </w:rPr>
          <w:t>https://researchbriefings.files.parliament.uk/documents/LLN-2020-0016/LLN-2020-0016.pdf</w:t>
        </w:r>
      </w:hyperlink>
      <w:r w:rsidRPr="00264250">
        <w:rPr>
          <w:rStyle w:val="normaltextrun"/>
          <w:rFonts w:asciiTheme="minorHAnsi" w:eastAsiaTheme="majorEastAsia" w:hAnsiTheme="minorHAnsi" w:cs="Segoe UI"/>
          <w:sz w:val="22"/>
          <w:szCs w:val="22"/>
        </w:rPr>
        <w:t>.  </w:t>
      </w:r>
      <w:r w:rsidRPr="00264250">
        <w:rPr>
          <w:rStyle w:val="eop"/>
          <w:rFonts w:asciiTheme="minorHAnsi" w:eastAsiaTheme="majorEastAsia" w:hAnsiTheme="minorHAnsi" w:cs="Segoe UI"/>
          <w:sz w:val="22"/>
          <w:szCs w:val="22"/>
        </w:rPr>
        <w:t> </w:t>
      </w:r>
    </w:p>
    <w:p w14:paraId="402B7C8E" w14:textId="77777777" w:rsidR="00027A5E" w:rsidRPr="00264250" w:rsidRDefault="00027A5E"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5F562C99" w14:textId="77777777" w:rsidR="00027A5E" w:rsidRPr="00264250" w:rsidRDefault="00027A5E"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07F9E1B2" w14:textId="77777777" w:rsidR="00027A5E" w:rsidRPr="00264250" w:rsidRDefault="00027A5E"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25E739BF"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1F5E5D03"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145E1C0B"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70E9CFCA"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18AE9036"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3D1BAB7B"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16519AED"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4E38C236"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1FBCDCFC"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7B090916"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55D75600"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61ACC421"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10B73BD1"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6F443994"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6E02DBCE"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5D0572F7"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7F000366"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1BC8E89C"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0D54592E"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7DF33922"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198E7226"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78356740"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75626620"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7CC01E12"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6C63C414"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4D97D6ED"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5A9A22C7"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1DF95857"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100FABF2"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03EDB991"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309FA6CA"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44D97A09"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2DCF5E28"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6DA2268C"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21ABEEBD"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05738FA3"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41A436A4"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b/>
          <w:bCs/>
          <w:sz w:val="22"/>
          <w:szCs w:val="22"/>
        </w:rPr>
      </w:pPr>
    </w:p>
    <w:p w14:paraId="752CFEA0" w14:textId="3D5A05FB" w:rsidR="00027A5E" w:rsidRPr="00264250" w:rsidRDefault="00027A5E" w:rsidP="00027A5E">
      <w:pPr>
        <w:pStyle w:val="paragraph"/>
        <w:spacing w:before="0" w:beforeAutospacing="0" w:after="0" w:afterAutospacing="0"/>
        <w:textAlignment w:val="baseline"/>
        <w:rPr>
          <w:rFonts w:asciiTheme="minorHAnsi" w:eastAsiaTheme="majorEastAsia" w:hAnsiTheme="minorHAnsi"/>
          <w:sz w:val="22"/>
          <w:szCs w:val="22"/>
        </w:rPr>
      </w:pPr>
      <w:r w:rsidRPr="00264250">
        <w:rPr>
          <w:rStyle w:val="normaltextrun"/>
          <w:rFonts w:asciiTheme="minorHAnsi" w:eastAsiaTheme="majorEastAsia" w:hAnsiTheme="minorHAnsi" w:cs="Segoe UI"/>
          <w:b/>
          <w:bCs/>
          <w:sz w:val="22"/>
          <w:szCs w:val="22"/>
        </w:rPr>
        <w:lastRenderedPageBreak/>
        <w:t>How effective is early intervention an effective means of preventing young people from </w:t>
      </w:r>
      <w:r w:rsidRPr="00264250">
        <w:rPr>
          <w:rStyle w:val="eop"/>
          <w:rFonts w:asciiTheme="minorHAnsi" w:eastAsiaTheme="majorEastAsia" w:hAnsiTheme="minorHAnsi" w:cs="Segoe UI"/>
          <w:sz w:val="22"/>
          <w:szCs w:val="22"/>
        </w:rPr>
        <w:t> </w:t>
      </w:r>
    </w:p>
    <w:p w14:paraId="5A312EF1" w14:textId="77777777" w:rsidR="00027A5E" w:rsidRPr="00264250" w:rsidRDefault="00027A5E" w:rsidP="00027A5E">
      <w:pPr>
        <w:pStyle w:val="paragraph"/>
        <w:spacing w:before="0" w:beforeAutospacing="0" w:after="0" w:afterAutospacing="0"/>
        <w:textAlignment w:val="baseline"/>
        <w:rPr>
          <w:rFonts w:asciiTheme="minorHAnsi" w:hAnsiTheme="minorHAnsi" w:cs="Segoe UI"/>
          <w:sz w:val="22"/>
          <w:szCs w:val="22"/>
        </w:rPr>
      </w:pPr>
      <w:r w:rsidRPr="00264250">
        <w:rPr>
          <w:rStyle w:val="normaltextrun"/>
          <w:rFonts w:asciiTheme="minorHAnsi" w:eastAsiaTheme="majorEastAsia" w:hAnsiTheme="minorHAnsi" w:cs="Segoe UI"/>
          <w:b/>
          <w:bCs/>
          <w:sz w:val="22"/>
          <w:szCs w:val="22"/>
        </w:rPr>
        <w:t>offending or re-offending?</w:t>
      </w:r>
      <w:r w:rsidRPr="00264250">
        <w:rPr>
          <w:rStyle w:val="eop"/>
          <w:rFonts w:asciiTheme="minorHAnsi" w:eastAsiaTheme="majorEastAsia" w:hAnsiTheme="minorHAnsi" w:cs="Segoe UI"/>
          <w:sz w:val="22"/>
          <w:szCs w:val="22"/>
        </w:rPr>
        <w:t> </w:t>
      </w:r>
    </w:p>
    <w:p w14:paraId="13A790F4" w14:textId="77777777" w:rsidR="00346731" w:rsidRDefault="00346731" w:rsidP="00027A5E">
      <w:pPr>
        <w:pStyle w:val="paragraph"/>
        <w:spacing w:before="0" w:beforeAutospacing="0" w:after="0" w:afterAutospacing="0"/>
        <w:textAlignment w:val="baseline"/>
        <w:rPr>
          <w:rStyle w:val="normaltextrun"/>
          <w:rFonts w:asciiTheme="minorHAnsi" w:eastAsiaTheme="majorEastAsia" w:hAnsiTheme="minorHAnsi" w:cs="Segoe UI"/>
          <w:sz w:val="22"/>
          <w:szCs w:val="22"/>
        </w:rPr>
      </w:pPr>
    </w:p>
    <w:p w14:paraId="2BE2C644" w14:textId="53D0FDDB" w:rsidR="00027A5E" w:rsidRPr="00346731" w:rsidRDefault="00027A5E" w:rsidP="00027A5E">
      <w:pPr>
        <w:pStyle w:val="paragraph"/>
        <w:spacing w:before="0" w:beforeAutospacing="0" w:after="0" w:afterAutospacing="0"/>
        <w:textAlignment w:val="baseline"/>
        <w:rPr>
          <w:rStyle w:val="normaltextrun"/>
          <w:rFonts w:asciiTheme="minorHAnsi" w:eastAsiaTheme="majorEastAsia" w:hAnsiTheme="minorHAnsi"/>
          <w:sz w:val="22"/>
          <w:szCs w:val="22"/>
        </w:rPr>
      </w:pPr>
      <w:r w:rsidRPr="00346731">
        <w:rPr>
          <w:rStyle w:val="normaltextrun"/>
          <w:rFonts w:asciiTheme="minorHAnsi" w:eastAsiaTheme="majorEastAsia" w:hAnsiTheme="minorHAnsi" w:cs="Segoe UI"/>
          <w:sz w:val="22"/>
          <w:szCs w:val="22"/>
        </w:rPr>
        <w:t>Intervention refers to actions taken to improve a situation, address a problem, or bring about positive change. Thompson (2021) suggests that early interventions with young offenders (or with those deemed to be at risk of offending) are one of the preferred methods of controlling crime. Early interventions employ a collaborative, multi-agency approach, involving the police, social services, education, employment, and health services working collectively. This approach aims to offer additional support and guidance to young offenders or those at risk of offending, steering them away from engaging in criminal activities.</w:t>
      </w:r>
    </w:p>
    <w:p w14:paraId="35DCFC11" w14:textId="461CD7C3" w:rsidR="00027A5E" w:rsidRPr="00346731" w:rsidRDefault="00027A5E" w:rsidP="00027A5E">
      <w:pPr>
        <w:pStyle w:val="paragraph"/>
        <w:spacing w:before="0" w:beforeAutospacing="0" w:after="0" w:afterAutospacing="0"/>
        <w:textAlignment w:val="baseline"/>
        <w:rPr>
          <w:rStyle w:val="eop"/>
          <w:rFonts w:asciiTheme="minorHAnsi" w:eastAsiaTheme="majorEastAsia" w:hAnsiTheme="minorHAnsi"/>
          <w:sz w:val="22"/>
          <w:szCs w:val="22"/>
        </w:rPr>
      </w:pPr>
      <w:r w:rsidRPr="00346731">
        <w:rPr>
          <w:rStyle w:val="eop"/>
          <w:rFonts w:asciiTheme="minorHAnsi" w:eastAsiaTheme="majorEastAsia" w:hAnsiTheme="minorHAnsi" w:cs="Segoe UI"/>
          <w:sz w:val="22"/>
          <w:szCs w:val="22"/>
        </w:rPr>
        <w:t>There are many early intervention theories that focus on addressing issues or challenges in individuals, especially children, at the earliest stages to promote better outcomes. Developmental theorists Piaget and Erikson agree and emphasise the importance of early childhood development, highlighting how early experiences shape cognitive, emotional, and social growth. Both stress the critical nature of early stages in development, (Morgan, 2021). Indeed, this supports the idea that early intervention is key in preventing offending and reoffending.</w:t>
      </w:r>
      <w:r w:rsidR="00DF21BB" w:rsidRPr="00346731">
        <w:rPr>
          <w:rStyle w:val="eop"/>
          <w:rFonts w:asciiTheme="minorHAnsi" w:eastAsiaTheme="majorEastAsia" w:hAnsiTheme="minorHAnsi" w:cs="Segoe UI"/>
          <w:sz w:val="22"/>
          <w:szCs w:val="22"/>
        </w:rPr>
        <w:t xml:space="preserve"> </w:t>
      </w:r>
      <w:r w:rsidRPr="00346731">
        <w:rPr>
          <w:rStyle w:val="eop"/>
          <w:rFonts w:asciiTheme="minorHAnsi" w:eastAsiaTheme="majorEastAsia" w:hAnsiTheme="minorHAnsi" w:cs="Segoe UI"/>
          <w:sz w:val="22"/>
          <w:szCs w:val="22"/>
        </w:rPr>
        <w:t>Erikson’s Psychosocial Development Theory is particularly interesting in this instance, as this theory outlines eight stages of psychosocial development, each characterised by a central conflict that must be resolved for healthy development</w:t>
      </w:r>
      <w:r w:rsidR="00DF21BB" w:rsidRPr="00346731">
        <w:rPr>
          <w:rStyle w:val="eop"/>
          <w:rFonts w:asciiTheme="minorHAnsi" w:eastAsiaTheme="majorEastAsia" w:hAnsiTheme="minorHAnsi" w:cs="Segoe UI"/>
          <w:sz w:val="22"/>
          <w:szCs w:val="22"/>
        </w:rPr>
        <w:t>, (Morgan, 2021)</w:t>
      </w:r>
      <w:r w:rsidRPr="00346731">
        <w:rPr>
          <w:rStyle w:val="eop"/>
          <w:rFonts w:asciiTheme="minorHAnsi" w:eastAsiaTheme="majorEastAsia" w:hAnsiTheme="minorHAnsi" w:cs="Segoe UI"/>
          <w:sz w:val="22"/>
          <w:szCs w:val="22"/>
        </w:rPr>
        <w:t xml:space="preserve"> For instance:</w:t>
      </w:r>
    </w:p>
    <w:p w14:paraId="79BED816" w14:textId="77777777" w:rsidR="00027A5E" w:rsidRPr="00346731" w:rsidRDefault="00027A5E"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346731">
        <w:rPr>
          <w:rStyle w:val="eop"/>
          <w:rFonts w:asciiTheme="minorHAnsi" w:eastAsiaTheme="majorEastAsia" w:hAnsiTheme="minorHAnsi" w:cs="Segoe UI"/>
          <w:sz w:val="22"/>
          <w:szCs w:val="22"/>
        </w:rPr>
        <w:t>Trust vs. Mistrust (0-1 year): Early interventions can help caregivers develop secure attachments, promoting a sense of trust and safety.</w:t>
      </w:r>
    </w:p>
    <w:p w14:paraId="2974C1E0" w14:textId="77777777" w:rsidR="00027A5E" w:rsidRPr="00346731" w:rsidRDefault="00027A5E"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346731">
        <w:rPr>
          <w:rStyle w:val="eop"/>
          <w:rFonts w:asciiTheme="minorHAnsi" w:eastAsiaTheme="majorEastAsia" w:hAnsiTheme="minorHAnsi" w:cs="Segoe UI"/>
          <w:sz w:val="22"/>
          <w:szCs w:val="22"/>
        </w:rPr>
        <w:t>Autonomy vs. Shame and Doubt (1-3 years): Encouraging independence through supportive parenting can foster autonomy and confidence in toddlers.</w:t>
      </w:r>
    </w:p>
    <w:p w14:paraId="7F3E67D7" w14:textId="77777777" w:rsidR="00027A5E" w:rsidRPr="00346731" w:rsidRDefault="00027A5E"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346731">
        <w:rPr>
          <w:rStyle w:val="eop"/>
          <w:rFonts w:asciiTheme="minorHAnsi" w:eastAsiaTheme="majorEastAsia" w:hAnsiTheme="minorHAnsi" w:cs="Segoe UI"/>
          <w:sz w:val="22"/>
          <w:szCs w:val="22"/>
        </w:rPr>
        <w:t>Initiative vs. Guilt (3-6 years): Programs that promote creative play and leadership opportunities can help children explore initiative without feelings of guilt.</w:t>
      </w:r>
    </w:p>
    <w:p w14:paraId="1822AF86" w14:textId="77777777" w:rsidR="00027A5E" w:rsidRPr="00346731" w:rsidRDefault="00027A5E" w:rsidP="00027A5E">
      <w:pPr>
        <w:pStyle w:val="paragraph"/>
        <w:spacing w:before="0" w:beforeAutospacing="0" w:after="0" w:afterAutospacing="0"/>
        <w:textAlignment w:val="baseline"/>
        <w:rPr>
          <w:rFonts w:asciiTheme="minorHAnsi" w:eastAsiaTheme="majorEastAsia" w:hAnsiTheme="minorHAnsi"/>
          <w:sz w:val="22"/>
          <w:szCs w:val="22"/>
        </w:rPr>
      </w:pPr>
      <w:r w:rsidRPr="00346731">
        <w:rPr>
          <w:rStyle w:val="eop"/>
          <w:rFonts w:asciiTheme="minorHAnsi" w:eastAsiaTheme="majorEastAsia" w:hAnsiTheme="minorHAnsi" w:cs="Segoe UI"/>
          <w:sz w:val="22"/>
          <w:szCs w:val="22"/>
        </w:rPr>
        <w:t>Industry vs. Inferiority (6-12 years): Academic support and positive reinforcement in school settings can enhance feelings of competence and achievement</w:t>
      </w:r>
      <w:r w:rsidRPr="00346731">
        <w:rPr>
          <w:rFonts w:asciiTheme="minorHAnsi" w:hAnsiTheme="minorHAnsi"/>
          <w:sz w:val="22"/>
          <w:szCs w:val="22"/>
        </w:rPr>
        <w:t>.</w:t>
      </w:r>
    </w:p>
    <w:p w14:paraId="05B46A72" w14:textId="177D4C09" w:rsidR="00027A5E" w:rsidRPr="00346731" w:rsidRDefault="00027A5E" w:rsidP="00027A5E">
      <w:pPr>
        <w:pStyle w:val="paragraph"/>
        <w:spacing w:before="0" w:beforeAutospacing="0" w:after="0" w:afterAutospacing="0"/>
        <w:textAlignment w:val="baseline"/>
        <w:rPr>
          <w:rStyle w:val="eop"/>
          <w:rFonts w:asciiTheme="minorHAnsi" w:eastAsiaTheme="majorEastAsia" w:hAnsiTheme="minorHAnsi"/>
          <w:sz w:val="22"/>
          <w:szCs w:val="22"/>
        </w:rPr>
      </w:pPr>
      <w:r w:rsidRPr="00346731">
        <w:rPr>
          <w:rFonts w:asciiTheme="minorHAnsi" w:hAnsiTheme="minorHAnsi" w:cs="Segoe UI"/>
          <w:sz w:val="22"/>
          <w:szCs w:val="22"/>
        </w:rPr>
        <w:t xml:space="preserve">Erikson </w:t>
      </w:r>
      <w:r w:rsidRPr="00346731">
        <w:rPr>
          <w:rFonts w:asciiTheme="minorHAnsi" w:hAnsiTheme="minorHAnsi"/>
          <w:sz w:val="22"/>
          <w:szCs w:val="22"/>
        </w:rPr>
        <w:t>believes by</w:t>
      </w:r>
      <w:r w:rsidRPr="00346731">
        <w:rPr>
          <w:rStyle w:val="eop"/>
          <w:rFonts w:asciiTheme="minorHAnsi" w:eastAsiaTheme="majorEastAsia" w:hAnsiTheme="minorHAnsi" w:cs="Segoe UI"/>
          <w:sz w:val="22"/>
          <w:szCs w:val="22"/>
        </w:rPr>
        <w:t xml:space="preserve"> addressing these developmental stages early, interventions can mitigate potential issues, promote healthy psychosocial growth, and enhance overall well-being, thus supporting the idea that is early intervention an effective means of preventing young people from offending or re-offending. </w:t>
      </w:r>
      <w:proofErr w:type="spellStart"/>
      <w:r w:rsidRPr="00346731">
        <w:rPr>
          <w:rStyle w:val="eop"/>
          <w:rFonts w:asciiTheme="minorHAnsi" w:eastAsiaTheme="majorEastAsia" w:hAnsiTheme="minorHAnsi" w:cs="Segoe UI"/>
          <w:sz w:val="22"/>
          <w:szCs w:val="22"/>
        </w:rPr>
        <w:t>Viorst</w:t>
      </w:r>
      <w:proofErr w:type="spellEnd"/>
      <w:r w:rsidRPr="00346731">
        <w:rPr>
          <w:rStyle w:val="eop"/>
          <w:rFonts w:asciiTheme="minorHAnsi" w:eastAsiaTheme="majorEastAsia" w:hAnsiTheme="minorHAnsi" w:cs="Segoe UI"/>
          <w:sz w:val="22"/>
          <w:szCs w:val="22"/>
        </w:rPr>
        <w:t>, (20</w:t>
      </w:r>
      <w:r w:rsidR="00DF21BB" w:rsidRPr="00346731">
        <w:rPr>
          <w:rStyle w:val="eop"/>
          <w:rFonts w:asciiTheme="minorHAnsi" w:eastAsiaTheme="majorEastAsia" w:hAnsiTheme="minorHAnsi" w:cs="Segoe UI"/>
          <w:sz w:val="22"/>
          <w:szCs w:val="22"/>
        </w:rPr>
        <w:t>14</w:t>
      </w:r>
      <w:r w:rsidRPr="00346731">
        <w:rPr>
          <w:rStyle w:val="eop"/>
          <w:rFonts w:asciiTheme="minorHAnsi" w:eastAsiaTheme="majorEastAsia" w:hAnsiTheme="minorHAnsi" w:cs="Segoe UI"/>
          <w:sz w:val="22"/>
          <w:szCs w:val="22"/>
        </w:rPr>
        <w:t>), argues that that children's behaviours are driven by deep instincts related to forming attachments, rather than just automatic reactions to specific events or challenges. Their actions are intentional efforts to connect with important figures in their lives, highlighting the significance of emotional bonds. Bowlby (</w:t>
      </w:r>
      <w:r w:rsidR="00DF21BB" w:rsidRPr="00346731">
        <w:rPr>
          <w:rStyle w:val="eop"/>
          <w:rFonts w:asciiTheme="minorHAnsi" w:eastAsiaTheme="majorEastAsia" w:hAnsiTheme="minorHAnsi" w:cs="Segoe UI"/>
          <w:sz w:val="22"/>
          <w:szCs w:val="22"/>
        </w:rPr>
        <w:t>2005</w:t>
      </w:r>
      <w:proofErr w:type="gramStart"/>
      <w:r w:rsidR="00196354" w:rsidRPr="00346731">
        <w:rPr>
          <w:rStyle w:val="eop"/>
          <w:rFonts w:asciiTheme="minorHAnsi" w:eastAsiaTheme="majorEastAsia" w:hAnsiTheme="minorHAnsi" w:cs="Segoe UI"/>
          <w:sz w:val="22"/>
          <w:szCs w:val="22"/>
        </w:rPr>
        <w:t xml:space="preserve">),  </w:t>
      </w:r>
      <w:r w:rsidRPr="00346731">
        <w:rPr>
          <w:rStyle w:val="eop"/>
          <w:rFonts w:asciiTheme="minorHAnsi" w:eastAsiaTheme="majorEastAsia" w:hAnsiTheme="minorHAnsi" w:cs="Segoe UI"/>
          <w:sz w:val="22"/>
          <w:szCs w:val="22"/>
        </w:rPr>
        <w:t>suggests</w:t>
      </w:r>
      <w:proofErr w:type="gramEnd"/>
      <w:r w:rsidRPr="00346731">
        <w:rPr>
          <w:rStyle w:val="eop"/>
          <w:rFonts w:asciiTheme="minorHAnsi" w:eastAsiaTheme="majorEastAsia" w:hAnsiTheme="minorHAnsi" w:cs="Segoe UI"/>
          <w:sz w:val="22"/>
          <w:szCs w:val="22"/>
        </w:rPr>
        <w:t xml:space="preserve"> that secure attachments formed in early childhood are crucial for emotional and social development. Interventions that promote secure relationships can improve future mental health outcomes. In the instance, it suggests that if young people have early intervention which focuses on secure, healthy relationships and emotional bonds then early intervention can be effective. Bellis, </w:t>
      </w:r>
      <w:r w:rsidR="00196354" w:rsidRPr="00346731">
        <w:rPr>
          <w:rStyle w:val="eop"/>
          <w:rFonts w:asciiTheme="minorHAnsi" w:eastAsiaTheme="majorEastAsia" w:hAnsiTheme="minorHAnsi" w:cs="Segoe UI"/>
          <w:sz w:val="22"/>
          <w:szCs w:val="22"/>
        </w:rPr>
        <w:t>(</w:t>
      </w:r>
      <w:r w:rsidRPr="00346731">
        <w:rPr>
          <w:rStyle w:val="eop"/>
          <w:rFonts w:asciiTheme="minorHAnsi" w:eastAsiaTheme="majorEastAsia" w:hAnsiTheme="minorHAnsi" w:cs="Segoe UI"/>
          <w:sz w:val="22"/>
          <w:szCs w:val="22"/>
        </w:rPr>
        <w:t>2018</w:t>
      </w:r>
      <w:r w:rsidR="00196354" w:rsidRPr="00346731">
        <w:rPr>
          <w:rStyle w:val="eop"/>
          <w:rFonts w:asciiTheme="minorHAnsi" w:eastAsiaTheme="majorEastAsia" w:hAnsiTheme="minorHAnsi" w:cs="Segoe UI"/>
          <w:sz w:val="22"/>
          <w:szCs w:val="22"/>
        </w:rPr>
        <w:t>)</w:t>
      </w:r>
      <w:r w:rsidRPr="00346731">
        <w:rPr>
          <w:rStyle w:val="eop"/>
          <w:rFonts w:asciiTheme="minorHAnsi" w:eastAsiaTheme="majorEastAsia" w:hAnsiTheme="minorHAnsi" w:cs="Segoe UI"/>
          <w:sz w:val="22"/>
          <w:szCs w:val="22"/>
        </w:rPr>
        <w:t>, reinforces the idea that the presence of a reliable adult figure can significantly enhance resilience in children and adolescents, potentially mitigating childhood adversity). Well-trained mentors who invest sufficient time with participants may reduce violence among youth (Children’s Commissioner, 2018). However, mentoring without appropriate training or long-term support can negatively affect the mental health of both mentors and mentees (Children’s Commissioner, 2018). School-based interventions can identify at-risk students, providing additional support for academic and behavioural skills. When used as an alternative to exclusions, Scott (2013) argues this approach has been shown to improve community engagement, academic success, and emotional expression.</w:t>
      </w:r>
    </w:p>
    <w:p w14:paraId="756444D1" w14:textId="77777777" w:rsidR="00027A5E" w:rsidRPr="00346731" w:rsidRDefault="00027A5E" w:rsidP="00027A5E">
      <w:pPr>
        <w:pStyle w:val="paragraph"/>
        <w:textAlignment w:val="baseline"/>
        <w:rPr>
          <w:rStyle w:val="eop"/>
          <w:rFonts w:asciiTheme="minorHAnsi" w:eastAsiaTheme="majorEastAsia" w:hAnsiTheme="minorHAnsi" w:cs="Segoe UI"/>
          <w:sz w:val="22"/>
          <w:szCs w:val="22"/>
        </w:rPr>
      </w:pPr>
      <w:r w:rsidRPr="00346731">
        <w:rPr>
          <w:rStyle w:val="eop"/>
          <w:rFonts w:asciiTheme="minorHAnsi" w:eastAsiaTheme="majorEastAsia" w:hAnsiTheme="minorHAnsi" w:cs="Segoe UI"/>
          <w:sz w:val="22"/>
          <w:szCs w:val="22"/>
        </w:rPr>
        <w:t xml:space="preserve">Theorist David Olds argues that interventions are not always effective. He emphasises that not all interventions yield universally positive outcomes, especially if not tailored to specific </w:t>
      </w:r>
      <w:r w:rsidRPr="00346731">
        <w:rPr>
          <w:rStyle w:val="eop"/>
          <w:rFonts w:asciiTheme="minorHAnsi" w:eastAsiaTheme="majorEastAsia" w:hAnsiTheme="minorHAnsi" w:cs="Segoe UI"/>
          <w:sz w:val="22"/>
          <w:szCs w:val="22"/>
        </w:rPr>
        <w:lastRenderedPageBreak/>
        <w:t>contexts, (Powell, Cooper 2016). Zigler (2015) supports this theory and points out that while early interventions can be beneficial, their success heavily depends on the quality of the program and the socio-economic context. He warns against viewing early intervention as a one-size-fits-all solution. In conclusion, it can be argued that early intervention can be effective however it is far more complex and that it needs to be tailored to the individual on a case-by-case basis. Farrington (2017) and</w:t>
      </w:r>
      <w:r w:rsidRPr="00346731">
        <w:rPr>
          <w:rFonts w:asciiTheme="minorHAnsi" w:hAnsiTheme="minorHAnsi"/>
          <w:sz w:val="22"/>
          <w:szCs w:val="22"/>
        </w:rPr>
        <w:t xml:space="preserve"> </w:t>
      </w:r>
      <w:r w:rsidRPr="00346731">
        <w:rPr>
          <w:rStyle w:val="eop"/>
          <w:rFonts w:asciiTheme="minorHAnsi" w:eastAsiaTheme="majorEastAsia" w:hAnsiTheme="minorHAnsi" w:cs="Segoe UI"/>
          <w:sz w:val="22"/>
          <w:szCs w:val="22"/>
        </w:rPr>
        <w:t>Bronfenbrenner () both strengthen this theory and argue that effective early intervention requires collaboration among families, schools, communities, and relevant agencies, creating a supportive network that enhances prevention efforts, thus supporting that intervention is not a one size fits all.  Intervention can be argued as a long-term commitment, a method that provides ongoing support, rather than just short-term solutions. These typically achieve better results. Sustained engagement reinforces positive behaviours and helps young people develop effective coping strategies over time. Moreover, long-term programs can foster a sense of belonging and community, which is vital for at-risk youth. Being part of a stable and supportive network reduces feelings of isolation and the temptation to engage in negative influences. This comprehensive approach not only helps prevent offending behaviours but also encourages personal growth, equipping young individuals with the skills and resilience needed to succeed in various areas of their lives. Ultimately, sustained commitment is crucial for promoting lasting change and decreasing the chances of re-offending.</w:t>
      </w:r>
    </w:p>
    <w:p w14:paraId="0E479B46" w14:textId="64861BAF" w:rsidR="00802621" w:rsidRPr="00346731" w:rsidRDefault="00027A5E" w:rsidP="00346731">
      <w:pPr>
        <w:pStyle w:val="paragraph"/>
        <w:textAlignment w:val="baseline"/>
        <w:rPr>
          <w:rFonts w:asciiTheme="minorHAnsi" w:eastAsiaTheme="majorEastAsia" w:hAnsiTheme="minorHAnsi"/>
          <w:sz w:val="22"/>
          <w:szCs w:val="22"/>
        </w:rPr>
      </w:pPr>
      <w:r w:rsidRPr="00346731">
        <w:rPr>
          <w:rFonts w:asciiTheme="minorHAnsi" w:hAnsiTheme="minorHAnsi" w:cs="Segoe UI"/>
          <w:sz w:val="22"/>
          <w:szCs w:val="22"/>
        </w:rPr>
        <w:t xml:space="preserve">In conclusion, early intervention is a crucial strategy for preventing young people from offending and reoffending. By employing a collaborative, multi-agency approach that includes police, social services, education, and health, these interventions aim to provide the necessary support and guidance to at-risk individuals. Theories from developmental psychologists like Piaget and Erikson highlight the significance of early experiences in shaping cognitive, emotional, and social development, underscoring the importance of addressing developmental stages to promote healthy growth. Furthermore, attachment theories suggest that fostering secure relationships during early childhood can lead to better mental health outcomes, reinforcing the idea that effective interventions should focus on building strong emotional bonds. While the presence of reliable adult figures can enhance resilience, it is vital that interventions are well-structured and supported over time to avoid potential negative outcomes. However, critiques from theorists like David Olds and Edward Zigler remind us that not all early interventions yield positive results, emphasizing the need for tailored approaches that consider individual contexts and socio-economic factors. Effective early intervention requires the collaboration of families, schools, and communities to create a supportive network, confirming that a one-size-fits-all solution is insufficient. Ultimately, while early intervention holds promise, its success depends on careful implementation and customisation to meet the unique needs of </w:t>
      </w:r>
      <w:r w:rsidR="00264250" w:rsidRPr="00346731">
        <w:rPr>
          <w:rFonts w:asciiTheme="minorHAnsi" w:hAnsiTheme="minorHAnsi" w:cs="Segoe UI"/>
          <w:sz w:val="22"/>
          <w:szCs w:val="22"/>
        </w:rPr>
        <w:t>everyone</w:t>
      </w:r>
      <w:r w:rsidR="00346731" w:rsidRPr="00346731">
        <w:rPr>
          <w:rFonts w:asciiTheme="minorHAnsi" w:hAnsiTheme="minorHAnsi" w:cs="Segoe UI"/>
          <w:sz w:val="22"/>
          <w:szCs w:val="22"/>
        </w:rPr>
        <w:t>.</w:t>
      </w:r>
      <w:r w:rsidR="00346731">
        <w:rPr>
          <w:rFonts w:asciiTheme="minorHAnsi" w:hAnsiTheme="minorHAnsi" w:cs="Segoe UI"/>
          <w:sz w:val="22"/>
          <w:szCs w:val="22"/>
        </w:rPr>
        <w:t xml:space="preserve"> </w:t>
      </w:r>
    </w:p>
    <w:p w14:paraId="6C1C7470" w14:textId="77777777" w:rsidR="00802621" w:rsidRDefault="00802621" w:rsidP="00027A5E">
      <w:pPr>
        <w:pStyle w:val="paragraph"/>
        <w:spacing w:before="0" w:beforeAutospacing="0" w:after="0" w:afterAutospacing="0"/>
        <w:textAlignment w:val="baseline"/>
        <w:rPr>
          <w:rStyle w:val="normaltextrun"/>
          <w:rFonts w:asciiTheme="minorHAnsi" w:eastAsiaTheme="majorEastAsia" w:hAnsiTheme="minorHAnsi" w:cs="Segoe UI"/>
          <w:sz w:val="22"/>
          <w:szCs w:val="22"/>
        </w:rPr>
      </w:pPr>
      <w:r w:rsidRPr="00264250">
        <w:rPr>
          <w:rStyle w:val="normaltextrun"/>
          <w:rFonts w:asciiTheme="minorHAnsi" w:eastAsiaTheme="majorEastAsia" w:hAnsiTheme="minorHAnsi" w:cs="Segoe UI"/>
          <w:sz w:val="22"/>
          <w:szCs w:val="22"/>
        </w:rPr>
        <w:t xml:space="preserve">Bellis, M. A. et al. (2018). </w:t>
      </w:r>
      <w:r w:rsidRPr="00264250">
        <w:rPr>
          <w:rStyle w:val="normaltextrun"/>
          <w:rFonts w:asciiTheme="minorHAnsi" w:eastAsiaTheme="majorEastAsia" w:hAnsiTheme="minorHAnsi" w:cs="Segoe UI"/>
          <w:i/>
          <w:iCs/>
          <w:sz w:val="22"/>
          <w:szCs w:val="22"/>
        </w:rPr>
        <w:t>Does adult alcohol consumption combine with adverse childhood experiences to increase involvement in violence in men and women?</w:t>
      </w:r>
      <w:r w:rsidRPr="00264250">
        <w:rPr>
          <w:rStyle w:val="normaltextrun"/>
          <w:rFonts w:asciiTheme="minorHAnsi" w:eastAsiaTheme="majorEastAsia" w:hAnsiTheme="minorHAnsi" w:cs="Segoe UI"/>
          <w:sz w:val="22"/>
          <w:szCs w:val="22"/>
        </w:rPr>
        <w:t xml:space="preserve"> A cross-sectional study in England and Wales BMJ Open, Vol 8. (Available on): </w:t>
      </w:r>
      <w:hyperlink r:id="rId16" w:tgtFrame="_blank" w:history="1">
        <w:r w:rsidRPr="00264250">
          <w:rPr>
            <w:rStyle w:val="normaltextrun"/>
            <w:rFonts w:asciiTheme="minorHAnsi" w:eastAsiaTheme="majorEastAsia" w:hAnsiTheme="minorHAnsi" w:cs="Segoe UI"/>
            <w:color w:val="467886"/>
            <w:sz w:val="22"/>
            <w:szCs w:val="22"/>
            <w:u w:val="single"/>
          </w:rPr>
          <w:t>https://bmjopen.bmj.com/content/8/12/e020591</w:t>
        </w:r>
      </w:hyperlink>
      <w:r w:rsidRPr="00264250">
        <w:rPr>
          <w:rStyle w:val="normaltextrun"/>
          <w:rFonts w:asciiTheme="minorHAnsi" w:eastAsiaTheme="majorEastAsia" w:hAnsiTheme="minorHAnsi" w:cs="Segoe UI"/>
          <w:sz w:val="22"/>
          <w:szCs w:val="22"/>
        </w:rPr>
        <w:t>  </w:t>
      </w:r>
    </w:p>
    <w:p w14:paraId="2B7F90AA" w14:textId="77777777" w:rsidR="00802621" w:rsidRPr="00264250" w:rsidRDefault="00802621" w:rsidP="00027A5E">
      <w:pPr>
        <w:pStyle w:val="paragraph"/>
        <w:spacing w:before="0" w:beforeAutospacing="0" w:after="0" w:afterAutospacing="0"/>
        <w:textAlignment w:val="baseline"/>
        <w:rPr>
          <w:rStyle w:val="normaltextrun"/>
          <w:rFonts w:asciiTheme="minorHAnsi" w:eastAsiaTheme="majorEastAsia" w:hAnsiTheme="minorHAnsi" w:cs="Segoe UI"/>
          <w:sz w:val="22"/>
          <w:szCs w:val="22"/>
        </w:rPr>
      </w:pPr>
    </w:p>
    <w:p w14:paraId="1AABECBE" w14:textId="77777777" w:rsidR="00802621" w:rsidRPr="00264250" w:rsidRDefault="00802621" w:rsidP="0041495F">
      <w:r w:rsidRPr="00264250">
        <w:t xml:space="preserve">Bowlby, J.  (2005) </w:t>
      </w:r>
      <w:r w:rsidRPr="00264250">
        <w:rPr>
          <w:i/>
          <w:iCs/>
        </w:rPr>
        <w:t>A Secure Base: Clinical Applications of Attachment Theory</w:t>
      </w:r>
      <w:r w:rsidRPr="00264250">
        <w:t>. Oxon: Routledge</w:t>
      </w:r>
    </w:p>
    <w:p w14:paraId="50A5F8D5" w14:textId="77777777" w:rsidR="00802621"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264250">
        <w:rPr>
          <w:rStyle w:val="normaltextrun"/>
          <w:rFonts w:asciiTheme="minorHAnsi" w:eastAsiaTheme="majorEastAsia" w:hAnsiTheme="minorHAnsi" w:cs="Segoe UI"/>
          <w:sz w:val="22"/>
          <w:szCs w:val="22"/>
        </w:rPr>
        <w:t xml:space="preserve">Cherry, K. (2022). </w:t>
      </w:r>
      <w:r w:rsidRPr="00264250">
        <w:rPr>
          <w:rStyle w:val="normaltextrun"/>
          <w:rFonts w:asciiTheme="minorHAnsi" w:eastAsiaTheme="majorEastAsia" w:hAnsiTheme="minorHAnsi" w:cs="Segoe UI"/>
          <w:i/>
          <w:iCs/>
          <w:sz w:val="22"/>
          <w:szCs w:val="22"/>
        </w:rPr>
        <w:t>Maslow’s Hierarchy of Needs</w:t>
      </w:r>
      <w:r w:rsidRPr="00264250">
        <w:rPr>
          <w:rStyle w:val="normaltextrun"/>
          <w:rFonts w:asciiTheme="minorHAnsi" w:eastAsiaTheme="majorEastAsia" w:hAnsiTheme="minorHAnsi" w:cs="Segoe UI"/>
          <w:sz w:val="22"/>
          <w:szCs w:val="22"/>
        </w:rPr>
        <w:t xml:space="preserve">. [online] </w:t>
      </w:r>
      <w:proofErr w:type="spellStart"/>
      <w:r w:rsidRPr="00264250">
        <w:rPr>
          <w:rStyle w:val="normaltextrun"/>
          <w:rFonts w:asciiTheme="minorHAnsi" w:eastAsiaTheme="majorEastAsia" w:hAnsiTheme="minorHAnsi" w:cs="Segoe UI"/>
          <w:sz w:val="22"/>
          <w:szCs w:val="22"/>
        </w:rPr>
        <w:t>Verywellmind</w:t>
      </w:r>
      <w:proofErr w:type="spellEnd"/>
      <w:r w:rsidRPr="00264250">
        <w:rPr>
          <w:rStyle w:val="normaltextrun"/>
          <w:rFonts w:asciiTheme="minorHAnsi" w:eastAsiaTheme="majorEastAsia" w:hAnsiTheme="minorHAnsi" w:cs="Segoe UI"/>
          <w:sz w:val="22"/>
          <w:szCs w:val="22"/>
        </w:rPr>
        <w:t xml:space="preserve">. (Available on) </w:t>
      </w:r>
      <w:hyperlink r:id="rId17" w:tgtFrame="_blank" w:history="1">
        <w:r w:rsidRPr="00264250">
          <w:rPr>
            <w:rStyle w:val="normaltextrun"/>
            <w:rFonts w:asciiTheme="minorHAnsi" w:eastAsiaTheme="majorEastAsia" w:hAnsiTheme="minorHAnsi" w:cs="Segoe UI"/>
            <w:color w:val="467886"/>
            <w:sz w:val="22"/>
            <w:szCs w:val="22"/>
            <w:u w:val="single"/>
          </w:rPr>
          <w:t>https://www.verywellmind.com/what-is-maslows-hierarchy-of-needs-4136760</w:t>
        </w:r>
      </w:hyperlink>
      <w:r w:rsidRPr="00264250">
        <w:rPr>
          <w:rStyle w:val="normaltextrun"/>
          <w:rFonts w:asciiTheme="minorHAnsi" w:eastAsiaTheme="majorEastAsia" w:hAnsiTheme="minorHAnsi" w:cs="Segoe UI"/>
          <w:sz w:val="22"/>
          <w:szCs w:val="22"/>
        </w:rPr>
        <w:t>  </w:t>
      </w:r>
      <w:r w:rsidRPr="00264250">
        <w:rPr>
          <w:rStyle w:val="eop"/>
          <w:rFonts w:asciiTheme="minorHAnsi" w:eastAsiaTheme="majorEastAsia" w:hAnsiTheme="minorHAnsi" w:cs="Segoe UI"/>
          <w:sz w:val="22"/>
          <w:szCs w:val="22"/>
        </w:rPr>
        <w:t> </w:t>
      </w:r>
    </w:p>
    <w:p w14:paraId="208188A6" w14:textId="77777777" w:rsidR="00802621" w:rsidRPr="00264250"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0A47EBFB" w14:textId="77777777" w:rsidR="00802621"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264250">
        <w:rPr>
          <w:rStyle w:val="normaltextrun"/>
          <w:rFonts w:asciiTheme="minorHAnsi" w:eastAsiaTheme="majorEastAsia" w:hAnsiTheme="minorHAnsi" w:cs="Segoe UI"/>
          <w:sz w:val="22"/>
          <w:szCs w:val="22"/>
        </w:rPr>
        <w:t xml:space="preserve">Children’s Commissioner (2018). </w:t>
      </w:r>
      <w:r w:rsidRPr="00264250">
        <w:rPr>
          <w:rStyle w:val="normaltextrun"/>
          <w:rFonts w:asciiTheme="minorHAnsi" w:eastAsiaTheme="majorEastAsia" w:hAnsiTheme="minorHAnsi" w:cs="Segoe UI"/>
          <w:i/>
          <w:iCs/>
          <w:sz w:val="22"/>
          <w:szCs w:val="22"/>
        </w:rPr>
        <w:t>Forging futures through mentoring: A risk worth pursuing?</w:t>
      </w:r>
      <w:r w:rsidRPr="00264250">
        <w:rPr>
          <w:rStyle w:val="normaltextrun"/>
          <w:rFonts w:asciiTheme="minorHAnsi" w:eastAsiaTheme="majorEastAsia" w:hAnsiTheme="minorHAnsi" w:cs="Segoe UI"/>
          <w:sz w:val="22"/>
          <w:szCs w:val="22"/>
        </w:rPr>
        <w:t xml:space="preserve"> (Available on) </w:t>
      </w:r>
      <w:hyperlink r:id="rId18" w:tgtFrame="_blank" w:history="1">
        <w:r w:rsidRPr="00264250">
          <w:rPr>
            <w:rStyle w:val="normaltextrun"/>
            <w:rFonts w:asciiTheme="minorHAnsi" w:eastAsiaTheme="majorEastAsia" w:hAnsiTheme="minorHAnsi" w:cs="Segoe UI"/>
            <w:color w:val="467886"/>
            <w:sz w:val="22"/>
            <w:szCs w:val="22"/>
            <w:u w:val="single"/>
          </w:rPr>
          <w:t>https://www.childrenscommissioner.gov.uk/resource/mentoring/</w:t>
        </w:r>
      </w:hyperlink>
      <w:r w:rsidRPr="00264250">
        <w:rPr>
          <w:rStyle w:val="normaltextrun"/>
          <w:rFonts w:asciiTheme="minorHAnsi" w:eastAsiaTheme="majorEastAsia" w:hAnsiTheme="minorHAnsi" w:cs="Segoe UI"/>
          <w:sz w:val="22"/>
          <w:szCs w:val="22"/>
        </w:rPr>
        <w:t>   </w:t>
      </w:r>
      <w:r w:rsidRPr="00264250">
        <w:rPr>
          <w:rStyle w:val="eop"/>
          <w:rFonts w:asciiTheme="minorHAnsi" w:eastAsiaTheme="majorEastAsia" w:hAnsiTheme="minorHAnsi" w:cs="Segoe UI"/>
          <w:sz w:val="22"/>
          <w:szCs w:val="22"/>
        </w:rPr>
        <w:t> </w:t>
      </w:r>
    </w:p>
    <w:p w14:paraId="731817F8" w14:textId="77777777" w:rsidR="00802621"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778B124D" w14:textId="77777777" w:rsidR="00802621" w:rsidRDefault="00802621" w:rsidP="00027A5E">
      <w:pPr>
        <w:pStyle w:val="paragraph"/>
        <w:spacing w:before="0" w:beforeAutospacing="0" w:after="0" w:afterAutospacing="0"/>
        <w:textAlignment w:val="baseline"/>
        <w:rPr>
          <w:rStyle w:val="normaltextrun"/>
          <w:rFonts w:asciiTheme="minorHAnsi" w:eastAsiaTheme="majorEastAsia" w:hAnsiTheme="minorHAnsi" w:cs="Segoe UI"/>
          <w:sz w:val="22"/>
          <w:szCs w:val="22"/>
        </w:rPr>
      </w:pPr>
      <w:r w:rsidRPr="00264250">
        <w:rPr>
          <w:rStyle w:val="normaltextrun"/>
          <w:rFonts w:asciiTheme="minorHAnsi" w:eastAsiaTheme="majorEastAsia" w:hAnsiTheme="minorHAnsi" w:cs="Segoe UI"/>
          <w:sz w:val="22"/>
          <w:szCs w:val="22"/>
        </w:rPr>
        <w:lastRenderedPageBreak/>
        <w:t>EIF (2018</w:t>
      </w:r>
      <w:r w:rsidRPr="00264250">
        <w:rPr>
          <w:rStyle w:val="normaltextrun"/>
          <w:rFonts w:asciiTheme="minorHAnsi" w:eastAsiaTheme="majorEastAsia" w:hAnsiTheme="minorHAnsi" w:cs="Segoe UI"/>
          <w:i/>
          <w:iCs/>
          <w:sz w:val="22"/>
          <w:szCs w:val="22"/>
        </w:rPr>
        <w:t>). Realising the potential of early intervention</w:t>
      </w:r>
      <w:r w:rsidRPr="00264250">
        <w:rPr>
          <w:rStyle w:val="normaltextrun"/>
          <w:rFonts w:asciiTheme="minorHAnsi" w:eastAsiaTheme="majorEastAsia" w:hAnsiTheme="minorHAnsi" w:cs="Segoe UI"/>
          <w:sz w:val="22"/>
          <w:szCs w:val="22"/>
        </w:rPr>
        <w:t xml:space="preserve"> (Available on): </w:t>
      </w:r>
      <w:hyperlink r:id="rId19" w:tgtFrame="_blank" w:history="1">
        <w:r w:rsidRPr="00264250">
          <w:rPr>
            <w:rStyle w:val="normaltextrun"/>
            <w:rFonts w:asciiTheme="minorHAnsi" w:eastAsiaTheme="majorEastAsia" w:hAnsiTheme="minorHAnsi" w:cs="Segoe UI"/>
            <w:color w:val="467886"/>
            <w:sz w:val="22"/>
            <w:szCs w:val="22"/>
            <w:u w:val="single"/>
          </w:rPr>
          <w:t>https://www.eif.org.uk/report/realising-the-potential-of-early-intervention</w:t>
        </w:r>
      </w:hyperlink>
      <w:r w:rsidRPr="00264250">
        <w:rPr>
          <w:rStyle w:val="normaltextrun"/>
          <w:rFonts w:asciiTheme="minorHAnsi" w:eastAsiaTheme="majorEastAsia" w:hAnsiTheme="minorHAnsi" w:cs="Segoe UI"/>
          <w:sz w:val="22"/>
          <w:szCs w:val="22"/>
        </w:rPr>
        <w:t>  </w:t>
      </w:r>
    </w:p>
    <w:p w14:paraId="4B38721D" w14:textId="77777777" w:rsidR="00802621" w:rsidRPr="00264250" w:rsidRDefault="00802621" w:rsidP="00027A5E">
      <w:pPr>
        <w:pStyle w:val="paragraph"/>
        <w:spacing w:before="0" w:beforeAutospacing="0" w:after="0" w:afterAutospacing="0"/>
        <w:textAlignment w:val="baseline"/>
        <w:rPr>
          <w:rStyle w:val="normaltextrun"/>
          <w:rFonts w:asciiTheme="minorHAnsi" w:eastAsiaTheme="majorEastAsia" w:hAnsiTheme="minorHAnsi" w:cs="Segoe UI"/>
          <w:sz w:val="22"/>
          <w:szCs w:val="22"/>
        </w:rPr>
      </w:pPr>
    </w:p>
    <w:p w14:paraId="2D4A05A4" w14:textId="77777777" w:rsidR="00802621"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264250">
        <w:rPr>
          <w:rStyle w:val="normaltextrun"/>
          <w:rFonts w:asciiTheme="minorHAnsi" w:eastAsiaTheme="majorEastAsia" w:hAnsiTheme="minorHAnsi" w:cs="Segoe UI"/>
          <w:sz w:val="22"/>
          <w:szCs w:val="22"/>
        </w:rPr>
        <w:t xml:space="preserve">Farrell, G. et al. (2011). </w:t>
      </w:r>
      <w:r w:rsidRPr="00264250">
        <w:rPr>
          <w:rStyle w:val="normaltextrun"/>
          <w:rFonts w:asciiTheme="minorHAnsi" w:eastAsiaTheme="majorEastAsia" w:hAnsiTheme="minorHAnsi" w:cs="Segoe UI"/>
          <w:i/>
          <w:iCs/>
          <w:sz w:val="22"/>
          <w:szCs w:val="22"/>
        </w:rPr>
        <w:t xml:space="preserve">The crime </w:t>
      </w:r>
      <w:proofErr w:type="gramStart"/>
      <w:r w:rsidRPr="00264250">
        <w:rPr>
          <w:rStyle w:val="normaltextrun"/>
          <w:rFonts w:asciiTheme="minorHAnsi" w:eastAsiaTheme="majorEastAsia" w:hAnsiTheme="minorHAnsi" w:cs="Segoe UI"/>
          <w:i/>
          <w:iCs/>
          <w:sz w:val="22"/>
          <w:szCs w:val="22"/>
        </w:rPr>
        <w:t>drop</w:t>
      </w:r>
      <w:proofErr w:type="gramEnd"/>
      <w:r w:rsidRPr="00264250">
        <w:rPr>
          <w:rStyle w:val="normaltextrun"/>
          <w:rFonts w:asciiTheme="minorHAnsi" w:eastAsiaTheme="majorEastAsia" w:hAnsiTheme="minorHAnsi" w:cs="Segoe UI"/>
          <w:i/>
          <w:iCs/>
          <w:sz w:val="22"/>
          <w:szCs w:val="22"/>
        </w:rPr>
        <w:t xml:space="preserve"> and the security hypothesis</w:t>
      </w:r>
      <w:r w:rsidRPr="00264250">
        <w:rPr>
          <w:rStyle w:val="normaltextrun"/>
          <w:rFonts w:asciiTheme="minorHAnsi" w:eastAsiaTheme="majorEastAsia" w:hAnsiTheme="minorHAnsi" w:cs="Segoe UI"/>
          <w:sz w:val="22"/>
          <w:szCs w:val="22"/>
        </w:rPr>
        <w:t xml:space="preserve">. J. Res. Crime Delinquency, Vol 48, 147–175. (Available on): </w:t>
      </w:r>
      <w:hyperlink r:id="rId20" w:tgtFrame="_blank" w:history="1">
        <w:r w:rsidRPr="00264250">
          <w:rPr>
            <w:rStyle w:val="normaltextrun"/>
            <w:rFonts w:asciiTheme="minorHAnsi" w:eastAsiaTheme="majorEastAsia" w:hAnsiTheme="minorHAnsi" w:cs="Segoe UI"/>
            <w:color w:val="467886"/>
            <w:sz w:val="22"/>
            <w:szCs w:val="22"/>
            <w:u w:val="single"/>
          </w:rPr>
          <w:t>https://journals.sagepub.com/doi/10.1177/0022427810391539</w:t>
        </w:r>
      </w:hyperlink>
      <w:r w:rsidRPr="00264250">
        <w:rPr>
          <w:rStyle w:val="normaltextrun"/>
          <w:rFonts w:asciiTheme="minorHAnsi" w:eastAsiaTheme="majorEastAsia" w:hAnsiTheme="minorHAnsi" w:cs="Segoe UI"/>
          <w:sz w:val="22"/>
          <w:szCs w:val="22"/>
        </w:rPr>
        <w:t>   </w:t>
      </w:r>
      <w:r w:rsidRPr="00264250">
        <w:rPr>
          <w:rStyle w:val="eop"/>
          <w:rFonts w:asciiTheme="minorHAnsi" w:eastAsiaTheme="majorEastAsia" w:hAnsiTheme="minorHAnsi" w:cs="Segoe UI"/>
          <w:sz w:val="22"/>
          <w:szCs w:val="22"/>
        </w:rPr>
        <w:t> </w:t>
      </w:r>
    </w:p>
    <w:p w14:paraId="22BD5F16" w14:textId="77777777" w:rsidR="00802621" w:rsidRPr="00264250"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0BC72D30" w14:textId="77777777" w:rsidR="00802621"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264250">
        <w:rPr>
          <w:rStyle w:val="normaltextrun"/>
          <w:rFonts w:asciiTheme="minorHAnsi" w:eastAsiaTheme="majorEastAsia" w:hAnsiTheme="minorHAnsi" w:cs="Segoe UI"/>
          <w:sz w:val="22"/>
          <w:szCs w:val="22"/>
        </w:rPr>
        <w:t xml:space="preserve">Farrington, D. P. et al. (2017). </w:t>
      </w:r>
      <w:r w:rsidRPr="00264250">
        <w:rPr>
          <w:rStyle w:val="normaltextrun"/>
          <w:rFonts w:asciiTheme="minorHAnsi" w:eastAsiaTheme="majorEastAsia" w:hAnsiTheme="minorHAnsi" w:cs="Segoe UI"/>
          <w:i/>
          <w:iCs/>
          <w:sz w:val="22"/>
          <w:szCs w:val="22"/>
        </w:rPr>
        <w:t>Systematic reviews of the effectiveness of developmental prevention programs in reducing delinquency, aggression, and bullying. Aggress. Violent Behaviour.</w:t>
      </w:r>
      <w:r w:rsidRPr="00264250">
        <w:rPr>
          <w:rStyle w:val="normaltextrun"/>
          <w:rFonts w:asciiTheme="minorHAnsi" w:eastAsiaTheme="majorEastAsia" w:hAnsiTheme="minorHAnsi" w:cs="Segoe UI"/>
          <w:sz w:val="22"/>
          <w:szCs w:val="22"/>
        </w:rPr>
        <w:t xml:space="preserve">, Vol 33, 91–106 </w:t>
      </w:r>
      <w:hyperlink r:id="rId21" w:tgtFrame="_blank" w:history="1">
        <w:r w:rsidRPr="00264250">
          <w:rPr>
            <w:rStyle w:val="normaltextrun"/>
            <w:rFonts w:asciiTheme="minorHAnsi" w:eastAsiaTheme="majorEastAsia" w:hAnsiTheme="minorHAnsi" w:cs="Segoe UI"/>
            <w:color w:val="467886"/>
            <w:sz w:val="22"/>
            <w:szCs w:val="22"/>
            <w:u w:val="single"/>
          </w:rPr>
          <w:t>https://www.sciencedirect.com/science/article/abs/pii/S1359178916301963?via%3Dihub</w:t>
        </w:r>
      </w:hyperlink>
      <w:r w:rsidRPr="00264250">
        <w:rPr>
          <w:rStyle w:val="normaltextrun"/>
          <w:rFonts w:asciiTheme="minorHAnsi" w:eastAsiaTheme="majorEastAsia" w:hAnsiTheme="minorHAnsi" w:cs="Segoe UI"/>
          <w:sz w:val="22"/>
          <w:szCs w:val="22"/>
        </w:rPr>
        <w:t>   </w:t>
      </w:r>
      <w:r w:rsidRPr="00264250">
        <w:rPr>
          <w:rStyle w:val="eop"/>
          <w:rFonts w:asciiTheme="minorHAnsi" w:eastAsiaTheme="majorEastAsia" w:hAnsiTheme="minorHAnsi" w:cs="Segoe UI"/>
          <w:sz w:val="22"/>
          <w:szCs w:val="22"/>
        </w:rPr>
        <w:t> </w:t>
      </w:r>
    </w:p>
    <w:p w14:paraId="6BA66417" w14:textId="77777777" w:rsidR="00802621" w:rsidRPr="00264250" w:rsidRDefault="00802621" w:rsidP="00027A5E">
      <w:pPr>
        <w:pStyle w:val="paragraph"/>
        <w:spacing w:before="0" w:beforeAutospacing="0" w:after="0" w:afterAutospacing="0"/>
        <w:textAlignment w:val="baseline"/>
        <w:rPr>
          <w:rStyle w:val="eop"/>
          <w:rFonts w:asciiTheme="minorHAnsi" w:eastAsiaTheme="majorEastAsia" w:hAnsiTheme="minorHAnsi"/>
          <w:sz w:val="22"/>
          <w:szCs w:val="22"/>
        </w:rPr>
      </w:pPr>
    </w:p>
    <w:p w14:paraId="731D3E49" w14:textId="77777777" w:rsidR="00802621" w:rsidRPr="00264250" w:rsidRDefault="00802621" w:rsidP="00027A5E">
      <w:r w:rsidRPr="00264250">
        <w:t xml:space="preserve">Gilbride, N.  (2025) </w:t>
      </w:r>
      <w:r w:rsidRPr="00264250">
        <w:rPr>
          <w:i/>
          <w:iCs/>
        </w:rPr>
        <w:t>Bandura's Self-Efficacy Theory in Action</w:t>
      </w:r>
      <w:r w:rsidRPr="00264250">
        <w:t>. Suffolk: John Catt Publishers</w:t>
      </w:r>
    </w:p>
    <w:p w14:paraId="43EB6B08" w14:textId="77777777" w:rsidR="00802621" w:rsidRPr="00264250"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264250">
        <w:rPr>
          <w:rStyle w:val="normaltextrun"/>
          <w:rFonts w:asciiTheme="minorHAnsi" w:eastAsiaTheme="majorEastAsia" w:hAnsiTheme="minorHAnsi" w:cs="Segoe UI"/>
          <w:sz w:val="22"/>
          <w:szCs w:val="22"/>
        </w:rPr>
        <w:t xml:space="preserve">House of Commons Library (2018). </w:t>
      </w:r>
      <w:r w:rsidRPr="00264250">
        <w:rPr>
          <w:rStyle w:val="normaltextrun"/>
          <w:rFonts w:asciiTheme="minorHAnsi" w:eastAsiaTheme="majorEastAsia" w:hAnsiTheme="minorHAnsi" w:cs="Segoe UI"/>
          <w:i/>
          <w:iCs/>
          <w:sz w:val="22"/>
          <w:szCs w:val="22"/>
        </w:rPr>
        <w:t>The Troubled Families programme</w:t>
      </w:r>
      <w:r w:rsidRPr="00264250">
        <w:rPr>
          <w:rStyle w:val="normaltextrun"/>
          <w:rFonts w:asciiTheme="minorHAnsi" w:eastAsiaTheme="majorEastAsia" w:hAnsiTheme="minorHAnsi" w:cs="Segoe UI"/>
          <w:sz w:val="22"/>
          <w:szCs w:val="22"/>
        </w:rPr>
        <w:t xml:space="preserve"> (England). (Available on) </w:t>
      </w:r>
      <w:hyperlink r:id="rId22" w:tgtFrame="_blank" w:history="1">
        <w:r w:rsidRPr="00264250">
          <w:rPr>
            <w:rStyle w:val="normaltextrun"/>
            <w:rFonts w:asciiTheme="minorHAnsi" w:eastAsiaTheme="majorEastAsia" w:hAnsiTheme="minorHAnsi" w:cs="Segoe UI"/>
            <w:color w:val="467886"/>
            <w:sz w:val="22"/>
            <w:szCs w:val="22"/>
            <w:u w:val="single"/>
          </w:rPr>
          <w:t>https://commonslibrary.parliament.uk/research-briefings/cbp-7585/</w:t>
        </w:r>
      </w:hyperlink>
      <w:r w:rsidRPr="00264250">
        <w:rPr>
          <w:rStyle w:val="normaltextrun"/>
          <w:rFonts w:asciiTheme="minorHAnsi" w:eastAsiaTheme="majorEastAsia" w:hAnsiTheme="minorHAnsi" w:cs="Segoe UI"/>
          <w:sz w:val="22"/>
          <w:szCs w:val="22"/>
        </w:rPr>
        <w:t> </w:t>
      </w:r>
      <w:r w:rsidRPr="00264250">
        <w:rPr>
          <w:rStyle w:val="eop"/>
          <w:rFonts w:asciiTheme="minorHAnsi" w:eastAsiaTheme="majorEastAsia" w:hAnsiTheme="minorHAnsi" w:cs="Segoe UI"/>
          <w:sz w:val="22"/>
          <w:szCs w:val="22"/>
        </w:rPr>
        <w:t> </w:t>
      </w:r>
    </w:p>
    <w:p w14:paraId="3975FD21" w14:textId="77777777" w:rsidR="00802621" w:rsidRDefault="003B69E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hyperlink r:id="rId23" w:history="1">
        <w:r w:rsidR="00802621" w:rsidRPr="00264250">
          <w:rPr>
            <w:rStyle w:val="Hyperlink"/>
            <w:rFonts w:asciiTheme="minorHAnsi" w:eastAsiaTheme="majorEastAsia" w:hAnsiTheme="minorHAnsi" w:cs="Segoe UI"/>
            <w:sz w:val="22"/>
            <w:szCs w:val="22"/>
          </w:rPr>
          <w:t>https://www.aeaweb.org/articles?id=10.1257/aer.101.5.2157</w:t>
        </w:r>
      </w:hyperlink>
      <w:r w:rsidR="00802621" w:rsidRPr="00264250">
        <w:rPr>
          <w:rStyle w:val="normaltextrun"/>
          <w:rFonts w:asciiTheme="minorHAnsi" w:eastAsiaTheme="majorEastAsia" w:hAnsiTheme="minorHAnsi" w:cs="Segoe UI"/>
          <w:sz w:val="22"/>
          <w:szCs w:val="22"/>
        </w:rPr>
        <w:t>  </w:t>
      </w:r>
      <w:r w:rsidR="00802621" w:rsidRPr="00264250">
        <w:rPr>
          <w:rStyle w:val="eop"/>
          <w:rFonts w:asciiTheme="minorHAnsi" w:eastAsiaTheme="majorEastAsia" w:hAnsiTheme="minorHAnsi" w:cs="Segoe UI"/>
          <w:sz w:val="22"/>
          <w:szCs w:val="22"/>
        </w:rPr>
        <w:t> </w:t>
      </w:r>
    </w:p>
    <w:p w14:paraId="629F0144" w14:textId="77777777" w:rsidR="00802621" w:rsidRPr="00264250"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7E7CB20D" w14:textId="77777777" w:rsidR="00802621" w:rsidRDefault="00802621" w:rsidP="00027A5E">
      <w:pPr>
        <w:pStyle w:val="paragraph"/>
        <w:spacing w:before="0" w:beforeAutospacing="0" w:after="0" w:afterAutospacing="0"/>
        <w:textAlignment w:val="baseline"/>
        <w:rPr>
          <w:rStyle w:val="normaltextrun"/>
          <w:rFonts w:asciiTheme="minorHAnsi" w:eastAsiaTheme="majorEastAsia" w:hAnsiTheme="minorHAnsi" w:cs="Segoe UI"/>
          <w:sz w:val="22"/>
          <w:szCs w:val="22"/>
        </w:rPr>
      </w:pPr>
      <w:r w:rsidRPr="00264250">
        <w:rPr>
          <w:rStyle w:val="normaltextrun"/>
          <w:rFonts w:asciiTheme="minorHAnsi" w:eastAsiaTheme="majorEastAsia" w:hAnsiTheme="minorHAnsi" w:cs="Segoe UI"/>
          <w:sz w:val="22"/>
          <w:szCs w:val="22"/>
        </w:rPr>
        <w:t xml:space="preserve">Hughes, K. et al. (2017). </w:t>
      </w:r>
      <w:r w:rsidRPr="00264250">
        <w:rPr>
          <w:rStyle w:val="normaltextrun"/>
          <w:rFonts w:asciiTheme="minorHAnsi" w:eastAsiaTheme="majorEastAsia" w:hAnsiTheme="minorHAnsi" w:cs="Segoe UI"/>
          <w:i/>
          <w:iCs/>
          <w:sz w:val="22"/>
          <w:szCs w:val="22"/>
        </w:rPr>
        <w:t>The effect of multiple adverse childhood experiences</w:t>
      </w:r>
      <w:r w:rsidRPr="00264250">
        <w:rPr>
          <w:rStyle w:val="normaltextrun"/>
          <w:rFonts w:asciiTheme="minorHAnsi" w:eastAsiaTheme="majorEastAsia" w:hAnsiTheme="minorHAnsi" w:cs="Segoe UI"/>
          <w:sz w:val="22"/>
          <w:szCs w:val="22"/>
        </w:rPr>
        <w:t xml:space="preserve">. (Available on) </w:t>
      </w:r>
      <w:hyperlink r:id="rId24" w:tgtFrame="_blank" w:history="1">
        <w:r w:rsidRPr="00264250">
          <w:rPr>
            <w:rStyle w:val="normaltextrun"/>
            <w:rFonts w:asciiTheme="minorHAnsi" w:eastAsiaTheme="majorEastAsia" w:hAnsiTheme="minorHAnsi" w:cs="Segoe UI"/>
            <w:color w:val="467886"/>
            <w:sz w:val="22"/>
            <w:szCs w:val="22"/>
            <w:u w:val="single"/>
          </w:rPr>
          <w:t>https://www.thelancet.com/journals/lanpub/article/PIIS2468-2667(17)30118-4/fulltext</w:t>
        </w:r>
      </w:hyperlink>
      <w:r w:rsidRPr="00264250">
        <w:rPr>
          <w:rStyle w:val="normaltextrun"/>
          <w:rFonts w:asciiTheme="minorHAnsi" w:eastAsiaTheme="majorEastAsia" w:hAnsiTheme="minorHAnsi" w:cs="Segoe UI"/>
          <w:sz w:val="22"/>
          <w:szCs w:val="22"/>
        </w:rPr>
        <w:t>   </w:t>
      </w:r>
    </w:p>
    <w:p w14:paraId="7450FA76" w14:textId="77777777" w:rsidR="00802621" w:rsidRPr="00264250" w:rsidRDefault="00802621" w:rsidP="00027A5E">
      <w:pPr>
        <w:pStyle w:val="paragraph"/>
        <w:spacing w:before="0" w:beforeAutospacing="0" w:after="0" w:afterAutospacing="0"/>
        <w:textAlignment w:val="baseline"/>
        <w:rPr>
          <w:rStyle w:val="normaltextrun"/>
          <w:rFonts w:asciiTheme="minorHAnsi" w:eastAsiaTheme="majorEastAsia" w:hAnsiTheme="minorHAnsi" w:cs="Segoe UI"/>
          <w:sz w:val="22"/>
          <w:szCs w:val="22"/>
        </w:rPr>
      </w:pPr>
    </w:p>
    <w:p w14:paraId="10C79F7A" w14:textId="77777777" w:rsidR="00802621"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264250">
        <w:rPr>
          <w:rStyle w:val="normaltextrun"/>
          <w:rFonts w:asciiTheme="minorHAnsi" w:eastAsiaTheme="majorEastAsia" w:hAnsiTheme="minorHAnsi" w:cs="Segoe UI"/>
          <w:sz w:val="22"/>
          <w:szCs w:val="22"/>
        </w:rPr>
        <w:t xml:space="preserve">King, B. (2018) </w:t>
      </w:r>
      <w:r w:rsidRPr="00264250">
        <w:rPr>
          <w:rStyle w:val="normaltextrun"/>
          <w:rFonts w:asciiTheme="minorHAnsi" w:eastAsiaTheme="majorEastAsia" w:hAnsiTheme="minorHAnsi" w:cs="Segoe UI"/>
          <w:i/>
          <w:iCs/>
          <w:sz w:val="22"/>
          <w:szCs w:val="22"/>
        </w:rPr>
        <w:t>Impact of a youth violence intervention in the emergency department of a London hospital.</w:t>
      </w:r>
      <w:r w:rsidRPr="00264250">
        <w:rPr>
          <w:rStyle w:val="normaltextrun"/>
          <w:rFonts w:asciiTheme="minorHAnsi" w:eastAsiaTheme="majorEastAsia" w:hAnsiTheme="minorHAnsi" w:cs="Segoe UI"/>
          <w:sz w:val="22"/>
          <w:szCs w:val="22"/>
        </w:rPr>
        <w:t xml:space="preserve"> (Available on) </w:t>
      </w:r>
      <w:hyperlink r:id="rId25" w:tgtFrame="_blank" w:history="1">
        <w:r w:rsidRPr="00264250">
          <w:rPr>
            <w:rStyle w:val="normaltextrun"/>
            <w:rFonts w:asciiTheme="minorHAnsi" w:eastAsiaTheme="majorEastAsia" w:hAnsiTheme="minorHAnsi" w:cs="Segoe UI"/>
            <w:color w:val="467886"/>
            <w:sz w:val="22"/>
            <w:szCs w:val="22"/>
            <w:u w:val="single"/>
          </w:rPr>
          <w:t>https://ayph.org.uk/wp-content/uploads/2018/02/Impact-of-a-youth-violence-intervention-in-the-emergency-department-of-a-London-hospital-Brendan-King.pdf</w:t>
        </w:r>
      </w:hyperlink>
      <w:r w:rsidRPr="00264250">
        <w:rPr>
          <w:rStyle w:val="normaltextrun"/>
          <w:rFonts w:asciiTheme="minorHAnsi" w:eastAsiaTheme="majorEastAsia" w:hAnsiTheme="minorHAnsi" w:cs="Segoe UI"/>
          <w:sz w:val="22"/>
          <w:szCs w:val="22"/>
        </w:rPr>
        <w:t>  </w:t>
      </w:r>
      <w:r w:rsidRPr="00264250">
        <w:rPr>
          <w:rStyle w:val="eop"/>
          <w:rFonts w:asciiTheme="minorHAnsi" w:eastAsiaTheme="majorEastAsia" w:hAnsiTheme="minorHAnsi" w:cs="Segoe UI"/>
          <w:sz w:val="22"/>
          <w:szCs w:val="22"/>
        </w:rPr>
        <w:t> </w:t>
      </w:r>
    </w:p>
    <w:p w14:paraId="4DEA9838" w14:textId="77777777" w:rsidR="00802621" w:rsidRPr="00264250" w:rsidRDefault="00802621" w:rsidP="00027A5E">
      <w:pPr>
        <w:pStyle w:val="paragraph"/>
        <w:spacing w:before="0" w:beforeAutospacing="0" w:after="0" w:afterAutospacing="0"/>
        <w:textAlignment w:val="baseline"/>
        <w:rPr>
          <w:rFonts w:asciiTheme="minorHAnsi" w:hAnsiTheme="minorHAnsi" w:cs="Segoe UI"/>
          <w:sz w:val="22"/>
          <w:szCs w:val="22"/>
        </w:rPr>
      </w:pPr>
    </w:p>
    <w:p w14:paraId="553DBD72" w14:textId="77777777" w:rsidR="00802621" w:rsidRPr="00264250" w:rsidRDefault="00802621" w:rsidP="00716C0E">
      <w:r w:rsidRPr="00264250">
        <w:t xml:space="preserve">Morgan, J (2021) </w:t>
      </w:r>
      <w:r w:rsidRPr="00264250">
        <w:rPr>
          <w:i/>
          <w:iCs/>
        </w:rPr>
        <w:t>The Learning Spectrum in Child Development: Developmental Psychology</w:t>
      </w:r>
      <w:r w:rsidRPr="00264250">
        <w:t xml:space="preserve">. Florida: Wyndam hall press.  </w:t>
      </w:r>
    </w:p>
    <w:p w14:paraId="3C99AC1C" w14:textId="77777777" w:rsidR="00802621" w:rsidRPr="00264250" w:rsidRDefault="00802621" w:rsidP="00027A5E">
      <w:r w:rsidRPr="00264250">
        <w:t xml:space="preserve">Powell, B. Cooper, G (2016) </w:t>
      </w:r>
      <w:r w:rsidRPr="00264250">
        <w:rPr>
          <w:i/>
          <w:iCs/>
        </w:rPr>
        <w:t>The Circle of Security Intervention: Enhancing Attachment in Early Parent-Child Relationships.</w:t>
      </w:r>
      <w:r w:rsidRPr="00264250">
        <w:t xml:space="preserve"> New York: Guilford Press</w:t>
      </w:r>
    </w:p>
    <w:p w14:paraId="6E6C8503" w14:textId="77777777" w:rsidR="00802621"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264250">
        <w:rPr>
          <w:rStyle w:val="normaltextrun"/>
          <w:rFonts w:asciiTheme="minorHAnsi" w:eastAsiaTheme="majorEastAsia" w:hAnsiTheme="minorHAnsi" w:cs="Segoe UI"/>
          <w:sz w:val="22"/>
          <w:szCs w:val="22"/>
        </w:rPr>
        <w:t xml:space="preserve">Scott, J. et al. (2013). </w:t>
      </w:r>
      <w:r w:rsidRPr="00264250">
        <w:rPr>
          <w:rStyle w:val="normaltextrun"/>
          <w:rFonts w:asciiTheme="minorHAnsi" w:eastAsiaTheme="majorEastAsia" w:hAnsiTheme="minorHAnsi" w:cs="Segoe UI"/>
          <w:i/>
          <w:iCs/>
          <w:sz w:val="22"/>
          <w:szCs w:val="22"/>
        </w:rPr>
        <w:t>School meets street: Exploring the links between low achievement, school exclusion and youth crime among African-Caribbean boys in London</w:t>
      </w:r>
      <w:r w:rsidRPr="00264250">
        <w:rPr>
          <w:rStyle w:val="normaltextrun"/>
          <w:rFonts w:asciiTheme="minorHAnsi" w:eastAsiaTheme="majorEastAsia" w:hAnsiTheme="minorHAnsi" w:cs="Segoe UI"/>
          <w:sz w:val="22"/>
          <w:szCs w:val="22"/>
        </w:rPr>
        <w:t xml:space="preserve">. (Available on) </w:t>
      </w:r>
      <w:hyperlink r:id="rId26" w:tgtFrame="_blank" w:history="1">
        <w:r w:rsidRPr="00264250">
          <w:rPr>
            <w:rStyle w:val="normaltextrun"/>
            <w:rFonts w:asciiTheme="minorHAnsi" w:eastAsiaTheme="majorEastAsia" w:hAnsiTheme="minorHAnsi" w:cs="Segoe UI"/>
            <w:color w:val="467886"/>
            <w:sz w:val="22"/>
            <w:szCs w:val="22"/>
            <w:u w:val="single"/>
          </w:rPr>
          <w:t>https://www.iser.essex.ac.uk/research/publications/working-papers/iser/2013-25</w:t>
        </w:r>
      </w:hyperlink>
      <w:r w:rsidRPr="00264250">
        <w:rPr>
          <w:rStyle w:val="normaltextrun"/>
          <w:rFonts w:asciiTheme="minorHAnsi" w:eastAsiaTheme="majorEastAsia" w:hAnsiTheme="minorHAnsi" w:cs="Segoe UI"/>
          <w:sz w:val="22"/>
          <w:szCs w:val="22"/>
        </w:rPr>
        <w:t>   </w:t>
      </w:r>
      <w:r w:rsidRPr="00264250">
        <w:rPr>
          <w:rStyle w:val="eop"/>
          <w:rFonts w:asciiTheme="minorHAnsi" w:eastAsiaTheme="majorEastAsia" w:hAnsiTheme="minorHAnsi" w:cs="Segoe UI"/>
          <w:sz w:val="22"/>
          <w:szCs w:val="22"/>
        </w:rPr>
        <w:t> </w:t>
      </w:r>
    </w:p>
    <w:p w14:paraId="2CB2FF2B" w14:textId="77777777" w:rsidR="00802621" w:rsidRPr="00264250"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5437B1EF" w14:textId="77777777" w:rsidR="00802621" w:rsidRPr="00264250" w:rsidRDefault="00802621" w:rsidP="00027A5E">
      <w:r w:rsidRPr="00264250">
        <w:t xml:space="preserve">Shaw, J. Greenhow, S (2023) </w:t>
      </w:r>
      <w:r w:rsidRPr="00264250">
        <w:rPr>
          <w:i/>
          <w:iCs/>
        </w:rPr>
        <w:t>The Criminalisation and Exploitation of Children in Care: Multi-Agency Perspectives</w:t>
      </w:r>
      <w:r w:rsidRPr="00264250">
        <w:t xml:space="preserve">. London: Routledge: </w:t>
      </w:r>
    </w:p>
    <w:p w14:paraId="77B202C0" w14:textId="77777777" w:rsidR="00802621"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264250">
        <w:rPr>
          <w:rStyle w:val="normaltextrun"/>
          <w:rFonts w:asciiTheme="minorHAnsi" w:eastAsiaTheme="majorEastAsia" w:hAnsiTheme="minorHAnsi" w:cs="Segoe UI"/>
          <w:sz w:val="22"/>
          <w:szCs w:val="22"/>
        </w:rPr>
        <w:t xml:space="preserve">Thompson, A.K. (2021). </w:t>
      </w:r>
      <w:r w:rsidRPr="00264250">
        <w:rPr>
          <w:rStyle w:val="normaltextrun"/>
          <w:rFonts w:asciiTheme="minorHAnsi" w:eastAsiaTheme="majorEastAsia" w:hAnsiTheme="minorHAnsi" w:cs="Segoe UI"/>
          <w:i/>
          <w:iCs/>
          <w:sz w:val="22"/>
          <w:szCs w:val="22"/>
        </w:rPr>
        <w:t xml:space="preserve">How successful are early interventions in reducing violent crime? </w:t>
      </w:r>
      <w:r w:rsidRPr="00264250">
        <w:rPr>
          <w:rStyle w:val="normaltextrun"/>
          <w:rFonts w:asciiTheme="minorHAnsi" w:eastAsiaTheme="majorEastAsia" w:hAnsiTheme="minorHAnsi" w:cs="Segoe UI"/>
          <w:sz w:val="22"/>
          <w:szCs w:val="22"/>
        </w:rPr>
        <w:t xml:space="preserve">Revise Sociology. (Available on): </w:t>
      </w:r>
      <w:hyperlink r:id="rId27" w:tgtFrame="_blank" w:history="1">
        <w:r w:rsidRPr="00264250">
          <w:rPr>
            <w:rStyle w:val="normaltextrun"/>
            <w:rFonts w:asciiTheme="minorHAnsi" w:eastAsiaTheme="majorEastAsia" w:hAnsiTheme="minorHAnsi" w:cs="Segoe UI"/>
            <w:color w:val="467886"/>
            <w:sz w:val="22"/>
            <w:szCs w:val="22"/>
            <w:u w:val="single"/>
          </w:rPr>
          <w:t>https://revisesociology.com/2021/05/26/how-successful-are-early-interventions-in-reducing-violent-crime/</w:t>
        </w:r>
      </w:hyperlink>
      <w:r w:rsidRPr="00264250">
        <w:rPr>
          <w:rStyle w:val="normaltextrun"/>
          <w:rFonts w:asciiTheme="minorHAnsi" w:eastAsiaTheme="majorEastAsia" w:hAnsiTheme="minorHAnsi" w:cs="Segoe UI"/>
          <w:sz w:val="22"/>
          <w:szCs w:val="22"/>
        </w:rPr>
        <w:t>  </w:t>
      </w:r>
      <w:r w:rsidRPr="00264250">
        <w:rPr>
          <w:rStyle w:val="eop"/>
          <w:rFonts w:asciiTheme="minorHAnsi" w:eastAsiaTheme="majorEastAsia" w:hAnsiTheme="minorHAnsi" w:cs="Segoe UI"/>
          <w:sz w:val="22"/>
          <w:szCs w:val="22"/>
        </w:rPr>
        <w:t> </w:t>
      </w:r>
    </w:p>
    <w:p w14:paraId="43B4DC3E" w14:textId="77777777" w:rsidR="00802621" w:rsidRPr="00264250"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p>
    <w:p w14:paraId="0320734B" w14:textId="77777777" w:rsidR="00802621" w:rsidRPr="00264250" w:rsidRDefault="00802621" w:rsidP="00027A5E">
      <w:proofErr w:type="spellStart"/>
      <w:r w:rsidRPr="00264250">
        <w:t>Viorst</w:t>
      </w:r>
      <w:proofErr w:type="spellEnd"/>
      <w:r w:rsidRPr="00264250">
        <w:t>, J (2014</w:t>
      </w:r>
      <w:r w:rsidRPr="00264250">
        <w:rPr>
          <w:i/>
          <w:iCs/>
        </w:rPr>
        <w:t>) Imperfect Control: Our Lifelong Struggles with Power and Surrender.</w:t>
      </w:r>
      <w:r w:rsidRPr="00264250">
        <w:t xml:space="preserve"> New York: Simon and Schuster publishing</w:t>
      </w:r>
    </w:p>
    <w:p w14:paraId="0EF3BB52" w14:textId="77777777" w:rsidR="00802621" w:rsidRDefault="00802621" w:rsidP="00027A5E">
      <w:pPr>
        <w:pStyle w:val="paragraph"/>
        <w:spacing w:before="0" w:beforeAutospacing="0" w:after="0" w:afterAutospacing="0"/>
        <w:textAlignment w:val="baseline"/>
        <w:rPr>
          <w:rStyle w:val="eop"/>
          <w:rFonts w:asciiTheme="minorHAnsi" w:eastAsiaTheme="majorEastAsia" w:hAnsiTheme="minorHAnsi" w:cs="Segoe UI"/>
          <w:sz w:val="22"/>
          <w:szCs w:val="22"/>
        </w:rPr>
      </w:pPr>
      <w:r w:rsidRPr="00264250">
        <w:rPr>
          <w:rStyle w:val="normaltextrun"/>
          <w:rFonts w:asciiTheme="minorHAnsi" w:eastAsiaTheme="majorEastAsia" w:hAnsiTheme="minorHAnsi" w:cs="Segoe UI"/>
          <w:sz w:val="22"/>
          <w:szCs w:val="22"/>
        </w:rPr>
        <w:t xml:space="preserve">Youth Justice Board (2019). </w:t>
      </w:r>
      <w:r w:rsidRPr="00264250">
        <w:rPr>
          <w:rStyle w:val="normaltextrun"/>
          <w:rFonts w:asciiTheme="minorHAnsi" w:eastAsiaTheme="majorEastAsia" w:hAnsiTheme="minorHAnsi" w:cs="Segoe UI"/>
          <w:i/>
          <w:iCs/>
          <w:sz w:val="22"/>
          <w:szCs w:val="22"/>
        </w:rPr>
        <w:t>Youth Justice Statistics Bulletin 2017/18</w:t>
      </w:r>
      <w:r w:rsidRPr="00264250">
        <w:rPr>
          <w:rStyle w:val="normaltextrun"/>
          <w:rFonts w:asciiTheme="minorHAnsi" w:eastAsiaTheme="majorEastAsia" w:hAnsiTheme="minorHAnsi" w:cs="Segoe UI"/>
          <w:sz w:val="22"/>
          <w:szCs w:val="22"/>
        </w:rPr>
        <w:t xml:space="preserve">. (Available on) </w:t>
      </w:r>
      <w:hyperlink r:id="rId28" w:tgtFrame="_blank" w:history="1">
        <w:r w:rsidRPr="00264250">
          <w:rPr>
            <w:rStyle w:val="normaltextrun"/>
            <w:rFonts w:asciiTheme="minorHAnsi" w:eastAsiaTheme="majorEastAsia" w:hAnsiTheme="minorHAnsi" w:cs="Segoe UI"/>
            <w:color w:val="467886"/>
            <w:sz w:val="22"/>
            <w:szCs w:val="22"/>
            <w:u w:val="single"/>
          </w:rPr>
          <w:t>https://www.gov.uk/government/statistics/youth-justice-statistics-2017-to-2018</w:t>
        </w:r>
      </w:hyperlink>
      <w:r w:rsidRPr="00264250">
        <w:rPr>
          <w:rStyle w:val="normaltextrun"/>
          <w:rFonts w:asciiTheme="minorHAnsi" w:eastAsiaTheme="majorEastAsia" w:hAnsiTheme="minorHAnsi" w:cs="Segoe UI"/>
          <w:sz w:val="22"/>
          <w:szCs w:val="22"/>
        </w:rPr>
        <w:t>    </w:t>
      </w:r>
      <w:r w:rsidRPr="00264250">
        <w:rPr>
          <w:rStyle w:val="eop"/>
          <w:rFonts w:asciiTheme="minorHAnsi" w:eastAsiaTheme="majorEastAsia" w:hAnsiTheme="minorHAnsi" w:cs="Segoe UI"/>
          <w:sz w:val="22"/>
          <w:szCs w:val="22"/>
        </w:rPr>
        <w:t> </w:t>
      </w:r>
    </w:p>
    <w:p w14:paraId="1057A109" w14:textId="77777777" w:rsidR="00802621" w:rsidRPr="00264250" w:rsidRDefault="00802621" w:rsidP="00027A5E">
      <w:pPr>
        <w:pStyle w:val="paragraph"/>
        <w:spacing w:before="0" w:beforeAutospacing="0" w:after="0" w:afterAutospacing="0"/>
        <w:textAlignment w:val="baseline"/>
        <w:rPr>
          <w:rFonts w:asciiTheme="minorHAnsi" w:hAnsiTheme="minorHAnsi" w:cs="Segoe UI"/>
          <w:sz w:val="22"/>
          <w:szCs w:val="22"/>
        </w:rPr>
      </w:pPr>
    </w:p>
    <w:p w14:paraId="3765FFAD" w14:textId="77777777" w:rsidR="00802621" w:rsidRPr="00264250" w:rsidRDefault="00802621" w:rsidP="00027A5E">
      <w:r w:rsidRPr="00264250">
        <w:t xml:space="preserve">Zigler, R (2015) </w:t>
      </w:r>
      <w:r w:rsidRPr="00264250">
        <w:rPr>
          <w:i/>
          <w:iCs/>
        </w:rPr>
        <w:t>The Educational Prophecies of Aldous Huxley: The Visionary Legacy of Brave New World, Ape and Essence and Island</w:t>
      </w:r>
      <w:r w:rsidRPr="00264250">
        <w:t>. London: Routledge</w:t>
      </w:r>
    </w:p>
    <w:sectPr w:rsidR="00802621" w:rsidRPr="0026425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2B3F99"/>
    <w:multiLevelType w:val="hybridMultilevel"/>
    <w:tmpl w:val="43269BCA"/>
    <w:lvl w:ilvl="0" w:tplc="D18A1616">
      <w:numFmt w:val="bullet"/>
      <w:lvlText w:val="•"/>
      <w:lvlJc w:val="left"/>
      <w:pPr>
        <w:ind w:left="1080" w:hanging="720"/>
      </w:pPr>
      <w:rPr>
        <w:rFonts w:ascii="Aptos" w:eastAsia="Times New Roman" w:hAnsi="Aptos" w:cs="Segoe UI"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940680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7A5E"/>
    <w:rsid w:val="00027A5E"/>
    <w:rsid w:val="00196354"/>
    <w:rsid w:val="00257195"/>
    <w:rsid w:val="00264250"/>
    <w:rsid w:val="00346731"/>
    <w:rsid w:val="00414489"/>
    <w:rsid w:val="0041495F"/>
    <w:rsid w:val="004B22D8"/>
    <w:rsid w:val="004E2E47"/>
    <w:rsid w:val="0067141D"/>
    <w:rsid w:val="00716C0E"/>
    <w:rsid w:val="00762B0A"/>
    <w:rsid w:val="00802621"/>
    <w:rsid w:val="00862327"/>
    <w:rsid w:val="00913D14"/>
    <w:rsid w:val="00971F2A"/>
    <w:rsid w:val="00977E6C"/>
    <w:rsid w:val="00A63751"/>
    <w:rsid w:val="00AD68B9"/>
    <w:rsid w:val="00D102DB"/>
    <w:rsid w:val="00DF21BB"/>
    <w:rsid w:val="00E40FDA"/>
    <w:rsid w:val="00E7066C"/>
    <w:rsid w:val="00EE4865"/>
    <w:rsid w:val="00EF69F4"/>
    <w:rsid w:val="00F7302C"/>
    <w:rsid w:val="00FB25B7"/>
    <w:rsid w:val="00FB7C7C"/>
    <w:rsid w:val="00FC64DF"/>
    <w:rsid w:val="00FF6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AF6E6"/>
  <w15:chartTrackingRefBased/>
  <w15:docId w15:val="{7015DB61-2D39-4374-BA59-95BE973DD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7A5E"/>
    <w:pPr>
      <w:spacing w:line="256" w:lineRule="auto"/>
    </w:pPr>
  </w:style>
  <w:style w:type="paragraph" w:styleId="Heading1">
    <w:name w:val="heading 1"/>
    <w:basedOn w:val="Normal"/>
    <w:next w:val="Normal"/>
    <w:link w:val="Heading1Char"/>
    <w:uiPriority w:val="9"/>
    <w:qFormat/>
    <w:rsid w:val="00027A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7A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7A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7A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7A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7A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7A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7A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7A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7A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7A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7A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7A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7A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7A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7A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7A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7A5E"/>
    <w:rPr>
      <w:rFonts w:eastAsiaTheme="majorEastAsia" w:cstheme="majorBidi"/>
      <w:color w:val="272727" w:themeColor="text1" w:themeTint="D8"/>
    </w:rPr>
  </w:style>
  <w:style w:type="paragraph" w:styleId="Title">
    <w:name w:val="Title"/>
    <w:basedOn w:val="Normal"/>
    <w:next w:val="Normal"/>
    <w:link w:val="TitleChar"/>
    <w:uiPriority w:val="10"/>
    <w:qFormat/>
    <w:rsid w:val="00027A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7A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7A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7A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7A5E"/>
    <w:pPr>
      <w:spacing w:before="160"/>
      <w:jc w:val="center"/>
    </w:pPr>
    <w:rPr>
      <w:i/>
      <w:iCs/>
      <w:color w:val="404040" w:themeColor="text1" w:themeTint="BF"/>
    </w:rPr>
  </w:style>
  <w:style w:type="character" w:customStyle="1" w:styleId="QuoteChar">
    <w:name w:val="Quote Char"/>
    <w:basedOn w:val="DefaultParagraphFont"/>
    <w:link w:val="Quote"/>
    <w:uiPriority w:val="29"/>
    <w:rsid w:val="00027A5E"/>
    <w:rPr>
      <w:i/>
      <w:iCs/>
      <w:color w:val="404040" w:themeColor="text1" w:themeTint="BF"/>
    </w:rPr>
  </w:style>
  <w:style w:type="paragraph" w:styleId="ListParagraph">
    <w:name w:val="List Paragraph"/>
    <w:basedOn w:val="Normal"/>
    <w:uiPriority w:val="34"/>
    <w:qFormat/>
    <w:rsid w:val="00027A5E"/>
    <w:pPr>
      <w:ind w:left="720"/>
      <w:contextualSpacing/>
    </w:pPr>
  </w:style>
  <w:style w:type="character" w:styleId="IntenseEmphasis">
    <w:name w:val="Intense Emphasis"/>
    <w:basedOn w:val="DefaultParagraphFont"/>
    <w:uiPriority w:val="21"/>
    <w:qFormat/>
    <w:rsid w:val="00027A5E"/>
    <w:rPr>
      <w:i/>
      <w:iCs/>
      <w:color w:val="0F4761" w:themeColor="accent1" w:themeShade="BF"/>
    </w:rPr>
  </w:style>
  <w:style w:type="paragraph" w:styleId="IntenseQuote">
    <w:name w:val="Intense Quote"/>
    <w:basedOn w:val="Normal"/>
    <w:next w:val="Normal"/>
    <w:link w:val="IntenseQuoteChar"/>
    <w:uiPriority w:val="30"/>
    <w:qFormat/>
    <w:rsid w:val="00027A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7A5E"/>
    <w:rPr>
      <w:i/>
      <w:iCs/>
      <w:color w:val="0F4761" w:themeColor="accent1" w:themeShade="BF"/>
    </w:rPr>
  </w:style>
  <w:style w:type="character" w:styleId="IntenseReference">
    <w:name w:val="Intense Reference"/>
    <w:basedOn w:val="DefaultParagraphFont"/>
    <w:uiPriority w:val="32"/>
    <w:qFormat/>
    <w:rsid w:val="00027A5E"/>
    <w:rPr>
      <w:b/>
      <w:bCs/>
      <w:smallCaps/>
      <w:color w:val="0F4761" w:themeColor="accent1" w:themeShade="BF"/>
      <w:spacing w:val="5"/>
    </w:rPr>
  </w:style>
  <w:style w:type="character" w:styleId="Hyperlink">
    <w:name w:val="Hyperlink"/>
    <w:basedOn w:val="DefaultParagraphFont"/>
    <w:uiPriority w:val="99"/>
    <w:unhideWhenUsed/>
    <w:rsid w:val="00027A5E"/>
    <w:rPr>
      <w:color w:val="467886" w:themeColor="hyperlink"/>
      <w:u w:val="single"/>
    </w:rPr>
  </w:style>
  <w:style w:type="paragraph" w:customStyle="1" w:styleId="paragraph">
    <w:name w:val="paragraph"/>
    <w:basedOn w:val="Normal"/>
    <w:rsid w:val="00027A5E"/>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normaltextrun">
    <w:name w:val="normaltextrun"/>
    <w:basedOn w:val="DefaultParagraphFont"/>
    <w:rsid w:val="00027A5E"/>
  </w:style>
  <w:style w:type="character" w:customStyle="1" w:styleId="eop">
    <w:name w:val="eop"/>
    <w:basedOn w:val="DefaultParagraphFont"/>
    <w:rsid w:val="00027A5E"/>
  </w:style>
  <w:style w:type="character" w:customStyle="1" w:styleId="tabchar">
    <w:name w:val="tabchar"/>
    <w:basedOn w:val="DefaultParagraphFont"/>
    <w:rsid w:val="00027A5E"/>
  </w:style>
  <w:style w:type="character" w:styleId="UnresolvedMention">
    <w:name w:val="Unresolved Mention"/>
    <w:basedOn w:val="DefaultParagraphFont"/>
    <w:uiPriority w:val="99"/>
    <w:semiHidden/>
    <w:unhideWhenUsed/>
    <w:rsid w:val="00FB7C7C"/>
    <w:rPr>
      <w:color w:val="605E5C"/>
      <w:shd w:val="clear" w:color="auto" w:fill="E1DFDD"/>
    </w:rPr>
  </w:style>
  <w:style w:type="character" w:styleId="FollowedHyperlink">
    <w:name w:val="FollowedHyperlink"/>
    <w:basedOn w:val="DefaultParagraphFont"/>
    <w:uiPriority w:val="99"/>
    <w:semiHidden/>
    <w:unhideWhenUsed/>
    <w:rsid w:val="00E40FD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55992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14613557211016499" TargetMode="External"/><Relationship Id="rId13" Type="http://schemas.openxmlformats.org/officeDocument/2006/relationships/hyperlink" Target="https://assets.publishing.service.gov.uk/government/uploads/system/uploads/attachment_data/file/408585/6_162_HO_SOC_PI_Guidance_Mar2015_v10_FINAL_270215_WEB__2_.pdf" TargetMode="External"/><Relationship Id="rId18" Type="http://schemas.openxmlformats.org/officeDocument/2006/relationships/hyperlink" Target="https://www.childrenscommissioner.gov.uk/resource/mentoring/" TargetMode="External"/><Relationship Id="rId26" Type="http://schemas.openxmlformats.org/officeDocument/2006/relationships/hyperlink" Target="https://www.iser.essex.ac.uk/research/publications/working-papers/iser/2013-25" TargetMode="External"/><Relationship Id="rId3" Type="http://schemas.openxmlformats.org/officeDocument/2006/relationships/settings" Target="settings.xml"/><Relationship Id="rId21" Type="http://schemas.openxmlformats.org/officeDocument/2006/relationships/hyperlink" Target="https://www.sciencedirect.com/science/article/abs/pii/S1359178916301963?via%3Dihub" TargetMode="External"/><Relationship Id="rId7" Type="http://schemas.openxmlformats.org/officeDocument/2006/relationships/hyperlink" Target="https://doi.org/10.1177/14613557211016499" TargetMode="External"/><Relationship Id="rId12" Type="http://schemas.openxmlformats.org/officeDocument/2006/relationships/hyperlink" Target="https://phw.nhs.wales/news/rules-of-community-engagement-relinquish-your-power-so-that-communities-can-take-control/principles-of-community-engagement-for-empowerment/" TargetMode="External"/><Relationship Id="rId17" Type="http://schemas.openxmlformats.org/officeDocument/2006/relationships/hyperlink" Target="https://www.verywellmind.com/what-is-maslows-hierarchy-of-needs-4136760" TargetMode="External"/><Relationship Id="rId25" Type="http://schemas.openxmlformats.org/officeDocument/2006/relationships/hyperlink" Target="https://ayph.org.uk/wp-content/uploads/2018/02/Impact-of-a-youth-violence-intervention-in-the-emergency-department-of-a-London-hospital-Brendan-King.pdf" TargetMode="External"/><Relationship Id="rId2" Type="http://schemas.openxmlformats.org/officeDocument/2006/relationships/styles" Target="styles.xml"/><Relationship Id="rId16" Type="http://schemas.openxmlformats.org/officeDocument/2006/relationships/hyperlink" Target="https://bmjopen.bmj.com/content/8/12/e020591" TargetMode="External"/><Relationship Id="rId20" Type="http://schemas.openxmlformats.org/officeDocument/2006/relationships/hyperlink" Target="https://journals.sagepub.com/doi/10.1177/0022427810391539"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oi.org/10.1177/1043986214552607" TargetMode="External"/><Relationship Id="rId11" Type="http://schemas.openxmlformats.org/officeDocument/2006/relationships/hyperlink" Target="https://diversity.social/cultural-competence/" TargetMode="External"/><Relationship Id="rId24" Type="http://schemas.openxmlformats.org/officeDocument/2006/relationships/hyperlink" Target="https://www.thelancet.com/journals/lanpub/article/PIIS2468-2667(17)30118-4/fulltext" TargetMode="External"/><Relationship Id="rId5" Type="http://schemas.openxmlformats.org/officeDocument/2006/relationships/hyperlink" Target="https://www.calmsage.com/what-is-selective-perception/" TargetMode="External"/><Relationship Id="rId15" Type="http://schemas.openxmlformats.org/officeDocument/2006/relationships/hyperlink" Target="https://researchbriefings.files.parliament.uk/documents/LLN-2020-0016/LLN-2020-0016.pdf" TargetMode="External"/><Relationship Id="rId23" Type="http://schemas.openxmlformats.org/officeDocument/2006/relationships/hyperlink" Target="https://www.aeaweb.org/articles?id=10.1257/aer.101.5.2157" TargetMode="External"/><Relationship Id="rId28" Type="http://schemas.openxmlformats.org/officeDocument/2006/relationships/hyperlink" Target="https://www.gov.uk/government/statistics/youth-justice-statistics-2017-to-2018" TargetMode="External"/><Relationship Id="rId10" Type="http://schemas.openxmlformats.org/officeDocument/2006/relationships/hyperlink" Target="https://www.college.police.uk/guidance/neighbourhood-policing/engaging-communities" TargetMode="External"/><Relationship Id="rId19" Type="http://schemas.openxmlformats.org/officeDocument/2006/relationships/hyperlink" Target="https://www.eif.org.uk/report/realising-the-potential-of-early-intervention" TargetMode="External"/><Relationship Id="rId4" Type="http://schemas.openxmlformats.org/officeDocument/2006/relationships/webSettings" Target="webSettings.xml"/><Relationship Id="rId9" Type="http://schemas.openxmlformats.org/officeDocument/2006/relationships/hyperlink" Target="https://www.college.police.uk/app/major-investigation-and-public-protection/hate-crime/partnership-working" TargetMode="External"/><Relationship Id="rId14" Type="http://schemas.openxmlformats.org/officeDocument/2006/relationships/hyperlink" Target="https://www.gov.uk/government/publications/criminal-exploitation-of-children-and-vulnerable-adults-county-lines/criminal-exploitation-of-children-and-vulnerable-adults-county-lines" TargetMode="External"/><Relationship Id="rId22" Type="http://schemas.openxmlformats.org/officeDocument/2006/relationships/hyperlink" Target="https://commonslibrary.parliament.uk/research-briefings/cbp-7585/" TargetMode="External"/><Relationship Id="rId27" Type="http://schemas.openxmlformats.org/officeDocument/2006/relationships/hyperlink" Target="https://revisesociology.com/2021/05/26/how-successful-are-early-interventions-in-reducing-violent-crim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6557</Words>
  <Characters>37381</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Davies,Stacey swp8619</dc:creator>
  <cp:keywords/>
  <dc:description/>
  <cp:lastModifiedBy>Davies,Stacey swp8619</cp:lastModifiedBy>
  <cp:revision>2</cp:revision>
  <cp:lastPrinted>2024-10-01T17:21:00Z</cp:lastPrinted>
  <dcterms:created xsi:type="dcterms:W3CDTF">2024-10-05T18:58:00Z</dcterms:created>
  <dcterms:modified xsi:type="dcterms:W3CDTF">2024-10-05T18:58:00Z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2024-09-29T19:31:52Z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1517260c-df82-4532-a9b9-34d53fe24ae1</vt:lpwstr>
  </property>
  <property fmtid="{D5CDD505-2E9C-101B-9397-08002B2CF9AE}" pid="8" name="MSIP_Label_66cf8fe5-b7b7-4df7-b38d-1c61ac2f6639_ContentBits">
    <vt:lpwstr>0</vt:lpwstr>
  </property>
</Properties>
</file>