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Rule="auto"/>
        <w:jc w:val="left"/>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2">
      <w:pPr>
        <w:spacing w:after="0" w:lineRule="auto"/>
        <w:jc w:val="center"/>
        <w:rPr>
          <w:b w:val="1"/>
          <w:sz w:val="36"/>
          <w:szCs w:val="36"/>
        </w:rPr>
      </w:pPr>
      <w:r w:rsidDel="00000000" w:rsidR="00000000" w:rsidRPr="00000000">
        <w:rPr>
          <w:b w:val="1"/>
          <w:sz w:val="36"/>
          <w:szCs w:val="36"/>
          <w:rtl w:val="0"/>
        </w:rPr>
        <w:t xml:space="preserve">GLOBAL BUSINESS ENVIRONMENT</w:t>
      </w:r>
    </w:p>
    <w:p w:rsidR="00000000" w:rsidDel="00000000" w:rsidP="00000000" w:rsidRDefault="00000000" w:rsidRPr="00000000" w14:paraId="00000003">
      <w:pPr>
        <w:jc w:val="center"/>
        <w:rPr>
          <w:b w:val="1"/>
          <w:sz w:val="36"/>
          <w:szCs w:val="36"/>
        </w:rPr>
      </w:pPr>
      <w:r w:rsidDel="00000000" w:rsidR="00000000" w:rsidRPr="00000000">
        <w:rPr>
          <w:b w:val="1"/>
          <w:sz w:val="36"/>
          <w:szCs w:val="36"/>
          <w:rtl w:val="0"/>
        </w:rPr>
        <w:t xml:space="preserve">LCBB4005</w:t>
      </w:r>
    </w:p>
    <w:p w:rsidR="00000000" w:rsidDel="00000000" w:rsidP="00000000" w:rsidRDefault="00000000" w:rsidRPr="00000000" w14:paraId="00000004">
      <w:pPr>
        <w:jc w:val="center"/>
        <w:rPr/>
      </w:pPr>
      <w:r w:rsidDel="00000000" w:rsidR="00000000" w:rsidRPr="00000000">
        <w:rPr>
          <w:b w:val="1"/>
          <w:sz w:val="36"/>
          <w:szCs w:val="36"/>
          <w:rtl w:val="0"/>
        </w:rPr>
        <w:t xml:space="preserve">ASSIGNMENT 2</w:t>
      </w: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b w:val="1"/>
          <w:sz w:val="36"/>
          <w:szCs w:val="36"/>
          <w:rtl w:val="0"/>
        </w:rPr>
        <w:t xml:space="preserve">STUDENT NAME : PETRONELA HURMUZACHE STUDENT NUMBER : 2114679</w:t>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TUTUR’S NAME :DR NADEEM MIRZA</w:t>
      </w:r>
    </w:p>
    <w:p w:rsidR="00000000" w:rsidDel="00000000" w:rsidP="00000000" w:rsidRDefault="00000000" w:rsidRPr="00000000" w14:paraId="00000007">
      <w:pPr>
        <w:spacing w:after="0" w:lineRule="auto"/>
        <w:jc w:val="center"/>
        <w:rPr>
          <w:b w:val="1"/>
          <w:sz w:val="36"/>
          <w:szCs w:val="36"/>
        </w:rPr>
      </w:pPr>
      <w:r w:rsidDel="00000000" w:rsidR="00000000" w:rsidRPr="00000000">
        <w:rPr>
          <w:rtl w:val="0"/>
        </w:rPr>
      </w:r>
    </w:p>
    <w:p w:rsidR="00000000" w:rsidDel="00000000" w:rsidP="00000000" w:rsidRDefault="00000000" w:rsidRPr="00000000" w14:paraId="00000008">
      <w:pPr>
        <w:spacing w:after="0" w:lineRule="auto"/>
        <w:jc w:val="center"/>
        <w:rPr>
          <w:b w:val="1"/>
          <w:sz w:val="36"/>
          <w:szCs w:val="36"/>
        </w:rPr>
      </w:pPr>
      <w:r w:rsidDel="00000000" w:rsidR="00000000" w:rsidRPr="00000000">
        <w:rPr>
          <w:b w:val="1"/>
          <w:sz w:val="36"/>
          <w:szCs w:val="36"/>
          <w:rtl w:val="0"/>
        </w:rPr>
        <w:t xml:space="preserve">26.04.2022</w:t>
      </w:r>
    </w:p>
    <w:p w:rsidR="00000000" w:rsidDel="00000000" w:rsidP="00000000" w:rsidRDefault="00000000" w:rsidRPr="00000000" w14:paraId="00000009">
      <w:pPr>
        <w:spacing w:after="0" w:lineRule="auto"/>
        <w:jc w:val="left"/>
        <w:rPr>
          <w:b w:val="1"/>
          <w:sz w:val="36"/>
          <w:szCs w:val="36"/>
        </w:rPr>
      </w:pPr>
      <w:r w:rsidDel="00000000" w:rsidR="00000000" w:rsidRPr="00000000">
        <w:rPr>
          <w:rtl w:val="0"/>
        </w:rPr>
      </w:r>
    </w:p>
    <w:p w:rsidR="00000000" w:rsidDel="00000000" w:rsidP="00000000" w:rsidRDefault="00000000" w:rsidRPr="00000000" w14:paraId="0000000A">
      <w:pPr>
        <w:spacing w:after="0" w:lineRule="auto"/>
        <w:jc w:val="center"/>
        <w:rPr>
          <w:b w:val="1"/>
          <w:sz w:val="36"/>
          <w:szCs w:val="36"/>
        </w:rPr>
      </w:pPr>
      <w:r w:rsidDel="00000000" w:rsidR="00000000" w:rsidRPr="00000000">
        <w:rPr>
          <w:rtl w:val="0"/>
        </w:rPr>
      </w:r>
    </w:p>
    <w:p w:rsidR="00000000" w:rsidDel="00000000" w:rsidP="00000000" w:rsidRDefault="00000000" w:rsidRPr="00000000" w14:paraId="0000000B">
      <w:pPr>
        <w:jc w:val="center"/>
        <w:rPr>
          <w:b w:val="1"/>
          <w:sz w:val="36"/>
          <w:szCs w:val="36"/>
        </w:rPr>
      </w:pPr>
      <w:r w:rsidDel="00000000" w:rsidR="00000000" w:rsidRPr="00000000">
        <w:rPr>
          <w:rtl w:val="0"/>
        </w:rPr>
      </w:r>
    </w:p>
    <w:p w:rsidR="00000000" w:rsidDel="00000000" w:rsidP="00000000" w:rsidRDefault="00000000" w:rsidRPr="00000000" w14:paraId="0000000C">
      <w:pPr>
        <w:spacing w:line="276" w:lineRule="auto"/>
        <w:jc w:val="center"/>
        <w:rPr>
          <w:b w:val="1"/>
          <w:color w:val="000000"/>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D">
      <w:pPr>
        <w:jc w:val="center"/>
        <w:rPr>
          <w:b w:val="1"/>
          <w:color w:val="000000"/>
          <w:sz w:val="22"/>
          <w:szCs w:val="22"/>
        </w:rPr>
      </w:pPr>
      <w:r w:rsidDel="00000000" w:rsidR="00000000" w:rsidRPr="00000000">
        <w:rPr>
          <w:b w:val="1"/>
          <w:color w:val="000000"/>
          <w:sz w:val="22"/>
          <w:szCs w:val="22"/>
          <w:rtl w:val="0"/>
        </w:rPr>
        <w:t xml:space="preserve">Executive summary</w:t>
      </w:r>
    </w:p>
    <w:p w:rsidR="00000000" w:rsidDel="00000000" w:rsidP="00000000" w:rsidRDefault="00000000" w:rsidRPr="00000000" w14:paraId="0000000E">
      <w:pPr>
        <w:rPr>
          <w:color w:val="000000"/>
          <w:sz w:val="22"/>
          <w:szCs w:val="22"/>
        </w:rPr>
      </w:pPr>
      <w:r w:rsidDel="00000000" w:rsidR="00000000" w:rsidRPr="00000000">
        <w:rPr>
          <w:color w:val="000000"/>
          <w:sz w:val="22"/>
          <w:szCs w:val="22"/>
          <w:rtl w:val="0"/>
        </w:rPr>
        <w:t xml:space="preserve">Despite the fact that Toyota is a well-known brand, the company's revenues are declining, indicating the COVID-19's influence. The automotive industry also struggled during the COVID-19, but megatrends such as climate change, priority shifts in employee well-being, and technological prowess have influenced the industry to revert to its traditional ways, particularly during the crises and long-term impact caused by the COVID-19. Some survival and success factors have been employed by the industry. Shifting to digital or online platforms, as well as smart partnerships, are important survival factors. Technology to reduce emissions or converting brands to electric car manufacture is examples of success factors.</w:t>
      </w:r>
    </w:p>
    <w:p w:rsidR="00000000" w:rsidDel="00000000" w:rsidP="00000000" w:rsidRDefault="00000000" w:rsidRPr="00000000" w14:paraId="0000000F">
      <w:pPr>
        <w:rPr>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480" w:lineRule="auto"/>
        <w:jc w:val="center"/>
        <w:rPr>
          <w:b w:val="1"/>
          <w:color w:val="365f91"/>
          <w:sz w:val="28"/>
          <w:szCs w:val="28"/>
        </w:rPr>
      </w:pPr>
      <w:r w:rsidDel="00000000" w:rsidR="00000000" w:rsidRPr="00000000">
        <w:rPr>
          <w:b w:val="1"/>
          <w:color w:val="000000"/>
          <w:sz w:val="28"/>
          <w:szCs w:val="28"/>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r w:rsidDel="00000000" w:rsidR="00000000" w:rsidRPr="00000000">
            <w:fldChar w:fldCharType="begin"/>
            <w:instrText xml:space="preserve"> TOC \h \u \z </w:instrText>
            <w:fldChar w:fldCharType="separate"/>
          </w:r>
          <w:hyperlink w:anchor="_gjdgxs">
            <w:r w:rsidDel="00000000" w:rsidR="00000000" w:rsidRPr="00000000">
              <w:rPr>
                <w:color w:val="000000"/>
                <w:sz w:val="28"/>
                <w:szCs w:val="28"/>
                <w:rtl w:val="0"/>
              </w:rPr>
              <w:t xml:space="preserve">Introduction</w:t>
              <w:tab/>
            </w:r>
          </w:hyperlink>
          <w:r w:rsidDel="00000000" w:rsidR="00000000" w:rsidRPr="00000000">
            <w:rPr>
              <w:sz w:val="28"/>
              <w:szCs w:val="28"/>
              <w:rtl w:val="0"/>
            </w:rPr>
            <w:t xml:space="preserve">3</w:t>
          </w: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hyperlink w:anchor="_30j0zll">
            <w:r w:rsidDel="00000000" w:rsidR="00000000" w:rsidRPr="00000000">
              <w:rPr>
                <w:color w:val="000000"/>
                <w:sz w:val="28"/>
                <w:szCs w:val="28"/>
                <w:rtl w:val="0"/>
              </w:rPr>
              <w:t xml:space="preserve">Impact of the Pandemic</w:t>
              <w:tab/>
            </w:r>
          </w:hyperlink>
          <w:r w:rsidDel="00000000" w:rsidR="00000000" w:rsidRPr="00000000">
            <w:rPr>
              <w:sz w:val="28"/>
              <w:szCs w:val="28"/>
              <w:rtl w:val="0"/>
            </w:rPr>
            <w:t xml:space="preserve">4</w:t>
          </w: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hyperlink w:anchor="_1fob9te">
            <w:r w:rsidDel="00000000" w:rsidR="00000000" w:rsidRPr="00000000">
              <w:rPr>
                <w:color w:val="000000"/>
                <w:sz w:val="28"/>
                <w:szCs w:val="28"/>
                <w:rtl w:val="0"/>
              </w:rPr>
              <w:t xml:space="preserve">Megatrends affecting the company</w:t>
              <w:tab/>
            </w:r>
          </w:hyperlink>
          <w:r w:rsidDel="00000000" w:rsidR="00000000" w:rsidRPr="00000000">
            <w:rPr>
              <w:sz w:val="28"/>
              <w:szCs w:val="28"/>
              <w:rtl w:val="0"/>
            </w:rPr>
            <w:t xml:space="preserve">4</w:t>
          </w: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hyperlink w:anchor="_3znysh7">
            <w:r w:rsidDel="00000000" w:rsidR="00000000" w:rsidRPr="00000000">
              <w:rPr>
                <w:color w:val="000000"/>
                <w:sz w:val="28"/>
                <w:szCs w:val="28"/>
                <w:rtl w:val="0"/>
              </w:rPr>
              <w:t xml:space="preserve">Survival and Success factors</w:t>
              <w:tab/>
            </w:r>
          </w:hyperlink>
          <w:r w:rsidDel="00000000" w:rsidR="00000000" w:rsidRPr="00000000">
            <w:rPr>
              <w:sz w:val="28"/>
              <w:szCs w:val="28"/>
              <w:rtl w:val="0"/>
            </w:rPr>
            <w:t xml:space="preserve">6</w:t>
          </w: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pos="9016"/>
            </w:tabs>
            <w:spacing w:after="100" w:lineRule="auto"/>
            <w:ind w:left="240" w:firstLine="0"/>
            <w:rPr>
              <w:color w:val="000000"/>
              <w:sz w:val="28"/>
              <w:szCs w:val="28"/>
            </w:rPr>
          </w:pPr>
          <w:hyperlink w:anchor="_2et92p0">
            <w:r w:rsidDel="00000000" w:rsidR="00000000" w:rsidRPr="00000000">
              <w:rPr>
                <w:color w:val="000000"/>
                <w:sz w:val="28"/>
                <w:szCs w:val="28"/>
                <w:rtl w:val="0"/>
              </w:rPr>
              <w:t xml:space="preserve">Survival Factor</w:t>
              <w:tab/>
            </w:r>
          </w:hyperlink>
          <w:r w:rsidDel="00000000" w:rsidR="00000000" w:rsidRPr="00000000">
            <w:rPr>
              <w:sz w:val="28"/>
              <w:szCs w:val="28"/>
              <w:rtl w:val="0"/>
            </w:rPr>
            <w:t xml:space="preserve">6</w:t>
          </w: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pos="9016"/>
            </w:tabs>
            <w:spacing w:after="100" w:lineRule="auto"/>
            <w:ind w:left="240" w:firstLine="0"/>
            <w:rPr>
              <w:color w:val="000000"/>
              <w:sz w:val="28"/>
              <w:szCs w:val="28"/>
            </w:rPr>
          </w:pPr>
          <w:hyperlink w:anchor="_tyjcwt">
            <w:r w:rsidDel="00000000" w:rsidR="00000000" w:rsidRPr="00000000">
              <w:rPr>
                <w:color w:val="000000"/>
                <w:sz w:val="28"/>
                <w:szCs w:val="28"/>
                <w:rtl w:val="0"/>
              </w:rPr>
              <w:t xml:space="preserve">Success factors</w:t>
              <w:tab/>
              <w:t xml:space="preserve">9</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hyperlink w:anchor="_2s8eyo1">
            <w:r w:rsidDel="00000000" w:rsidR="00000000" w:rsidRPr="00000000">
              <w:rPr>
                <w:color w:val="000000"/>
                <w:sz w:val="28"/>
                <w:szCs w:val="28"/>
                <w:rtl w:val="0"/>
              </w:rPr>
              <w:t xml:space="preserve">Conclusion</w:t>
              <w:tab/>
              <w:t xml:space="preserve">1</w:t>
            </w:r>
          </w:hyperlink>
          <w:r w:rsidDel="00000000" w:rsidR="00000000" w:rsidRPr="00000000">
            <w:rPr>
              <w:sz w:val="28"/>
              <w:szCs w:val="28"/>
              <w:rtl w:val="0"/>
            </w:rPr>
            <w:t xml:space="preserve">1</w:t>
          </w: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pos="9016"/>
            </w:tabs>
            <w:spacing w:after="100" w:lineRule="auto"/>
            <w:rPr>
              <w:color w:val="000000"/>
              <w:sz w:val="28"/>
              <w:szCs w:val="28"/>
            </w:rPr>
          </w:pPr>
          <w:hyperlink w:anchor="_17dp8vu">
            <w:r w:rsidDel="00000000" w:rsidR="00000000" w:rsidRPr="00000000">
              <w:rPr>
                <w:color w:val="000000"/>
                <w:sz w:val="28"/>
                <w:szCs w:val="28"/>
                <w:rtl w:val="0"/>
              </w:rPr>
              <w:t xml:space="preserve">References</w:t>
              <w:tab/>
              <w:t xml:space="preserve">1</w:t>
            </w:r>
          </w:hyperlink>
          <w:r w:rsidDel="00000000" w:rsidR="00000000" w:rsidRPr="00000000">
            <w:rPr>
              <w:sz w:val="28"/>
              <w:szCs w:val="28"/>
              <w:rtl w:val="0"/>
            </w:rPr>
            <w:t xml:space="preserve">2</w:t>
          </w:r>
          <w:r w:rsidDel="00000000" w:rsidR="00000000" w:rsidRPr="00000000">
            <w:rPr>
              <w:rtl w:val="0"/>
            </w:rPr>
          </w:r>
        </w:p>
        <w:p w:rsidR="00000000" w:rsidDel="00000000" w:rsidP="00000000" w:rsidRDefault="00000000" w:rsidRPr="00000000" w14:paraId="00000019">
          <w:pPr>
            <w:rPr>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color w:val="000000"/>
          <w:sz w:val="22"/>
          <w:szCs w:val="22"/>
        </w:rPr>
      </w:pPr>
      <w:r w:rsidDel="00000000" w:rsidR="00000000" w:rsidRPr="00000000">
        <w:rPr>
          <w:rtl w:val="0"/>
        </w:rPr>
      </w:r>
    </w:p>
    <w:p w:rsidR="00000000" w:rsidDel="00000000" w:rsidP="00000000" w:rsidRDefault="00000000" w:rsidRPr="00000000" w14:paraId="0000001B">
      <w:pPr>
        <w:spacing w:line="276" w:lineRule="auto"/>
        <w:jc w:val="left"/>
        <w:rPr>
          <w:b w:val="1"/>
          <w:color w:val="000000"/>
          <w:sz w:val="22"/>
          <w:szCs w:val="22"/>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color w:val="000000"/>
          <w:sz w:val="22"/>
          <w:szCs w:val="22"/>
        </w:rPr>
      </w:pPr>
      <w:r w:rsidDel="00000000" w:rsidR="00000000" w:rsidRPr="00000000">
        <w:rPr>
          <w:color w:val="000000"/>
          <w:sz w:val="22"/>
          <w:szCs w:val="22"/>
          <w:rtl w:val="0"/>
        </w:rPr>
        <w:t xml:space="preserve">Introduction </w:t>
      </w:r>
    </w:p>
    <w:p w:rsidR="00000000" w:rsidDel="00000000" w:rsidP="00000000" w:rsidRDefault="00000000" w:rsidRPr="00000000" w14:paraId="0000001D">
      <w:pPr>
        <w:rPr>
          <w:color w:val="000000"/>
          <w:sz w:val="22"/>
          <w:szCs w:val="22"/>
        </w:rPr>
      </w:pPr>
      <w:r w:rsidDel="00000000" w:rsidR="00000000" w:rsidRPr="00000000">
        <w:rPr>
          <w:color w:val="000000"/>
          <w:sz w:val="22"/>
          <w:szCs w:val="22"/>
          <w:rtl w:val="0"/>
        </w:rPr>
        <w:t xml:space="preserve">This report is based on the business operations and practices of Toyota. Megatrends within the industries are capable of changing the respective society, people's preferences and corporate business strategies. Within the international business, megatrends can amplify disruption and uncertainty within the business (Cavusgil, 2022). COVID-19 debacle has become one of the biggest affecting forces on the global health and it led to lockdown across the globe. It had inflicted long term effects on every other industry (Tkach and Kurpayanidi, 2020).  Thus, it can be counted as a vital megatrend. This report will discuss the impact of this megatrend on the brand Toyota and its respective industry of it. </w:t>
      </w:r>
    </w:p>
    <w:p w:rsidR="00000000" w:rsidDel="00000000" w:rsidP="00000000" w:rsidRDefault="00000000" w:rsidRPr="00000000" w14:paraId="0000001E">
      <w:pPr>
        <w:rPr>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color w:val="000000"/>
          <w:sz w:val="22"/>
          <w:szCs w:val="22"/>
        </w:rPr>
      </w:pPr>
      <w:bookmarkStart w:colFirst="0" w:colLast="0" w:name="_30j0zll" w:id="1"/>
      <w:bookmarkEnd w:id="1"/>
      <w:r w:rsidDel="00000000" w:rsidR="00000000" w:rsidRPr="00000000">
        <w:rPr>
          <w:color w:val="000000"/>
          <w:sz w:val="22"/>
          <w:szCs w:val="22"/>
          <w:rtl w:val="0"/>
        </w:rPr>
        <w:t xml:space="preserve">Impact of the Pandemic </w:t>
      </w:r>
    </w:p>
    <w:p w:rsidR="00000000" w:rsidDel="00000000" w:rsidP="00000000" w:rsidRDefault="00000000" w:rsidRPr="00000000" w14:paraId="00000020">
      <w:pPr>
        <w:rPr>
          <w:color w:val="000000"/>
          <w:sz w:val="22"/>
          <w:szCs w:val="22"/>
        </w:rPr>
      </w:pPr>
      <w:r w:rsidDel="00000000" w:rsidR="00000000" w:rsidRPr="00000000">
        <w:rPr>
          <w:color w:val="000000"/>
          <w:sz w:val="22"/>
          <w:szCs w:val="22"/>
          <w:rtl w:val="0"/>
        </w:rPr>
        <w:t xml:space="preserve">In 2020, the vulnerability has eased up, but still, the disruption, shift, and the lack of sustainability have impacted the consumer spending, debt status and leverage risks for the relevant companies (moodys.com, 2021).  The credit values and qualities of most companies have increased over the years. This will help the debt issuers in 2022; still, the leverage risk is very high for these companies. Pandemic disruption has created mega changes within credit themes, and it reshaped the economic status. These changes have influenced debt sustainability and forced innovation in the form of new technologies and carbon transitions, which have led to inequalities in terms of scope and opportunity. Also, the social risk has increased and affected the population's preferences and spending limits (moodys.com, 2021). </w:t>
      </w:r>
    </w:p>
    <w:p w:rsidR="00000000" w:rsidDel="00000000" w:rsidP="00000000" w:rsidRDefault="00000000" w:rsidRPr="00000000" w14:paraId="00000021">
      <w:pPr>
        <w:rPr>
          <w:color w:val="000000"/>
          <w:sz w:val="22"/>
          <w:szCs w:val="22"/>
        </w:rPr>
      </w:pPr>
      <w:r w:rsidDel="00000000" w:rsidR="00000000" w:rsidRPr="00000000">
        <w:rPr>
          <w:color w:val="000000"/>
          <w:sz w:val="22"/>
          <w:szCs w:val="22"/>
          <w:rtl w:val="0"/>
        </w:rPr>
        <w:t xml:space="preserve">The Automotive industry has struggled during the outbreak of the COVID-19 and gone through several setbacks. The biggest impacts are in the form of prolonged truncation regarding the demand. The supply also gets impacted due to the lockdown within the manufacturing plants. Global car sales have plummeted to only 66 million, which means 16% redundancies. Toyota on the other hand had experienced the lowest inventory for the vehicle industry among the other market-leading brands. It has only manufactured around 7 million units globally (Carlier, 2022). The lockdown has hindered the sales figure of the company; still, the company has made some giant strides toward developing electric cars. So far it has sold over 2 million hybrid electric cars. In 2021 it has sold over 10 million cars, which is a 10% increase in the sales after the COVID affected sales in 2020 (Carlier, 2022). </w:t>
      </w:r>
    </w:p>
    <w:p w:rsidR="00000000" w:rsidDel="00000000" w:rsidP="00000000" w:rsidRDefault="00000000" w:rsidRPr="00000000" w14:paraId="00000022">
      <w:pPr>
        <w:pStyle w:val="Heading1"/>
        <w:rPr>
          <w:color w:val="000000"/>
          <w:sz w:val="22"/>
          <w:szCs w:val="22"/>
        </w:rPr>
      </w:pPr>
      <w:bookmarkStart w:colFirst="0" w:colLast="0" w:name="_1fob9te" w:id="2"/>
      <w:bookmarkEnd w:id="2"/>
      <w:r w:rsidDel="00000000" w:rsidR="00000000" w:rsidRPr="00000000">
        <w:rPr>
          <w:color w:val="000000"/>
          <w:sz w:val="22"/>
          <w:szCs w:val="22"/>
          <w:rtl w:val="0"/>
        </w:rPr>
        <w:t xml:space="preserve">Megatrends affecting the company</w:t>
      </w:r>
    </w:p>
    <w:p w:rsidR="00000000" w:rsidDel="00000000" w:rsidP="00000000" w:rsidRDefault="00000000" w:rsidRPr="00000000" w14:paraId="00000023">
      <w:pPr>
        <w:rPr>
          <w:color w:val="000000"/>
          <w:sz w:val="22"/>
          <w:szCs w:val="22"/>
        </w:rPr>
      </w:pPr>
      <w:r w:rsidDel="00000000" w:rsidR="00000000" w:rsidRPr="00000000">
        <w:rPr>
          <w:color w:val="000000"/>
          <w:sz w:val="22"/>
          <w:szCs w:val="22"/>
          <w:rtl w:val="0"/>
        </w:rPr>
        <w:t xml:space="preserve">Apart from the COVID-19, several megatrends are affecting the global business world. These megatrends can be utilised as opportunities or threats. Therefore, these can lead to open access to the respective market. Also, the open sciences have helped some businesses and brands which have helped some companies in gaining latent advantages and created huge market gaps in their respective market (Jamali </w:t>
      </w:r>
      <w:r w:rsidDel="00000000" w:rsidR="00000000" w:rsidRPr="00000000">
        <w:rPr>
          <w:i w:val="1"/>
          <w:color w:val="000000"/>
          <w:sz w:val="22"/>
          <w:szCs w:val="22"/>
          <w:rtl w:val="0"/>
        </w:rPr>
        <w:t xml:space="preserve">et al.</w:t>
      </w:r>
      <w:r w:rsidDel="00000000" w:rsidR="00000000" w:rsidRPr="00000000">
        <w:rPr>
          <w:color w:val="000000"/>
          <w:sz w:val="22"/>
          <w:szCs w:val="22"/>
          <w:rtl w:val="0"/>
        </w:rPr>
        <w:t xml:space="preserve">, 2020).  </w:t>
      </w:r>
    </w:p>
    <w:p w:rsidR="00000000" w:rsidDel="00000000" w:rsidP="00000000" w:rsidRDefault="00000000" w:rsidRPr="00000000" w14:paraId="00000024">
      <w:pPr>
        <w:rPr>
          <w:color w:val="000000"/>
          <w:sz w:val="22"/>
          <w:szCs w:val="22"/>
        </w:rPr>
      </w:pPr>
      <w:r w:rsidDel="00000000" w:rsidR="00000000" w:rsidRPr="00000000">
        <w:rPr>
          <w:color w:val="000000"/>
          <w:sz w:val="22"/>
          <w:szCs w:val="22"/>
          <w:rtl w:val="0"/>
        </w:rPr>
        <w:t xml:space="preserve">For the global market some of the biggest megatrends are;</w:t>
      </w:r>
    </w:p>
    <w:p w:rsidR="00000000" w:rsidDel="00000000" w:rsidP="00000000" w:rsidRDefault="00000000" w:rsidRPr="00000000" w14:paraId="00000025">
      <w:pPr>
        <w:rPr>
          <w:b w:val="1"/>
          <w:i w:val="1"/>
          <w:color w:val="000000"/>
          <w:sz w:val="22"/>
          <w:szCs w:val="22"/>
        </w:rPr>
      </w:pPr>
      <w:r w:rsidDel="00000000" w:rsidR="00000000" w:rsidRPr="00000000">
        <w:rPr>
          <w:b w:val="1"/>
          <w:i w:val="1"/>
          <w:color w:val="000000"/>
          <w:sz w:val="22"/>
          <w:szCs w:val="22"/>
          <w:rtl w:val="0"/>
        </w:rPr>
        <w:t xml:space="preserve">Climate Change</w:t>
      </w:r>
    </w:p>
    <w:p w:rsidR="00000000" w:rsidDel="00000000" w:rsidP="00000000" w:rsidRDefault="00000000" w:rsidRPr="00000000" w14:paraId="00000026">
      <w:pPr>
        <w:rPr>
          <w:color w:val="000000"/>
          <w:sz w:val="22"/>
          <w:szCs w:val="22"/>
        </w:rPr>
      </w:pPr>
      <w:r w:rsidDel="00000000" w:rsidR="00000000" w:rsidRPr="00000000">
        <w:rPr>
          <w:color w:val="000000"/>
          <w:sz w:val="22"/>
          <w:szCs w:val="22"/>
          <w:rtl w:val="0"/>
        </w:rPr>
        <w:t xml:space="preserve">The Paris Agreement (2030), along with other SDG related regulations has influenced many changes in the business world and remotely towards the respective nation's societal and cultural structure. Climate change is the reason behind the sudden yet frequent nature-related debacle in a different form, and it has influenced the increment in natural disasters and weather disruptions. Drastic measures from climate change influenced companies to design or develop business in a sustainable and eco-friendly manner. A significant amount of capital expenditure is targeted toward emission control. Installations of such safeguards or new equipment are required to comply with the greenhouse gas-based regulations. For industries such refinery, the automotive industry, and power plants, these expenses are opulent and the emission control has become the onus. </w:t>
      </w:r>
    </w:p>
    <w:p w:rsidR="00000000" w:rsidDel="00000000" w:rsidP="00000000" w:rsidRDefault="00000000" w:rsidRPr="00000000" w14:paraId="00000027">
      <w:pPr>
        <w:rPr>
          <w:b w:val="1"/>
          <w:i w:val="1"/>
          <w:color w:val="000000"/>
          <w:sz w:val="22"/>
          <w:szCs w:val="22"/>
        </w:rPr>
      </w:pPr>
      <w:r w:rsidDel="00000000" w:rsidR="00000000" w:rsidRPr="00000000">
        <w:rPr>
          <w:b w:val="1"/>
          <w:i w:val="1"/>
          <w:color w:val="000000"/>
          <w:sz w:val="22"/>
          <w:szCs w:val="22"/>
          <w:rtl w:val="0"/>
        </w:rPr>
        <w:t xml:space="preserve">Digital and advanced technology</w:t>
      </w:r>
    </w:p>
    <w:p w:rsidR="00000000" w:rsidDel="00000000" w:rsidP="00000000" w:rsidRDefault="00000000" w:rsidRPr="00000000" w14:paraId="00000028">
      <w:pPr>
        <w:rPr>
          <w:color w:val="000000"/>
          <w:sz w:val="22"/>
          <w:szCs w:val="22"/>
        </w:rPr>
      </w:pPr>
      <w:r w:rsidDel="00000000" w:rsidR="00000000" w:rsidRPr="00000000">
        <w:rPr>
          <w:color w:val="000000"/>
          <w:sz w:val="22"/>
          <w:szCs w:val="22"/>
          <w:rtl w:val="0"/>
        </w:rPr>
        <w:t xml:space="preserve">Technology incorporation in the business has become ubiquitous for most of the industry. The viability of a firm or business is directly proportional to the innovative capacity of the business. In modern-day business, it has helped in overcoming the barriers regarding the competition within the respective industry and market (Brenner, 2018). This has also led the companies in moving toward the transformative business model. </w:t>
      </w:r>
    </w:p>
    <w:p w:rsidR="00000000" w:rsidDel="00000000" w:rsidP="00000000" w:rsidRDefault="00000000" w:rsidRPr="00000000" w14:paraId="00000029">
      <w:pPr>
        <w:rPr>
          <w:color w:val="000000"/>
          <w:sz w:val="22"/>
          <w:szCs w:val="22"/>
        </w:rPr>
      </w:pPr>
      <w:r w:rsidDel="00000000" w:rsidR="00000000" w:rsidRPr="00000000">
        <w:rPr>
          <w:color w:val="000000"/>
          <w:sz w:val="22"/>
          <w:szCs w:val="22"/>
          <w:rtl w:val="0"/>
        </w:rPr>
        <w:t xml:space="preserve">This trend of implying innovative and advanced technologies is the key to Industry 4.0. This includes companies transforming their business towards complete digitisation. Technologies like robotics, blockchain, and digital supply chain are implemented (Gupta </w:t>
      </w:r>
      <w:r w:rsidDel="00000000" w:rsidR="00000000" w:rsidRPr="00000000">
        <w:rPr>
          <w:i w:val="1"/>
          <w:color w:val="000000"/>
          <w:sz w:val="22"/>
          <w:szCs w:val="22"/>
          <w:rtl w:val="0"/>
        </w:rPr>
        <w:t xml:space="preserve">et al.</w:t>
      </w:r>
      <w:r w:rsidDel="00000000" w:rsidR="00000000" w:rsidRPr="00000000">
        <w:rPr>
          <w:color w:val="000000"/>
          <w:sz w:val="22"/>
          <w:szCs w:val="22"/>
          <w:rtl w:val="0"/>
        </w:rPr>
        <w:t xml:space="preserve">, 2020). Though these megatrends are also creating a gap and increasing the competitiveness of the respective industries. </w:t>
      </w:r>
    </w:p>
    <w:p w:rsidR="00000000" w:rsidDel="00000000" w:rsidP="00000000" w:rsidRDefault="00000000" w:rsidRPr="00000000" w14:paraId="0000002A">
      <w:pPr>
        <w:rPr>
          <w:b w:val="1"/>
          <w:i w:val="1"/>
          <w:color w:val="000000"/>
          <w:sz w:val="22"/>
          <w:szCs w:val="22"/>
        </w:rPr>
      </w:pPr>
      <w:r w:rsidDel="00000000" w:rsidR="00000000" w:rsidRPr="00000000">
        <w:rPr>
          <w:b w:val="1"/>
          <w:i w:val="1"/>
          <w:color w:val="000000"/>
          <w:sz w:val="22"/>
          <w:szCs w:val="22"/>
          <w:rtl w:val="0"/>
        </w:rPr>
        <w:t xml:space="preserve">Wellbeing of Workforce</w:t>
      </w:r>
    </w:p>
    <w:p w:rsidR="00000000" w:rsidDel="00000000" w:rsidP="00000000" w:rsidRDefault="00000000" w:rsidRPr="00000000" w14:paraId="0000002B">
      <w:pPr>
        <w:rPr>
          <w:color w:val="000000"/>
          <w:sz w:val="22"/>
          <w:szCs w:val="22"/>
        </w:rPr>
      </w:pPr>
      <w:r w:rsidDel="00000000" w:rsidR="00000000" w:rsidRPr="00000000">
        <w:rPr>
          <w:color w:val="000000"/>
          <w:sz w:val="22"/>
          <w:szCs w:val="22"/>
          <w:rtl w:val="0"/>
        </w:rPr>
        <w:t xml:space="preserve">Even after the extreme advancement of technologies and automation, most of the industry is still dependent on the human workforce. The megatrends regarding the industry are that in recent times companies enhance the work commitment and increase the working output, providing their attention and resource utilisation towards the well being the collective workforce. Psychological capital has a direct relationship with employee engagement (Alkahtani </w:t>
      </w:r>
      <w:r w:rsidDel="00000000" w:rsidR="00000000" w:rsidRPr="00000000">
        <w:rPr>
          <w:i w:val="1"/>
          <w:color w:val="000000"/>
          <w:sz w:val="22"/>
          <w:szCs w:val="22"/>
          <w:rtl w:val="0"/>
        </w:rPr>
        <w:t xml:space="preserve">et al.</w:t>
      </w:r>
      <w:r w:rsidDel="00000000" w:rsidR="00000000" w:rsidRPr="00000000">
        <w:rPr>
          <w:color w:val="000000"/>
          <w:sz w:val="22"/>
          <w:szCs w:val="22"/>
          <w:rtl w:val="0"/>
        </w:rPr>
        <w:t xml:space="preserve">, 2020). Thus, to influence that companies imply strategies to cater for the physical and mental well being of the employees, which helps the employees in keeping the work-life balance and commit to their respective job roles.  </w:t>
      </w:r>
    </w:p>
    <w:p w:rsidR="00000000" w:rsidDel="00000000" w:rsidP="00000000" w:rsidRDefault="00000000" w:rsidRPr="00000000" w14:paraId="0000002C">
      <w:pPr>
        <w:pStyle w:val="Heading1"/>
        <w:rPr>
          <w:color w:val="000000"/>
          <w:sz w:val="22"/>
          <w:szCs w:val="22"/>
        </w:rPr>
      </w:pPr>
      <w:bookmarkStart w:colFirst="0" w:colLast="0" w:name="_3znysh7" w:id="3"/>
      <w:bookmarkEnd w:id="3"/>
      <w:r w:rsidDel="00000000" w:rsidR="00000000" w:rsidRPr="00000000">
        <w:br w:type="page"/>
      </w:r>
      <w:r w:rsidDel="00000000" w:rsidR="00000000" w:rsidRPr="00000000">
        <w:rPr>
          <w:color w:val="000000"/>
          <w:sz w:val="22"/>
          <w:szCs w:val="22"/>
          <w:rtl w:val="0"/>
        </w:rPr>
        <w:t xml:space="preserve">Survival and Success factors </w:t>
      </w:r>
    </w:p>
    <w:p w:rsidR="00000000" w:rsidDel="00000000" w:rsidP="00000000" w:rsidRDefault="00000000" w:rsidRPr="00000000" w14:paraId="0000002D">
      <w:pPr>
        <w:rPr>
          <w:color w:val="000000"/>
          <w:sz w:val="22"/>
          <w:szCs w:val="22"/>
        </w:rPr>
      </w:pPr>
      <w:r w:rsidDel="00000000" w:rsidR="00000000" w:rsidRPr="00000000">
        <w:rPr>
          <w:color w:val="000000"/>
          <w:sz w:val="22"/>
          <w:szCs w:val="22"/>
          <w:rtl w:val="0"/>
        </w:rPr>
        <w:t xml:space="preserve">Toyota is an established brand within a global automotive company. In the pre-pandemic setting, it has crossed the revenue and market space for Volkswagen too. Though the company have struggled like its respective industry during the COVID-19 outbreak, still it has the adequate resources and finance to revamp the business practices or forge the operations to survive the challenges within the respective business and even gain some potential or significant success from its business operation in the respective industry. </w:t>
      </w:r>
    </w:p>
    <w:p w:rsidR="00000000" w:rsidDel="00000000" w:rsidP="00000000" w:rsidRDefault="00000000" w:rsidRPr="00000000" w14:paraId="0000002E">
      <w:pPr>
        <w:pStyle w:val="Heading2"/>
        <w:rPr>
          <w:color w:val="000000"/>
          <w:sz w:val="22"/>
          <w:szCs w:val="22"/>
        </w:rPr>
      </w:pPr>
      <w:bookmarkStart w:colFirst="0" w:colLast="0" w:name="_2et92p0" w:id="4"/>
      <w:bookmarkEnd w:id="4"/>
      <w:r w:rsidDel="00000000" w:rsidR="00000000" w:rsidRPr="00000000">
        <w:rPr>
          <w:color w:val="000000"/>
          <w:sz w:val="22"/>
          <w:szCs w:val="22"/>
          <w:rtl w:val="0"/>
        </w:rPr>
        <w:t xml:space="preserve">Survival Factor</w:t>
      </w:r>
    </w:p>
    <w:p w:rsidR="00000000" w:rsidDel="00000000" w:rsidP="00000000" w:rsidRDefault="00000000" w:rsidRPr="00000000" w14:paraId="0000002F">
      <w:pPr>
        <w:rPr>
          <w:color w:val="000000"/>
          <w:sz w:val="22"/>
          <w:szCs w:val="22"/>
        </w:rPr>
      </w:pPr>
      <w:r w:rsidDel="00000000" w:rsidR="00000000" w:rsidRPr="00000000">
        <w:rPr>
          <w:color w:val="000000"/>
          <w:sz w:val="22"/>
          <w:szCs w:val="22"/>
          <w:rtl w:val="0"/>
        </w:rPr>
        <w:t xml:space="preserve">COVID-19 has impacted the business and mobility along with sustainability has become the key to survival and success within the respective industry. COVID-19 outbreak threatens the health of the global population and now the population is concerned about the salubrious state. Thus, companies like Toyota to still be in preference required to address human health and design the business by it to survive. With this intention, the respective industry tried to limit the harmful impact of the manufacturing or products on nature. The industry was always a big contributor to the Global greenhouse gases, but from 2010-18 it emitted so much carbon and other GHG that it becomes one of the reasons behind the climate change too (Calvert, 2020). Pre corona the preferences for cars have been decreased and now collectively the industry has estimated to lose around 100 billion and it will also affect some long term negative shifts. Thus; controlling the emissions would be a survival technique, which is followed by Toyota and most of the other brands in the respective industry. Though for the small manufacturer it has become a problem, as Real driving emission (RDE) based technologies require advanced technological prowess along with a copious amount of finance (Klebaner, 2018). This is also an important aspect of global expansion, as it can help or damage the brand image. As for Toyota emission control has become a problem in the US. It is charged with a fine of amount around 180 million USD, due to a delay in filing the emission defects (motorbeam.com, 2021). The company has become more attentive toward the emission control after the scandal and arranged improved compliance practices and robust reporting; this will help the brand survive the crises times. </w:t>
      </w:r>
    </w:p>
    <w:p w:rsidR="00000000" w:rsidDel="00000000" w:rsidP="00000000" w:rsidRDefault="00000000" w:rsidRPr="00000000" w14:paraId="00000030">
      <w:pPr>
        <w:jc w:val="center"/>
        <w:rPr>
          <w:b w:val="1"/>
          <w:color w:val="000000"/>
          <w:sz w:val="22"/>
          <w:szCs w:val="22"/>
        </w:rPr>
      </w:pPr>
      <w:r w:rsidDel="00000000" w:rsidR="00000000" w:rsidRPr="00000000">
        <w:rPr/>
        <w:drawing>
          <wp:inline distB="0" distT="0" distL="0" distR="0">
            <wp:extent cx="4773930" cy="3232150"/>
            <wp:effectExtent b="38100" l="38100" r="38100" t="38100"/>
            <wp:docPr descr="C:\DMG\2022-04-12 15_13_16-New Report_ Climate risk and the automotive sector _ Refinitiv Perspectives.png" id="1" name="image2.png"/>
            <a:graphic>
              <a:graphicData uri="http://schemas.openxmlformats.org/drawingml/2006/picture">
                <pic:pic>
                  <pic:nvPicPr>
                    <pic:cNvPr descr="C:\DMG\2022-04-12 15_13_16-New Report_ Climate risk and the automotive sector _ Refinitiv Perspectives.png" id="0" name="image2.png"/>
                    <pic:cNvPicPr preferRelativeResize="0"/>
                  </pic:nvPicPr>
                  <pic:blipFill>
                    <a:blip r:embed="rId6"/>
                    <a:srcRect b="0" l="0" r="0" t="0"/>
                    <a:stretch>
                      <a:fillRect/>
                    </a:stretch>
                  </pic:blipFill>
                  <pic:spPr>
                    <a:xfrm>
                      <a:off x="0" y="0"/>
                      <a:ext cx="4773930" cy="323215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1">
      <w:pPr>
        <w:jc w:val="center"/>
        <w:rPr>
          <w:b w:val="1"/>
          <w:color w:val="000000"/>
          <w:sz w:val="22"/>
          <w:szCs w:val="22"/>
        </w:rPr>
      </w:pPr>
      <w:r w:rsidDel="00000000" w:rsidR="00000000" w:rsidRPr="00000000">
        <w:rPr>
          <w:b w:val="1"/>
          <w:color w:val="000000"/>
          <w:sz w:val="22"/>
          <w:szCs w:val="22"/>
          <w:rtl w:val="0"/>
        </w:rPr>
        <w:t xml:space="preserve">Figure 1: Change within the CO2 emission in the global context across industries</w:t>
      </w:r>
    </w:p>
    <w:p w:rsidR="00000000" w:rsidDel="00000000" w:rsidP="00000000" w:rsidRDefault="00000000" w:rsidRPr="00000000" w14:paraId="00000032">
      <w:pPr>
        <w:jc w:val="center"/>
        <w:rPr>
          <w:color w:val="000000"/>
          <w:sz w:val="22"/>
          <w:szCs w:val="22"/>
        </w:rPr>
      </w:pPr>
      <w:r w:rsidDel="00000000" w:rsidR="00000000" w:rsidRPr="00000000">
        <w:rPr>
          <w:color w:val="000000"/>
          <w:sz w:val="22"/>
          <w:szCs w:val="22"/>
          <w:rtl w:val="0"/>
        </w:rPr>
        <w:t xml:space="preserve">(Source: Calvert, 2020)</w:t>
      </w:r>
    </w:p>
    <w:p w:rsidR="00000000" w:rsidDel="00000000" w:rsidP="00000000" w:rsidRDefault="00000000" w:rsidRPr="00000000" w14:paraId="00000033">
      <w:pPr>
        <w:rPr>
          <w:color w:val="000000"/>
          <w:sz w:val="22"/>
          <w:szCs w:val="22"/>
        </w:rPr>
      </w:pPr>
      <w:r w:rsidDel="00000000" w:rsidR="00000000" w:rsidRPr="00000000">
        <w:rPr>
          <w:color w:val="000000"/>
          <w:sz w:val="22"/>
          <w:szCs w:val="22"/>
          <w:rtl w:val="0"/>
        </w:rPr>
        <w:t xml:space="preserve">Online transformation of the business becomes one of the priorities during the COVID-19. As the supply has been hindered due to low production and complexities in delivering the product, still the demand was adequate, specifically in the European market. To survive the crises created by the lockdown impact on the physical store, automotive businesses like Toyota shifted into online channels. Across Europe, customer or dealer engagement regarding industries shifted towards online businesses and was enhanced by nearly 13% during the COVID-19 crisis. The online transformation is essential for the automotive industry, regardless of the Covid-19, as the industry is garnering below the average score, among other business to business industries (B2B). This digitisation has helped many brands survive the difficult conditions, as one US-based Electric Vehicle Company acquired a 10% increment in their sales within China when the nation's respective automotive industry got hit by the COVID outbreak and faced an 80% declination in sales (Hofstätter, 2020). </w:t>
      </w:r>
    </w:p>
    <w:p w:rsidR="00000000" w:rsidDel="00000000" w:rsidP="00000000" w:rsidRDefault="00000000" w:rsidRPr="00000000" w14:paraId="00000034">
      <w:pPr>
        <w:jc w:val="center"/>
        <w:rPr>
          <w:b w:val="1"/>
          <w:color w:val="000000"/>
          <w:sz w:val="22"/>
          <w:szCs w:val="22"/>
        </w:rPr>
      </w:pPr>
      <w:r w:rsidDel="00000000" w:rsidR="00000000" w:rsidRPr="00000000">
        <w:rPr/>
        <w:drawing>
          <wp:inline distB="0" distT="0" distL="0" distR="0">
            <wp:extent cx="5412105" cy="3721100"/>
            <wp:effectExtent b="38100" l="38100" r="38100" t="38100"/>
            <wp:docPr descr="C:\DMG\2022-04-12 23_13_51-Reimagining the auto industry’s future_ It’s now or never _ McKinsey.png" id="3" name="image1.png"/>
            <a:graphic>
              <a:graphicData uri="http://schemas.openxmlformats.org/drawingml/2006/picture">
                <pic:pic>
                  <pic:nvPicPr>
                    <pic:cNvPr descr="C:\DMG\2022-04-12 23_13_51-Reimagining the auto industry’s future_ It’s now or never _ McKinsey.png" id="0" name="image1.png"/>
                    <pic:cNvPicPr preferRelativeResize="0"/>
                  </pic:nvPicPr>
                  <pic:blipFill>
                    <a:blip r:embed="rId7"/>
                    <a:srcRect b="0" l="0" r="0" t="0"/>
                    <a:stretch>
                      <a:fillRect/>
                    </a:stretch>
                  </pic:blipFill>
                  <pic:spPr>
                    <a:xfrm>
                      <a:off x="0" y="0"/>
                      <a:ext cx="5412105" cy="37211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5">
      <w:pPr>
        <w:jc w:val="center"/>
        <w:rPr>
          <w:b w:val="1"/>
          <w:color w:val="000000"/>
          <w:sz w:val="22"/>
          <w:szCs w:val="22"/>
        </w:rPr>
      </w:pPr>
      <w:r w:rsidDel="00000000" w:rsidR="00000000" w:rsidRPr="00000000">
        <w:rPr>
          <w:b w:val="1"/>
          <w:color w:val="000000"/>
          <w:sz w:val="22"/>
          <w:szCs w:val="22"/>
          <w:rtl w:val="0"/>
        </w:rPr>
        <w:t xml:space="preserve">Figure 2: Increment in using online business</w:t>
      </w:r>
    </w:p>
    <w:p w:rsidR="00000000" w:rsidDel="00000000" w:rsidP="00000000" w:rsidRDefault="00000000" w:rsidRPr="00000000" w14:paraId="00000036">
      <w:pPr>
        <w:jc w:val="center"/>
        <w:rPr>
          <w:color w:val="000000"/>
          <w:sz w:val="22"/>
          <w:szCs w:val="22"/>
        </w:rPr>
      </w:pPr>
      <w:r w:rsidDel="00000000" w:rsidR="00000000" w:rsidRPr="00000000">
        <w:rPr>
          <w:color w:val="000000"/>
          <w:sz w:val="22"/>
          <w:szCs w:val="22"/>
          <w:rtl w:val="0"/>
        </w:rPr>
        <w:t xml:space="preserve">(Source: Hofstätter, 2020)</w:t>
      </w:r>
    </w:p>
    <w:p w:rsidR="00000000" w:rsidDel="00000000" w:rsidP="00000000" w:rsidRDefault="00000000" w:rsidRPr="00000000" w14:paraId="00000037">
      <w:pPr>
        <w:rPr>
          <w:sz w:val="22"/>
          <w:szCs w:val="22"/>
        </w:rPr>
      </w:pPr>
      <w:r w:rsidDel="00000000" w:rsidR="00000000" w:rsidRPr="00000000">
        <w:rPr>
          <w:rtl w:val="0"/>
        </w:rPr>
      </w:r>
    </w:p>
    <w:p w:rsidR="00000000" w:rsidDel="00000000" w:rsidP="00000000" w:rsidRDefault="00000000" w:rsidRPr="00000000" w14:paraId="00000038">
      <w:pPr>
        <w:rPr>
          <w:sz w:val="22"/>
          <w:szCs w:val="22"/>
        </w:rPr>
      </w:pPr>
      <w:r w:rsidDel="00000000" w:rsidR="00000000" w:rsidRPr="00000000">
        <w:rPr>
          <w:rtl w:val="0"/>
        </w:rPr>
      </w:r>
    </w:p>
    <w:p w:rsidR="00000000" w:rsidDel="00000000" w:rsidP="00000000" w:rsidRDefault="00000000" w:rsidRPr="00000000" w14:paraId="00000039">
      <w:pPr>
        <w:rPr>
          <w:color w:val="000000"/>
          <w:sz w:val="22"/>
          <w:szCs w:val="22"/>
        </w:rPr>
      </w:pPr>
      <w:r w:rsidDel="00000000" w:rsidR="00000000" w:rsidRPr="00000000">
        <w:rPr>
          <w:color w:val="000000"/>
          <w:sz w:val="22"/>
          <w:szCs w:val="22"/>
          <w:rtl w:val="0"/>
        </w:rPr>
        <w:t xml:space="preserve"> During COVId-19, the automotive industry is struggling to make sales, but the industry requires an opulent amount of finance for operating and manufacturing, which is affecting the potential survival aspect of the post lockdown future of the industry. In this context, many of the brands, even the market leaders in the automotive industry switched to several strategic partnerships. This includes investing in autonomous technologies, which help in enhancing electrification, connectivity, and shared mobility (ACES). In 2020, globally the automotive industry has shown a fortyfold increment in the number of partnerships in ACES (fastradius.com, 2022). The forerunning focuses of these partnerships mostly stay on shared mobility and electrification. In the tight condition, and low cash flow generation due to the COVID-19 pandemic, technology prowess and these strategic partnerships help in surviving the post-Covid business world. This survival factor is also supposed to help the industry in future-proofing the business operations in the upcoming decade. </w:t>
      </w:r>
    </w:p>
    <w:p w:rsidR="00000000" w:rsidDel="00000000" w:rsidP="00000000" w:rsidRDefault="00000000" w:rsidRPr="00000000" w14:paraId="0000003A">
      <w:pPr>
        <w:pStyle w:val="Heading2"/>
        <w:rPr>
          <w:color w:val="000000"/>
          <w:sz w:val="22"/>
          <w:szCs w:val="22"/>
        </w:rPr>
      </w:pPr>
      <w:r w:rsidDel="00000000" w:rsidR="00000000" w:rsidRPr="00000000">
        <w:rPr>
          <w:rtl w:val="0"/>
        </w:rPr>
      </w:r>
    </w:p>
    <w:p w:rsidR="00000000" w:rsidDel="00000000" w:rsidP="00000000" w:rsidRDefault="00000000" w:rsidRPr="00000000" w14:paraId="0000003B">
      <w:pPr>
        <w:pStyle w:val="Heading2"/>
        <w:rPr>
          <w:sz w:val="22"/>
          <w:szCs w:val="22"/>
        </w:rPr>
      </w:pPr>
      <w:bookmarkStart w:colFirst="0" w:colLast="0" w:name="_tyjcwt" w:id="5"/>
      <w:bookmarkEnd w:id="5"/>
      <w:r w:rsidDel="00000000" w:rsidR="00000000" w:rsidRPr="00000000">
        <w:rPr>
          <w:rtl w:val="0"/>
        </w:rPr>
      </w:r>
    </w:p>
    <w:p w:rsidR="00000000" w:rsidDel="00000000" w:rsidP="00000000" w:rsidRDefault="00000000" w:rsidRPr="00000000" w14:paraId="0000003C">
      <w:pPr>
        <w:pStyle w:val="Heading2"/>
        <w:rPr>
          <w:sz w:val="22"/>
          <w:szCs w:val="22"/>
        </w:rPr>
      </w:pPr>
      <w:bookmarkStart w:colFirst="0" w:colLast="0" w:name="_3dy6vkm" w:id="6"/>
      <w:bookmarkEnd w:id="6"/>
      <w:r w:rsidDel="00000000" w:rsidR="00000000" w:rsidRPr="00000000">
        <w:rPr>
          <w:rtl w:val="0"/>
        </w:rPr>
      </w:r>
    </w:p>
    <w:p w:rsidR="00000000" w:rsidDel="00000000" w:rsidP="00000000" w:rsidRDefault="00000000" w:rsidRPr="00000000" w14:paraId="0000003D">
      <w:pPr>
        <w:pStyle w:val="Heading2"/>
        <w:rPr>
          <w:sz w:val="22"/>
          <w:szCs w:val="22"/>
        </w:rPr>
      </w:pPr>
      <w:bookmarkStart w:colFirst="0" w:colLast="0" w:name="_1t3h5sf" w:id="7"/>
      <w:bookmarkEnd w:id="7"/>
      <w:r w:rsidDel="00000000" w:rsidR="00000000" w:rsidRPr="00000000">
        <w:rPr>
          <w:rtl w:val="0"/>
        </w:rPr>
      </w:r>
    </w:p>
    <w:p w:rsidR="00000000" w:rsidDel="00000000" w:rsidP="00000000" w:rsidRDefault="00000000" w:rsidRPr="00000000" w14:paraId="0000003E">
      <w:pPr>
        <w:pStyle w:val="Heading2"/>
        <w:rPr>
          <w:color w:val="000000"/>
          <w:sz w:val="22"/>
          <w:szCs w:val="22"/>
        </w:rPr>
      </w:pPr>
      <w:bookmarkStart w:colFirst="0" w:colLast="0" w:name="_4d34og8" w:id="8"/>
      <w:bookmarkEnd w:id="8"/>
      <w:r w:rsidDel="00000000" w:rsidR="00000000" w:rsidRPr="00000000">
        <w:rPr>
          <w:color w:val="000000"/>
          <w:sz w:val="22"/>
          <w:szCs w:val="22"/>
          <w:rtl w:val="0"/>
        </w:rPr>
        <w:t xml:space="preserve">Success factors</w:t>
      </w:r>
    </w:p>
    <w:p w:rsidR="00000000" w:rsidDel="00000000" w:rsidP="00000000" w:rsidRDefault="00000000" w:rsidRPr="00000000" w14:paraId="0000003F">
      <w:pPr>
        <w:rPr>
          <w:color w:val="000000"/>
          <w:sz w:val="22"/>
          <w:szCs w:val="22"/>
        </w:rPr>
      </w:pPr>
      <w:r w:rsidDel="00000000" w:rsidR="00000000" w:rsidRPr="00000000">
        <w:rPr>
          <w:color w:val="000000"/>
          <w:sz w:val="22"/>
          <w:szCs w:val="22"/>
          <w:rtl w:val="0"/>
        </w:rPr>
        <w:t xml:space="preserve">According to Klebaner (2018), Emission control technologies (ECT) can make differences between the operations of several companies within a similar industry. This is utilised by many companies like Toyota. Though it has become a controversial aspect for the company, still the company provides Labels to show the emission control. This has helped the car company is assuring the buyers about their car's emissions. It acted as a success factor, as people are influenced to go for the models, which are associated with labels for low carbon emissions, specifically for Toyota Camry (parts.toyota.com, 2022). </w:t>
      </w:r>
    </w:p>
    <w:p w:rsidR="00000000" w:rsidDel="00000000" w:rsidP="00000000" w:rsidRDefault="00000000" w:rsidRPr="00000000" w14:paraId="00000040">
      <w:pPr>
        <w:rPr>
          <w:color w:val="000000"/>
          <w:sz w:val="22"/>
          <w:szCs w:val="22"/>
        </w:rPr>
      </w:pPr>
      <w:r w:rsidDel="00000000" w:rsidR="00000000" w:rsidRPr="00000000">
        <w:rPr>
          <w:color w:val="000000"/>
          <w:sz w:val="22"/>
          <w:szCs w:val="22"/>
          <w:rtl w:val="0"/>
        </w:rPr>
        <w:t xml:space="preserve">Apart from digitisation, reimagining the industry would have helped gain a competitive advantage, not just across brands. It will collectively help the industry. The focus of this success factor is radical attention and intent towards shifting the business towards digital channels. Shift to recurring revenue streams, embracing the zero budgeting along with a proper guiding principle and a resilient supply chain (mckinsey.com, 2020). This can help transform the business to gain a competitive advantage within the respective industry. The effects can be enhanced with the help of strong cadence for decision making. </w:t>
      </w:r>
    </w:p>
    <w:p w:rsidR="00000000" w:rsidDel="00000000" w:rsidP="00000000" w:rsidRDefault="00000000" w:rsidRPr="00000000" w14:paraId="00000041">
      <w:pPr>
        <w:rPr>
          <w:color w:val="000000"/>
          <w:sz w:val="22"/>
          <w:szCs w:val="22"/>
        </w:rPr>
      </w:pPr>
      <w:r w:rsidDel="00000000" w:rsidR="00000000" w:rsidRPr="00000000">
        <w:rPr>
          <w:color w:val="000000"/>
          <w:sz w:val="22"/>
          <w:szCs w:val="22"/>
          <w:rtl w:val="0"/>
        </w:rPr>
        <w:t xml:space="preserve">Toyota so far has produced several successful automated and electric vehicles. This has helped them in the pre-COVID world to increase their brand recognition and overcome the rival global company's revenue. As the climate change and the preference shift in the larger population are looking for some replacement to traditional cars, and their impact on the nature the automotive brands are looking for the alternative vehicles. Production of the alternative vehicle is dominated by electric vehicle manufacturing. This helps with the natural fuel crises and the impact of emissions from vehicles. Thus, electric vehicle production becomes a green approach, which helps in increasing the potential success factor for the brands within the respective marketplace. Toyota on this front is eying to deliver a big venture of more than 30 new and enhanced models of electric vehicles by 2030. It also vowed to invest over 17 billion towards the battery vehicle-based technology and expected to sell over 3 million of these cars in the global market (Hawkins, 2021). These kinds of intent can make the brand, as well as the industry; make up for the losses faced in the COVID situation. </w:t>
      </w:r>
    </w:p>
    <w:p w:rsidR="00000000" w:rsidDel="00000000" w:rsidP="00000000" w:rsidRDefault="00000000" w:rsidRPr="00000000" w14:paraId="00000042">
      <w:pPr>
        <w:jc w:val="center"/>
        <w:rPr>
          <w:b w:val="1"/>
          <w:color w:val="000000"/>
          <w:sz w:val="22"/>
          <w:szCs w:val="22"/>
        </w:rPr>
      </w:pPr>
      <w:r w:rsidDel="00000000" w:rsidR="00000000" w:rsidRPr="00000000">
        <w:rPr/>
        <w:drawing>
          <wp:inline distB="0" distT="0" distL="0" distR="0">
            <wp:extent cx="5592445" cy="2222500"/>
            <wp:effectExtent b="38100" l="38100" r="38100" t="38100"/>
            <wp:docPr descr="C:\DMG\2022-04-12 15_16_32-New Report_ Climate risk and the automotive sector _ Refinitiv Perspectives.png" id="2" name="image3.png"/>
            <a:graphic>
              <a:graphicData uri="http://schemas.openxmlformats.org/drawingml/2006/picture">
                <pic:pic>
                  <pic:nvPicPr>
                    <pic:cNvPr descr="C:\DMG\2022-04-12 15_16_32-New Report_ Climate risk and the automotive sector _ Refinitiv Perspectives.png" id="0" name="image3.png"/>
                    <pic:cNvPicPr preferRelativeResize="0"/>
                  </pic:nvPicPr>
                  <pic:blipFill>
                    <a:blip r:embed="rId8"/>
                    <a:srcRect b="0" l="0" r="0" t="0"/>
                    <a:stretch>
                      <a:fillRect/>
                    </a:stretch>
                  </pic:blipFill>
                  <pic:spPr>
                    <a:xfrm>
                      <a:off x="0" y="0"/>
                      <a:ext cx="5592445" cy="22225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3">
      <w:pPr>
        <w:jc w:val="center"/>
        <w:rPr>
          <w:b w:val="1"/>
          <w:color w:val="000000"/>
          <w:sz w:val="22"/>
          <w:szCs w:val="22"/>
        </w:rPr>
      </w:pPr>
      <w:r w:rsidDel="00000000" w:rsidR="00000000" w:rsidRPr="00000000">
        <w:rPr>
          <w:b w:val="1"/>
          <w:color w:val="000000"/>
          <w:sz w:val="22"/>
          <w:szCs w:val="22"/>
          <w:rtl w:val="0"/>
        </w:rPr>
        <w:t xml:space="preserve">Figure 3: Alternative vehicle production</w:t>
      </w:r>
    </w:p>
    <w:p w:rsidR="00000000" w:rsidDel="00000000" w:rsidP="00000000" w:rsidRDefault="00000000" w:rsidRPr="00000000" w14:paraId="00000044">
      <w:pPr>
        <w:jc w:val="center"/>
        <w:rPr>
          <w:color w:val="000000"/>
          <w:sz w:val="22"/>
          <w:szCs w:val="22"/>
        </w:rPr>
      </w:pPr>
      <w:r w:rsidDel="00000000" w:rsidR="00000000" w:rsidRPr="00000000">
        <w:rPr>
          <w:color w:val="000000"/>
          <w:sz w:val="22"/>
          <w:szCs w:val="22"/>
          <w:rtl w:val="0"/>
        </w:rPr>
        <w:t xml:space="preserve">(Source: Calvert, 2020)</w:t>
      </w:r>
    </w:p>
    <w:p w:rsidR="00000000" w:rsidDel="00000000" w:rsidP="00000000" w:rsidRDefault="00000000" w:rsidRPr="00000000" w14:paraId="00000045">
      <w:pPr>
        <w:rPr>
          <w:color w:val="000000"/>
          <w:sz w:val="22"/>
          <w:szCs w:val="22"/>
        </w:rPr>
      </w:pPr>
      <w:r w:rsidDel="00000000" w:rsidR="00000000" w:rsidRPr="00000000">
        <w:rPr>
          <w:rtl w:val="0"/>
        </w:rPr>
      </w:r>
    </w:p>
    <w:p w:rsidR="00000000" w:rsidDel="00000000" w:rsidP="00000000" w:rsidRDefault="00000000" w:rsidRPr="00000000" w14:paraId="00000046">
      <w:pPr>
        <w:rPr>
          <w:color w:val="000000"/>
          <w:sz w:val="22"/>
          <w:szCs w:val="22"/>
        </w:rPr>
      </w:pPr>
      <w:r w:rsidDel="00000000" w:rsidR="00000000" w:rsidRPr="00000000">
        <w:rPr>
          <w:rtl w:val="0"/>
        </w:rPr>
      </w:r>
    </w:p>
    <w:p w:rsidR="00000000" w:rsidDel="00000000" w:rsidP="00000000" w:rsidRDefault="00000000" w:rsidRPr="00000000" w14:paraId="00000047">
      <w:pPr>
        <w:rPr>
          <w:color w:val="000000"/>
          <w:sz w:val="22"/>
          <w:szCs w:val="22"/>
        </w:rPr>
      </w:pPr>
      <w:r w:rsidDel="00000000" w:rsidR="00000000" w:rsidRPr="00000000">
        <w:rPr>
          <w:rtl w:val="0"/>
        </w:rPr>
      </w:r>
    </w:p>
    <w:p w:rsidR="00000000" w:rsidDel="00000000" w:rsidP="00000000" w:rsidRDefault="00000000" w:rsidRPr="00000000" w14:paraId="00000048">
      <w:pPr>
        <w:rPr>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rPr>
          <w:color w:val="000000"/>
          <w:sz w:val="22"/>
          <w:szCs w:val="22"/>
        </w:rPr>
      </w:pPr>
      <w:bookmarkStart w:colFirst="0" w:colLast="0" w:name="_2s8eyo1" w:id="9"/>
      <w:bookmarkEnd w:id="9"/>
      <w:r w:rsidDel="00000000" w:rsidR="00000000" w:rsidRPr="00000000">
        <w:rPr>
          <w:color w:val="000000"/>
          <w:sz w:val="22"/>
          <w:szCs w:val="22"/>
          <w:rtl w:val="0"/>
        </w:rPr>
        <w:t xml:space="preserve">Conclusion </w:t>
      </w:r>
    </w:p>
    <w:p w:rsidR="00000000" w:rsidDel="00000000" w:rsidP="00000000" w:rsidRDefault="00000000" w:rsidRPr="00000000" w14:paraId="0000004A">
      <w:pPr>
        <w:rPr>
          <w:color w:val="000000"/>
          <w:sz w:val="22"/>
          <w:szCs w:val="22"/>
        </w:rPr>
      </w:pPr>
      <w:r w:rsidDel="00000000" w:rsidR="00000000" w:rsidRPr="00000000">
        <w:rPr>
          <w:color w:val="000000"/>
          <w:sz w:val="22"/>
          <w:szCs w:val="22"/>
          <w:rtl w:val="0"/>
        </w:rPr>
        <w:t xml:space="preserve">Toyota is an established brand; still, the decline in sales figures shows the impact of the COVID-19 on the company. The automotive industry struggled during the COVID-19 too, and then the megatrends like climate change, priority changes regarding the employee well being along with technology prowess has influenced the industry to forge its traditional ways, specifically during the crises and long term impact created by the COVID-19. The industry has utilised some survival and success factor. The survival factor includes shifting towards the digital or online channels, and strategic partnership. The success factors are implying technology to decrease emissions or transform the brands into electric vehicle productions. </w:t>
      </w:r>
    </w:p>
    <w:p w:rsidR="00000000" w:rsidDel="00000000" w:rsidP="00000000" w:rsidRDefault="00000000" w:rsidRPr="00000000" w14:paraId="0000004B">
      <w:pPr>
        <w:rPr>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color w:val="000000"/>
          <w:sz w:val="22"/>
          <w:szCs w:val="22"/>
        </w:rPr>
      </w:pPr>
      <w:bookmarkStart w:colFirst="0" w:colLast="0" w:name="_17dp8vu" w:id="10"/>
      <w:bookmarkEnd w:id="10"/>
      <w:r w:rsidDel="00000000" w:rsidR="00000000" w:rsidRPr="00000000">
        <w:rPr>
          <w:color w:val="000000"/>
          <w:sz w:val="22"/>
          <w:szCs w:val="22"/>
          <w:rtl w:val="0"/>
        </w:rPr>
        <w:t xml:space="preserve">References</w:t>
      </w:r>
    </w:p>
    <w:p w:rsidR="00000000" w:rsidDel="00000000" w:rsidP="00000000" w:rsidRDefault="00000000" w:rsidRPr="00000000" w14:paraId="0000004D">
      <w:pPr>
        <w:rPr>
          <w:color w:val="000000"/>
          <w:sz w:val="22"/>
          <w:szCs w:val="22"/>
        </w:rPr>
      </w:pPr>
      <w:r w:rsidDel="00000000" w:rsidR="00000000" w:rsidRPr="00000000">
        <w:rPr>
          <w:color w:val="000000"/>
          <w:sz w:val="22"/>
          <w:szCs w:val="22"/>
          <w:highlight w:val="white"/>
          <w:rtl w:val="0"/>
        </w:rPr>
        <w:t xml:space="preserve">Alkahtani, N.S., Sulphey, M.M., Delany, K. and Elneel Adow, A.H., 2020. The influence of psychological capital on workplace wellbeing and employee engagement among Saudi workforce. </w:t>
      </w:r>
      <w:r w:rsidDel="00000000" w:rsidR="00000000" w:rsidRPr="00000000">
        <w:rPr>
          <w:i w:val="1"/>
          <w:color w:val="000000"/>
          <w:sz w:val="22"/>
          <w:szCs w:val="22"/>
          <w:highlight w:val="white"/>
          <w:rtl w:val="0"/>
        </w:rPr>
        <w:t xml:space="preserve">Humanities and Social Sciences Reviews</w:t>
      </w:r>
      <w:r w:rsidDel="00000000" w:rsidR="00000000" w:rsidRPr="00000000">
        <w:rPr>
          <w:color w:val="000000"/>
          <w:sz w:val="22"/>
          <w:szCs w:val="22"/>
          <w:highlight w:val="white"/>
          <w:rtl w:val="0"/>
        </w:rPr>
        <w:t xml:space="preserve">, </w:t>
      </w:r>
      <w:r w:rsidDel="00000000" w:rsidR="00000000" w:rsidRPr="00000000">
        <w:rPr>
          <w:i w:val="1"/>
          <w:color w:val="000000"/>
          <w:sz w:val="22"/>
          <w:szCs w:val="22"/>
          <w:highlight w:val="white"/>
          <w:rtl w:val="0"/>
        </w:rPr>
        <w:t xml:space="preserve">8</w:t>
      </w:r>
      <w:r w:rsidDel="00000000" w:rsidR="00000000" w:rsidRPr="00000000">
        <w:rPr>
          <w:color w:val="000000"/>
          <w:sz w:val="22"/>
          <w:szCs w:val="22"/>
          <w:highlight w:val="white"/>
          <w:rtl w:val="0"/>
        </w:rPr>
        <w:t xml:space="preserve">(5), pp.188-200.</w:t>
      </w:r>
      <w:r w:rsidDel="00000000" w:rsidR="00000000" w:rsidRPr="00000000">
        <w:rPr>
          <w:rtl w:val="0"/>
        </w:rPr>
      </w:r>
    </w:p>
    <w:p w:rsidR="00000000" w:rsidDel="00000000" w:rsidP="00000000" w:rsidRDefault="00000000" w:rsidRPr="00000000" w14:paraId="0000004E">
      <w:pPr>
        <w:rPr>
          <w:color w:val="000000"/>
          <w:sz w:val="22"/>
          <w:szCs w:val="22"/>
        </w:rPr>
      </w:pPr>
      <w:r w:rsidDel="00000000" w:rsidR="00000000" w:rsidRPr="00000000">
        <w:rPr>
          <w:color w:val="000000"/>
          <w:sz w:val="22"/>
          <w:szCs w:val="22"/>
          <w:highlight w:val="white"/>
          <w:rtl w:val="0"/>
        </w:rPr>
        <w:t xml:space="preserve">Brenner, B., 2018. Transformative sustainable business models in the light of the digital imperative—A global business economics perspective. </w:t>
      </w:r>
      <w:r w:rsidDel="00000000" w:rsidR="00000000" w:rsidRPr="00000000">
        <w:rPr>
          <w:i w:val="1"/>
          <w:color w:val="000000"/>
          <w:sz w:val="22"/>
          <w:szCs w:val="22"/>
          <w:highlight w:val="white"/>
          <w:rtl w:val="0"/>
        </w:rPr>
        <w:t xml:space="preserve">Sustainability</w:t>
      </w:r>
      <w:r w:rsidDel="00000000" w:rsidR="00000000" w:rsidRPr="00000000">
        <w:rPr>
          <w:color w:val="000000"/>
          <w:sz w:val="22"/>
          <w:szCs w:val="22"/>
          <w:highlight w:val="white"/>
          <w:rtl w:val="0"/>
        </w:rPr>
        <w:t xml:space="preserve">, </w:t>
      </w:r>
      <w:r w:rsidDel="00000000" w:rsidR="00000000" w:rsidRPr="00000000">
        <w:rPr>
          <w:i w:val="1"/>
          <w:color w:val="000000"/>
          <w:sz w:val="22"/>
          <w:szCs w:val="22"/>
          <w:highlight w:val="white"/>
          <w:rtl w:val="0"/>
        </w:rPr>
        <w:t xml:space="preserve">10</w:t>
      </w:r>
      <w:r w:rsidDel="00000000" w:rsidR="00000000" w:rsidRPr="00000000">
        <w:rPr>
          <w:color w:val="000000"/>
          <w:sz w:val="22"/>
          <w:szCs w:val="22"/>
          <w:highlight w:val="white"/>
          <w:rtl w:val="0"/>
        </w:rPr>
        <w:t xml:space="preserve">(12), p.4428.</w:t>
      </w:r>
      <w:r w:rsidDel="00000000" w:rsidR="00000000" w:rsidRPr="00000000">
        <w:rPr>
          <w:rtl w:val="0"/>
        </w:rPr>
      </w:r>
    </w:p>
    <w:p w:rsidR="00000000" w:rsidDel="00000000" w:rsidP="00000000" w:rsidRDefault="00000000" w:rsidRPr="00000000" w14:paraId="0000004F">
      <w:pPr>
        <w:rPr>
          <w:color w:val="000000"/>
          <w:sz w:val="22"/>
          <w:szCs w:val="22"/>
        </w:rPr>
      </w:pPr>
      <w:r w:rsidDel="00000000" w:rsidR="00000000" w:rsidRPr="00000000">
        <w:rPr>
          <w:color w:val="000000"/>
          <w:sz w:val="22"/>
          <w:szCs w:val="22"/>
          <w:rtl w:val="0"/>
        </w:rPr>
        <w:t xml:space="preserve">Calvert, S. L., 2020, </w:t>
      </w:r>
      <w:r w:rsidDel="00000000" w:rsidR="00000000" w:rsidRPr="00000000">
        <w:rPr>
          <w:i w:val="1"/>
          <w:color w:val="000000"/>
          <w:sz w:val="22"/>
          <w:szCs w:val="22"/>
          <w:rtl w:val="0"/>
        </w:rPr>
        <w:t xml:space="preserve">Climate risk and the auto sector: The impact of changing consumer demand </w:t>
      </w:r>
      <w:r w:rsidDel="00000000" w:rsidR="00000000" w:rsidRPr="00000000">
        <w:rPr>
          <w:color w:val="000000"/>
          <w:sz w:val="22"/>
          <w:szCs w:val="22"/>
          <w:rtl w:val="0"/>
        </w:rPr>
        <w:t xml:space="preserve">[Online] Available at: https://www.refinitiv.com/perspectives/future-of-investing-trading/climate-risk-and-the-auto-sector-the-impact-of-changing-consumer-demand/[Accessed 12 March 2022]</w:t>
      </w:r>
    </w:p>
    <w:p w:rsidR="00000000" w:rsidDel="00000000" w:rsidP="00000000" w:rsidRDefault="00000000" w:rsidRPr="00000000" w14:paraId="00000050">
      <w:pPr>
        <w:rPr>
          <w:color w:val="000000"/>
          <w:sz w:val="22"/>
          <w:szCs w:val="22"/>
        </w:rPr>
      </w:pPr>
      <w:r w:rsidDel="00000000" w:rsidR="00000000" w:rsidRPr="00000000">
        <w:rPr>
          <w:color w:val="000000"/>
          <w:sz w:val="22"/>
          <w:szCs w:val="22"/>
          <w:rtl w:val="0"/>
        </w:rPr>
        <w:t xml:space="preserve">Carlier, M., 2022</w:t>
      </w:r>
      <w:r w:rsidDel="00000000" w:rsidR="00000000" w:rsidRPr="00000000">
        <w:rPr>
          <w:i w:val="1"/>
          <w:color w:val="000000"/>
          <w:sz w:val="22"/>
          <w:szCs w:val="22"/>
          <w:rtl w:val="0"/>
        </w:rPr>
        <w:t xml:space="preserve">, Impact of COVID-19 on the automotive industry worldwide - Statistics &amp; Facts </w:t>
      </w:r>
      <w:r w:rsidDel="00000000" w:rsidR="00000000" w:rsidRPr="00000000">
        <w:rPr>
          <w:color w:val="000000"/>
          <w:sz w:val="22"/>
          <w:szCs w:val="22"/>
          <w:rtl w:val="0"/>
        </w:rPr>
        <w:t xml:space="preserve">[Online] Available at: https://www.statista.com/topics/8749/impact-of-covid-19-on-the-automotive-industry-worldwide/#topicHeader__wrapper [Accessed 12 March 2022]</w:t>
      </w:r>
    </w:p>
    <w:p w:rsidR="00000000" w:rsidDel="00000000" w:rsidP="00000000" w:rsidRDefault="00000000" w:rsidRPr="00000000" w14:paraId="00000051">
      <w:pPr>
        <w:rPr>
          <w:color w:val="000000"/>
          <w:sz w:val="22"/>
          <w:szCs w:val="22"/>
        </w:rPr>
      </w:pPr>
      <w:r w:rsidDel="00000000" w:rsidR="00000000" w:rsidRPr="00000000">
        <w:rPr>
          <w:color w:val="000000"/>
          <w:sz w:val="22"/>
          <w:szCs w:val="22"/>
          <w:rtl w:val="0"/>
        </w:rPr>
        <w:t xml:space="preserve">Carlier, M., 2022</w:t>
      </w:r>
      <w:r w:rsidDel="00000000" w:rsidR="00000000" w:rsidRPr="00000000">
        <w:rPr>
          <w:i w:val="1"/>
          <w:color w:val="000000"/>
          <w:sz w:val="22"/>
          <w:szCs w:val="22"/>
          <w:rtl w:val="0"/>
        </w:rPr>
        <w:t xml:space="preserve">, Toyota - Statistics &amp; Facts </w:t>
      </w:r>
      <w:r w:rsidDel="00000000" w:rsidR="00000000" w:rsidRPr="00000000">
        <w:rPr>
          <w:color w:val="000000"/>
          <w:sz w:val="22"/>
          <w:szCs w:val="22"/>
          <w:rtl w:val="0"/>
        </w:rPr>
        <w:t xml:space="preserve">[Online] Available at: https://www.statista.com/topics/1893/toyota/#topicHeader__wrapper [Accessed 12 March 2022]</w:t>
      </w:r>
    </w:p>
    <w:p w:rsidR="00000000" w:rsidDel="00000000" w:rsidP="00000000" w:rsidRDefault="00000000" w:rsidRPr="00000000" w14:paraId="00000052">
      <w:pPr>
        <w:rPr>
          <w:color w:val="000000"/>
          <w:sz w:val="22"/>
          <w:szCs w:val="22"/>
        </w:rPr>
      </w:pPr>
      <w:r w:rsidDel="00000000" w:rsidR="00000000" w:rsidRPr="00000000">
        <w:rPr>
          <w:color w:val="000000"/>
          <w:sz w:val="22"/>
          <w:szCs w:val="22"/>
          <w:rtl w:val="0"/>
        </w:rPr>
        <w:t xml:space="preserve">Carlier, M., 2022</w:t>
      </w:r>
      <w:r w:rsidDel="00000000" w:rsidR="00000000" w:rsidRPr="00000000">
        <w:rPr>
          <w:i w:val="1"/>
          <w:color w:val="000000"/>
          <w:sz w:val="22"/>
          <w:szCs w:val="22"/>
          <w:rtl w:val="0"/>
        </w:rPr>
        <w:t xml:space="preserve">, Toyota global vehicle sales 2017-2021</w:t>
      </w:r>
      <w:r w:rsidDel="00000000" w:rsidR="00000000" w:rsidRPr="00000000">
        <w:rPr>
          <w:color w:val="000000"/>
          <w:sz w:val="22"/>
          <w:szCs w:val="22"/>
          <w:rtl w:val="0"/>
        </w:rPr>
        <w:t xml:space="preserve"> [Online] Available at: https://www.statista.com/statistics/267274/worldwide-vehicle-sales-of-toyota-since-2007/ [Accessed 12 March 2022]</w:t>
      </w:r>
    </w:p>
    <w:p w:rsidR="00000000" w:rsidDel="00000000" w:rsidP="00000000" w:rsidRDefault="00000000" w:rsidRPr="00000000" w14:paraId="00000053">
      <w:pPr>
        <w:rPr>
          <w:color w:val="000000"/>
          <w:sz w:val="22"/>
          <w:szCs w:val="22"/>
          <w:highlight w:val="white"/>
        </w:rPr>
      </w:pPr>
      <w:r w:rsidDel="00000000" w:rsidR="00000000" w:rsidRPr="00000000">
        <w:rPr>
          <w:color w:val="000000"/>
          <w:sz w:val="22"/>
          <w:szCs w:val="22"/>
          <w:highlight w:val="white"/>
          <w:rtl w:val="0"/>
        </w:rPr>
        <w:t xml:space="preserve">Cavusgil, S.T., 2022. Megatrends and international business. In </w:t>
      </w:r>
      <w:r w:rsidDel="00000000" w:rsidR="00000000" w:rsidRPr="00000000">
        <w:rPr>
          <w:i w:val="1"/>
          <w:color w:val="000000"/>
          <w:sz w:val="22"/>
          <w:szCs w:val="22"/>
          <w:highlight w:val="white"/>
          <w:rtl w:val="0"/>
        </w:rPr>
        <w:t xml:space="preserve">Megatrends in international business</w:t>
      </w:r>
      <w:r w:rsidDel="00000000" w:rsidR="00000000" w:rsidRPr="00000000">
        <w:rPr>
          <w:color w:val="000000"/>
          <w:sz w:val="22"/>
          <w:szCs w:val="22"/>
          <w:highlight w:val="white"/>
          <w:rtl w:val="0"/>
        </w:rPr>
        <w:t xml:space="preserve"> (pp. 11-21). Palgrave Macmillan, Cham.</w:t>
      </w:r>
    </w:p>
    <w:p w:rsidR="00000000" w:rsidDel="00000000" w:rsidP="00000000" w:rsidRDefault="00000000" w:rsidRPr="00000000" w14:paraId="00000054">
      <w:pPr>
        <w:rPr>
          <w:color w:val="000000"/>
          <w:sz w:val="22"/>
          <w:szCs w:val="22"/>
        </w:rPr>
      </w:pPr>
      <w:r w:rsidDel="00000000" w:rsidR="00000000" w:rsidRPr="00000000">
        <w:rPr>
          <w:color w:val="000000"/>
          <w:sz w:val="22"/>
          <w:szCs w:val="22"/>
          <w:rtl w:val="0"/>
        </w:rPr>
        <w:t xml:space="preserve">fastradius.com, 2022,</w:t>
      </w:r>
      <w:r w:rsidDel="00000000" w:rsidR="00000000" w:rsidRPr="00000000">
        <w:rPr>
          <w:i w:val="1"/>
          <w:color w:val="000000"/>
          <w:sz w:val="22"/>
          <w:szCs w:val="22"/>
          <w:rtl w:val="0"/>
        </w:rPr>
        <w:t xml:space="preserve"> How additive manufacturing is used in the automotive industry </w:t>
      </w:r>
      <w:r w:rsidDel="00000000" w:rsidR="00000000" w:rsidRPr="00000000">
        <w:rPr>
          <w:color w:val="000000"/>
          <w:sz w:val="22"/>
          <w:szCs w:val="22"/>
          <w:rtl w:val="0"/>
        </w:rPr>
        <w:t xml:space="preserve">[Online] Available at: https://www.fastradius.com/resources/how-additive-used-in-automotive-industry/ [Accessed 12 March 2022]</w:t>
      </w:r>
    </w:p>
    <w:p w:rsidR="00000000" w:rsidDel="00000000" w:rsidP="00000000" w:rsidRDefault="00000000" w:rsidRPr="00000000" w14:paraId="00000055">
      <w:pPr>
        <w:rPr>
          <w:color w:val="000000"/>
          <w:sz w:val="22"/>
          <w:szCs w:val="22"/>
          <w:highlight w:val="white"/>
        </w:rPr>
      </w:pPr>
      <w:r w:rsidDel="00000000" w:rsidR="00000000" w:rsidRPr="00000000">
        <w:rPr>
          <w:color w:val="000000"/>
          <w:sz w:val="22"/>
          <w:szCs w:val="22"/>
          <w:highlight w:val="white"/>
          <w:rtl w:val="0"/>
        </w:rPr>
        <w:t xml:space="preserve">Gupta, S., Modgil, S., Gunasekaran, A. and Bag, S., 2020, July. Dynamic capabilities and institutional theories for Industry 4.0 and digital supply chain. In </w:t>
      </w:r>
      <w:r w:rsidDel="00000000" w:rsidR="00000000" w:rsidRPr="00000000">
        <w:rPr>
          <w:i w:val="1"/>
          <w:color w:val="000000"/>
          <w:sz w:val="22"/>
          <w:szCs w:val="22"/>
          <w:highlight w:val="white"/>
          <w:rtl w:val="0"/>
        </w:rPr>
        <w:t xml:space="preserve">Supply Chain Forum: An International Journal</w:t>
      </w:r>
      <w:r w:rsidDel="00000000" w:rsidR="00000000" w:rsidRPr="00000000">
        <w:rPr>
          <w:color w:val="000000"/>
          <w:sz w:val="22"/>
          <w:szCs w:val="22"/>
          <w:highlight w:val="white"/>
          <w:rtl w:val="0"/>
        </w:rPr>
        <w:t xml:space="preserve"> (Vol. 21, No. 3, pp. 139-157). Taylor &amp; Francis.</w:t>
      </w:r>
    </w:p>
    <w:p w:rsidR="00000000" w:rsidDel="00000000" w:rsidP="00000000" w:rsidRDefault="00000000" w:rsidRPr="00000000" w14:paraId="00000056">
      <w:pPr>
        <w:rPr>
          <w:i w:val="1"/>
          <w:color w:val="000000"/>
          <w:sz w:val="22"/>
          <w:szCs w:val="22"/>
        </w:rPr>
      </w:pPr>
      <w:r w:rsidDel="00000000" w:rsidR="00000000" w:rsidRPr="00000000">
        <w:rPr>
          <w:color w:val="000000"/>
          <w:sz w:val="22"/>
          <w:szCs w:val="22"/>
          <w:rtl w:val="0"/>
        </w:rPr>
        <w:t xml:space="preserve">Hawkins, J. A., 2021, </w:t>
      </w:r>
      <w:r w:rsidDel="00000000" w:rsidR="00000000" w:rsidRPr="00000000">
        <w:rPr>
          <w:i w:val="1"/>
          <w:color w:val="000000"/>
          <w:sz w:val="22"/>
          <w:szCs w:val="22"/>
          <w:rtl w:val="0"/>
        </w:rPr>
        <w:t xml:space="preserve">Toyota’s electric vehicle plans are getting bigger and more expensive </w:t>
      </w:r>
      <w:r w:rsidDel="00000000" w:rsidR="00000000" w:rsidRPr="00000000">
        <w:rPr>
          <w:color w:val="000000"/>
          <w:sz w:val="22"/>
          <w:szCs w:val="22"/>
          <w:rtl w:val="0"/>
        </w:rPr>
        <w:t xml:space="preserve">[Online] Available at: https://www.theverge.com/2021/12/14/22833997/toyota-ev-investment-lexus-concept-vehicles [Accessed 12 March 2022]</w:t>
      </w:r>
      <w:r w:rsidDel="00000000" w:rsidR="00000000" w:rsidRPr="00000000">
        <w:rPr>
          <w:rtl w:val="0"/>
        </w:rPr>
      </w:r>
    </w:p>
    <w:p w:rsidR="00000000" w:rsidDel="00000000" w:rsidP="00000000" w:rsidRDefault="00000000" w:rsidRPr="00000000" w14:paraId="00000057">
      <w:pPr>
        <w:rPr>
          <w:i w:val="1"/>
          <w:color w:val="000000"/>
          <w:sz w:val="22"/>
          <w:szCs w:val="22"/>
        </w:rPr>
      </w:pPr>
      <w:r w:rsidDel="00000000" w:rsidR="00000000" w:rsidRPr="00000000">
        <w:rPr>
          <w:color w:val="000000"/>
          <w:sz w:val="22"/>
          <w:szCs w:val="22"/>
          <w:rtl w:val="0"/>
        </w:rPr>
        <w:t xml:space="preserve">Hofstätter, T., 2020,</w:t>
      </w:r>
      <w:r w:rsidDel="00000000" w:rsidR="00000000" w:rsidRPr="00000000">
        <w:rPr>
          <w:i w:val="1"/>
          <w:color w:val="000000"/>
          <w:sz w:val="22"/>
          <w:szCs w:val="22"/>
          <w:rtl w:val="0"/>
        </w:rPr>
        <w:t xml:space="preserve"> Reimagining the auto industry’s future: It’s now or neve </w:t>
      </w:r>
      <w:r w:rsidDel="00000000" w:rsidR="00000000" w:rsidRPr="00000000">
        <w:rPr>
          <w:color w:val="000000"/>
          <w:sz w:val="22"/>
          <w:szCs w:val="22"/>
          <w:rtl w:val="0"/>
        </w:rPr>
        <w:t xml:space="preserve">[Online] Available at: https://www.mckinsey.com/industries/automotive-and-assembly/our-insights/reimagining-the-auto-industrys-future-its-now-or-never[Accessed 12 March 2022]</w:t>
      </w:r>
      <w:r w:rsidDel="00000000" w:rsidR="00000000" w:rsidRPr="00000000">
        <w:rPr>
          <w:rtl w:val="0"/>
        </w:rPr>
      </w:r>
    </w:p>
    <w:p w:rsidR="00000000" w:rsidDel="00000000" w:rsidP="00000000" w:rsidRDefault="00000000" w:rsidRPr="00000000" w14:paraId="00000058">
      <w:pPr>
        <w:rPr>
          <w:color w:val="000000"/>
          <w:sz w:val="22"/>
          <w:szCs w:val="22"/>
        </w:rPr>
      </w:pPr>
      <w:r w:rsidDel="00000000" w:rsidR="00000000" w:rsidRPr="00000000">
        <w:rPr>
          <w:color w:val="000000"/>
          <w:sz w:val="22"/>
          <w:szCs w:val="22"/>
          <w:highlight w:val="white"/>
          <w:rtl w:val="0"/>
        </w:rPr>
        <w:t xml:space="preserve">Jamali, D., Barkemeyer, R., Leigh, J. and Samara, G., 2020. Open access, open science, and coronavirus: Mega trends with historical proportions. </w:t>
      </w:r>
      <w:r w:rsidDel="00000000" w:rsidR="00000000" w:rsidRPr="00000000">
        <w:rPr>
          <w:i w:val="1"/>
          <w:color w:val="000000"/>
          <w:sz w:val="22"/>
          <w:szCs w:val="22"/>
          <w:highlight w:val="white"/>
          <w:rtl w:val="0"/>
        </w:rPr>
        <w:t xml:space="preserve">Business Ethics (Oxford, England)</w:t>
      </w:r>
      <w:r w:rsidDel="00000000" w:rsidR="00000000" w:rsidRPr="00000000">
        <w:rPr>
          <w:color w:val="000000"/>
          <w:sz w:val="22"/>
          <w:szCs w:val="22"/>
          <w:highlight w:val="white"/>
          <w:rtl w:val="0"/>
        </w:rPr>
        <w:t xml:space="preserve">.</w:t>
      </w:r>
      <w:r w:rsidDel="00000000" w:rsidR="00000000" w:rsidRPr="00000000">
        <w:rPr>
          <w:rtl w:val="0"/>
        </w:rPr>
      </w:r>
    </w:p>
    <w:p w:rsidR="00000000" w:rsidDel="00000000" w:rsidP="00000000" w:rsidRDefault="00000000" w:rsidRPr="00000000" w14:paraId="00000059">
      <w:pPr>
        <w:rPr>
          <w:color w:val="000000"/>
          <w:sz w:val="22"/>
          <w:szCs w:val="22"/>
          <w:highlight w:val="white"/>
        </w:rPr>
      </w:pPr>
      <w:r w:rsidDel="00000000" w:rsidR="00000000" w:rsidRPr="00000000">
        <w:rPr>
          <w:color w:val="000000"/>
          <w:sz w:val="22"/>
          <w:szCs w:val="22"/>
          <w:highlight w:val="white"/>
          <w:rtl w:val="0"/>
        </w:rPr>
        <w:t xml:space="preserve">Klebaner, S., 2018. Isolated car manufacturers? The political positions of the automotive industry on the real driving emissions regulation. </w:t>
      </w:r>
      <w:r w:rsidDel="00000000" w:rsidR="00000000" w:rsidRPr="00000000">
        <w:rPr>
          <w:i w:val="1"/>
          <w:color w:val="000000"/>
          <w:sz w:val="22"/>
          <w:szCs w:val="22"/>
          <w:highlight w:val="white"/>
          <w:rtl w:val="0"/>
        </w:rPr>
        <w:t xml:space="preserve">International Journal of Automotive Technology and Management</w:t>
      </w:r>
      <w:r w:rsidDel="00000000" w:rsidR="00000000" w:rsidRPr="00000000">
        <w:rPr>
          <w:color w:val="000000"/>
          <w:sz w:val="22"/>
          <w:szCs w:val="22"/>
          <w:highlight w:val="white"/>
          <w:rtl w:val="0"/>
        </w:rPr>
        <w:t xml:space="preserve">, </w:t>
      </w:r>
      <w:r w:rsidDel="00000000" w:rsidR="00000000" w:rsidRPr="00000000">
        <w:rPr>
          <w:i w:val="1"/>
          <w:color w:val="000000"/>
          <w:sz w:val="22"/>
          <w:szCs w:val="22"/>
          <w:highlight w:val="white"/>
          <w:rtl w:val="0"/>
        </w:rPr>
        <w:t xml:space="preserve">18</w:t>
      </w:r>
      <w:r w:rsidDel="00000000" w:rsidR="00000000" w:rsidRPr="00000000">
        <w:rPr>
          <w:color w:val="000000"/>
          <w:sz w:val="22"/>
          <w:szCs w:val="22"/>
          <w:highlight w:val="white"/>
          <w:rtl w:val="0"/>
        </w:rPr>
        <w:t xml:space="preserve">(2), pp.119-141.</w:t>
      </w:r>
    </w:p>
    <w:p w:rsidR="00000000" w:rsidDel="00000000" w:rsidP="00000000" w:rsidRDefault="00000000" w:rsidRPr="00000000" w14:paraId="0000005A">
      <w:pPr>
        <w:rPr>
          <w:color w:val="000000"/>
          <w:sz w:val="22"/>
          <w:szCs w:val="22"/>
        </w:rPr>
      </w:pPr>
      <w:r w:rsidDel="00000000" w:rsidR="00000000" w:rsidRPr="00000000">
        <w:rPr>
          <w:color w:val="000000"/>
          <w:sz w:val="22"/>
          <w:szCs w:val="22"/>
          <w:rtl w:val="0"/>
        </w:rPr>
        <w:t xml:space="preserve">mckinsey.com, 2020,</w:t>
      </w:r>
      <w:r w:rsidDel="00000000" w:rsidR="00000000" w:rsidRPr="00000000">
        <w:rPr>
          <w:i w:val="1"/>
          <w:color w:val="000000"/>
          <w:sz w:val="22"/>
          <w:szCs w:val="22"/>
          <w:rtl w:val="0"/>
        </w:rPr>
        <w:t xml:space="preserve"> Reimagining the auto industry’s future: It’s now or neve </w:t>
      </w:r>
      <w:r w:rsidDel="00000000" w:rsidR="00000000" w:rsidRPr="00000000">
        <w:rPr>
          <w:color w:val="000000"/>
          <w:sz w:val="22"/>
          <w:szCs w:val="22"/>
          <w:rtl w:val="0"/>
        </w:rPr>
        <w:t xml:space="preserve">[Online] Available at: https://www.mckinsey.com/industries/automotive-and-assembly/our-insights/reimagining-the-auto-industrys-future-its-now-or-never [Accessed 12 March 2022]</w:t>
      </w:r>
    </w:p>
    <w:p w:rsidR="00000000" w:rsidDel="00000000" w:rsidP="00000000" w:rsidRDefault="00000000" w:rsidRPr="00000000" w14:paraId="0000005B">
      <w:pPr>
        <w:rPr>
          <w:color w:val="000000"/>
          <w:sz w:val="22"/>
          <w:szCs w:val="22"/>
        </w:rPr>
      </w:pPr>
      <w:r w:rsidDel="00000000" w:rsidR="00000000" w:rsidRPr="00000000">
        <w:rPr>
          <w:color w:val="000000"/>
          <w:sz w:val="22"/>
          <w:szCs w:val="22"/>
          <w:rtl w:val="0"/>
        </w:rPr>
        <w:t xml:space="preserve">moodys.com, 2021,</w:t>
      </w:r>
      <w:r w:rsidDel="00000000" w:rsidR="00000000" w:rsidRPr="00000000">
        <w:rPr>
          <w:i w:val="1"/>
          <w:color w:val="000000"/>
          <w:sz w:val="22"/>
          <w:szCs w:val="22"/>
          <w:rtl w:val="0"/>
        </w:rPr>
        <w:t xml:space="preserve"> Coronavirus Effects </w:t>
      </w:r>
      <w:r w:rsidDel="00000000" w:rsidR="00000000" w:rsidRPr="00000000">
        <w:rPr>
          <w:color w:val="000000"/>
          <w:sz w:val="22"/>
          <w:szCs w:val="22"/>
          <w:rtl w:val="0"/>
        </w:rPr>
        <w:t xml:space="preserve">[Online] Available at: https://www.moodys.com/newsandevents/topics/Coronavirus-Effects-007054 [Accessed 12 March 2022]</w:t>
      </w:r>
    </w:p>
    <w:p w:rsidR="00000000" w:rsidDel="00000000" w:rsidP="00000000" w:rsidRDefault="00000000" w:rsidRPr="00000000" w14:paraId="0000005C">
      <w:pPr>
        <w:rPr>
          <w:color w:val="000000"/>
          <w:sz w:val="22"/>
          <w:szCs w:val="22"/>
        </w:rPr>
      </w:pPr>
      <w:r w:rsidDel="00000000" w:rsidR="00000000" w:rsidRPr="00000000">
        <w:rPr>
          <w:color w:val="000000"/>
          <w:sz w:val="22"/>
          <w:szCs w:val="22"/>
          <w:rtl w:val="0"/>
        </w:rPr>
        <w:t xml:space="preserve">moodys.com, 2021,</w:t>
      </w:r>
      <w:r w:rsidDel="00000000" w:rsidR="00000000" w:rsidRPr="00000000">
        <w:rPr>
          <w:i w:val="1"/>
          <w:color w:val="000000"/>
          <w:sz w:val="22"/>
          <w:szCs w:val="22"/>
          <w:rtl w:val="0"/>
        </w:rPr>
        <w:t xml:space="preserve"> Global credit conditions will stabilize in 2022 as COVID-19 uncertainties ease </w:t>
      </w:r>
      <w:r w:rsidDel="00000000" w:rsidR="00000000" w:rsidRPr="00000000">
        <w:rPr>
          <w:color w:val="000000"/>
          <w:sz w:val="22"/>
          <w:szCs w:val="22"/>
          <w:rtl w:val="0"/>
        </w:rPr>
        <w:t xml:space="preserve">[Online] Available at: https://www.moodys.com/newsandevents/topics/Coronavirus-Effects-007054 [Accessed 12 March 2022]</w:t>
      </w:r>
    </w:p>
    <w:p w:rsidR="00000000" w:rsidDel="00000000" w:rsidP="00000000" w:rsidRDefault="00000000" w:rsidRPr="00000000" w14:paraId="0000005D">
      <w:pPr>
        <w:rPr>
          <w:i w:val="1"/>
          <w:color w:val="000000"/>
          <w:sz w:val="22"/>
          <w:szCs w:val="22"/>
        </w:rPr>
      </w:pPr>
      <w:r w:rsidDel="00000000" w:rsidR="00000000" w:rsidRPr="00000000">
        <w:rPr>
          <w:color w:val="000000"/>
          <w:sz w:val="22"/>
          <w:szCs w:val="22"/>
          <w:rtl w:val="0"/>
        </w:rPr>
        <w:t xml:space="preserve">motorbeam.com, 2021,</w:t>
      </w:r>
      <w:r w:rsidDel="00000000" w:rsidR="00000000" w:rsidRPr="00000000">
        <w:rPr>
          <w:i w:val="1"/>
          <w:color w:val="000000"/>
          <w:sz w:val="22"/>
          <w:szCs w:val="22"/>
          <w:rtl w:val="0"/>
        </w:rPr>
        <w:t xml:space="preserve"> Toyota To Pay Over Rs. 1300 Crores To US Govt Over Emissions Scandal </w:t>
      </w:r>
      <w:r w:rsidDel="00000000" w:rsidR="00000000" w:rsidRPr="00000000">
        <w:rPr>
          <w:color w:val="000000"/>
          <w:sz w:val="22"/>
          <w:szCs w:val="22"/>
          <w:rtl w:val="0"/>
        </w:rPr>
        <w:t xml:space="preserve">[Online] Available at: https://www.motorbeam.com/toyota-to-pay-over-rs-1300-crores-to-us-govt-over-emissions-scandal/</w:t>
      </w:r>
      <w:r w:rsidDel="00000000" w:rsidR="00000000" w:rsidRPr="00000000">
        <w:rPr>
          <w:rtl w:val="0"/>
        </w:rPr>
      </w:r>
    </w:p>
    <w:p w:rsidR="00000000" w:rsidDel="00000000" w:rsidP="00000000" w:rsidRDefault="00000000" w:rsidRPr="00000000" w14:paraId="0000005E">
      <w:pPr>
        <w:rPr>
          <w:color w:val="000000"/>
          <w:sz w:val="22"/>
          <w:szCs w:val="22"/>
        </w:rPr>
      </w:pPr>
      <w:r w:rsidDel="00000000" w:rsidR="00000000" w:rsidRPr="00000000">
        <w:rPr>
          <w:color w:val="000000"/>
          <w:sz w:val="22"/>
          <w:szCs w:val="22"/>
          <w:rtl w:val="0"/>
        </w:rPr>
        <w:t xml:space="preserve">parts.toyota.com, 2022,</w:t>
      </w:r>
      <w:r w:rsidDel="00000000" w:rsidR="00000000" w:rsidRPr="00000000">
        <w:rPr>
          <w:i w:val="1"/>
          <w:color w:val="000000"/>
          <w:sz w:val="22"/>
          <w:szCs w:val="22"/>
          <w:rtl w:val="0"/>
        </w:rPr>
        <w:t xml:space="preserve"> LABEL, EMISSION CONTROL INFORMATION Toyota Camry </w:t>
      </w:r>
      <w:r w:rsidDel="00000000" w:rsidR="00000000" w:rsidRPr="00000000">
        <w:rPr>
          <w:color w:val="000000"/>
          <w:sz w:val="22"/>
          <w:szCs w:val="22"/>
          <w:rtl w:val="0"/>
        </w:rPr>
        <w:t xml:space="preserve">[Online] Available at: https://parts.toyota.com/t/Toyota__Camry/LABEL--EMISSION-CONTROL-INFORMATION.html</w:t>
      </w:r>
    </w:p>
    <w:p w:rsidR="00000000" w:rsidDel="00000000" w:rsidP="00000000" w:rsidRDefault="00000000" w:rsidRPr="00000000" w14:paraId="0000005F">
      <w:pPr>
        <w:rPr>
          <w:color w:val="000000"/>
          <w:sz w:val="22"/>
          <w:szCs w:val="22"/>
        </w:rPr>
      </w:pPr>
      <w:r w:rsidDel="00000000" w:rsidR="00000000" w:rsidRPr="00000000">
        <w:rPr>
          <w:color w:val="000000"/>
          <w:sz w:val="22"/>
          <w:szCs w:val="22"/>
          <w:highlight w:val="white"/>
          <w:rtl w:val="0"/>
        </w:rPr>
        <w:t xml:space="preserve">Tkach, D.V.Y. and Kurpayanidi, K.I., 2020. SOME QUESTIONS ABOUT THE IMPACT OF THE COVID-19 PANDEMIC ON THE DEVELOPMENT OF BUSINESS ENTITIES. </w:t>
      </w:r>
      <w:r w:rsidDel="00000000" w:rsidR="00000000" w:rsidRPr="00000000">
        <w:rPr>
          <w:i w:val="1"/>
          <w:color w:val="000000"/>
          <w:sz w:val="22"/>
          <w:szCs w:val="22"/>
          <w:highlight w:val="white"/>
          <w:rtl w:val="0"/>
        </w:rPr>
        <w:t xml:space="preserve">Theoretical &amp; Applied Science</w:t>
      </w:r>
      <w:r w:rsidDel="00000000" w:rsidR="00000000" w:rsidRPr="00000000">
        <w:rPr>
          <w:color w:val="000000"/>
          <w:sz w:val="22"/>
          <w:szCs w:val="22"/>
          <w:highlight w:val="white"/>
          <w:rtl w:val="0"/>
        </w:rPr>
        <w:t xml:space="preserve">, (11), pp.1-4.</w:t>
      </w:r>
      <w:r w:rsidDel="00000000" w:rsidR="00000000" w:rsidRPr="00000000">
        <w:rPr>
          <w:rtl w:val="0"/>
        </w:rPr>
      </w:r>
    </w:p>
    <w:p w:rsidR="00000000" w:rsidDel="00000000" w:rsidP="00000000" w:rsidRDefault="00000000" w:rsidRPr="00000000" w14:paraId="00000060">
      <w:pPr>
        <w:rPr>
          <w:color w:val="000000"/>
          <w:sz w:val="22"/>
          <w:szCs w:val="22"/>
        </w:rPr>
      </w:pPr>
      <w:r w:rsidDel="00000000" w:rsidR="00000000" w:rsidRPr="00000000">
        <w:rPr>
          <w:rtl w:val="0"/>
        </w:rPr>
      </w:r>
    </w:p>
    <w:p w:rsidR="00000000" w:rsidDel="00000000" w:rsidP="00000000" w:rsidRDefault="00000000" w:rsidRPr="00000000" w14:paraId="00000061">
      <w:pPr>
        <w:rPr>
          <w:color w:val="000000"/>
          <w:sz w:val="22"/>
          <w:szCs w:val="22"/>
        </w:rPr>
      </w:pPr>
      <w:r w:rsidDel="00000000" w:rsidR="00000000" w:rsidRPr="00000000">
        <w:rPr>
          <w:rtl w:val="0"/>
        </w:rPr>
      </w:r>
    </w:p>
    <w:p w:rsidR="00000000" w:rsidDel="00000000" w:rsidP="00000000" w:rsidRDefault="00000000" w:rsidRPr="00000000" w14:paraId="00000062">
      <w:pPr>
        <w:rPr>
          <w:i w:val="1"/>
          <w:color w:val="000000"/>
          <w:sz w:val="22"/>
          <w:szCs w:val="22"/>
        </w:rPr>
      </w:pPr>
      <w:r w:rsidDel="00000000" w:rsidR="00000000" w:rsidRPr="00000000">
        <w:rPr>
          <w:rtl w:val="0"/>
        </w:rPr>
      </w:r>
    </w:p>
    <w:p w:rsidR="00000000" w:rsidDel="00000000" w:rsidP="00000000" w:rsidRDefault="00000000" w:rsidRPr="00000000" w14:paraId="00000063">
      <w:pPr>
        <w:rPr>
          <w:color w:val="000000"/>
          <w:sz w:val="14"/>
          <w:szCs w:val="14"/>
        </w:rPr>
      </w:pPr>
      <w:r w:rsidDel="00000000" w:rsidR="00000000" w:rsidRPr="00000000">
        <w:rPr>
          <w:rtl w:val="0"/>
        </w:rPr>
      </w:r>
    </w:p>
    <w:p w:rsidR="00000000" w:rsidDel="00000000" w:rsidP="00000000" w:rsidRDefault="00000000" w:rsidRPr="00000000" w14:paraId="00000064">
      <w:pPr>
        <w:rPr>
          <w:color w:val="000000"/>
        </w:rPr>
      </w:pPr>
      <w:r w:rsidDel="00000000" w:rsidR="00000000" w:rsidRPr="00000000">
        <w:rPr>
          <w:rtl w:val="0"/>
        </w:rPr>
      </w:r>
    </w:p>
    <w:sectPr>
      <w:footerReference r:id="rId9" w:type="default"/>
      <w:footerReference r:id="rId10" w:type="firs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tabs>
        <w:tab w:val="center" w:pos="4513"/>
        <w:tab w:val="right"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jc w:val="center"/>
    </w:pPr>
    <w:rPr>
      <w:b w:val="1"/>
      <w:sz w:val="36"/>
      <w:szCs w:val="36"/>
    </w:rPr>
  </w:style>
  <w:style w:type="paragraph" w:styleId="Subtitle">
    <w:name w:val="Subtitle"/>
    <w:basedOn w:val="Normal"/>
    <w:next w:val="Normal"/>
    <w:pPr/>
    <w:rPr>
      <w:i w:val="1"/>
      <w:color w:val="4f81bd"/>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