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6A3F98CF" w:rsidR="00D731C3" w:rsidRPr="00DD5969" w:rsidRDefault="00D731C3" w:rsidP="00D731C3">
      <w:pPr>
        <w:spacing w:before="3"/>
        <w:rPr>
          <w:rFonts w:ascii="Arial"/>
          <w:b/>
          <w:sz w:val="48"/>
          <w:szCs w:val="48"/>
        </w:rPr>
      </w:pPr>
      <w:r w:rsidRPr="00DD5969">
        <w:rPr>
          <w:rFonts w:ascii="Arial"/>
          <w:b/>
          <w:sz w:val="48"/>
          <w:szCs w:val="48"/>
        </w:rPr>
        <w:t>STUDENT NAME:</w:t>
      </w:r>
      <w:r w:rsidR="00A2694F">
        <w:rPr>
          <w:rFonts w:ascii="Arial"/>
          <w:b/>
          <w:sz w:val="48"/>
          <w:szCs w:val="48"/>
        </w:rPr>
        <w:t xml:space="preserve"> AYSAN BULBUL</w:t>
      </w:r>
    </w:p>
    <w:p w14:paraId="0D47E8B5" w14:textId="77777777" w:rsidR="00D731C3" w:rsidRPr="00DD5969" w:rsidRDefault="00D731C3" w:rsidP="00D731C3">
      <w:pPr>
        <w:spacing w:before="3"/>
        <w:rPr>
          <w:rFonts w:ascii="Arial"/>
          <w:b/>
          <w:sz w:val="48"/>
          <w:szCs w:val="48"/>
        </w:rPr>
      </w:pPr>
    </w:p>
    <w:p w14:paraId="1AB71829" w14:textId="3172E915"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A2694F">
        <w:rPr>
          <w:rFonts w:ascii="Arial"/>
          <w:b/>
          <w:sz w:val="48"/>
          <w:szCs w:val="48"/>
        </w:rPr>
        <w:t xml:space="preserve"> 2410319</w:t>
      </w:r>
    </w:p>
    <w:p w14:paraId="0E17CBF1" w14:textId="77777777" w:rsidR="00D731C3" w:rsidRDefault="00D731C3" w:rsidP="00D731C3">
      <w:pPr>
        <w:rPr>
          <w:rFonts w:ascii="Arial"/>
          <w:b/>
          <w:sz w:val="47"/>
        </w:rPr>
      </w:pPr>
    </w:p>
    <w:p w14:paraId="7D269D68" w14:textId="211B2192" w:rsidR="00D731C3" w:rsidRPr="00F749CB" w:rsidRDefault="00D731C3" w:rsidP="00D731C3">
      <w:pPr>
        <w:rPr>
          <w:rFonts w:ascii="Arial"/>
          <w:b/>
          <w:sz w:val="48"/>
          <w:szCs w:val="48"/>
        </w:rPr>
      </w:pPr>
      <w:r>
        <w:rPr>
          <w:rFonts w:ascii="Arial"/>
          <w:b/>
          <w:sz w:val="47"/>
        </w:rPr>
        <w:t>LECTURER:</w:t>
      </w:r>
      <w:r w:rsidR="00F749CB" w:rsidRPr="00F749CB">
        <w:t xml:space="preserve"> </w:t>
      </w:r>
      <w:r w:rsidR="00F749CB" w:rsidRPr="00F749CB">
        <w:rPr>
          <w:rFonts w:ascii="Arial"/>
          <w:b/>
          <w:sz w:val="48"/>
          <w:szCs w:val="48"/>
        </w:rPr>
        <w:t>Philippa Fitzgerald</w:t>
      </w:r>
    </w:p>
    <w:p w14:paraId="4D7187AE" w14:textId="77777777" w:rsidR="00D731C3" w:rsidRDefault="00D731C3" w:rsidP="00D731C3">
      <w:pPr>
        <w:ind w:left="100"/>
        <w:rPr>
          <w:rFonts w:ascii="Arial"/>
          <w:b/>
          <w:sz w:val="47"/>
        </w:rPr>
      </w:pPr>
    </w:p>
    <w:p w14:paraId="52EF9C1C" w14:textId="1E3EE987" w:rsidR="00D731C3" w:rsidRPr="00192D3C" w:rsidRDefault="00D731C3" w:rsidP="00D731C3">
      <w:pPr>
        <w:ind w:left="100"/>
        <w:rPr>
          <w:rFonts w:ascii="Arial"/>
          <w:b/>
          <w:sz w:val="47"/>
        </w:rPr>
      </w:pPr>
      <w:r>
        <w:rPr>
          <w:rFonts w:ascii="Arial"/>
          <w:b/>
          <w:sz w:val="47"/>
        </w:rPr>
        <w:t>DATE:</w:t>
      </w:r>
      <w:r w:rsidR="000C614C">
        <w:rPr>
          <w:rFonts w:ascii="Arial"/>
          <w:b/>
          <w:sz w:val="47"/>
        </w:rPr>
        <w:t xml:space="preserve"> 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237F80C6"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B8549A">
              <w:rPr>
                <w:noProof/>
                <w:webHidden/>
              </w:rPr>
              <w:t>4</w:t>
            </w:r>
          </w:hyperlink>
        </w:p>
        <w:p w14:paraId="32556217" w14:textId="08F3D0D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sidR="00B8549A">
              <w:rPr>
                <w:noProof/>
                <w:webHidden/>
              </w:rPr>
              <w:t>4</w:t>
            </w:r>
            <w:r>
              <w:rPr>
                <w:noProof/>
                <w:webHidden/>
              </w:rPr>
              <w:fldChar w:fldCharType="end"/>
            </w:r>
          </w:hyperlink>
        </w:p>
        <w:p w14:paraId="10A0DDE1" w14:textId="7550C08F"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sidR="00B8549A">
              <w:rPr>
                <w:noProof/>
                <w:webHidden/>
              </w:rPr>
              <w:t>7</w:t>
            </w:r>
            <w:r>
              <w:rPr>
                <w:noProof/>
                <w:webHidden/>
              </w:rPr>
              <w:fldChar w:fldCharType="end"/>
            </w:r>
          </w:hyperlink>
        </w:p>
        <w:p w14:paraId="066CCC32" w14:textId="0A633EB3"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sidR="00B8549A">
              <w:rPr>
                <w:noProof/>
                <w:webHidden/>
              </w:rPr>
              <w:t>8</w:t>
            </w:r>
            <w:r>
              <w:rPr>
                <w:noProof/>
                <w:webHidden/>
              </w:rPr>
              <w:fldChar w:fldCharType="end"/>
            </w:r>
          </w:hyperlink>
        </w:p>
        <w:p w14:paraId="16E24A45" w14:textId="038D7400"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sidR="00B8549A">
              <w:rPr>
                <w:noProof/>
                <w:webHidden/>
              </w:rPr>
              <w:t>8</w:t>
            </w:r>
            <w:r>
              <w:rPr>
                <w:noProof/>
                <w:webHidden/>
              </w:rPr>
              <w:fldChar w:fldCharType="end"/>
            </w:r>
          </w:hyperlink>
        </w:p>
        <w:p w14:paraId="02480413" w14:textId="1313F6C0"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sidR="00B8549A">
              <w:rPr>
                <w:noProof/>
                <w:webHidden/>
              </w:rPr>
              <w:t>11</w:t>
            </w:r>
            <w:r>
              <w:rPr>
                <w:noProof/>
                <w:webHidden/>
              </w:rPr>
              <w:fldChar w:fldCharType="end"/>
            </w:r>
          </w:hyperlink>
        </w:p>
        <w:p w14:paraId="1FD0F990" w14:textId="628BFC0F"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sidR="00B8549A">
              <w:rPr>
                <w:noProof/>
                <w:webHidden/>
              </w:rPr>
              <w:t>11</w:t>
            </w:r>
            <w:r>
              <w:rPr>
                <w:noProof/>
                <w:webHidden/>
              </w:rPr>
              <w:fldChar w:fldCharType="end"/>
            </w:r>
          </w:hyperlink>
        </w:p>
        <w:p w14:paraId="2F02C6AF" w14:textId="6DA8B23D"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sidR="00B8549A">
              <w:rPr>
                <w:noProof/>
                <w:webHidden/>
              </w:rPr>
              <w:t>15</w:t>
            </w:r>
            <w:r>
              <w:rPr>
                <w:noProof/>
                <w:webHidden/>
              </w:rPr>
              <w:fldChar w:fldCharType="end"/>
            </w:r>
          </w:hyperlink>
        </w:p>
        <w:p w14:paraId="188CE8FD" w14:textId="2A8483C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sidR="00B8549A">
              <w:rPr>
                <w:noProof/>
                <w:webHidden/>
              </w:rPr>
              <w:t>16</w:t>
            </w:r>
            <w:r>
              <w:rPr>
                <w:noProof/>
                <w:webHidden/>
              </w:rPr>
              <w:fldChar w:fldCharType="end"/>
            </w:r>
          </w:hyperlink>
        </w:p>
        <w:p w14:paraId="70D2FB56" w14:textId="2B590FD5"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sidR="00B8549A">
              <w:rPr>
                <w:noProof/>
                <w:webHidden/>
              </w:rPr>
              <w:t>16</w:t>
            </w:r>
            <w:r>
              <w:rPr>
                <w:noProof/>
                <w:webHidden/>
              </w:rPr>
              <w:fldChar w:fldCharType="end"/>
            </w:r>
          </w:hyperlink>
        </w:p>
        <w:p w14:paraId="690112BE" w14:textId="192F12AD"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sidR="00B8549A">
              <w:rPr>
                <w:noProof/>
                <w:webHidden/>
              </w:rPr>
              <w:t>16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91EA02F" w14:textId="77777777" w:rsidR="005B50E9" w:rsidRPr="005B50E9" w:rsidRDefault="005B50E9" w:rsidP="005B50E9">
      <w:pPr>
        <w:pStyle w:val="Heading1"/>
        <w:rPr>
          <w:rFonts w:ascii="Arial" w:hAnsi="Arial" w:cs="Arial"/>
          <w:sz w:val="24"/>
          <w:szCs w:val="24"/>
        </w:rPr>
      </w:pPr>
      <w:bookmarkStart w:id="0" w:name="_Toc211605235"/>
      <w:r w:rsidRPr="005B50E9">
        <w:rPr>
          <w:rFonts w:ascii="Arial" w:hAnsi="Arial" w:cs="Arial"/>
          <w:sz w:val="24"/>
          <w:szCs w:val="24"/>
        </w:rPr>
        <w:lastRenderedPageBreak/>
        <w:t>AI Acknowledgement</w:t>
      </w:r>
    </w:p>
    <w:p w14:paraId="46F3FACC" w14:textId="77777777" w:rsidR="005B50E9" w:rsidRPr="005B50E9" w:rsidRDefault="005B50E9" w:rsidP="005B50E9">
      <w:pPr>
        <w:pStyle w:val="Heading1"/>
        <w:rPr>
          <w:rFonts w:ascii="Arial" w:hAnsi="Arial" w:cs="Arial"/>
          <w:sz w:val="24"/>
          <w:szCs w:val="24"/>
        </w:rPr>
      </w:pPr>
      <w:r w:rsidRPr="005B50E9">
        <w:rPr>
          <w:rFonts w:ascii="Arial" w:hAnsi="Arial" w:cs="Arial"/>
          <w:sz w:val="24"/>
          <w:szCs w:val="24"/>
        </w:rPr>
        <w:t>I acknowledge the use of [AI tool name] ([AI tool URL]) on [date] to support [state purpose – e.g. research / proofreading / none].</w:t>
      </w:r>
    </w:p>
    <w:p w14:paraId="18E94824" w14:textId="77777777" w:rsidR="005B50E9" w:rsidRPr="005B50E9" w:rsidRDefault="005B50E9" w:rsidP="005B50E9">
      <w:pPr>
        <w:pStyle w:val="Heading1"/>
        <w:rPr>
          <w:rFonts w:ascii="Arial" w:hAnsi="Arial" w:cs="Arial"/>
          <w:sz w:val="24"/>
          <w:szCs w:val="24"/>
        </w:rPr>
      </w:pPr>
      <w:r w:rsidRPr="005B50E9">
        <w:rPr>
          <w:rFonts w:ascii="Arial" w:hAnsi="Arial" w:cs="Arial"/>
          <w:sz w:val="24"/>
          <w:szCs w:val="24"/>
        </w:rPr>
        <w:t>Prompt(s) used (if applicable):</w:t>
      </w:r>
    </w:p>
    <w:p w14:paraId="41DD62DE" w14:textId="4881535C" w:rsidR="005B50E9" w:rsidRPr="005B50E9" w:rsidRDefault="005B50E9" w:rsidP="005B50E9">
      <w:pPr>
        <w:pStyle w:val="Heading1"/>
        <w:rPr>
          <w:rFonts w:ascii="Arial" w:hAnsi="Arial" w:cs="Arial"/>
          <w:sz w:val="24"/>
          <w:szCs w:val="24"/>
        </w:rPr>
      </w:pPr>
      <w:r w:rsidRPr="005B50E9">
        <w:rPr>
          <w:rFonts w:ascii="Arial" w:hAnsi="Arial" w:cs="Arial"/>
          <w:sz w:val="24"/>
          <w:szCs w:val="24"/>
        </w:rPr>
        <w:t>I confirm that I have not presented any AI-generated text as my own work. I confirm that I have retained copies of drafts, notes, and resources used before and after the use of AI tools.</w:t>
      </w:r>
    </w:p>
    <w:p w14:paraId="1655C98E" w14:textId="77777777" w:rsidR="005B50E9" w:rsidRPr="005B50E9" w:rsidRDefault="005B50E9" w:rsidP="00D731C3">
      <w:pPr>
        <w:pStyle w:val="Heading1"/>
        <w:rPr>
          <w:rFonts w:ascii="Arial" w:hAnsi="Arial" w:cs="Arial"/>
          <w:sz w:val="24"/>
          <w:szCs w:val="24"/>
        </w:rPr>
      </w:pPr>
    </w:p>
    <w:p w14:paraId="590724DC" w14:textId="77777777" w:rsidR="005B50E9" w:rsidRDefault="005B50E9" w:rsidP="00D731C3">
      <w:pPr>
        <w:pStyle w:val="Heading1"/>
      </w:pPr>
    </w:p>
    <w:p w14:paraId="530698DA" w14:textId="77777777" w:rsidR="005B50E9" w:rsidRDefault="005B50E9" w:rsidP="00D731C3">
      <w:pPr>
        <w:pStyle w:val="Heading1"/>
      </w:pPr>
    </w:p>
    <w:p w14:paraId="33E01DC1" w14:textId="77777777" w:rsidR="005B50E9" w:rsidRDefault="005B50E9" w:rsidP="00D731C3">
      <w:pPr>
        <w:pStyle w:val="Heading1"/>
      </w:pPr>
    </w:p>
    <w:p w14:paraId="7ECDE5E3" w14:textId="77777777" w:rsidR="005B50E9" w:rsidRDefault="005B50E9" w:rsidP="00D731C3">
      <w:pPr>
        <w:pStyle w:val="Heading1"/>
      </w:pPr>
    </w:p>
    <w:p w14:paraId="64168113" w14:textId="77777777" w:rsidR="005B50E9" w:rsidRDefault="005B50E9" w:rsidP="00D731C3">
      <w:pPr>
        <w:pStyle w:val="Heading1"/>
      </w:pPr>
    </w:p>
    <w:p w14:paraId="37C0CBB8" w14:textId="77777777" w:rsidR="005B50E9" w:rsidRDefault="005B50E9" w:rsidP="00D731C3">
      <w:pPr>
        <w:pStyle w:val="Heading1"/>
      </w:pPr>
    </w:p>
    <w:p w14:paraId="0A700680" w14:textId="77777777" w:rsidR="005B50E9" w:rsidRDefault="005B50E9" w:rsidP="00D731C3">
      <w:pPr>
        <w:pStyle w:val="Heading1"/>
      </w:pPr>
    </w:p>
    <w:p w14:paraId="10D7C3C6" w14:textId="77777777" w:rsidR="005B50E9" w:rsidRDefault="005B50E9" w:rsidP="00D731C3">
      <w:pPr>
        <w:pStyle w:val="Heading1"/>
      </w:pPr>
    </w:p>
    <w:p w14:paraId="4430CE82" w14:textId="77777777" w:rsidR="005B50E9" w:rsidRDefault="005B50E9" w:rsidP="00D731C3">
      <w:pPr>
        <w:pStyle w:val="Heading1"/>
      </w:pPr>
    </w:p>
    <w:p w14:paraId="03FF9D71" w14:textId="77777777" w:rsidR="005B50E9" w:rsidRDefault="005B50E9" w:rsidP="00D731C3">
      <w:pPr>
        <w:pStyle w:val="Heading1"/>
      </w:pPr>
    </w:p>
    <w:p w14:paraId="1143580A" w14:textId="563BCD27" w:rsidR="009D3D7B" w:rsidRDefault="00D731C3" w:rsidP="00D731C3">
      <w:pPr>
        <w:pStyle w:val="Heading1"/>
      </w:pPr>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226B8FB5" w14:textId="2214610E" w:rsidR="00A11343" w:rsidRDefault="00A11343" w:rsidP="00A11343">
      <w:r w:rsidRPr="00A11343">
        <w:rPr>
          <w:noProof/>
        </w:rPr>
        <w:drawing>
          <wp:inline distT="0" distB="0" distL="0" distR="0" wp14:anchorId="10803B31" wp14:editId="77CCD5D9">
            <wp:extent cx="6070349" cy="3182835"/>
            <wp:effectExtent l="0" t="0" r="6985" b="0"/>
            <wp:docPr id="942106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58545" cy="3229078"/>
                    </a:xfrm>
                    <a:prstGeom prst="rect">
                      <a:avLst/>
                    </a:prstGeom>
                    <a:noFill/>
                    <a:ln>
                      <a:noFill/>
                    </a:ln>
                  </pic:spPr>
                </pic:pic>
              </a:graphicData>
            </a:graphic>
          </wp:inline>
        </w:drawing>
      </w:r>
    </w:p>
    <w:p w14:paraId="351F2E7C" w14:textId="6362E1A3" w:rsidR="002F3779" w:rsidRPr="00B5292B" w:rsidRDefault="002F3779" w:rsidP="001548E7">
      <w:pPr>
        <w:spacing w:line="360" w:lineRule="auto"/>
        <w:rPr>
          <w:rFonts w:ascii="Arial" w:hAnsi="Arial" w:cs="Arial"/>
        </w:rPr>
      </w:pPr>
      <w:r w:rsidRPr="00B5292B">
        <w:rPr>
          <w:rFonts w:ascii="Arial" w:hAnsi="Arial" w:cs="Arial"/>
        </w:rPr>
        <w:t>Image 1: my JISC report</w:t>
      </w:r>
    </w:p>
    <w:p w14:paraId="56B6BE34" w14:textId="325C9498" w:rsidR="00113F5A" w:rsidRPr="00B5292B" w:rsidRDefault="00113F5A" w:rsidP="001548E7">
      <w:pPr>
        <w:spacing w:line="360" w:lineRule="auto"/>
        <w:rPr>
          <w:rFonts w:ascii="Arial" w:hAnsi="Arial" w:cs="Arial"/>
        </w:rPr>
      </w:pPr>
      <w:r w:rsidRPr="00B5292B">
        <w:rPr>
          <w:rFonts w:ascii="Arial" w:hAnsi="Arial" w:cs="Arial"/>
        </w:rPr>
        <w:t xml:space="preserve">In today's settings, technology is essential for communication, teamwork, and information management, digital skills are extremely important. Employers are relying more on workers who can use digital tools to </w:t>
      </w:r>
      <w:r w:rsidR="0025243C">
        <w:rPr>
          <w:rFonts w:ascii="Arial" w:hAnsi="Arial" w:cs="Arial"/>
        </w:rPr>
        <w:t>improve</w:t>
      </w:r>
      <w:r w:rsidRPr="00B5292B">
        <w:rPr>
          <w:rFonts w:ascii="Arial" w:hAnsi="Arial" w:cs="Arial"/>
        </w:rPr>
        <w:t xml:space="preserve"> decision-making, productivity, and creativity. As a result, evaluating and improving digital skills has grown in importance as part of human resource management and professional development.</w:t>
      </w:r>
    </w:p>
    <w:p w14:paraId="3BABB73E" w14:textId="77777777" w:rsidR="00113F5A" w:rsidRPr="00B5292B" w:rsidRDefault="00113F5A" w:rsidP="001548E7">
      <w:pPr>
        <w:spacing w:line="360" w:lineRule="auto"/>
        <w:rPr>
          <w:rFonts w:ascii="Arial" w:hAnsi="Arial" w:cs="Arial"/>
        </w:rPr>
      </w:pPr>
    </w:p>
    <w:p w14:paraId="45A1A402" w14:textId="77777777" w:rsidR="00113F5A" w:rsidRPr="00B5292B" w:rsidRDefault="00113F5A" w:rsidP="001548E7">
      <w:pPr>
        <w:spacing w:line="360" w:lineRule="auto"/>
        <w:rPr>
          <w:rFonts w:ascii="Arial" w:hAnsi="Arial" w:cs="Arial"/>
        </w:rPr>
      </w:pPr>
      <w:r w:rsidRPr="00B5292B">
        <w:rPr>
          <w:rFonts w:ascii="Arial" w:hAnsi="Arial" w:cs="Arial"/>
        </w:rPr>
        <w:t>I used the JISC Digital Capabilities Discovery Tool to test my own digital skills in several knowledge areas. A visual description of my abilities and places for improvement in a few digital capability features, such as digital wellbeing, information literacy, digital communication, digital creation, and digital learning activities, can be found in the report displayed in Image 1.</w:t>
      </w:r>
    </w:p>
    <w:p w14:paraId="651DBC70" w14:textId="77777777" w:rsidR="00113F5A" w:rsidRPr="00B5292B" w:rsidRDefault="00113F5A" w:rsidP="001548E7">
      <w:pPr>
        <w:spacing w:line="360" w:lineRule="auto"/>
        <w:rPr>
          <w:rFonts w:ascii="Arial" w:hAnsi="Arial" w:cs="Arial"/>
        </w:rPr>
      </w:pPr>
      <w:r w:rsidRPr="00B5292B">
        <w:rPr>
          <w:rFonts w:ascii="Arial" w:hAnsi="Arial" w:cs="Arial"/>
        </w:rPr>
        <w:t xml:space="preserve">The results show that my stronger areas are related to digital wellbeing, digital identity management and digital skills for work. These categories show up as some of the chart's largest portions. This indicates that I have a strong understanding of </w:t>
      </w:r>
      <w:r w:rsidRPr="00B5292B">
        <w:rPr>
          <w:rFonts w:ascii="Arial" w:hAnsi="Arial" w:cs="Arial"/>
        </w:rPr>
        <w:lastRenderedPageBreak/>
        <w:t>how to efficiently use digital tools in a professional environment, maintain a healthy balance when using digital technology, and manage my online profile.  Maintaining a positive digital work environment can improve both individual performance and organisational efficiency in today's workplaces where digital tools are widely used.</w:t>
      </w:r>
    </w:p>
    <w:p w14:paraId="63FD0588" w14:textId="16395144" w:rsidR="00F81E87" w:rsidRPr="00B5292B" w:rsidRDefault="00113F5A" w:rsidP="001548E7">
      <w:pPr>
        <w:spacing w:line="360" w:lineRule="auto"/>
        <w:rPr>
          <w:rFonts w:ascii="Arial" w:hAnsi="Arial" w:cs="Arial"/>
        </w:rPr>
      </w:pPr>
      <w:r w:rsidRPr="00B5292B">
        <w:rPr>
          <w:rFonts w:ascii="Arial" w:hAnsi="Arial" w:cs="Arial"/>
        </w:rPr>
        <w:t xml:space="preserve">Preparing for digital learning and digital learning activities is another area where the report shows relatively good performance. These findings show that I feel at ease using digital channels to further my education and career growth. For example, I often access information and get new knowledge via cloud-based resources, digital academic databases, and online learning platforms. In an environment where technology is changing quickly, ongoing digital learning is important. </w:t>
      </w:r>
      <w:r w:rsidR="00533560" w:rsidRPr="00533560">
        <w:rPr>
          <w:rFonts w:ascii="Arial" w:hAnsi="Arial" w:cs="Arial"/>
        </w:rPr>
        <w:t>Professionals must continuously improve their digital skills to remain competitive and flexible in modern organisations (Manuel Gilli, Daniel Lettner and Stefan Guettel, 202</w:t>
      </w:r>
      <w:r w:rsidR="008650E3">
        <w:rPr>
          <w:rFonts w:ascii="Arial" w:hAnsi="Arial" w:cs="Arial"/>
        </w:rPr>
        <w:t>3</w:t>
      </w:r>
      <w:r w:rsidR="00533560" w:rsidRPr="00533560">
        <w:rPr>
          <w:rFonts w:ascii="Arial" w:hAnsi="Arial" w:cs="Arial"/>
        </w:rPr>
        <w:t>).</w:t>
      </w:r>
    </w:p>
    <w:p w14:paraId="78F86CFC" w14:textId="6112067F" w:rsidR="00113F5A" w:rsidRPr="00B5292B" w:rsidRDefault="00113F5A" w:rsidP="001548E7">
      <w:pPr>
        <w:spacing w:line="360" w:lineRule="auto"/>
        <w:rPr>
          <w:rFonts w:ascii="Arial" w:hAnsi="Arial" w:cs="Arial"/>
        </w:rPr>
      </w:pPr>
      <w:r w:rsidRPr="00B5292B">
        <w:rPr>
          <w:rFonts w:ascii="Arial" w:hAnsi="Arial" w:cs="Arial"/>
        </w:rPr>
        <w:t>Despite these advantages, the evaluation also identifies several areas that still need improvement. Specifically, the graphic shows that digital creativity, digital participation, and problem-solving are poorer. Creating digital content, such as interactive digital resources, multimedia materials, or presentations, is known as digital creation. I can use simple productivity tools, but I don't have much experience with advanced programs for creating digital work. By developing these abilities, I might be able to assist more creatively to group tasks and deliver ideas more successfully. Data and information literacy is another area that must be improved. The figure shows that even if I can get knowledge online, I could do a better job of evaluating digital material and effectively understanding data. Employees in today's companies need to be able to evaluate huge amounts of digital data and make choices based on data. Good information and digital literacy skills are important for the successful use of digital technologies in the workplace</w:t>
      </w:r>
      <w:r w:rsidR="00FE2CDC">
        <w:rPr>
          <w:rFonts w:ascii="Arial" w:hAnsi="Arial" w:cs="Arial"/>
        </w:rPr>
        <w:t xml:space="preserve"> </w:t>
      </w:r>
      <w:r w:rsidR="00FE2CDC" w:rsidRPr="00FE2CDC">
        <w:rPr>
          <w:rFonts w:ascii="Arial" w:hAnsi="Arial" w:cs="Arial"/>
        </w:rPr>
        <w:t>(Nikou, De Reuver and Kanafi, 2022)</w:t>
      </w:r>
      <w:r w:rsidR="00FE2CDC">
        <w:rPr>
          <w:rFonts w:ascii="Arial" w:hAnsi="Arial" w:cs="Arial"/>
        </w:rPr>
        <w:t>.</w:t>
      </w:r>
    </w:p>
    <w:p w14:paraId="6D79FD80" w14:textId="77777777" w:rsidR="00113F5A" w:rsidRPr="00B5292B" w:rsidRDefault="00113F5A" w:rsidP="001548E7">
      <w:pPr>
        <w:spacing w:line="360" w:lineRule="auto"/>
        <w:rPr>
          <w:rFonts w:ascii="Arial" w:hAnsi="Arial" w:cs="Arial"/>
        </w:rPr>
      </w:pPr>
      <w:r w:rsidRPr="00B5292B">
        <w:rPr>
          <w:rFonts w:ascii="Arial" w:hAnsi="Arial" w:cs="Arial"/>
        </w:rPr>
        <w:t>Additionally, the report shows that I have moderate digital communication and teamwork skills. Even though I am familiar with tools like email, online meeting platforms, and collaborative papers, I could do a better job of strategically and effectively using these technologies. In companies that depend on remote or hybrid work settings, digital teamwork is especially important.</w:t>
      </w:r>
    </w:p>
    <w:p w14:paraId="2DF5332B" w14:textId="77777777" w:rsidR="00B5292B" w:rsidRDefault="00B5292B" w:rsidP="001548E7">
      <w:pPr>
        <w:spacing w:line="360" w:lineRule="auto"/>
        <w:rPr>
          <w:rFonts w:ascii="Arial" w:hAnsi="Arial" w:cs="Arial"/>
          <w:b/>
          <w:bCs/>
        </w:rPr>
      </w:pPr>
    </w:p>
    <w:p w14:paraId="7BFEFE60" w14:textId="77CA7B9D" w:rsidR="00113F5A" w:rsidRPr="00B5292B" w:rsidRDefault="00113F5A" w:rsidP="001548E7">
      <w:pPr>
        <w:spacing w:line="360" w:lineRule="auto"/>
        <w:rPr>
          <w:rFonts w:ascii="Arial" w:hAnsi="Arial" w:cs="Arial"/>
          <w:b/>
          <w:bCs/>
        </w:rPr>
      </w:pPr>
      <w:r w:rsidRPr="00B5292B">
        <w:rPr>
          <w:rFonts w:ascii="Arial" w:hAnsi="Arial" w:cs="Arial"/>
          <w:b/>
          <w:bCs/>
        </w:rPr>
        <w:lastRenderedPageBreak/>
        <w:t>Recommendations</w:t>
      </w:r>
    </w:p>
    <w:p w14:paraId="1FF51E1B" w14:textId="77777777" w:rsidR="00113F5A" w:rsidRPr="00B5292B" w:rsidRDefault="00113F5A" w:rsidP="001548E7">
      <w:pPr>
        <w:spacing w:line="360" w:lineRule="auto"/>
        <w:rPr>
          <w:rFonts w:ascii="Arial" w:hAnsi="Arial" w:cs="Arial"/>
        </w:rPr>
      </w:pPr>
      <w:r w:rsidRPr="00B5292B">
        <w:rPr>
          <w:rFonts w:ascii="Arial" w:hAnsi="Arial" w:cs="Arial"/>
        </w:rPr>
        <w:t>Based on the results of the JISC assessment, several steps can help improve my digital capabilities.</w:t>
      </w:r>
    </w:p>
    <w:p w14:paraId="1990B759" w14:textId="77777777" w:rsidR="00113F5A" w:rsidRPr="00B5292B" w:rsidRDefault="00113F5A" w:rsidP="001548E7">
      <w:pPr>
        <w:spacing w:line="360" w:lineRule="auto"/>
        <w:rPr>
          <w:rFonts w:ascii="Arial" w:hAnsi="Arial" w:cs="Arial"/>
        </w:rPr>
      </w:pPr>
      <w:r w:rsidRPr="00B5292B">
        <w:rPr>
          <w:rFonts w:ascii="Arial" w:hAnsi="Arial" w:cs="Arial"/>
        </w:rPr>
        <w:t>I want to start by concentrating on building better data literacy skills. This entails mastering the use of spreadsheets and data analysis tools as well as understanding the correct meaning and presentation of data.</w:t>
      </w:r>
    </w:p>
    <w:p w14:paraId="5FD67F86" w14:textId="3EBB0B20" w:rsidR="00113F5A" w:rsidRPr="00B5292B" w:rsidRDefault="00220C71" w:rsidP="001548E7">
      <w:pPr>
        <w:spacing w:line="360" w:lineRule="auto"/>
        <w:rPr>
          <w:rFonts w:ascii="Arial" w:hAnsi="Arial" w:cs="Arial"/>
        </w:rPr>
      </w:pPr>
      <w:r w:rsidRPr="00B5292B">
        <w:rPr>
          <w:rFonts w:ascii="Arial" w:hAnsi="Arial" w:cs="Arial"/>
        </w:rPr>
        <w:t>B</w:t>
      </w:r>
      <w:r w:rsidR="00113F5A" w:rsidRPr="00B5292B">
        <w:rPr>
          <w:rFonts w:ascii="Arial" w:hAnsi="Arial" w:cs="Arial"/>
        </w:rPr>
        <w:t>y learning how to use complicated presenting platforms, multimedia editing software, and digital design tools, I hope to enhance my digital creativity skills. I will be able express information more effectively and creatively because of to these abilities.</w:t>
      </w:r>
    </w:p>
    <w:p w14:paraId="60C05042" w14:textId="440DA6D7" w:rsidR="003731FB" w:rsidRDefault="00220C71" w:rsidP="00C547F3">
      <w:pPr>
        <w:spacing w:line="360" w:lineRule="auto"/>
        <w:rPr>
          <w:rFonts w:ascii="Arial" w:hAnsi="Arial" w:cs="Arial"/>
        </w:rPr>
      </w:pPr>
      <w:r w:rsidRPr="00B5292B">
        <w:rPr>
          <w:rFonts w:ascii="Arial" w:hAnsi="Arial" w:cs="Arial"/>
        </w:rPr>
        <w:t>W</w:t>
      </w:r>
      <w:r w:rsidR="00113F5A" w:rsidRPr="00B5292B">
        <w:rPr>
          <w:rFonts w:ascii="Arial" w:hAnsi="Arial" w:cs="Arial"/>
        </w:rPr>
        <w:t xml:space="preserve">orking more actively in online collaborative platforms and group projects, I hope to improve my digital collaboration and participation skills. By developing these skills, I </w:t>
      </w:r>
      <w:r w:rsidR="00113F5A" w:rsidRPr="00B8549A">
        <w:rPr>
          <w:rFonts w:ascii="Arial" w:hAnsi="Arial" w:cs="Arial"/>
        </w:rPr>
        <w:t>will be able to contribute to digital teams more successfully.</w:t>
      </w:r>
    </w:p>
    <w:p w14:paraId="45EB050E" w14:textId="613C48C3" w:rsidR="002806AE" w:rsidRPr="002806AE" w:rsidRDefault="006E7881" w:rsidP="00C547F3">
      <w:pPr>
        <w:spacing w:line="360" w:lineRule="auto"/>
        <w:rPr>
          <w:rFonts w:ascii="Arial" w:hAnsi="Arial" w:cs="Arial"/>
        </w:rPr>
      </w:pPr>
      <w:r w:rsidRPr="00B5292B">
        <w:rPr>
          <w:rFonts w:ascii="Arial" w:hAnsi="Arial" w:cs="Arial"/>
        </w:rPr>
        <w:t xml:space="preserve">Below </w:t>
      </w:r>
      <w:r w:rsidR="00D343B5" w:rsidRPr="00B5292B">
        <w:rPr>
          <w:rFonts w:ascii="Arial" w:hAnsi="Arial" w:cs="Arial"/>
        </w:rPr>
        <w:t>are</w:t>
      </w:r>
      <w:r w:rsidRPr="00B5292B">
        <w:rPr>
          <w:rFonts w:ascii="Arial" w:hAnsi="Arial" w:cs="Arial"/>
        </w:rPr>
        <w:t xml:space="preserve"> my badges for academic skills</w:t>
      </w:r>
    </w:p>
    <w:p w14:paraId="530E677D" w14:textId="5882D50D" w:rsidR="00BD288A" w:rsidRDefault="001A6699">
      <w:r>
        <w:rPr>
          <w:noProof/>
        </w:rPr>
        <w:drawing>
          <wp:inline distT="0" distB="0" distL="0" distR="0" wp14:anchorId="0E843F2C" wp14:editId="24BD5E77">
            <wp:extent cx="1327150" cy="1327150"/>
            <wp:effectExtent l="0" t="0" r="6350" b="6350"/>
            <wp:docPr id="70859454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27150" cy="1327150"/>
                    </a:xfrm>
                    <a:prstGeom prst="rect">
                      <a:avLst/>
                    </a:prstGeom>
                    <a:noFill/>
                    <a:ln>
                      <a:noFill/>
                    </a:ln>
                  </pic:spPr>
                </pic:pic>
              </a:graphicData>
            </a:graphic>
          </wp:inline>
        </w:drawing>
      </w:r>
      <w:r w:rsidR="00BD288A">
        <w:rPr>
          <w:noProof/>
        </w:rPr>
        <w:drawing>
          <wp:inline distT="0" distB="0" distL="0" distR="0" wp14:anchorId="1D05243D" wp14:editId="0A158AFC">
            <wp:extent cx="1326333" cy="1326333"/>
            <wp:effectExtent l="0" t="0" r="7620" b="7620"/>
            <wp:docPr id="12476878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81152" cy="1381152"/>
                    </a:xfrm>
                    <a:prstGeom prst="rect">
                      <a:avLst/>
                    </a:prstGeom>
                    <a:noFill/>
                    <a:ln>
                      <a:noFill/>
                    </a:ln>
                  </pic:spPr>
                </pic:pic>
              </a:graphicData>
            </a:graphic>
          </wp:inline>
        </w:drawing>
      </w:r>
      <w:r>
        <w:rPr>
          <w:noProof/>
        </w:rPr>
        <w:drawing>
          <wp:inline distT="0" distB="0" distL="0" distR="0" wp14:anchorId="3F0A7225" wp14:editId="4C8AF63E">
            <wp:extent cx="1335387" cy="1335387"/>
            <wp:effectExtent l="0" t="0" r="0" b="0"/>
            <wp:docPr id="120594262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2857" cy="1402857"/>
                    </a:xfrm>
                    <a:prstGeom prst="rect">
                      <a:avLst/>
                    </a:prstGeom>
                    <a:noFill/>
                    <a:ln>
                      <a:noFill/>
                    </a:ln>
                  </pic:spPr>
                </pic:pic>
              </a:graphicData>
            </a:graphic>
          </wp:inline>
        </w:drawing>
      </w:r>
      <w:r>
        <w:rPr>
          <w:noProof/>
        </w:rPr>
        <w:drawing>
          <wp:inline distT="0" distB="0" distL="0" distR="0" wp14:anchorId="08D6687C" wp14:editId="5C6FEAAE">
            <wp:extent cx="1326333" cy="1326333"/>
            <wp:effectExtent l="0" t="0" r="7620" b="7620"/>
            <wp:docPr id="655756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80213" cy="1380213"/>
                    </a:xfrm>
                    <a:prstGeom prst="rect">
                      <a:avLst/>
                    </a:prstGeom>
                    <a:noFill/>
                    <a:ln>
                      <a:noFill/>
                    </a:ln>
                  </pic:spPr>
                </pic:pic>
              </a:graphicData>
            </a:graphic>
          </wp:inline>
        </w:drawing>
      </w:r>
      <w:r>
        <w:rPr>
          <w:noProof/>
        </w:rPr>
        <w:drawing>
          <wp:inline distT="0" distB="0" distL="0" distR="0" wp14:anchorId="17FA7B04" wp14:editId="5E49ECBB">
            <wp:extent cx="1289050" cy="1289050"/>
            <wp:effectExtent l="0" t="0" r="6350" b="6350"/>
            <wp:docPr id="13398353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21856" cy="1321856"/>
                    </a:xfrm>
                    <a:prstGeom prst="rect">
                      <a:avLst/>
                    </a:prstGeom>
                    <a:noFill/>
                    <a:ln>
                      <a:noFill/>
                    </a:ln>
                  </pic:spPr>
                </pic:pic>
              </a:graphicData>
            </a:graphic>
          </wp:inline>
        </w:drawing>
      </w:r>
      <w:r w:rsidR="00BD288A">
        <w:rPr>
          <w:noProof/>
        </w:rPr>
        <w:drawing>
          <wp:inline distT="0" distB="0" distL="0" distR="0" wp14:anchorId="694BF8D3" wp14:editId="7C706136">
            <wp:extent cx="1289050" cy="1289050"/>
            <wp:effectExtent l="0" t="0" r="6350" b="6350"/>
            <wp:docPr id="201383987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30350" cy="1330350"/>
                    </a:xfrm>
                    <a:prstGeom prst="rect">
                      <a:avLst/>
                    </a:prstGeom>
                    <a:noFill/>
                    <a:ln>
                      <a:noFill/>
                    </a:ln>
                  </pic:spPr>
                </pic:pic>
              </a:graphicData>
            </a:graphic>
          </wp:inline>
        </w:drawing>
      </w:r>
      <w:r>
        <w:rPr>
          <w:noProof/>
        </w:rPr>
        <w:drawing>
          <wp:inline distT="0" distB="0" distL="0" distR="0" wp14:anchorId="44BAB5AE" wp14:editId="35D5A13B">
            <wp:extent cx="1320800" cy="1320800"/>
            <wp:effectExtent l="0" t="0" r="0" b="0"/>
            <wp:docPr id="4403336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67062" cy="1367062"/>
                    </a:xfrm>
                    <a:prstGeom prst="rect">
                      <a:avLst/>
                    </a:prstGeom>
                    <a:noFill/>
                    <a:ln>
                      <a:noFill/>
                    </a:ln>
                  </pic:spPr>
                </pic:pic>
              </a:graphicData>
            </a:graphic>
          </wp:inline>
        </w:drawing>
      </w:r>
      <w:r>
        <w:rPr>
          <w:noProof/>
        </w:rPr>
        <w:drawing>
          <wp:inline distT="0" distB="0" distL="0" distR="0" wp14:anchorId="5E211BD3" wp14:editId="26158CC7">
            <wp:extent cx="1327150" cy="1327150"/>
            <wp:effectExtent l="0" t="0" r="6350" b="6350"/>
            <wp:docPr id="1299273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80030" cy="1380030"/>
                    </a:xfrm>
                    <a:prstGeom prst="rect">
                      <a:avLst/>
                    </a:prstGeom>
                    <a:noFill/>
                    <a:ln>
                      <a:noFill/>
                    </a:ln>
                  </pic:spPr>
                </pic:pic>
              </a:graphicData>
            </a:graphic>
          </wp:inline>
        </w:drawing>
      </w:r>
      <w:r w:rsidR="00BD288A">
        <w:rPr>
          <w:noProof/>
        </w:rPr>
        <w:drawing>
          <wp:inline distT="0" distB="0" distL="0" distR="0" wp14:anchorId="22959E21" wp14:editId="5AAD7B32">
            <wp:extent cx="1301750" cy="1301750"/>
            <wp:effectExtent l="0" t="0" r="0" b="0"/>
            <wp:docPr id="149805058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01750" cy="1301750"/>
                    </a:xfrm>
                    <a:prstGeom prst="rect">
                      <a:avLst/>
                    </a:prstGeom>
                    <a:noFill/>
                    <a:ln>
                      <a:noFill/>
                    </a:ln>
                  </pic:spPr>
                </pic:pic>
              </a:graphicData>
            </a:graphic>
          </wp:inline>
        </w:drawing>
      </w:r>
      <w:r>
        <w:rPr>
          <w:noProof/>
        </w:rPr>
        <w:drawing>
          <wp:inline distT="0" distB="0" distL="0" distR="0" wp14:anchorId="3484D017" wp14:editId="7ED90842">
            <wp:extent cx="1301750" cy="1301750"/>
            <wp:effectExtent l="0" t="0" r="0" b="0"/>
            <wp:docPr id="47013096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1362991" cy="1362991"/>
                    </a:xfrm>
                    <a:prstGeom prst="rect">
                      <a:avLst/>
                    </a:prstGeom>
                    <a:noFill/>
                    <a:ln>
                      <a:noFill/>
                    </a:ln>
                  </pic:spPr>
                </pic:pic>
              </a:graphicData>
            </a:graphic>
          </wp:inline>
        </w:drawing>
      </w:r>
      <w:r w:rsidR="00BD288A">
        <w:rPr>
          <w:noProof/>
        </w:rPr>
        <w:drawing>
          <wp:inline distT="0" distB="0" distL="0" distR="0" wp14:anchorId="13014DE8" wp14:editId="0652EF14">
            <wp:extent cx="1282700" cy="1282700"/>
            <wp:effectExtent l="0" t="0" r="0" b="0"/>
            <wp:docPr id="340985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47943" cy="1347943"/>
                    </a:xfrm>
                    <a:prstGeom prst="rect">
                      <a:avLst/>
                    </a:prstGeom>
                    <a:noFill/>
                    <a:ln>
                      <a:noFill/>
                    </a:ln>
                  </pic:spPr>
                </pic:pic>
              </a:graphicData>
            </a:graphic>
          </wp:inline>
        </w:drawing>
      </w:r>
      <w:r w:rsidR="00BD288A">
        <w:rPr>
          <w:noProof/>
        </w:rPr>
        <w:drawing>
          <wp:inline distT="0" distB="0" distL="0" distR="0" wp14:anchorId="341682F7" wp14:editId="423287F9">
            <wp:extent cx="1289050" cy="1289050"/>
            <wp:effectExtent l="0" t="0" r="6350" b="6350"/>
            <wp:docPr id="22551705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43618" cy="1343618"/>
                    </a:xfrm>
                    <a:prstGeom prst="rect">
                      <a:avLst/>
                    </a:prstGeom>
                    <a:noFill/>
                    <a:ln>
                      <a:noFill/>
                    </a:ln>
                  </pic:spPr>
                </pic:pic>
              </a:graphicData>
            </a:graphic>
          </wp:inline>
        </w:drawing>
      </w:r>
      <w:r w:rsidR="00BD288A">
        <w:rPr>
          <w:noProof/>
        </w:rPr>
        <w:lastRenderedPageBreak/>
        <w:drawing>
          <wp:inline distT="0" distB="0" distL="0" distR="0" wp14:anchorId="5EAB14B8" wp14:editId="2CF8F0F9">
            <wp:extent cx="1282700" cy="1282700"/>
            <wp:effectExtent l="0" t="0" r="0" b="0"/>
            <wp:docPr id="12958758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10184" cy="1310184"/>
                    </a:xfrm>
                    <a:prstGeom prst="rect">
                      <a:avLst/>
                    </a:prstGeom>
                    <a:noFill/>
                    <a:ln>
                      <a:noFill/>
                    </a:ln>
                  </pic:spPr>
                </pic:pic>
              </a:graphicData>
            </a:graphic>
          </wp:inline>
        </w:drawing>
      </w:r>
      <w:r w:rsidR="00BD288A">
        <w:rPr>
          <w:noProof/>
        </w:rPr>
        <w:drawing>
          <wp:inline distT="0" distB="0" distL="0" distR="0" wp14:anchorId="21F0D9C0" wp14:editId="5FB43DE5">
            <wp:extent cx="1276130" cy="1276130"/>
            <wp:effectExtent l="0" t="0" r="635" b="635"/>
            <wp:docPr id="144814994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22330" cy="1322330"/>
                    </a:xfrm>
                    <a:prstGeom prst="rect">
                      <a:avLst/>
                    </a:prstGeom>
                    <a:noFill/>
                    <a:ln>
                      <a:noFill/>
                    </a:ln>
                  </pic:spPr>
                </pic:pic>
              </a:graphicData>
            </a:graphic>
          </wp:inline>
        </w:drawing>
      </w:r>
      <w:r w:rsidR="00BD288A">
        <w:rPr>
          <w:noProof/>
        </w:rPr>
        <w:drawing>
          <wp:inline distT="0" distB="0" distL="0" distR="0" wp14:anchorId="2FDE52DF" wp14:editId="1D5F8B46">
            <wp:extent cx="1270000" cy="1270000"/>
            <wp:effectExtent l="0" t="0" r="6350" b="6350"/>
            <wp:docPr id="12354721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32490" cy="1332490"/>
                    </a:xfrm>
                    <a:prstGeom prst="rect">
                      <a:avLst/>
                    </a:prstGeom>
                    <a:noFill/>
                    <a:ln>
                      <a:noFill/>
                    </a:ln>
                  </pic:spPr>
                </pic:pic>
              </a:graphicData>
            </a:graphic>
          </wp:inline>
        </w:drawing>
      </w:r>
      <w:r w:rsidR="00BD288A">
        <w:rPr>
          <w:noProof/>
        </w:rPr>
        <w:drawing>
          <wp:inline distT="0" distB="0" distL="0" distR="0" wp14:anchorId="15828ACD" wp14:editId="46BDEB82">
            <wp:extent cx="1270000" cy="1270000"/>
            <wp:effectExtent l="0" t="0" r="6350" b="6350"/>
            <wp:docPr id="3006434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13814" cy="1313814"/>
                    </a:xfrm>
                    <a:prstGeom prst="rect">
                      <a:avLst/>
                    </a:prstGeom>
                    <a:noFill/>
                    <a:ln>
                      <a:noFill/>
                    </a:ln>
                  </pic:spPr>
                </pic:pic>
              </a:graphicData>
            </a:graphic>
          </wp:inline>
        </w:drawing>
      </w:r>
      <w:r w:rsidR="00BD288A">
        <w:rPr>
          <w:noProof/>
        </w:rPr>
        <w:drawing>
          <wp:inline distT="0" distB="0" distL="0" distR="0" wp14:anchorId="2692656F" wp14:editId="3D46D1CC">
            <wp:extent cx="1250950" cy="1250950"/>
            <wp:effectExtent l="0" t="0" r="6350" b="6350"/>
            <wp:docPr id="11726990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94821" cy="1294821"/>
                    </a:xfrm>
                    <a:prstGeom prst="rect">
                      <a:avLst/>
                    </a:prstGeom>
                    <a:noFill/>
                    <a:ln>
                      <a:noFill/>
                    </a:ln>
                  </pic:spPr>
                </pic:pic>
              </a:graphicData>
            </a:graphic>
          </wp:inline>
        </w:drawing>
      </w:r>
      <w:r w:rsidR="00BD288A">
        <w:rPr>
          <w:noProof/>
        </w:rPr>
        <w:drawing>
          <wp:inline distT="0" distB="0" distL="0" distR="0" wp14:anchorId="088371AF" wp14:editId="6A77525A">
            <wp:extent cx="1238250" cy="1238250"/>
            <wp:effectExtent l="0" t="0" r="0" b="0"/>
            <wp:docPr id="6362526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294140" cy="1294140"/>
                    </a:xfrm>
                    <a:prstGeom prst="rect">
                      <a:avLst/>
                    </a:prstGeom>
                    <a:noFill/>
                    <a:ln>
                      <a:noFill/>
                    </a:ln>
                  </pic:spPr>
                </pic:pic>
              </a:graphicData>
            </a:graphic>
          </wp:inline>
        </w:drawing>
      </w:r>
      <w:r>
        <w:rPr>
          <w:noProof/>
        </w:rPr>
        <w:drawing>
          <wp:inline distT="0" distB="0" distL="0" distR="0" wp14:anchorId="4EFA69EF" wp14:editId="134A51C6">
            <wp:extent cx="1261745" cy="1261745"/>
            <wp:effectExtent l="0" t="0" r="0" b="0"/>
            <wp:docPr id="200191131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85537" cy="1285537"/>
                    </a:xfrm>
                    <a:prstGeom prst="rect">
                      <a:avLst/>
                    </a:prstGeom>
                    <a:noFill/>
                    <a:ln>
                      <a:noFill/>
                    </a:ln>
                  </pic:spPr>
                </pic:pic>
              </a:graphicData>
            </a:graphic>
          </wp:inline>
        </w:drawing>
      </w:r>
      <w:r w:rsidR="005857FD">
        <w:rPr>
          <w:noProof/>
        </w:rPr>
        <w:drawing>
          <wp:inline distT="0" distB="0" distL="0" distR="0" wp14:anchorId="2E342C97" wp14:editId="41F79856">
            <wp:extent cx="1263650" cy="1263650"/>
            <wp:effectExtent l="0" t="0" r="0" b="0"/>
            <wp:docPr id="11591332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30384" cy="1330384"/>
                    </a:xfrm>
                    <a:prstGeom prst="rect">
                      <a:avLst/>
                    </a:prstGeom>
                    <a:noFill/>
                    <a:ln>
                      <a:noFill/>
                    </a:ln>
                  </pic:spPr>
                </pic:pic>
              </a:graphicData>
            </a:graphic>
          </wp:inline>
        </w:drawing>
      </w:r>
    </w:p>
    <w:p w14:paraId="4F501080" w14:textId="35B72DF6" w:rsidR="001548E7" w:rsidRDefault="001548E7" w:rsidP="001548E7">
      <w:pPr>
        <w:pStyle w:val="Heading2"/>
      </w:pPr>
      <w:bookmarkStart w:id="2" w:name="_Toc211605237"/>
      <w:r>
        <w:t>References</w:t>
      </w:r>
      <w:bookmarkEnd w:id="2"/>
      <w:r>
        <w:t xml:space="preserve"> </w:t>
      </w:r>
    </w:p>
    <w:p w14:paraId="7D66B5A5" w14:textId="0AF1260F" w:rsidR="001C1E10" w:rsidRPr="001548E7" w:rsidRDefault="00C311C0" w:rsidP="001548E7">
      <w:pPr>
        <w:spacing w:line="360" w:lineRule="auto"/>
        <w:rPr>
          <w:rFonts w:ascii="Arial" w:hAnsi="Arial" w:cs="Arial"/>
        </w:rPr>
      </w:pPr>
      <w:r w:rsidRPr="001548E7">
        <w:rPr>
          <w:rFonts w:ascii="Arial" w:hAnsi="Arial" w:cs="Arial"/>
        </w:rPr>
        <w:t xml:space="preserve">Audrin, B., Audrin, C. and Salamin, X. (2024) ‘Digital skills at work – Conceptual development and empirical validation of a measurement scale’, Technological Forecasting and Social Change, 202(123279), p. 123279. Available at: </w:t>
      </w:r>
      <w:hyperlink r:id="rId29" w:history="1">
        <w:r w:rsidRPr="001548E7">
          <w:rPr>
            <w:rStyle w:val="Hyperlink"/>
            <w:rFonts w:ascii="Arial" w:hAnsi="Arial" w:cs="Arial"/>
          </w:rPr>
          <w:t>https://doi.org/10.1016/j.techfore.2024.123279</w:t>
        </w:r>
      </w:hyperlink>
      <w:r w:rsidRPr="001548E7">
        <w:rPr>
          <w:rFonts w:ascii="Arial" w:hAnsi="Arial" w:cs="Arial"/>
        </w:rPr>
        <w:t>.</w:t>
      </w:r>
    </w:p>
    <w:p w14:paraId="789522F4" w14:textId="07825FAA" w:rsidR="00C311C0" w:rsidRDefault="008F0AAE" w:rsidP="001548E7">
      <w:pPr>
        <w:spacing w:line="360" w:lineRule="auto"/>
        <w:rPr>
          <w:rFonts w:ascii="Arial" w:hAnsi="Arial" w:cs="Arial"/>
        </w:rPr>
      </w:pPr>
      <w:r w:rsidRPr="001548E7">
        <w:rPr>
          <w:rFonts w:ascii="Arial" w:hAnsi="Arial" w:cs="Arial"/>
        </w:rPr>
        <w:t xml:space="preserve">Gilli, K., Lettner, N. and Guettel, W. (2023) ‘The future of leadership: new digital skills or old analog virtues?’, Journal of Business Strategy, 45(1). Available at: </w:t>
      </w:r>
      <w:hyperlink r:id="rId30" w:history="1">
        <w:r w:rsidRPr="001548E7">
          <w:rPr>
            <w:rStyle w:val="Hyperlink"/>
            <w:rFonts w:ascii="Arial" w:hAnsi="Arial" w:cs="Arial"/>
          </w:rPr>
          <w:t>https://doi.org/10.1108/jbs-06-2022-0093</w:t>
        </w:r>
      </w:hyperlink>
      <w:r w:rsidRPr="001548E7">
        <w:rPr>
          <w:rFonts w:ascii="Arial" w:hAnsi="Arial" w:cs="Arial"/>
        </w:rPr>
        <w:t>.</w:t>
      </w:r>
    </w:p>
    <w:p w14:paraId="180DA04E" w14:textId="2700D126" w:rsidR="00F82AD9" w:rsidRDefault="00F82AD9" w:rsidP="001548E7">
      <w:pPr>
        <w:spacing w:line="360" w:lineRule="auto"/>
        <w:rPr>
          <w:rFonts w:ascii="Arial" w:hAnsi="Arial" w:cs="Arial"/>
        </w:rPr>
      </w:pPr>
      <w:r w:rsidRPr="00F82AD9">
        <w:rPr>
          <w:rFonts w:ascii="Arial" w:hAnsi="Arial" w:cs="Arial"/>
        </w:rPr>
        <w:t xml:space="preserve">Jisc (2024) Jisc, Jisc. Available at: </w:t>
      </w:r>
      <w:hyperlink r:id="rId31" w:history="1">
        <w:r w:rsidRPr="006A4E91">
          <w:rPr>
            <w:rStyle w:val="Hyperlink"/>
            <w:rFonts w:ascii="Arial" w:hAnsi="Arial" w:cs="Arial"/>
          </w:rPr>
          <w:t>https://www.jisc.ac.uk/</w:t>
        </w:r>
      </w:hyperlink>
      <w:r w:rsidRPr="00F82AD9">
        <w:rPr>
          <w:rFonts w:ascii="Arial" w:hAnsi="Arial" w:cs="Arial"/>
        </w:rPr>
        <w:t>.</w:t>
      </w:r>
    </w:p>
    <w:p w14:paraId="1D96A8F4" w14:textId="3C1D025D" w:rsidR="00F82AD9" w:rsidRPr="001548E7" w:rsidRDefault="00F82AD9" w:rsidP="001548E7">
      <w:pPr>
        <w:spacing w:line="360" w:lineRule="auto"/>
        <w:rPr>
          <w:rFonts w:ascii="Arial" w:hAnsi="Arial" w:cs="Arial"/>
        </w:rPr>
      </w:pPr>
      <w:r w:rsidRPr="00F82AD9">
        <w:rPr>
          <w:rFonts w:ascii="Arial" w:hAnsi="Arial" w:cs="Arial"/>
        </w:rPr>
        <w:t>Nikou, S., De Reuver, M. and Kanafi, M.M. (2022) ‘Workplace Literacy Skills—how Information and Digital Literacy Affect Adoption of Digital Technology’, Journal of Documentation, 78(7), pp. 371–391. Available at: https://doi.org/10.1108/JD-12-2021-0241.</w:t>
      </w:r>
    </w:p>
    <w:p w14:paraId="7EF650B3" w14:textId="7A4F1150" w:rsidR="008F0AAE" w:rsidRPr="001548E7" w:rsidRDefault="00B76CAB" w:rsidP="001548E7">
      <w:pPr>
        <w:spacing w:line="360" w:lineRule="auto"/>
        <w:rPr>
          <w:rFonts w:ascii="Arial" w:hAnsi="Arial" w:cs="Arial"/>
        </w:rPr>
      </w:pPr>
      <w:r w:rsidRPr="001548E7">
        <w:rPr>
          <w:rFonts w:ascii="Arial" w:hAnsi="Arial" w:cs="Arial"/>
        </w:rPr>
        <w:t xml:space="preserve">Shakina, E., Parshakov, P. and Alsufiev, A. (2021) ‘Rethinking the corporate digital divide: The complementarity of technologies and the demand for digital skills’, Technological Forecasting and Social Change, 162(1), p. 120405. Available at: </w:t>
      </w:r>
      <w:hyperlink r:id="rId32" w:history="1">
        <w:r w:rsidRPr="001548E7">
          <w:rPr>
            <w:rStyle w:val="Hyperlink"/>
            <w:rFonts w:ascii="Arial" w:hAnsi="Arial" w:cs="Arial"/>
          </w:rPr>
          <w:t>https://doi.org/10.1016/j.techfore.2020.120405</w:t>
        </w:r>
      </w:hyperlink>
      <w:r w:rsidRPr="001548E7">
        <w:rPr>
          <w:rFonts w:ascii="Arial" w:hAnsi="Arial" w:cs="Arial"/>
        </w:rPr>
        <w:t>.</w:t>
      </w:r>
    </w:p>
    <w:p w14:paraId="56DC679B" w14:textId="0DAC1A68" w:rsidR="00B76CAB" w:rsidRPr="001548E7" w:rsidRDefault="00E11FEC" w:rsidP="001548E7">
      <w:pPr>
        <w:spacing w:line="360" w:lineRule="auto"/>
        <w:rPr>
          <w:rFonts w:ascii="Arial" w:hAnsi="Arial" w:cs="Arial"/>
        </w:rPr>
      </w:pPr>
      <w:r w:rsidRPr="001548E7">
        <w:rPr>
          <w:rFonts w:ascii="Arial" w:hAnsi="Arial" w:cs="Arial"/>
        </w:rPr>
        <w:t>Stofkova, J. et al. (2022) ‘Digital Skills as a Significant Factor of Human Resources Development’, Sustainability, 14(20), p. 13117. Available at: https://doi.org/10.3390/su142013117.</w:t>
      </w:r>
    </w:p>
    <w:p w14:paraId="4C970678" w14:textId="63899BD8" w:rsidR="00C552BA" w:rsidRDefault="00A05B1B" w:rsidP="00A05B1B">
      <w:r>
        <w:rPr>
          <w:rFonts w:hint="cs"/>
        </w:rPr>
        <w:t>‌</w:t>
      </w:r>
    </w:p>
    <w:p w14:paraId="7A8C4CDB" w14:textId="0D19C621" w:rsidR="009D3D7B" w:rsidRDefault="00D731C3" w:rsidP="00D731C3">
      <w:pPr>
        <w:pStyle w:val="Heading1"/>
      </w:pPr>
      <w:bookmarkStart w:id="3" w:name="_Toc211605238"/>
      <w:r>
        <w:lastRenderedPageBreak/>
        <w:t>Task 2</w:t>
      </w:r>
      <w:bookmarkEnd w:id="3"/>
      <w:r>
        <w:t xml:space="preserve"> </w:t>
      </w:r>
    </w:p>
    <w:p w14:paraId="46ECF222" w14:textId="6C852745" w:rsidR="00D731C3" w:rsidRDefault="00D731C3" w:rsidP="00D731C3">
      <w:pPr>
        <w:pStyle w:val="Heading1"/>
      </w:pPr>
      <w:bookmarkStart w:id="4" w:name="_Toc211605239"/>
      <w:r w:rsidRPr="00D731C3">
        <w:t>LinkedIn Learning Certificates for Office365</w:t>
      </w:r>
      <w:bookmarkEnd w:id="4"/>
      <w:r w:rsidR="00C63322" w:rsidRPr="00C63322">
        <w:rPr>
          <w:noProof/>
        </w:rPr>
        <w:drawing>
          <wp:inline distT="0" distB="0" distL="0" distR="0" wp14:anchorId="4B406D83" wp14:editId="11506057">
            <wp:extent cx="4749800" cy="3654178"/>
            <wp:effectExtent l="0" t="0" r="0" b="3810"/>
            <wp:docPr id="55375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50528" name=""/>
                    <pic:cNvPicPr/>
                  </pic:nvPicPr>
                  <pic:blipFill>
                    <a:blip r:embed="rId33"/>
                    <a:stretch>
                      <a:fillRect/>
                    </a:stretch>
                  </pic:blipFill>
                  <pic:spPr>
                    <a:xfrm>
                      <a:off x="0" y="0"/>
                      <a:ext cx="4766375" cy="3666929"/>
                    </a:xfrm>
                    <a:prstGeom prst="rect">
                      <a:avLst/>
                    </a:prstGeom>
                  </pic:spPr>
                </pic:pic>
              </a:graphicData>
            </a:graphic>
          </wp:inline>
        </w:drawing>
      </w:r>
    </w:p>
    <w:p w14:paraId="302DB4E0" w14:textId="0EA94218" w:rsidR="00B057E6" w:rsidRDefault="00B057E6" w:rsidP="00D731C3">
      <w:r>
        <w:rPr>
          <w:noProof/>
        </w:rPr>
        <w:drawing>
          <wp:inline distT="0" distB="0" distL="0" distR="0" wp14:anchorId="0F3A63DA" wp14:editId="2DA22B8A">
            <wp:extent cx="4839135" cy="3752809"/>
            <wp:effectExtent l="0" t="0" r="0" b="635"/>
            <wp:docPr id="113487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64744" cy="3772669"/>
                    </a:xfrm>
                    <a:prstGeom prst="rect">
                      <a:avLst/>
                    </a:prstGeom>
                    <a:noFill/>
                  </pic:spPr>
                </pic:pic>
              </a:graphicData>
            </a:graphic>
          </wp:inline>
        </w:drawing>
      </w:r>
    </w:p>
    <w:p w14:paraId="7C55F89E" w14:textId="5B3AD98A" w:rsidR="00C63322" w:rsidRDefault="00C63322" w:rsidP="00D731C3"/>
    <w:p w14:paraId="3B427340" w14:textId="5AF6EC3F" w:rsidR="00EA0E3F" w:rsidRDefault="00EE5B5E" w:rsidP="00EA0E3F">
      <w:r w:rsidRPr="00EE5B5E">
        <w:rPr>
          <w:noProof/>
        </w:rPr>
        <w:lastRenderedPageBreak/>
        <w:drawing>
          <wp:inline distT="0" distB="0" distL="0" distR="0" wp14:anchorId="1CC78C1C" wp14:editId="3AFAFB3A">
            <wp:extent cx="5334000" cy="4152081"/>
            <wp:effectExtent l="0" t="0" r="0" b="1270"/>
            <wp:docPr id="17156967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45117" cy="4160735"/>
                    </a:xfrm>
                    <a:prstGeom prst="rect">
                      <a:avLst/>
                    </a:prstGeom>
                    <a:noFill/>
                    <a:ln>
                      <a:noFill/>
                    </a:ln>
                  </pic:spPr>
                </pic:pic>
              </a:graphicData>
            </a:graphic>
          </wp:inline>
        </w:drawing>
      </w:r>
      <w:r w:rsidR="005939D3">
        <w:br w:type="textWrapping" w:clear="all"/>
      </w:r>
      <w:r w:rsidR="005939D3">
        <w:rPr>
          <w:noProof/>
        </w:rPr>
        <w:drawing>
          <wp:inline distT="0" distB="0" distL="0" distR="0" wp14:anchorId="3D5CD1A9" wp14:editId="30F63B50">
            <wp:extent cx="5378450" cy="4171160"/>
            <wp:effectExtent l="0" t="0" r="0" b="1270"/>
            <wp:docPr id="26761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95777" cy="4184598"/>
                    </a:xfrm>
                    <a:prstGeom prst="rect">
                      <a:avLst/>
                    </a:prstGeom>
                    <a:noFill/>
                  </pic:spPr>
                </pic:pic>
              </a:graphicData>
            </a:graphic>
          </wp:inline>
        </w:drawing>
      </w:r>
    </w:p>
    <w:p w14:paraId="40A77C41" w14:textId="711142E5" w:rsidR="0083301D" w:rsidRDefault="0083301D" w:rsidP="00EA0E3F">
      <w:r w:rsidRPr="0083301D">
        <w:rPr>
          <w:noProof/>
        </w:rPr>
        <w:lastRenderedPageBreak/>
        <w:drawing>
          <wp:inline distT="0" distB="0" distL="0" distR="0" wp14:anchorId="0AC7FCA0" wp14:editId="4139805E">
            <wp:extent cx="5731510" cy="4393565"/>
            <wp:effectExtent l="0" t="0" r="2540" b="6985"/>
            <wp:docPr id="72766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6522" name=""/>
                    <pic:cNvPicPr/>
                  </pic:nvPicPr>
                  <pic:blipFill>
                    <a:blip r:embed="rId37"/>
                    <a:stretch>
                      <a:fillRect/>
                    </a:stretch>
                  </pic:blipFill>
                  <pic:spPr>
                    <a:xfrm>
                      <a:off x="0" y="0"/>
                      <a:ext cx="5731510" cy="4393565"/>
                    </a:xfrm>
                    <a:prstGeom prst="rect">
                      <a:avLst/>
                    </a:prstGeom>
                  </pic:spPr>
                </pic:pic>
              </a:graphicData>
            </a:graphic>
          </wp:inline>
        </w:drawing>
      </w:r>
      <w:r w:rsidR="00773D41" w:rsidRPr="00773D41">
        <w:rPr>
          <w:noProof/>
        </w:rPr>
        <w:drawing>
          <wp:inline distT="0" distB="0" distL="0" distR="0" wp14:anchorId="0AC72711" wp14:editId="3049401D">
            <wp:extent cx="5731510" cy="4406900"/>
            <wp:effectExtent l="0" t="0" r="2540" b="0"/>
            <wp:docPr id="1088567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67677" name=""/>
                    <pic:cNvPicPr/>
                  </pic:nvPicPr>
                  <pic:blipFill>
                    <a:blip r:embed="rId38"/>
                    <a:stretch>
                      <a:fillRect/>
                    </a:stretch>
                  </pic:blipFill>
                  <pic:spPr>
                    <a:xfrm>
                      <a:off x="0" y="0"/>
                      <a:ext cx="5731510" cy="4406900"/>
                    </a:xfrm>
                    <a:prstGeom prst="rect">
                      <a:avLst/>
                    </a:prstGeom>
                  </pic:spPr>
                </pic:pic>
              </a:graphicData>
            </a:graphic>
          </wp:inline>
        </w:drawing>
      </w:r>
    </w:p>
    <w:p w14:paraId="356AE92F" w14:textId="711142E5" w:rsidR="00022B69" w:rsidRDefault="00D731C3" w:rsidP="00D731C3">
      <w:pPr>
        <w:pStyle w:val="Heading1"/>
      </w:pPr>
      <w:bookmarkStart w:id="5" w:name="_Toc211605240"/>
      <w:r>
        <w:lastRenderedPageBreak/>
        <w:t>Task 3</w:t>
      </w:r>
      <w:bookmarkEnd w:id="5"/>
      <w:r>
        <w:t xml:space="preserve"> </w:t>
      </w:r>
    </w:p>
    <w:p w14:paraId="4C4226A4" w14:textId="1426F3FD"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3106125C" w14:textId="77777777" w:rsidR="00215753" w:rsidRPr="00D7099A" w:rsidRDefault="00215753" w:rsidP="00D7099A">
      <w:pPr>
        <w:spacing w:line="360" w:lineRule="auto"/>
        <w:rPr>
          <w:rFonts w:ascii="Arial" w:hAnsi="Arial" w:cs="Arial"/>
        </w:rPr>
      </w:pPr>
      <w:r w:rsidRPr="00D7099A">
        <w:rPr>
          <w:rFonts w:ascii="Arial" w:hAnsi="Arial" w:cs="Arial"/>
        </w:rPr>
        <w:t>One of the most used spreadsheet programs in business, education, research, and personal finance is Microsoft Excel. Excel, a component of the Microsoft Office suite, offers a flexible platform for data organization, analysis, and presentation. It is an essential tool in many industries due to its significant capabilities, versatility, and accessibility. Excel is used by professionals and students for work including data analysis, budgeting, reporting, and decision-making. It converts unprocessed data into insightful information that helps make informed decisions.</w:t>
      </w:r>
    </w:p>
    <w:p w14:paraId="50FB2EC2" w14:textId="77777777" w:rsidR="00215753" w:rsidRPr="00D7099A" w:rsidRDefault="00215753" w:rsidP="00D7099A">
      <w:pPr>
        <w:spacing w:line="360" w:lineRule="auto"/>
        <w:rPr>
          <w:rFonts w:ascii="Arial" w:hAnsi="Arial" w:cs="Arial"/>
        </w:rPr>
      </w:pPr>
      <w:r w:rsidRPr="00D7099A">
        <w:rPr>
          <w:rFonts w:ascii="Arial" w:hAnsi="Arial" w:cs="Arial"/>
        </w:rPr>
        <w:t>Excel expertise is seen as a critical skill in today's data-driven environment. The program enables users to accurately analyse complicated datasets, automate calculations, and produce visual representations of data. The relevance and significance of Microsoft Excel are examined in this essay, along with its useful applications in a variety of circumstances and how it improves productivity and decision-making.</w:t>
      </w:r>
    </w:p>
    <w:p w14:paraId="4F3DB26D" w14:textId="77777777" w:rsidR="00215753" w:rsidRPr="00D7099A" w:rsidRDefault="00215753" w:rsidP="00D7099A">
      <w:pPr>
        <w:spacing w:line="360" w:lineRule="auto"/>
        <w:rPr>
          <w:rFonts w:ascii="Arial" w:hAnsi="Arial" w:cs="Arial"/>
        </w:rPr>
      </w:pPr>
      <w:r w:rsidRPr="00D7099A">
        <w:rPr>
          <w:rFonts w:ascii="Arial" w:hAnsi="Arial" w:cs="Arial"/>
        </w:rPr>
        <w:t>Data analysis is one of Excel's most useful features. Large amounts of data must be efficiently organised, understood, and analysed by both individuals and organisations. Pivot tables, filters, conditional formatting, and statistical functions are just a few of the tools Excel offers that let users draw conclusions from complicated datasets.</w:t>
      </w:r>
    </w:p>
    <w:p w14:paraId="0CF2D34C" w14:textId="77777777" w:rsidR="00215753" w:rsidRPr="00D7099A" w:rsidRDefault="00215753" w:rsidP="00D7099A">
      <w:pPr>
        <w:spacing w:line="360" w:lineRule="auto"/>
        <w:rPr>
          <w:rFonts w:ascii="Arial" w:hAnsi="Arial" w:cs="Arial"/>
        </w:rPr>
      </w:pPr>
      <w:r w:rsidRPr="00D7099A">
        <w:rPr>
          <w:rFonts w:ascii="Arial" w:hAnsi="Arial" w:cs="Arial"/>
        </w:rPr>
        <w:t>For example, a retail business may keep records of daily sales for a variety of goods and locations. While charts show trends like seasonal fluctuations in demand, pivot tables enable managers to summarise overall sales by product category or area. Businesses can use this information to determine which products are the greatest sellers, modify their marketing plans, and improve inventory control.</w:t>
      </w:r>
    </w:p>
    <w:p w14:paraId="5AA0B9F6" w14:textId="0CF0402A" w:rsidR="00215753" w:rsidRPr="00D7099A" w:rsidRDefault="00B453B7" w:rsidP="00D7099A">
      <w:pPr>
        <w:spacing w:line="360" w:lineRule="auto"/>
        <w:rPr>
          <w:rFonts w:ascii="Arial" w:hAnsi="Arial" w:cs="Arial"/>
        </w:rPr>
      </w:pPr>
      <w:r w:rsidRPr="00D7099A">
        <w:rPr>
          <w:rFonts w:ascii="Arial" w:hAnsi="Arial" w:cs="Arial"/>
        </w:rPr>
        <w:t xml:space="preserve">Microsoft Excel is also widely used in academic research and scientific analysis. For example, GEOstats is an Excel-based tool developed to analyse geological data using statistical techniques </w:t>
      </w:r>
      <w:r w:rsidR="004C1736" w:rsidRPr="00D7099A">
        <w:rPr>
          <w:rFonts w:ascii="Arial" w:hAnsi="Arial" w:cs="Arial"/>
        </w:rPr>
        <w:t xml:space="preserve">(Gunduz, Asan, 2022). </w:t>
      </w:r>
      <w:r w:rsidR="00215753" w:rsidRPr="00D7099A">
        <w:rPr>
          <w:rFonts w:ascii="Arial" w:hAnsi="Arial" w:cs="Arial"/>
        </w:rPr>
        <w:t xml:space="preserve">This shows that Excel can handle </w:t>
      </w:r>
      <w:r w:rsidR="00215753" w:rsidRPr="00D7099A">
        <w:rPr>
          <w:rFonts w:ascii="Arial" w:hAnsi="Arial" w:cs="Arial"/>
        </w:rPr>
        <w:lastRenderedPageBreak/>
        <w:t>complicated research and analytical operations and is not just useful for business applications.</w:t>
      </w:r>
    </w:p>
    <w:p w14:paraId="630B0AC6" w14:textId="77777777" w:rsidR="00215753" w:rsidRPr="00D7099A" w:rsidRDefault="00215753" w:rsidP="00D7099A">
      <w:pPr>
        <w:spacing w:line="360" w:lineRule="auto"/>
        <w:rPr>
          <w:rFonts w:ascii="Arial" w:hAnsi="Arial" w:cs="Arial"/>
        </w:rPr>
      </w:pPr>
      <w:r w:rsidRPr="00D7099A">
        <w:rPr>
          <w:rFonts w:ascii="Arial" w:hAnsi="Arial" w:cs="Arial"/>
        </w:rPr>
        <w:t>Financial management and budgeting both require Excel. Spreadsheets are used by both individuals and organisations to plan financial operations, observe costs, and keep an eye on income. Maintaining control over funds is made easier by Excel's calculating capabilities, which minimize errors and offer quick summaries of financial data.</w:t>
      </w:r>
    </w:p>
    <w:p w14:paraId="39A94A29" w14:textId="51F8E512" w:rsidR="00215753" w:rsidRPr="00D7099A" w:rsidRDefault="00215753" w:rsidP="00D7099A">
      <w:pPr>
        <w:spacing w:line="360" w:lineRule="auto"/>
        <w:rPr>
          <w:rFonts w:ascii="Arial" w:hAnsi="Arial" w:cs="Arial"/>
        </w:rPr>
      </w:pPr>
      <w:r w:rsidRPr="00D7099A">
        <w:rPr>
          <w:rFonts w:ascii="Arial" w:hAnsi="Arial" w:cs="Arial"/>
        </w:rPr>
        <w:t>Small businesses often rely on Excel due to its affordability and flexibility.</w:t>
      </w:r>
      <w:r w:rsidR="001949D2" w:rsidRPr="00D7099A">
        <w:rPr>
          <w:rFonts w:ascii="Arial" w:hAnsi="Arial" w:cs="Arial"/>
        </w:rPr>
        <w:t xml:space="preserve"> M</w:t>
      </w:r>
      <w:r w:rsidRPr="00D7099A">
        <w:rPr>
          <w:rFonts w:ascii="Arial" w:hAnsi="Arial" w:cs="Arial"/>
        </w:rPr>
        <w:t>any micro, small, and medium-sized enterprises prepare financial statements and manage transactions using Excel</w:t>
      </w:r>
      <w:r w:rsidR="0022310E" w:rsidRPr="00D7099A">
        <w:rPr>
          <w:rFonts w:ascii="Arial" w:hAnsi="Arial" w:cs="Arial"/>
        </w:rPr>
        <w:t xml:space="preserve"> (Antoni, 2021).</w:t>
      </w:r>
    </w:p>
    <w:p w14:paraId="2E8EE6E1" w14:textId="77777777" w:rsidR="00215753" w:rsidRPr="00D7099A" w:rsidRDefault="00215753" w:rsidP="00D7099A">
      <w:pPr>
        <w:spacing w:line="360" w:lineRule="auto"/>
        <w:rPr>
          <w:rFonts w:ascii="Arial" w:hAnsi="Arial" w:cs="Arial"/>
        </w:rPr>
      </w:pPr>
      <w:r w:rsidRPr="00D7099A">
        <w:rPr>
          <w:rFonts w:ascii="Arial" w:hAnsi="Arial" w:cs="Arial"/>
        </w:rPr>
        <w:t>A household budget spreadsheet, for example, can include income from freelance work, salary, and other sources in addition to costs like rent, utilities, groceries, transportation, and entertainment. The spreadsheet calculates total income and expenses using formulas like SUM, and conditional formatting draws attention to areas where spending goes over budget. This useful application of Excel enables users to keep an eye on their money, spot areas for savings, and make wise spending decisions.</w:t>
      </w:r>
    </w:p>
    <w:p w14:paraId="3B3C135D" w14:textId="77777777" w:rsidR="00215753" w:rsidRPr="00D7099A" w:rsidRDefault="00215753" w:rsidP="00D7099A">
      <w:pPr>
        <w:spacing w:line="360" w:lineRule="auto"/>
        <w:rPr>
          <w:rFonts w:ascii="Arial" w:hAnsi="Arial" w:cs="Arial"/>
        </w:rPr>
      </w:pPr>
      <w:r w:rsidRPr="00D7099A">
        <w:rPr>
          <w:rFonts w:ascii="Arial" w:hAnsi="Arial" w:cs="Arial"/>
        </w:rPr>
        <w:t>Additionally, Excel is essential for reporting and performance observation. For managers, stakeholders, or investors, businesses frequently need to display complicated information in an understandable, attractive way. Charts, graphs, and dashboards are examples of Excel's visualization capabilities that transform unprocessed data into understandable findings.</w:t>
      </w:r>
    </w:p>
    <w:p w14:paraId="0ABFB785" w14:textId="633710A2" w:rsidR="00215753" w:rsidRPr="00D7099A" w:rsidRDefault="00215753" w:rsidP="00D7099A">
      <w:pPr>
        <w:spacing w:line="360" w:lineRule="auto"/>
        <w:rPr>
          <w:rFonts w:ascii="Arial" w:hAnsi="Arial" w:cs="Arial"/>
        </w:rPr>
      </w:pPr>
      <w:r w:rsidRPr="00D7099A">
        <w:rPr>
          <w:rFonts w:ascii="Arial" w:hAnsi="Arial" w:cs="Arial"/>
        </w:rPr>
        <w:t>For example, a finance department might generate monthly reports that show profit margins, income, and expenses. Managers can swiftly assess financial performance and make necessary corrections by using bar and pie charts to show trends. Excel-based</w:t>
      </w:r>
      <w:r w:rsidR="00137305">
        <w:rPr>
          <w:rFonts w:ascii="Arial" w:hAnsi="Arial" w:cs="Arial"/>
        </w:rPr>
        <w:t xml:space="preserve"> </w:t>
      </w:r>
      <w:r w:rsidR="00477BA8">
        <w:rPr>
          <w:rFonts w:ascii="Arial" w:hAnsi="Arial" w:cs="Arial"/>
        </w:rPr>
        <w:t>display</w:t>
      </w:r>
      <w:r w:rsidR="00137305">
        <w:rPr>
          <w:rFonts w:ascii="Arial" w:hAnsi="Arial" w:cs="Arial"/>
        </w:rPr>
        <w:t xml:space="preserve"> panels</w:t>
      </w:r>
      <w:r w:rsidRPr="00D7099A">
        <w:rPr>
          <w:rFonts w:ascii="Arial" w:hAnsi="Arial" w:cs="Arial"/>
        </w:rPr>
        <w:t xml:space="preserve"> and manual controls allow </w:t>
      </w:r>
      <w:r w:rsidR="00CA3CFB">
        <w:rPr>
          <w:rFonts w:ascii="Arial" w:hAnsi="Arial" w:cs="Arial"/>
        </w:rPr>
        <w:t>organiz</w:t>
      </w:r>
      <w:r w:rsidR="00C6203F">
        <w:rPr>
          <w:rFonts w:ascii="Arial" w:hAnsi="Arial" w:cs="Arial"/>
        </w:rPr>
        <w:t>ations</w:t>
      </w:r>
      <w:r w:rsidRPr="00D7099A">
        <w:rPr>
          <w:rFonts w:ascii="Arial" w:hAnsi="Arial" w:cs="Arial"/>
        </w:rPr>
        <w:t xml:space="preserve"> to observe key performance indicators (KPIs) like customer retention, growth in income, and operational effectiveness, enhancing overall performance </w:t>
      </w:r>
      <w:r w:rsidR="00C46B39" w:rsidRPr="00D7099A">
        <w:rPr>
          <w:rFonts w:ascii="Arial" w:hAnsi="Arial" w:cs="Arial"/>
        </w:rPr>
        <w:t>management (Ojonugwa et al., 2020)</w:t>
      </w:r>
      <w:r w:rsidRPr="00D7099A">
        <w:rPr>
          <w:rFonts w:ascii="Arial" w:hAnsi="Arial" w:cs="Arial"/>
        </w:rPr>
        <w:t>.</w:t>
      </w:r>
    </w:p>
    <w:p w14:paraId="77F02FE5" w14:textId="77777777" w:rsidR="00215753" w:rsidRPr="00D7099A" w:rsidRDefault="00215753" w:rsidP="00D7099A">
      <w:pPr>
        <w:spacing w:line="360" w:lineRule="auto"/>
        <w:rPr>
          <w:rFonts w:ascii="Arial" w:hAnsi="Arial" w:cs="Arial"/>
        </w:rPr>
      </w:pPr>
      <w:r w:rsidRPr="00D7099A">
        <w:rPr>
          <w:rFonts w:ascii="Arial" w:hAnsi="Arial" w:cs="Arial"/>
        </w:rPr>
        <w:t xml:space="preserve">Excel facilitates data-driven decision-making by enabling users to evaluate possible outcomes and simulate situations. Managers and individuals can assess the </w:t>
      </w:r>
      <w:r w:rsidRPr="00D7099A">
        <w:rPr>
          <w:rFonts w:ascii="Arial" w:hAnsi="Arial" w:cs="Arial"/>
        </w:rPr>
        <w:lastRenderedPageBreak/>
        <w:t>consequences of various choices with the aid of tools like What-If Analysis, Goal Seek, and situation modelling.</w:t>
      </w:r>
    </w:p>
    <w:p w14:paraId="546A6870" w14:textId="77777777" w:rsidR="00215753" w:rsidRPr="00D7099A" w:rsidRDefault="00215753" w:rsidP="00D7099A">
      <w:pPr>
        <w:spacing w:line="360" w:lineRule="auto"/>
        <w:rPr>
          <w:rFonts w:ascii="Arial" w:hAnsi="Arial" w:cs="Arial"/>
        </w:rPr>
      </w:pPr>
      <w:r w:rsidRPr="00D7099A">
        <w:rPr>
          <w:rFonts w:ascii="Arial" w:hAnsi="Arial" w:cs="Arial"/>
        </w:rPr>
        <w:t>Excel can be used, for example, to estimate projected manufacturing costs, revenue, and profit under multiple situations for a company thinking about launching a new product. Managers can determine the best profitable strategy by modifying factors like pricing, demand, and manufacturing costs.</w:t>
      </w:r>
    </w:p>
    <w:p w14:paraId="11358175" w14:textId="77777777" w:rsidR="00215753" w:rsidRPr="00D7099A" w:rsidRDefault="00215753" w:rsidP="00D7099A">
      <w:pPr>
        <w:spacing w:line="360" w:lineRule="auto"/>
        <w:rPr>
          <w:rFonts w:ascii="Arial" w:hAnsi="Arial" w:cs="Arial"/>
        </w:rPr>
      </w:pPr>
      <w:r w:rsidRPr="00D7099A">
        <w:rPr>
          <w:rFonts w:ascii="Arial" w:hAnsi="Arial" w:cs="Arial"/>
        </w:rPr>
        <w:t>Investment analysis is another common use for Excel. Businesses can assess a project's prospective profitability using financial functions like Net Present Value (NPV) and Internal Rate of Return (IRR). This analytical capacity guarantees that decisions are founded on precise, based on fact data and reduces reliance on intuition.</w:t>
      </w:r>
    </w:p>
    <w:p w14:paraId="4CB42724" w14:textId="5506A6E6" w:rsidR="00215753" w:rsidRPr="00D7099A" w:rsidRDefault="00215753" w:rsidP="00D7099A">
      <w:pPr>
        <w:spacing w:line="360" w:lineRule="auto"/>
        <w:rPr>
          <w:rFonts w:ascii="Arial" w:hAnsi="Arial" w:cs="Arial"/>
        </w:rPr>
      </w:pPr>
      <w:r w:rsidRPr="00D7099A">
        <w:rPr>
          <w:rFonts w:ascii="Arial" w:hAnsi="Arial" w:cs="Arial"/>
        </w:rPr>
        <w:t xml:space="preserve">Excel is also a powerful educational tool, helping students develop analytical and technical skills. Many universities incorporate Excel into courses on statistics, accounting, and business analytics. </w:t>
      </w:r>
      <w:r w:rsidR="000B0A5F" w:rsidRPr="00D7099A">
        <w:rPr>
          <w:rFonts w:ascii="Arial" w:hAnsi="Arial" w:cs="Arial"/>
        </w:rPr>
        <w:t>U</w:t>
      </w:r>
      <w:r w:rsidRPr="00D7099A">
        <w:rPr>
          <w:rFonts w:ascii="Arial" w:hAnsi="Arial" w:cs="Arial"/>
        </w:rPr>
        <w:t>sing Excel in statistics courses improves students’ understanding of complex concepts by allowing them to perform calculations and visualise data directly within spreadsheets</w:t>
      </w:r>
      <w:r w:rsidR="00125280" w:rsidRPr="00D7099A">
        <w:rPr>
          <w:rFonts w:ascii="Arial" w:hAnsi="Arial" w:cs="Arial"/>
        </w:rPr>
        <w:t xml:space="preserve"> </w:t>
      </w:r>
      <w:r w:rsidR="000B0A5F" w:rsidRPr="00D7099A">
        <w:rPr>
          <w:rFonts w:ascii="Arial" w:hAnsi="Arial" w:cs="Arial"/>
        </w:rPr>
        <w:t>(Park, Hong and Kondrat, 2022)</w:t>
      </w:r>
      <w:r w:rsidRPr="00D7099A">
        <w:rPr>
          <w:rFonts w:ascii="Arial" w:hAnsi="Arial" w:cs="Arial"/>
        </w:rPr>
        <w:t>.</w:t>
      </w:r>
    </w:p>
    <w:p w14:paraId="364E6E6A" w14:textId="44802F9B" w:rsidR="00215753" w:rsidRPr="00D7099A" w:rsidRDefault="009950F2" w:rsidP="00D7099A">
      <w:pPr>
        <w:spacing w:line="360" w:lineRule="auto"/>
        <w:rPr>
          <w:rFonts w:ascii="Arial" w:hAnsi="Arial" w:cs="Arial"/>
        </w:rPr>
      </w:pPr>
      <w:r w:rsidRPr="00D7099A">
        <w:rPr>
          <w:rFonts w:ascii="Arial" w:hAnsi="Arial" w:cs="Arial"/>
        </w:rPr>
        <w:t>S</w:t>
      </w:r>
      <w:r w:rsidR="00215753" w:rsidRPr="00D7099A">
        <w:rPr>
          <w:rFonts w:ascii="Arial" w:hAnsi="Arial" w:cs="Arial"/>
        </w:rPr>
        <w:t>tudents who regularly use Excel during internships in accounting school have real-world experience and a deeper understanding of spreadsheet functions in professional practice</w:t>
      </w:r>
      <w:r w:rsidR="002D66D7" w:rsidRPr="00D7099A">
        <w:rPr>
          <w:rFonts w:ascii="Arial" w:hAnsi="Arial" w:cs="Arial"/>
        </w:rPr>
        <w:t xml:space="preserve"> (Rahman, Mansor1 and Rahman, 2025, pp. 95–98)</w:t>
      </w:r>
      <w:r w:rsidR="00215753" w:rsidRPr="00D7099A">
        <w:rPr>
          <w:rFonts w:ascii="Arial" w:hAnsi="Arial" w:cs="Arial"/>
        </w:rPr>
        <w:t xml:space="preserve">. Excel-based projects help students </w:t>
      </w:r>
      <w:r w:rsidR="002D66D7" w:rsidRPr="00D7099A">
        <w:rPr>
          <w:rFonts w:ascii="Arial" w:hAnsi="Arial" w:cs="Arial"/>
        </w:rPr>
        <w:t>analyse</w:t>
      </w:r>
      <w:r w:rsidR="00215753" w:rsidRPr="00D7099A">
        <w:rPr>
          <w:rFonts w:ascii="Arial" w:hAnsi="Arial" w:cs="Arial"/>
        </w:rPr>
        <w:t xml:space="preserve"> real-world information, improve their problem-solving abilities, and successfully express findings</w:t>
      </w:r>
      <w:r w:rsidR="00CA3112" w:rsidRPr="00D7099A">
        <w:rPr>
          <w:rFonts w:ascii="Arial" w:hAnsi="Arial" w:cs="Arial"/>
        </w:rPr>
        <w:t xml:space="preserve"> (Renz and Vogel, 2021)</w:t>
      </w:r>
      <w:r w:rsidR="00215753" w:rsidRPr="00D7099A">
        <w:rPr>
          <w:rFonts w:ascii="Arial" w:hAnsi="Arial" w:cs="Arial"/>
        </w:rPr>
        <w:t xml:space="preserve">. </w:t>
      </w:r>
      <w:r w:rsidR="00AB5A58" w:rsidRPr="00D7099A">
        <w:rPr>
          <w:rFonts w:ascii="Arial" w:hAnsi="Arial" w:cs="Arial"/>
        </w:rPr>
        <w:t>Integrating Microsoft Excel into accounting education helps students develop the practical skills needed for contemporary business and financial environments</w:t>
      </w:r>
      <w:r w:rsidR="008E73A5" w:rsidRPr="00D7099A">
        <w:rPr>
          <w:rFonts w:ascii="Arial" w:hAnsi="Arial" w:cs="Arial"/>
        </w:rPr>
        <w:t xml:space="preserve"> </w:t>
      </w:r>
      <w:r w:rsidR="000C09B9" w:rsidRPr="00D7099A">
        <w:rPr>
          <w:rFonts w:ascii="Arial" w:hAnsi="Arial" w:cs="Arial"/>
        </w:rPr>
        <w:t>(Rose</w:t>
      </w:r>
      <w:r w:rsidR="008E73A5" w:rsidRPr="00D7099A">
        <w:rPr>
          <w:rFonts w:ascii="Arial" w:hAnsi="Arial" w:cs="Arial"/>
        </w:rPr>
        <w:t>, Kaminsky, and Meier, 2021).</w:t>
      </w:r>
    </w:p>
    <w:p w14:paraId="79EEA648" w14:textId="3E0478C0" w:rsidR="00215753" w:rsidRPr="00D7099A" w:rsidRDefault="00215753" w:rsidP="00D7099A">
      <w:pPr>
        <w:spacing w:line="360" w:lineRule="auto"/>
        <w:rPr>
          <w:rFonts w:ascii="Arial" w:hAnsi="Arial" w:cs="Arial"/>
        </w:rPr>
      </w:pPr>
      <w:r w:rsidRPr="00D7099A">
        <w:rPr>
          <w:rFonts w:ascii="Arial" w:hAnsi="Arial" w:cs="Arial"/>
        </w:rPr>
        <w:t xml:space="preserve">Excel's advantages </w:t>
      </w:r>
      <w:r w:rsidR="000D155C" w:rsidRPr="00D7099A">
        <w:rPr>
          <w:rFonts w:ascii="Arial" w:hAnsi="Arial" w:cs="Arial"/>
        </w:rPr>
        <w:t>are</w:t>
      </w:r>
      <w:r w:rsidRPr="00D7099A">
        <w:rPr>
          <w:rFonts w:ascii="Arial" w:hAnsi="Arial" w:cs="Arial"/>
        </w:rPr>
        <w:t xml:space="preserve"> demonstrated with real-world applications. A monthly revenue and expense spreadsheet can be made to monitor household finances. Spreadsheets with formulas that calculate total </w:t>
      </w:r>
      <w:r w:rsidR="00A279B4">
        <w:rPr>
          <w:rFonts w:ascii="Arial" w:hAnsi="Arial" w:cs="Arial"/>
        </w:rPr>
        <w:t>earnings</w:t>
      </w:r>
      <w:r w:rsidRPr="00D7099A">
        <w:rPr>
          <w:rFonts w:ascii="Arial" w:hAnsi="Arial" w:cs="Arial"/>
        </w:rPr>
        <w:t>, total</w:t>
      </w:r>
      <w:r w:rsidR="00C3104C">
        <w:rPr>
          <w:rFonts w:ascii="Arial" w:hAnsi="Arial" w:cs="Arial"/>
        </w:rPr>
        <w:t xml:space="preserve"> spending</w:t>
      </w:r>
      <w:r w:rsidRPr="00D7099A">
        <w:rPr>
          <w:rFonts w:ascii="Arial" w:hAnsi="Arial" w:cs="Arial"/>
        </w:rPr>
        <w:t xml:space="preserve">, and balance </w:t>
      </w:r>
      <w:r w:rsidR="00502532">
        <w:rPr>
          <w:rFonts w:ascii="Arial" w:hAnsi="Arial" w:cs="Arial"/>
        </w:rPr>
        <w:t xml:space="preserve">left </w:t>
      </w:r>
      <w:r w:rsidRPr="00D7099A">
        <w:rPr>
          <w:rFonts w:ascii="Arial" w:hAnsi="Arial" w:cs="Arial"/>
        </w:rPr>
        <w:t xml:space="preserve">can be created by entering categories like salary, freelancing income, rent, utilities, groceries, and savings. While data tables and What-If Analysis let users examine the effects of changes in income or spending, charts like pie charts for </w:t>
      </w:r>
      <w:r w:rsidRPr="00D7099A">
        <w:rPr>
          <w:rFonts w:ascii="Arial" w:hAnsi="Arial" w:cs="Arial"/>
        </w:rPr>
        <w:lastRenderedPageBreak/>
        <w:t>expense distribution or bar charts comparing income and expenditure offer visual understanding.</w:t>
      </w:r>
    </w:p>
    <w:p w14:paraId="536E06D3" w14:textId="77777777" w:rsidR="00215753" w:rsidRPr="00D7099A" w:rsidRDefault="00215753" w:rsidP="00D7099A">
      <w:pPr>
        <w:spacing w:line="360" w:lineRule="auto"/>
        <w:rPr>
          <w:rFonts w:ascii="Arial" w:hAnsi="Arial" w:cs="Arial"/>
        </w:rPr>
      </w:pPr>
      <w:r w:rsidRPr="00D7099A">
        <w:rPr>
          <w:rFonts w:ascii="Arial" w:hAnsi="Arial" w:cs="Arial"/>
        </w:rPr>
        <w:t>In business, Excel is used to forecast sales, manage payroll, track inventory, and perform statistical analyses. Its versatility allows it to be customised to meet the specific needs of any organisation or project.</w:t>
      </w:r>
    </w:p>
    <w:p w14:paraId="3F08B16E" w14:textId="77777777" w:rsidR="00215753" w:rsidRPr="00D7099A" w:rsidRDefault="00215753" w:rsidP="00D7099A">
      <w:pPr>
        <w:spacing w:line="360" w:lineRule="auto"/>
        <w:rPr>
          <w:rFonts w:ascii="Arial" w:hAnsi="Arial" w:cs="Arial"/>
        </w:rPr>
      </w:pPr>
      <w:r w:rsidRPr="00D7099A">
        <w:rPr>
          <w:rFonts w:ascii="Arial" w:hAnsi="Arial" w:cs="Arial"/>
        </w:rPr>
        <w:t>Microsoft Excel is an essential tool for managing, analysing, and presenting data across multiple contexts. It is essential in business, education, research, and personal finance due to its uses in data analysis, budgeting, reporting, and decision-making.  Excel enables users to organise data efficiently, perform accurate calculations, visualise information, and simulate scenarios to support informed decisions.</w:t>
      </w:r>
    </w:p>
    <w:p w14:paraId="76C43CDD" w14:textId="1012FE99" w:rsidR="00346D29" w:rsidRDefault="00215753" w:rsidP="0086615F">
      <w:pPr>
        <w:spacing w:line="360" w:lineRule="auto"/>
        <w:rPr>
          <w:rFonts w:ascii="Arial" w:hAnsi="Arial" w:cs="Arial"/>
        </w:rPr>
      </w:pPr>
      <w:r w:rsidRPr="00D7099A">
        <w:rPr>
          <w:rFonts w:ascii="Arial" w:hAnsi="Arial" w:cs="Arial"/>
        </w:rPr>
        <w:t>Excel's capacity to enhance financial management and analytical thinking is demonstrated by useful applications like home budgets and organisational dashboards. Its position in professional growth and education also guarantees that users get skills that are extremely applicable in today's workplaces. Even while inappropriately constructed spreadsheets can lead to errors, Excel can continue to be a dependable and effective tool with the right training, formula usage, and application of best practices. Its adaptability, accessibility, and analytical power attest to its ongoing significance in making decisions based on data and career advancement.</w:t>
      </w:r>
    </w:p>
    <w:p w14:paraId="65AC8F42" w14:textId="77777777" w:rsidR="0086615F" w:rsidRPr="0086615F" w:rsidRDefault="0086615F" w:rsidP="0086615F">
      <w:pPr>
        <w:spacing w:line="360" w:lineRule="auto"/>
        <w:rPr>
          <w:rFonts w:ascii="Arial" w:hAnsi="Arial" w:cs="Arial"/>
        </w:rPr>
      </w:pPr>
    </w:p>
    <w:p w14:paraId="39E0F2B4" w14:textId="5DF567F2" w:rsidR="009258AD" w:rsidRDefault="00DD389E" w:rsidP="007C4A17">
      <w:r>
        <w:t xml:space="preserve">Embed your excel here </w:t>
      </w:r>
    </w:p>
    <w:p w14:paraId="7DD4B760" w14:textId="2CB6D381" w:rsidR="004C243A" w:rsidRDefault="004C112B" w:rsidP="00D731C3">
      <w:r>
        <w:object w:dxaOrig="1508" w:dyaOrig="984" w14:anchorId="3BC98F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39" o:title=""/>
          </v:shape>
          <o:OLEObject Type="Embed" ProgID="Excel.Sheet.12" ShapeID="_x0000_i1025" DrawAspect="Icon" ObjectID="_1835137924" r:id="rId40"/>
        </w:object>
      </w:r>
    </w:p>
    <w:p w14:paraId="710FF32D" w14:textId="77777777" w:rsidR="00CA7833" w:rsidRDefault="00CA7833" w:rsidP="00106110">
      <w:pPr>
        <w:pStyle w:val="Heading2"/>
      </w:pPr>
      <w:bookmarkStart w:id="7" w:name="_Toc211605242"/>
    </w:p>
    <w:p w14:paraId="28CBC470" w14:textId="77777777" w:rsidR="006A0C32" w:rsidRDefault="006A0C32" w:rsidP="006A0C32"/>
    <w:p w14:paraId="0A29BE31" w14:textId="77777777" w:rsidR="006A0C32" w:rsidRDefault="006A0C32" w:rsidP="006A0C32"/>
    <w:p w14:paraId="77923388" w14:textId="77777777" w:rsidR="006A0C32" w:rsidRPr="006A0C32" w:rsidRDefault="006A0C32" w:rsidP="006A0C32"/>
    <w:p w14:paraId="123A3DA8" w14:textId="6399403B" w:rsidR="004C243A" w:rsidRDefault="00106110" w:rsidP="00106110">
      <w:pPr>
        <w:pStyle w:val="Heading2"/>
      </w:pPr>
      <w:r>
        <w:lastRenderedPageBreak/>
        <w:t>References</w:t>
      </w:r>
      <w:bookmarkEnd w:id="7"/>
    </w:p>
    <w:p w14:paraId="66AC03C4" w14:textId="2051FF33" w:rsidR="00E82500" w:rsidRPr="00B76BD7" w:rsidRDefault="00E82500" w:rsidP="00240734">
      <w:pPr>
        <w:spacing w:line="360" w:lineRule="auto"/>
        <w:rPr>
          <w:rFonts w:ascii="Arial" w:hAnsi="Arial" w:cs="Arial"/>
        </w:rPr>
      </w:pPr>
      <w:r w:rsidRPr="00B76BD7">
        <w:rPr>
          <w:rFonts w:ascii="Arial" w:hAnsi="Arial" w:cs="Arial"/>
        </w:rPr>
        <w:t>Antoni, A. (2021) ‘Understanding Microsoft Excel Phenomena in MSME Financial Statements: A Systematic Review From 2010 to 2020’, International Journal of Business, Economics and Management, 4(1), pp. 242–250. Available at: https://doi.org/10.31295/ijbem.v4n1.1575.</w:t>
      </w:r>
    </w:p>
    <w:p w14:paraId="0F30064A" w14:textId="4C25F16F" w:rsidR="004B2EB4" w:rsidRPr="00B76BD7" w:rsidRDefault="00A21969" w:rsidP="00240734">
      <w:pPr>
        <w:spacing w:line="360" w:lineRule="auto"/>
        <w:rPr>
          <w:rFonts w:ascii="Arial" w:hAnsi="Arial" w:cs="Arial"/>
        </w:rPr>
      </w:pPr>
      <w:r w:rsidRPr="00B76BD7">
        <w:rPr>
          <w:rFonts w:ascii="Arial" w:hAnsi="Arial" w:cs="Arial"/>
        </w:rPr>
        <w:t xml:space="preserve">Gündüz, M., &amp; Asan, K. (2022). GEOstats: an excel-based data analysis program applying basic principles of statistics for geological studies. Earth Science Informatics, 15(1), 705–712. </w:t>
      </w:r>
      <w:hyperlink r:id="rId41" w:history="1">
        <w:r w:rsidRPr="00B76BD7">
          <w:rPr>
            <w:rStyle w:val="Hyperlink"/>
            <w:rFonts w:ascii="Arial" w:hAnsi="Arial" w:cs="Arial"/>
          </w:rPr>
          <w:t>https://doi.org/10.1007/s12145-021-00710-6</w:t>
        </w:r>
      </w:hyperlink>
    </w:p>
    <w:p w14:paraId="184AD9AB" w14:textId="13AA1714" w:rsidR="000D04DD" w:rsidRPr="00B76BD7" w:rsidRDefault="007F3FCF" w:rsidP="00240734">
      <w:pPr>
        <w:spacing w:line="360" w:lineRule="auto"/>
        <w:rPr>
          <w:rFonts w:ascii="Arial" w:hAnsi="Arial" w:cs="Arial"/>
        </w:rPr>
      </w:pPr>
      <w:r w:rsidRPr="00B76BD7">
        <w:rPr>
          <w:rFonts w:ascii="Arial" w:hAnsi="Arial" w:cs="Arial"/>
        </w:rPr>
        <w:t xml:space="preserve">Ojonugwa, B.M. et al. (2020) ‘Integrated Business Performance Monitoring Models Using Excel-Based Dashboards and Manual Controls’, International Journal of Multidisciplinary Research and Growth Evaluation, 1(2), pp. 109–118. Available at: </w:t>
      </w:r>
      <w:hyperlink r:id="rId42" w:history="1">
        <w:r w:rsidRPr="00B76BD7">
          <w:rPr>
            <w:rStyle w:val="Hyperlink"/>
            <w:rFonts w:ascii="Arial" w:hAnsi="Arial" w:cs="Arial"/>
          </w:rPr>
          <w:t>https://doi.org/10.54660/.ijmrge.2020.1.2.109-118</w:t>
        </w:r>
      </w:hyperlink>
      <w:r w:rsidRPr="00B76BD7">
        <w:rPr>
          <w:rFonts w:ascii="Arial" w:hAnsi="Arial" w:cs="Arial"/>
        </w:rPr>
        <w:t>.</w:t>
      </w:r>
    </w:p>
    <w:p w14:paraId="2196F0B1" w14:textId="40F4815D" w:rsidR="007F3FCF" w:rsidRPr="00B76BD7" w:rsidRDefault="00D73AB5" w:rsidP="00240734">
      <w:pPr>
        <w:spacing w:line="360" w:lineRule="auto"/>
        <w:rPr>
          <w:rFonts w:ascii="Arial" w:hAnsi="Arial" w:cs="Arial"/>
        </w:rPr>
      </w:pPr>
      <w:r w:rsidRPr="00B76BD7">
        <w:rPr>
          <w:rFonts w:ascii="Arial" w:hAnsi="Arial" w:cs="Arial"/>
        </w:rPr>
        <w:t xml:space="preserve">Park, T., Hong, M. and Kondrat, D. (2022) ‘Undergraduate Students’ Attitudes toward Statistics: How Excel Makes a Student’s Life Easier’, Journal of Evidence-Based Social Work, 19(3), pp. 263–271. Available at: </w:t>
      </w:r>
      <w:hyperlink r:id="rId43" w:history="1">
        <w:r w:rsidR="0051655E" w:rsidRPr="00B76BD7">
          <w:rPr>
            <w:rStyle w:val="Hyperlink"/>
            <w:rFonts w:ascii="Arial" w:hAnsi="Arial" w:cs="Arial"/>
          </w:rPr>
          <w:t>https://doi.org/10.1080/26408066.2022.2025968</w:t>
        </w:r>
      </w:hyperlink>
      <w:r w:rsidRPr="00B76BD7">
        <w:rPr>
          <w:rFonts w:ascii="Arial" w:hAnsi="Arial" w:cs="Arial"/>
        </w:rPr>
        <w:t>.</w:t>
      </w:r>
    </w:p>
    <w:p w14:paraId="27AB824C" w14:textId="6A3D2CAD" w:rsidR="0051655E" w:rsidRPr="00B76BD7" w:rsidRDefault="00E32D0A" w:rsidP="00240734">
      <w:pPr>
        <w:spacing w:line="360" w:lineRule="auto"/>
        <w:rPr>
          <w:rFonts w:ascii="Arial" w:hAnsi="Arial" w:cs="Arial"/>
        </w:rPr>
      </w:pPr>
      <w:r w:rsidRPr="00B76BD7">
        <w:rPr>
          <w:rFonts w:ascii="Arial" w:hAnsi="Arial" w:cs="Arial"/>
        </w:rPr>
        <w:t>Rahman, N.A., Mansor1, R.Y. and Rahman, F.Ab. (2025) The 8th Technology and Innovation International Conference. 1st edn. Edited by M.S. Safwan and M. Basir. Politeknik Mukah, pp. 95–98.</w:t>
      </w:r>
    </w:p>
    <w:p w14:paraId="445AF954" w14:textId="077DD107" w:rsidR="00F133D5" w:rsidRPr="00B76BD7" w:rsidRDefault="00F133D5" w:rsidP="00240734">
      <w:pPr>
        <w:spacing w:line="360" w:lineRule="auto"/>
        <w:rPr>
          <w:rFonts w:ascii="Arial" w:hAnsi="Arial" w:cs="Arial"/>
        </w:rPr>
      </w:pPr>
      <w:r w:rsidRPr="00B76BD7">
        <w:rPr>
          <w:rFonts w:ascii="Arial" w:hAnsi="Arial" w:cs="Arial"/>
        </w:rPr>
        <w:t xml:space="preserve">Renz, F.M. and Vogel, J.U.N. (2021) ‘Let Students Excel! – Developing Career-Relevant Skills Through Excel-Based Individualized Projects’, Journal of Financial Education, 47(2), pp. 19–34. Available at: </w:t>
      </w:r>
      <w:hyperlink r:id="rId44" w:history="1">
        <w:r w:rsidRPr="00B76BD7">
          <w:rPr>
            <w:rStyle w:val="Hyperlink"/>
            <w:rFonts w:ascii="Arial" w:hAnsi="Arial" w:cs="Arial"/>
          </w:rPr>
          <w:t>https://www.jstor.org/stable/48738991</w:t>
        </w:r>
      </w:hyperlink>
      <w:r w:rsidRPr="00B76BD7">
        <w:rPr>
          <w:rFonts w:ascii="Arial" w:hAnsi="Arial" w:cs="Arial"/>
        </w:rPr>
        <w:t>.</w:t>
      </w:r>
    </w:p>
    <w:p w14:paraId="5998726A" w14:textId="227120FD" w:rsidR="007F3518" w:rsidRDefault="007F3518" w:rsidP="00240734">
      <w:pPr>
        <w:spacing w:line="360" w:lineRule="auto"/>
        <w:rPr>
          <w:rFonts w:ascii="Arial" w:hAnsi="Arial" w:cs="Arial"/>
        </w:rPr>
      </w:pPr>
      <w:r w:rsidRPr="00B76BD7">
        <w:rPr>
          <w:rFonts w:ascii="Arial" w:hAnsi="Arial" w:cs="Arial"/>
        </w:rPr>
        <w:t xml:space="preserve">Rose, M. J., Kaminsky, D. A., &amp; Meier, H. H. (2021). Partnering Accounting and Excel. Journal of Accounting and Finance, 21(5). </w:t>
      </w:r>
      <w:hyperlink r:id="rId45" w:history="1">
        <w:r w:rsidR="00F81182" w:rsidRPr="006A4E91">
          <w:rPr>
            <w:rStyle w:val="Hyperlink"/>
            <w:rFonts w:ascii="Arial" w:hAnsi="Arial" w:cs="Arial"/>
          </w:rPr>
          <w:t>https://doi.org/10.33423/jaf.v21i5.4733</w:t>
        </w:r>
      </w:hyperlink>
    </w:p>
    <w:p w14:paraId="6C8EF089" w14:textId="77777777" w:rsidR="00F81182" w:rsidRDefault="00F81182" w:rsidP="00240734">
      <w:pPr>
        <w:spacing w:line="360" w:lineRule="auto"/>
        <w:rPr>
          <w:rFonts w:ascii="Arial" w:hAnsi="Arial" w:cs="Arial"/>
        </w:rPr>
      </w:pPr>
    </w:p>
    <w:p w14:paraId="681325F8" w14:textId="77777777" w:rsidR="00F81182" w:rsidRDefault="00F81182" w:rsidP="00240734">
      <w:pPr>
        <w:spacing w:line="360" w:lineRule="auto"/>
        <w:rPr>
          <w:rFonts w:ascii="Arial" w:hAnsi="Arial" w:cs="Arial"/>
        </w:rPr>
      </w:pPr>
    </w:p>
    <w:p w14:paraId="629EA783" w14:textId="77777777" w:rsidR="00F81182" w:rsidRDefault="00F81182" w:rsidP="00240734">
      <w:pPr>
        <w:spacing w:line="360" w:lineRule="auto"/>
        <w:rPr>
          <w:rFonts w:ascii="Arial" w:hAnsi="Arial" w:cs="Arial"/>
        </w:rPr>
      </w:pPr>
    </w:p>
    <w:p w14:paraId="5AD97B31" w14:textId="77777777" w:rsidR="00F81182" w:rsidRDefault="00F81182" w:rsidP="00240734">
      <w:pPr>
        <w:spacing w:line="360" w:lineRule="auto"/>
        <w:rPr>
          <w:rFonts w:ascii="Arial" w:hAnsi="Arial" w:cs="Arial"/>
        </w:rPr>
      </w:pPr>
    </w:p>
    <w:p w14:paraId="6E6953CA" w14:textId="77777777" w:rsidR="00F81182" w:rsidRDefault="00F81182" w:rsidP="00240734">
      <w:pPr>
        <w:spacing w:line="360" w:lineRule="auto"/>
        <w:rPr>
          <w:rFonts w:ascii="Arial" w:hAnsi="Arial" w:cs="Arial"/>
        </w:rPr>
      </w:pPr>
    </w:p>
    <w:p w14:paraId="22BB7974" w14:textId="77777777" w:rsidR="00F81182" w:rsidRPr="00B76BD7" w:rsidRDefault="00F81182" w:rsidP="00240734">
      <w:pPr>
        <w:spacing w:line="360" w:lineRule="auto"/>
        <w:rPr>
          <w:rFonts w:ascii="Arial" w:hAnsi="Arial" w:cs="Arial"/>
        </w:rPr>
      </w:pPr>
    </w:p>
    <w:p w14:paraId="76A6EB16" w14:textId="3E7A20E4" w:rsidR="009D3D7B" w:rsidRDefault="00D731C3" w:rsidP="00D731C3">
      <w:pPr>
        <w:pStyle w:val="Heading1"/>
      </w:pPr>
      <w:bookmarkStart w:id="8" w:name="_Toc211605243"/>
      <w:r>
        <w:t>Task 4</w:t>
      </w:r>
      <w:bookmarkEnd w:id="8"/>
      <w:r>
        <w:t xml:space="preserve"> </w:t>
      </w:r>
    </w:p>
    <w:p w14:paraId="0992C3E8" w14:textId="00DB31C7" w:rsidR="00D731C3" w:rsidRDefault="00CE491B" w:rsidP="00D731C3">
      <w:pPr>
        <w:pStyle w:val="Heading1"/>
      </w:pPr>
      <w:bookmarkStart w:id="9" w:name="_Toc211605244"/>
      <w:r>
        <w:t>5</w:t>
      </w:r>
      <w:r w:rsidR="003C3B98">
        <w:t xml:space="preserve"> </w:t>
      </w:r>
      <w:r w:rsidR="00D731C3" w:rsidRPr="00D731C3">
        <w:t>Minute Reflective Presentation</w:t>
      </w:r>
      <w:bookmarkEnd w:id="9"/>
    </w:p>
    <w:p w14:paraId="116B05D4" w14:textId="77777777" w:rsidR="0028612E" w:rsidRDefault="00106110" w:rsidP="00615DF9">
      <w:pPr>
        <w:rPr>
          <w:b/>
          <w:bCs/>
        </w:rPr>
      </w:pPr>
      <w:r w:rsidRPr="00106110">
        <w:rPr>
          <w:b/>
          <w:bCs/>
        </w:rPr>
        <w:t>Embed PowerPoint here</w:t>
      </w:r>
    </w:p>
    <w:bookmarkStart w:id="10" w:name="_Toc211605245"/>
    <w:p w14:paraId="312185D1" w14:textId="5CCF367E" w:rsidR="00E35491" w:rsidRDefault="00E35491" w:rsidP="00B56CE4">
      <w:pPr>
        <w:rPr>
          <w:sz w:val="32"/>
          <w:szCs w:val="32"/>
        </w:rPr>
      </w:pPr>
      <w:r>
        <w:rPr>
          <w:sz w:val="32"/>
          <w:szCs w:val="32"/>
        </w:rPr>
        <w:object w:dxaOrig="1508" w:dyaOrig="984" w14:anchorId="146A600F">
          <v:shape id="_x0000_i1026" type="#_x0000_t75" style="width:75.5pt;height:49pt" o:ole="">
            <v:imagedata r:id="rId46" o:title=""/>
          </v:shape>
          <o:OLEObject Type="Embed" ProgID="PowerPoint.Show.12" ShapeID="_x0000_i1026" DrawAspect="Icon" ObjectID="_1835137925" r:id="rId47"/>
        </w:object>
      </w:r>
    </w:p>
    <w:p w14:paraId="3842C373" w14:textId="0BFE2D6E" w:rsidR="00066971" w:rsidRPr="00066971" w:rsidRDefault="00066971" w:rsidP="00B56CE4">
      <w:pPr>
        <w:rPr>
          <w:sz w:val="32"/>
          <w:szCs w:val="32"/>
        </w:rPr>
      </w:pPr>
      <w:r w:rsidRPr="00066971">
        <w:rPr>
          <w:sz w:val="32"/>
          <w:szCs w:val="32"/>
        </w:rPr>
        <w:t>References</w:t>
      </w:r>
    </w:p>
    <w:p w14:paraId="75191014" w14:textId="4C4CDE06" w:rsidR="00C16366" w:rsidRPr="00B76BD7" w:rsidRDefault="008A6CF0" w:rsidP="001C58F1">
      <w:pPr>
        <w:rPr>
          <w:rFonts w:ascii="Arial" w:hAnsi="Arial" w:cs="Arial"/>
        </w:rPr>
      </w:pPr>
      <w:r w:rsidRPr="00B76BD7">
        <w:rPr>
          <w:rFonts w:ascii="Arial" w:hAnsi="Arial" w:cs="Arial"/>
        </w:rPr>
        <w:t xml:space="preserve">Antoni, A. (2021) ‘Understanding Microsoft Excel Phenomena in MSME Financial Statements: A Systematic Review From 2010 to 2020’, International Journal of Business, Economics and Management, 4(1), pp. 242–250. Available at: </w:t>
      </w:r>
      <w:hyperlink r:id="rId48" w:history="1">
        <w:r w:rsidRPr="00B76BD7">
          <w:rPr>
            <w:rStyle w:val="Hyperlink"/>
            <w:rFonts w:ascii="Arial" w:hAnsi="Arial" w:cs="Arial"/>
          </w:rPr>
          <w:t>https://doi.org/10.31295/ijbem.v4n1.1575</w:t>
        </w:r>
      </w:hyperlink>
      <w:r w:rsidRPr="00B76BD7">
        <w:rPr>
          <w:rFonts w:ascii="Arial" w:hAnsi="Arial" w:cs="Arial"/>
        </w:rPr>
        <w:t>.</w:t>
      </w:r>
    </w:p>
    <w:p w14:paraId="30EBA690" w14:textId="61100F27" w:rsidR="008A6CF0" w:rsidRPr="00B76BD7" w:rsidRDefault="008A6CF0" w:rsidP="001C58F1">
      <w:pPr>
        <w:rPr>
          <w:rFonts w:ascii="Arial" w:hAnsi="Arial" w:cs="Arial"/>
        </w:rPr>
      </w:pPr>
      <w:r w:rsidRPr="00B76BD7">
        <w:rPr>
          <w:rFonts w:ascii="Arial" w:hAnsi="Arial" w:cs="Arial"/>
        </w:rPr>
        <w:t xml:space="preserve">Audrin, B., Audrin, C. and Salamin, X. (2024) ‘Digital skills at work – Conceptual development and empirical validation of a measurement scale’, Technological Forecasting and Social Change, 202(123279), p. 123279. Available at: </w:t>
      </w:r>
      <w:hyperlink r:id="rId49" w:history="1">
        <w:r w:rsidR="00AD7ECE" w:rsidRPr="00B76BD7">
          <w:rPr>
            <w:rStyle w:val="Hyperlink"/>
            <w:rFonts w:ascii="Arial" w:hAnsi="Arial" w:cs="Arial"/>
          </w:rPr>
          <w:t>https://doi.org/10.1016/j.techfore.2024.123279</w:t>
        </w:r>
      </w:hyperlink>
      <w:r w:rsidRPr="00B76BD7">
        <w:rPr>
          <w:rFonts w:ascii="Arial" w:hAnsi="Arial" w:cs="Arial"/>
        </w:rPr>
        <w:t>.</w:t>
      </w:r>
    </w:p>
    <w:p w14:paraId="1D0CA148" w14:textId="14D6EA1A" w:rsidR="00AD7ECE" w:rsidRPr="00B76BD7" w:rsidRDefault="00AD7ECE" w:rsidP="001C58F1">
      <w:pPr>
        <w:rPr>
          <w:rFonts w:ascii="Arial" w:hAnsi="Arial" w:cs="Arial"/>
        </w:rPr>
      </w:pPr>
      <w:r w:rsidRPr="00B76BD7">
        <w:rPr>
          <w:rFonts w:ascii="Arial" w:hAnsi="Arial" w:cs="Arial"/>
        </w:rPr>
        <w:t xml:space="preserve">Gilli, K., Lettner, N. and Guettel, W. (2023) ‘The future of leadership: new digital skills or old analog virtues?’, Journal of Business Strategy, 45(1). Available at: </w:t>
      </w:r>
      <w:hyperlink r:id="rId50" w:history="1">
        <w:r w:rsidRPr="00B76BD7">
          <w:rPr>
            <w:rStyle w:val="Hyperlink"/>
            <w:rFonts w:ascii="Arial" w:hAnsi="Arial" w:cs="Arial"/>
          </w:rPr>
          <w:t>https://doi.org/10.1108/jbs-06-2022-0093</w:t>
        </w:r>
      </w:hyperlink>
      <w:r w:rsidRPr="00B76BD7">
        <w:rPr>
          <w:rFonts w:ascii="Arial" w:hAnsi="Arial" w:cs="Arial"/>
        </w:rPr>
        <w:t>.</w:t>
      </w:r>
    </w:p>
    <w:p w14:paraId="310896BF" w14:textId="0807FBCC" w:rsidR="00AD7ECE" w:rsidRPr="00B76BD7" w:rsidRDefault="00AD7ECE" w:rsidP="001C58F1">
      <w:pPr>
        <w:rPr>
          <w:rFonts w:ascii="Arial" w:hAnsi="Arial" w:cs="Arial"/>
        </w:rPr>
      </w:pPr>
      <w:r w:rsidRPr="00B76BD7">
        <w:rPr>
          <w:rFonts w:ascii="Arial" w:hAnsi="Arial" w:cs="Arial"/>
        </w:rPr>
        <w:t xml:space="preserve">Google (1998) Google, Google.com. Google. Available at: </w:t>
      </w:r>
      <w:hyperlink r:id="rId51" w:history="1">
        <w:r w:rsidRPr="00B76BD7">
          <w:rPr>
            <w:rStyle w:val="Hyperlink"/>
            <w:rFonts w:ascii="Arial" w:hAnsi="Arial" w:cs="Arial"/>
          </w:rPr>
          <w:t>https://www.google.com/</w:t>
        </w:r>
      </w:hyperlink>
      <w:r w:rsidRPr="00B76BD7">
        <w:rPr>
          <w:rFonts w:ascii="Arial" w:hAnsi="Arial" w:cs="Arial"/>
        </w:rPr>
        <w:t>.</w:t>
      </w:r>
    </w:p>
    <w:p w14:paraId="079D4D38" w14:textId="31A43E0B" w:rsidR="00AD7ECE" w:rsidRPr="00B76BD7" w:rsidRDefault="002001C6" w:rsidP="001C58F1">
      <w:pPr>
        <w:rPr>
          <w:rFonts w:ascii="Arial" w:hAnsi="Arial" w:cs="Arial"/>
        </w:rPr>
      </w:pPr>
      <w:r w:rsidRPr="00B76BD7">
        <w:rPr>
          <w:rFonts w:ascii="Arial" w:hAnsi="Arial" w:cs="Arial"/>
        </w:rPr>
        <w:t>Jisc (2024) Jisc, Jisc. Available at: https://www.jisc.ac.uk/.</w:t>
      </w:r>
    </w:p>
    <w:p w14:paraId="745033B8" w14:textId="0D0432AF" w:rsidR="0070139D" w:rsidRPr="00B76BD7" w:rsidRDefault="0070139D" w:rsidP="001C58F1">
      <w:pPr>
        <w:rPr>
          <w:rFonts w:ascii="Arial" w:hAnsi="Arial" w:cs="Arial"/>
        </w:rPr>
      </w:pPr>
      <w:r w:rsidRPr="00B76BD7">
        <w:rPr>
          <w:rFonts w:ascii="Arial" w:hAnsi="Arial" w:cs="Arial"/>
        </w:rPr>
        <w:t>Nikou, S., De Reuver, M. and Kanafi, M.M. (2022) ‘Workplace Literacy Skills—how Information and Digital Literacy Affect Adoption of Digital Technology’, Journal of Documentation, 78(7), pp. 371–391. Available at: https://doi.org/10.1108/JD-12-2021-0241.</w:t>
      </w:r>
    </w:p>
    <w:p w14:paraId="162F6548" w14:textId="3A6C04DC" w:rsidR="004D3D8F" w:rsidRDefault="008A6CF0" w:rsidP="001C58F1">
      <w:pPr>
        <w:rPr>
          <w:rFonts w:ascii="Arial" w:hAnsi="Arial" w:cs="Arial"/>
        </w:rPr>
      </w:pPr>
      <w:r w:rsidRPr="00B76BD7">
        <w:rPr>
          <w:rFonts w:ascii="Arial" w:hAnsi="Arial" w:cs="Arial"/>
        </w:rPr>
        <w:t xml:space="preserve">Renz, F.M. and Vogel, J.U.N. (2021) ‘Let Students Excel! – Developing Career-Relevant Skills Through Excel-Based Individualized Projects’, Journal of Financial Education, 47(2), pp. 19–34. Available at: </w:t>
      </w:r>
      <w:hyperlink r:id="rId52" w:history="1">
        <w:r w:rsidR="00F81182" w:rsidRPr="006A4E91">
          <w:rPr>
            <w:rStyle w:val="Hyperlink"/>
            <w:rFonts w:ascii="Arial" w:hAnsi="Arial" w:cs="Arial"/>
          </w:rPr>
          <w:t>https://www.jstor.org/stable/48738991</w:t>
        </w:r>
      </w:hyperlink>
      <w:r w:rsidRPr="00B76BD7">
        <w:rPr>
          <w:rFonts w:ascii="Arial" w:hAnsi="Arial" w:cs="Arial"/>
        </w:rPr>
        <w:t>.</w:t>
      </w:r>
    </w:p>
    <w:p w14:paraId="22EEA838" w14:textId="77777777" w:rsidR="00F81182" w:rsidRDefault="00F81182" w:rsidP="001C58F1">
      <w:pPr>
        <w:rPr>
          <w:rFonts w:ascii="Arial" w:hAnsi="Arial" w:cs="Arial"/>
        </w:rPr>
      </w:pPr>
    </w:p>
    <w:p w14:paraId="77F8362E" w14:textId="77777777" w:rsidR="00F81182" w:rsidRPr="00B76BD7" w:rsidRDefault="00F81182" w:rsidP="001C58F1">
      <w:pPr>
        <w:rPr>
          <w:rFonts w:ascii="Arial" w:hAnsi="Arial" w:cs="Arial"/>
        </w:rPr>
      </w:pPr>
    </w:p>
    <w:p w14:paraId="2895CB35" w14:textId="77777777" w:rsidR="00B76BD7" w:rsidRPr="00AD1C77" w:rsidRDefault="00B76BD7" w:rsidP="00E45E72">
      <w:pPr>
        <w:pStyle w:val="Heading2"/>
        <w:rPr>
          <w:sz w:val="24"/>
          <w:szCs w:val="24"/>
        </w:rPr>
      </w:pPr>
    </w:p>
    <w:p w14:paraId="0ADCF897" w14:textId="6D3515E4" w:rsidR="00A2505C" w:rsidRPr="00E45E72" w:rsidRDefault="00106110" w:rsidP="00E45E72">
      <w:pPr>
        <w:pStyle w:val="Heading2"/>
      </w:pPr>
      <w:r w:rsidRPr="00106110">
        <w:t>References</w:t>
      </w:r>
      <w:bookmarkEnd w:id="10"/>
    </w:p>
    <w:p w14:paraId="67908F77" w14:textId="3F290B5E" w:rsidR="00A2505C" w:rsidRDefault="00A2505C" w:rsidP="00B06F69">
      <w:pPr>
        <w:spacing w:line="360" w:lineRule="auto"/>
        <w:rPr>
          <w:rFonts w:ascii="Arial" w:hAnsi="Arial" w:cs="Arial"/>
        </w:rPr>
      </w:pPr>
      <w:r w:rsidRPr="00A2505C">
        <w:rPr>
          <w:rFonts w:ascii="Arial" w:hAnsi="Arial" w:cs="Arial"/>
        </w:rPr>
        <w:t xml:space="preserve">Antoni, A. (2021) ‘Understanding Microsoft Excel Phenomena in MSME Financial Statements: A Systematic Review From 2010 to 2020’, International Journal of Business, Economics and Management, 4(1), pp. 242–250. Available at: </w:t>
      </w:r>
      <w:hyperlink r:id="rId53" w:history="1">
        <w:r w:rsidRPr="006A4E91">
          <w:rPr>
            <w:rStyle w:val="Hyperlink"/>
            <w:rFonts w:ascii="Arial" w:hAnsi="Arial" w:cs="Arial"/>
          </w:rPr>
          <w:t>https://doi.org/10.31295/ijbem.v4n1.1575</w:t>
        </w:r>
      </w:hyperlink>
      <w:r w:rsidRPr="00A2505C">
        <w:rPr>
          <w:rFonts w:ascii="Arial" w:hAnsi="Arial" w:cs="Arial"/>
        </w:rPr>
        <w:t>.</w:t>
      </w:r>
    </w:p>
    <w:p w14:paraId="5456B344" w14:textId="64E68F98" w:rsidR="00A2505C" w:rsidRDefault="00A2505C" w:rsidP="00B06F69">
      <w:pPr>
        <w:spacing w:line="360" w:lineRule="auto"/>
        <w:rPr>
          <w:rFonts w:ascii="Arial" w:hAnsi="Arial" w:cs="Arial"/>
        </w:rPr>
      </w:pPr>
      <w:r w:rsidRPr="00A2505C">
        <w:rPr>
          <w:rFonts w:ascii="Arial" w:hAnsi="Arial" w:cs="Arial"/>
        </w:rPr>
        <w:t xml:space="preserve">Audrin, B., Audrin, C. and Salamin, X. (2024) ‘Digital skills at work – Conceptual development and empirical validation of a measurement scale’, Technological Forecasting and Social Change, 202(123279), p. 123279. Available at: </w:t>
      </w:r>
      <w:hyperlink r:id="rId54" w:history="1">
        <w:r w:rsidR="00C02675" w:rsidRPr="006A4E91">
          <w:rPr>
            <w:rStyle w:val="Hyperlink"/>
            <w:rFonts w:ascii="Arial" w:hAnsi="Arial" w:cs="Arial"/>
          </w:rPr>
          <w:t>https://doi.org/10.1016/j.techfore.2024.123279</w:t>
        </w:r>
      </w:hyperlink>
      <w:r w:rsidRPr="00A2505C">
        <w:rPr>
          <w:rFonts w:ascii="Arial" w:hAnsi="Arial" w:cs="Arial"/>
        </w:rPr>
        <w:t>.</w:t>
      </w:r>
    </w:p>
    <w:p w14:paraId="365BBEAE" w14:textId="648CAEE5" w:rsidR="00C02675" w:rsidRDefault="00C02675" w:rsidP="00B06F69">
      <w:pPr>
        <w:spacing w:line="360" w:lineRule="auto"/>
        <w:rPr>
          <w:rFonts w:ascii="Arial" w:hAnsi="Arial" w:cs="Arial"/>
        </w:rPr>
      </w:pPr>
      <w:r w:rsidRPr="00C02675">
        <w:rPr>
          <w:rFonts w:ascii="Arial" w:hAnsi="Arial" w:cs="Arial"/>
        </w:rPr>
        <w:t xml:space="preserve">Gilli, K., Lettner, N. and Guettel, W. (2023) ‘The future of leadership: new digital skills or old analog virtues?’, Journal of Business Strategy, 45(1). Available at: </w:t>
      </w:r>
      <w:hyperlink r:id="rId55" w:history="1">
        <w:r w:rsidR="00CB3212" w:rsidRPr="006A4E91">
          <w:rPr>
            <w:rStyle w:val="Hyperlink"/>
            <w:rFonts w:ascii="Arial" w:hAnsi="Arial" w:cs="Arial"/>
          </w:rPr>
          <w:t>https://doi.org/10.1108/jbs-06-2022-0093</w:t>
        </w:r>
      </w:hyperlink>
      <w:r w:rsidRPr="00C02675">
        <w:rPr>
          <w:rFonts w:ascii="Arial" w:hAnsi="Arial" w:cs="Arial"/>
        </w:rPr>
        <w:t>.</w:t>
      </w:r>
    </w:p>
    <w:p w14:paraId="55EFBB50" w14:textId="4192E3EF" w:rsidR="00CB3212" w:rsidRDefault="00CB3212" w:rsidP="00B06F69">
      <w:pPr>
        <w:spacing w:line="360" w:lineRule="auto"/>
        <w:rPr>
          <w:rFonts w:ascii="Arial" w:hAnsi="Arial" w:cs="Arial"/>
        </w:rPr>
      </w:pPr>
      <w:r w:rsidRPr="00CB3212">
        <w:rPr>
          <w:rFonts w:ascii="Arial" w:hAnsi="Arial" w:cs="Arial"/>
        </w:rPr>
        <w:t xml:space="preserve">Google (1998) Google, Google.com. Google. Available at: </w:t>
      </w:r>
      <w:hyperlink r:id="rId56" w:history="1">
        <w:r w:rsidRPr="006A4E91">
          <w:rPr>
            <w:rStyle w:val="Hyperlink"/>
            <w:rFonts w:ascii="Arial" w:hAnsi="Arial" w:cs="Arial"/>
          </w:rPr>
          <w:t>https://www.google.com/</w:t>
        </w:r>
      </w:hyperlink>
      <w:r w:rsidRPr="00CB3212">
        <w:rPr>
          <w:rFonts w:ascii="Arial" w:hAnsi="Arial" w:cs="Arial"/>
        </w:rPr>
        <w:t>.</w:t>
      </w:r>
    </w:p>
    <w:p w14:paraId="07737B56" w14:textId="779EDABC" w:rsidR="00CB3212" w:rsidRDefault="00CB3212" w:rsidP="00B06F69">
      <w:pPr>
        <w:spacing w:line="360" w:lineRule="auto"/>
        <w:rPr>
          <w:rFonts w:ascii="Arial" w:hAnsi="Arial" w:cs="Arial"/>
        </w:rPr>
      </w:pPr>
      <w:r w:rsidRPr="00CB3212">
        <w:rPr>
          <w:rFonts w:ascii="Arial" w:hAnsi="Arial" w:cs="Arial"/>
        </w:rPr>
        <w:t xml:space="preserve">Gündüz, M., &amp; Asan, K. (2022). GEOstats: an excel-based data analysis program applying basic principles of statistics for geological studies. Earth Science Informatics, 15(1), 705–712. </w:t>
      </w:r>
      <w:hyperlink r:id="rId57" w:history="1">
        <w:r w:rsidR="00227E4E" w:rsidRPr="006A4E91">
          <w:rPr>
            <w:rStyle w:val="Hyperlink"/>
            <w:rFonts w:ascii="Arial" w:hAnsi="Arial" w:cs="Arial"/>
          </w:rPr>
          <w:t>https://doi.org/10.1007/s12145-021-00710-6</w:t>
        </w:r>
      </w:hyperlink>
    </w:p>
    <w:p w14:paraId="06CEF563" w14:textId="09423577" w:rsidR="00227E4E" w:rsidRDefault="00227E4E" w:rsidP="00B06F69">
      <w:pPr>
        <w:spacing w:line="360" w:lineRule="auto"/>
        <w:rPr>
          <w:rFonts w:ascii="Arial" w:hAnsi="Arial" w:cs="Arial"/>
        </w:rPr>
      </w:pPr>
      <w:r w:rsidRPr="00227E4E">
        <w:rPr>
          <w:rFonts w:ascii="Arial" w:hAnsi="Arial" w:cs="Arial"/>
        </w:rPr>
        <w:t>Jisc (2024) Jisc, Jisc. Available at: https://www.jisc.ac.uk/.</w:t>
      </w:r>
    </w:p>
    <w:p w14:paraId="49FA49F5" w14:textId="5A39697C" w:rsidR="00540C62" w:rsidRDefault="00540C62" w:rsidP="00B06F69">
      <w:pPr>
        <w:spacing w:line="360" w:lineRule="auto"/>
        <w:rPr>
          <w:rFonts w:ascii="Arial" w:hAnsi="Arial" w:cs="Arial"/>
        </w:rPr>
      </w:pPr>
      <w:r w:rsidRPr="00B06F69">
        <w:rPr>
          <w:rFonts w:ascii="Arial" w:hAnsi="Arial" w:cs="Arial"/>
        </w:rPr>
        <w:t xml:space="preserve">Nikou, S., De Reuver, M. and Kanafi, M.M. (2022) ‘Workplace Literacy Skills—how Information and Digital Literacy Affect Adoption of Digital Technology’, Journal of Documentation, 78(7), pp. 371–391. Available at: </w:t>
      </w:r>
      <w:hyperlink r:id="rId58" w:history="1">
        <w:r w:rsidRPr="00B06F69">
          <w:rPr>
            <w:rStyle w:val="Hyperlink"/>
            <w:rFonts w:ascii="Arial" w:hAnsi="Arial" w:cs="Arial"/>
          </w:rPr>
          <w:t>https://doi.org/10.1108/JD-12-2021-0241</w:t>
        </w:r>
      </w:hyperlink>
      <w:r w:rsidRPr="00B06F69">
        <w:rPr>
          <w:rFonts w:ascii="Arial" w:hAnsi="Arial" w:cs="Arial"/>
        </w:rPr>
        <w:t>.</w:t>
      </w:r>
    </w:p>
    <w:p w14:paraId="7BF579B5" w14:textId="742FF445" w:rsidR="007D4291" w:rsidRDefault="007D4291" w:rsidP="00B06F69">
      <w:pPr>
        <w:spacing w:line="360" w:lineRule="auto"/>
        <w:rPr>
          <w:rFonts w:ascii="Arial" w:hAnsi="Arial" w:cs="Arial"/>
        </w:rPr>
      </w:pPr>
      <w:r w:rsidRPr="007D4291">
        <w:rPr>
          <w:rFonts w:ascii="Arial" w:hAnsi="Arial" w:cs="Arial"/>
        </w:rPr>
        <w:t xml:space="preserve">Ojonugwa, B.M. et al. (2020) ‘Integrated Business Performance Monitoring Models Using Excel-Based Dashboards and Manual Controls’, International Journal of Multidisciplinary Research and Growth Evaluation, 1(2), pp. 109–118. Available at: </w:t>
      </w:r>
      <w:hyperlink r:id="rId59" w:history="1">
        <w:r w:rsidRPr="006A4E91">
          <w:rPr>
            <w:rStyle w:val="Hyperlink"/>
            <w:rFonts w:ascii="Arial" w:hAnsi="Arial" w:cs="Arial"/>
          </w:rPr>
          <w:t>https://doi.org/10.54660/.ijmrge.2020.1.2.109-118</w:t>
        </w:r>
      </w:hyperlink>
      <w:r w:rsidRPr="007D4291">
        <w:rPr>
          <w:rFonts w:ascii="Arial" w:hAnsi="Arial" w:cs="Arial"/>
        </w:rPr>
        <w:t>.</w:t>
      </w:r>
    </w:p>
    <w:p w14:paraId="505BBD14" w14:textId="7762F188" w:rsidR="007D4291" w:rsidRDefault="007D4291" w:rsidP="00B06F69">
      <w:pPr>
        <w:spacing w:line="360" w:lineRule="auto"/>
        <w:rPr>
          <w:rFonts w:ascii="Arial" w:hAnsi="Arial" w:cs="Arial"/>
        </w:rPr>
      </w:pPr>
      <w:r w:rsidRPr="007D4291">
        <w:rPr>
          <w:rFonts w:ascii="Arial" w:hAnsi="Arial" w:cs="Arial"/>
        </w:rPr>
        <w:t>Park, T., Hong, M. and Kondrat, D. (2022) ‘Undergraduate Students’ Attitudes toward Statistics: How Excel Makes a Student’s Life Easier’, Journal of Evidence-Based Social Work, 19(3), pp. 263–271. Available at: https://doi.org/10.1080/26408066.2022.2025968.</w:t>
      </w:r>
    </w:p>
    <w:p w14:paraId="22C842CD" w14:textId="2416102D" w:rsidR="007D4291" w:rsidRDefault="004A5979" w:rsidP="00B06F69">
      <w:pPr>
        <w:spacing w:line="360" w:lineRule="auto"/>
        <w:rPr>
          <w:rFonts w:ascii="Arial" w:hAnsi="Arial" w:cs="Arial"/>
        </w:rPr>
      </w:pPr>
      <w:r w:rsidRPr="004A5979">
        <w:rPr>
          <w:rFonts w:ascii="Arial" w:hAnsi="Arial" w:cs="Arial"/>
        </w:rPr>
        <w:lastRenderedPageBreak/>
        <w:t>Rahman, N.A., Mansor1, R.Y. and Rahman, F.Ab. (2025) The 8th Technology and Innovation International Conference. 1st edn. Edited by M.S. Safwan and M. Basir. Politeknik Mukah, pp. 95–98.</w:t>
      </w:r>
    </w:p>
    <w:p w14:paraId="5CA80B50" w14:textId="5342E45F" w:rsidR="004A5979" w:rsidRDefault="00E45E72" w:rsidP="00B06F69">
      <w:pPr>
        <w:spacing w:line="360" w:lineRule="auto"/>
        <w:rPr>
          <w:rFonts w:ascii="Arial" w:hAnsi="Arial" w:cs="Arial"/>
        </w:rPr>
      </w:pPr>
      <w:r w:rsidRPr="00E45E72">
        <w:rPr>
          <w:rFonts w:ascii="Arial" w:hAnsi="Arial" w:cs="Arial"/>
        </w:rPr>
        <w:t xml:space="preserve">Renz, F.M. and Vogel, J.U.N. (2021) ‘Let Students Excel! – Developing Career-Relevant Skills Through Excel-Based Individualized Projects’, Journal of Financial Education, 47(2), pp. 19–34. Available at: </w:t>
      </w:r>
      <w:hyperlink r:id="rId60" w:history="1">
        <w:r w:rsidRPr="006A4E91">
          <w:rPr>
            <w:rStyle w:val="Hyperlink"/>
            <w:rFonts w:ascii="Arial" w:hAnsi="Arial" w:cs="Arial"/>
          </w:rPr>
          <w:t>https://www.jstor.org/stable/48738991</w:t>
        </w:r>
      </w:hyperlink>
      <w:r w:rsidRPr="00E45E72">
        <w:rPr>
          <w:rFonts w:ascii="Arial" w:hAnsi="Arial" w:cs="Arial"/>
        </w:rPr>
        <w:t>.</w:t>
      </w:r>
    </w:p>
    <w:p w14:paraId="6CB8D762" w14:textId="1AAD150B" w:rsidR="00E45E72" w:rsidRPr="00B06F69" w:rsidRDefault="00E45E72" w:rsidP="00B06F69">
      <w:pPr>
        <w:spacing w:line="360" w:lineRule="auto"/>
        <w:rPr>
          <w:rFonts w:ascii="Arial" w:hAnsi="Arial" w:cs="Arial"/>
        </w:rPr>
      </w:pPr>
      <w:r w:rsidRPr="00E45E72">
        <w:rPr>
          <w:rFonts w:ascii="Arial" w:hAnsi="Arial" w:cs="Arial"/>
        </w:rPr>
        <w:t>Rose, M. J., Kaminsky, D. A., &amp; Meier, H. H. (2021). Partnering Accounting and Excel. Journal of Accounting and Finance, 21(5). https://doi.org/10.33423/jaf.v21i5.4733</w:t>
      </w:r>
    </w:p>
    <w:p w14:paraId="53A6A21A" w14:textId="01869CE2" w:rsidR="00664BA8" w:rsidRPr="00B06F69" w:rsidRDefault="00B10035" w:rsidP="00B06F69">
      <w:pPr>
        <w:spacing w:line="360" w:lineRule="auto"/>
        <w:rPr>
          <w:rFonts w:ascii="Arial" w:hAnsi="Arial" w:cs="Arial"/>
        </w:rPr>
      </w:pPr>
      <w:r w:rsidRPr="00B06F69">
        <w:rPr>
          <w:rFonts w:ascii="Arial" w:hAnsi="Arial" w:cs="Arial"/>
        </w:rPr>
        <w:t xml:space="preserve">Shakina, E., Parshakov, P. and Alsufiev, A. (2021) ‘Rethinking the corporate digital divide: The complementarity of technologies and the demand for digital skills’, Technological Forecasting and Social Change, 162(1), p. 120405. Available at: </w:t>
      </w:r>
      <w:hyperlink r:id="rId61" w:history="1">
        <w:r w:rsidRPr="00B06F69">
          <w:rPr>
            <w:rStyle w:val="Hyperlink"/>
            <w:rFonts w:ascii="Arial" w:hAnsi="Arial" w:cs="Arial"/>
          </w:rPr>
          <w:t>https://doi.org/10.1016/j.techfore.2020.120405</w:t>
        </w:r>
      </w:hyperlink>
      <w:r w:rsidRPr="00B06F69">
        <w:rPr>
          <w:rFonts w:ascii="Arial" w:hAnsi="Arial" w:cs="Arial"/>
        </w:rPr>
        <w:t>.</w:t>
      </w:r>
    </w:p>
    <w:p w14:paraId="25A96B20" w14:textId="2FE00B08" w:rsidR="00B10035" w:rsidRPr="00B06F69" w:rsidRDefault="00B6139C" w:rsidP="00B06F69">
      <w:pPr>
        <w:spacing w:line="360" w:lineRule="auto"/>
        <w:rPr>
          <w:rFonts w:ascii="Arial" w:hAnsi="Arial" w:cs="Arial"/>
        </w:rPr>
      </w:pPr>
      <w:r w:rsidRPr="00B06F69">
        <w:rPr>
          <w:rFonts w:ascii="Arial" w:hAnsi="Arial" w:cs="Arial"/>
        </w:rPr>
        <w:t xml:space="preserve">Stofkova, J. et al. (2022) ‘Digital Skills as a Significant Factor of Human Resources Development’, Sustainability, 14(20), p. 13117. Available at: </w:t>
      </w:r>
      <w:hyperlink r:id="rId62" w:history="1">
        <w:r w:rsidRPr="00B06F69">
          <w:rPr>
            <w:rStyle w:val="Hyperlink"/>
            <w:rFonts w:ascii="Arial" w:hAnsi="Arial" w:cs="Arial"/>
          </w:rPr>
          <w:t>https://doi.org/10.3390/su142013117</w:t>
        </w:r>
      </w:hyperlink>
      <w:r w:rsidRPr="00B06F69">
        <w:rPr>
          <w:rFonts w:ascii="Arial" w:hAnsi="Arial" w:cs="Arial"/>
        </w:rPr>
        <w:t>.</w:t>
      </w:r>
    </w:p>
    <w:p w14:paraId="6A004F4B" w14:textId="77777777" w:rsidR="009D0B0B" w:rsidRDefault="009D0B0B" w:rsidP="00B06F69">
      <w:pPr>
        <w:spacing w:line="360" w:lineRule="auto"/>
        <w:rPr>
          <w:rFonts w:ascii="Arial" w:hAnsi="Arial" w:cs="Arial"/>
        </w:rPr>
      </w:pPr>
    </w:p>
    <w:sectPr w:rsidR="009D0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72982" w14:textId="77777777" w:rsidR="00EA5558" w:rsidRDefault="00EA5558">
      <w:pPr>
        <w:spacing w:after="0" w:line="240" w:lineRule="auto"/>
      </w:pPr>
    </w:p>
  </w:endnote>
  <w:endnote w:type="continuationSeparator" w:id="0">
    <w:p w14:paraId="4BD5EF46" w14:textId="77777777" w:rsidR="00EA5558" w:rsidRDefault="00EA55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7006C" w14:textId="77777777" w:rsidR="00EA5558" w:rsidRDefault="00EA5558">
      <w:pPr>
        <w:spacing w:after="0" w:line="240" w:lineRule="auto"/>
      </w:pPr>
    </w:p>
  </w:footnote>
  <w:footnote w:type="continuationSeparator" w:id="0">
    <w:p w14:paraId="20CCBFEE" w14:textId="77777777" w:rsidR="00EA5558" w:rsidRDefault="00EA5558">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66971"/>
    <w:rsid w:val="00067A36"/>
    <w:rsid w:val="0008259F"/>
    <w:rsid w:val="0009460F"/>
    <w:rsid w:val="000A2F53"/>
    <w:rsid w:val="000A5928"/>
    <w:rsid w:val="000A67D5"/>
    <w:rsid w:val="000B0A5F"/>
    <w:rsid w:val="000B761D"/>
    <w:rsid w:val="000C09B9"/>
    <w:rsid w:val="000C614C"/>
    <w:rsid w:val="000D04DD"/>
    <w:rsid w:val="000D155C"/>
    <w:rsid w:val="000D5600"/>
    <w:rsid w:val="000D669A"/>
    <w:rsid w:val="000E6648"/>
    <w:rsid w:val="000F7983"/>
    <w:rsid w:val="00106110"/>
    <w:rsid w:val="00111336"/>
    <w:rsid w:val="001130AE"/>
    <w:rsid w:val="00113F5A"/>
    <w:rsid w:val="00115282"/>
    <w:rsid w:val="00116492"/>
    <w:rsid w:val="00125280"/>
    <w:rsid w:val="00133787"/>
    <w:rsid w:val="00137305"/>
    <w:rsid w:val="0015348B"/>
    <w:rsid w:val="001548E7"/>
    <w:rsid w:val="00164FC7"/>
    <w:rsid w:val="00170E20"/>
    <w:rsid w:val="001949D2"/>
    <w:rsid w:val="001A5EB4"/>
    <w:rsid w:val="001A6699"/>
    <w:rsid w:val="001B6FF9"/>
    <w:rsid w:val="001C1E10"/>
    <w:rsid w:val="001C58F1"/>
    <w:rsid w:val="001E49EE"/>
    <w:rsid w:val="002001C6"/>
    <w:rsid w:val="002069C8"/>
    <w:rsid w:val="0021120C"/>
    <w:rsid w:val="0021464B"/>
    <w:rsid w:val="00215753"/>
    <w:rsid w:val="00220C71"/>
    <w:rsid w:val="0022310E"/>
    <w:rsid w:val="00227E4E"/>
    <w:rsid w:val="00230066"/>
    <w:rsid w:val="0023560A"/>
    <w:rsid w:val="00240734"/>
    <w:rsid w:val="0025243C"/>
    <w:rsid w:val="002609AB"/>
    <w:rsid w:val="0026162A"/>
    <w:rsid w:val="00264B87"/>
    <w:rsid w:val="0027033C"/>
    <w:rsid w:val="002806AE"/>
    <w:rsid w:val="0028612E"/>
    <w:rsid w:val="002A0825"/>
    <w:rsid w:val="002A49BF"/>
    <w:rsid w:val="002B3E14"/>
    <w:rsid w:val="002C5822"/>
    <w:rsid w:val="002D66D7"/>
    <w:rsid w:val="002E1632"/>
    <w:rsid w:val="002F2FF9"/>
    <w:rsid w:val="002F3779"/>
    <w:rsid w:val="0032757A"/>
    <w:rsid w:val="003324EF"/>
    <w:rsid w:val="00346D29"/>
    <w:rsid w:val="003514EB"/>
    <w:rsid w:val="00365B7D"/>
    <w:rsid w:val="003731FB"/>
    <w:rsid w:val="0037767A"/>
    <w:rsid w:val="003A5664"/>
    <w:rsid w:val="003B1CCA"/>
    <w:rsid w:val="003C3B98"/>
    <w:rsid w:val="003C5221"/>
    <w:rsid w:val="003D3D3C"/>
    <w:rsid w:val="003D5DB7"/>
    <w:rsid w:val="003F1D67"/>
    <w:rsid w:val="003F743F"/>
    <w:rsid w:val="00415145"/>
    <w:rsid w:val="004172D9"/>
    <w:rsid w:val="00420B43"/>
    <w:rsid w:val="00424E7F"/>
    <w:rsid w:val="00477BA8"/>
    <w:rsid w:val="0048564D"/>
    <w:rsid w:val="00490F1A"/>
    <w:rsid w:val="00495745"/>
    <w:rsid w:val="004A5979"/>
    <w:rsid w:val="004B2EB4"/>
    <w:rsid w:val="004B5094"/>
    <w:rsid w:val="004C112B"/>
    <w:rsid w:val="004C1736"/>
    <w:rsid w:val="004C243A"/>
    <w:rsid w:val="004D3D8F"/>
    <w:rsid w:val="004E604C"/>
    <w:rsid w:val="004F5684"/>
    <w:rsid w:val="00502532"/>
    <w:rsid w:val="00506D94"/>
    <w:rsid w:val="0051655E"/>
    <w:rsid w:val="00521B81"/>
    <w:rsid w:val="0052249A"/>
    <w:rsid w:val="005277A3"/>
    <w:rsid w:val="00533560"/>
    <w:rsid w:val="00540C62"/>
    <w:rsid w:val="005742B2"/>
    <w:rsid w:val="005762AF"/>
    <w:rsid w:val="005809FE"/>
    <w:rsid w:val="005857FD"/>
    <w:rsid w:val="0059043D"/>
    <w:rsid w:val="00592EF0"/>
    <w:rsid w:val="005939D3"/>
    <w:rsid w:val="005B099E"/>
    <w:rsid w:val="005B50E9"/>
    <w:rsid w:val="005C5795"/>
    <w:rsid w:val="005D2291"/>
    <w:rsid w:val="00615DF9"/>
    <w:rsid w:val="00624621"/>
    <w:rsid w:val="0065112E"/>
    <w:rsid w:val="0065275D"/>
    <w:rsid w:val="006532C8"/>
    <w:rsid w:val="00654B51"/>
    <w:rsid w:val="00662107"/>
    <w:rsid w:val="00664BA8"/>
    <w:rsid w:val="00687315"/>
    <w:rsid w:val="00690BAF"/>
    <w:rsid w:val="00692160"/>
    <w:rsid w:val="006A0C32"/>
    <w:rsid w:val="006C028E"/>
    <w:rsid w:val="006C07D0"/>
    <w:rsid w:val="006E3D2A"/>
    <w:rsid w:val="006E7881"/>
    <w:rsid w:val="0070139D"/>
    <w:rsid w:val="007067BA"/>
    <w:rsid w:val="0071484F"/>
    <w:rsid w:val="00724DC8"/>
    <w:rsid w:val="00736568"/>
    <w:rsid w:val="00746DC1"/>
    <w:rsid w:val="007673DD"/>
    <w:rsid w:val="007711FD"/>
    <w:rsid w:val="00773D41"/>
    <w:rsid w:val="00781100"/>
    <w:rsid w:val="00781A6E"/>
    <w:rsid w:val="007C4A17"/>
    <w:rsid w:val="007D4291"/>
    <w:rsid w:val="007E7431"/>
    <w:rsid w:val="007F3518"/>
    <w:rsid w:val="007F3FCF"/>
    <w:rsid w:val="007F5435"/>
    <w:rsid w:val="007F7259"/>
    <w:rsid w:val="0082626B"/>
    <w:rsid w:val="0083301D"/>
    <w:rsid w:val="008538A2"/>
    <w:rsid w:val="008646BF"/>
    <w:rsid w:val="008650E3"/>
    <w:rsid w:val="0086615F"/>
    <w:rsid w:val="008671D5"/>
    <w:rsid w:val="008775B1"/>
    <w:rsid w:val="008A0CE3"/>
    <w:rsid w:val="008A6CF0"/>
    <w:rsid w:val="008C18C7"/>
    <w:rsid w:val="008C58DD"/>
    <w:rsid w:val="008C5C87"/>
    <w:rsid w:val="008D0AAE"/>
    <w:rsid w:val="008D3D1B"/>
    <w:rsid w:val="008D6145"/>
    <w:rsid w:val="008E1873"/>
    <w:rsid w:val="008E73A5"/>
    <w:rsid w:val="008F0AAE"/>
    <w:rsid w:val="009214F1"/>
    <w:rsid w:val="009258AD"/>
    <w:rsid w:val="0093294F"/>
    <w:rsid w:val="00933E14"/>
    <w:rsid w:val="009412FC"/>
    <w:rsid w:val="00950F9B"/>
    <w:rsid w:val="00974B93"/>
    <w:rsid w:val="009950F2"/>
    <w:rsid w:val="009B1A14"/>
    <w:rsid w:val="009B2C40"/>
    <w:rsid w:val="009D0B0B"/>
    <w:rsid w:val="009D3D7B"/>
    <w:rsid w:val="009D77F0"/>
    <w:rsid w:val="009D7BE5"/>
    <w:rsid w:val="009F4D0C"/>
    <w:rsid w:val="00A03896"/>
    <w:rsid w:val="00A05B1B"/>
    <w:rsid w:val="00A10DAB"/>
    <w:rsid w:val="00A11343"/>
    <w:rsid w:val="00A14576"/>
    <w:rsid w:val="00A14FD1"/>
    <w:rsid w:val="00A211A4"/>
    <w:rsid w:val="00A21969"/>
    <w:rsid w:val="00A2505C"/>
    <w:rsid w:val="00A2694F"/>
    <w:rsid w:val="00A27472"/>
    <w:rsid w:val="00A279B4"/>
    <w:rsid w:val="00A33BC2"/>
    <w:rsid w:val="00A47B7E"/>
    <w:rsid w:val="00A519C6"/>
    <w:rsid w:val="00A77135"/>
    <w:rsid w:val="00A929E5"/>
    <w:rsid w:val="00AA047D"/>
    <w:rsid w:val="00AA227E"/>
    <w:rsid w:val="00AA3464"/>
    <w:rsid w:val="00AB0A7F"/>
    <w:rsid w:val="00AB5A58"/>
    <w:rsid w:val="00AD11A2"/>
    <w:rsid w:val="00AD1C77"/>
    <w:rsid w:val="00AD36C7"/>
    <w:rsid w:val="00AD7ECE"/>
    <w:rsid w:val="00AE21AF"/>
    <w:rsid w:val="00AF1381"/>
    <w:rsid w:val="00B015AF"/>
    <w:rsid w:val="00B057E6"/>
    <w:rsid w:val="00B06F69"/>
    <w:rsid w:val="00B10035"/>
    <w:rsid w:val="00B453B7"/>
    <w:rsid w:val="00B5292B"/>
    <w:rsid w:val="00B56CE4"/>
    <w:rsid w:val="00B6139C"/>
    <w:rsid w:val="00B76BD7"/>
    <w:rsid w:val="00B76CAB"/>
    <w:rsid w:val="00B8107D"/>
    <w:rsid w:val="00B8549A"/>
    <w:rsid w:val="00B92843"/>
    <w:rsid w:val="00BA3794"/>
    <w:rsid w:val="00BC015C"/>
    <w:rsid w:val="00BC16DA"/>
    <w:rsid w:val="00BD288A"/>
    <w:rsid w:val="00BD7EA0"/>
    <w:rsid w:val="00BE3FC1"/>
    <w:rsid w:val="00BE6EA5"/>
    <w:rsid w:val="00BF7269"/>
    <w:rsid w:val="00C01B02"/>
    <w:rsid w:val="00C02675"/>
    <w:rsid w:val="00C16366"/>
    <w:rsid w:val="00C20BD9"/>
    <w:rsid w:val="00C26DBD"/>
    <w:rsid w:val="00C3104C"/>
    <w:rsid w:val="00C311C0"/>
    <w:rsid w:val="00C34C13"/>
    <w:rsid w:val="00C350CA"/>
    <w:rsid w:val="00C35AB2"/>
    <w:rsid w:val="00C46B39"/>
    <w:rsid w:val="00C547F3"/>
    <w:rsid w:val="00C552BA"/>
    <w:rsid w:val="00C6203F"/>
    <w:rsid w:val="00C63322"/>
    <w:rsid w:val="00C83439"/>
    <w:rsid w:val="00C84330"/>
    <w:rsid w:val="00CA3112"/>
    <w:rsid w:val="00CA3CFB"/>
    <w:rsid w:val="00CA7833"/>
    <w:rsid w:val="00CB3212"/>
    <w:rsid w:val="00CC1B3B"/>
    <w:rsid w:val="00CD0191"/>
    <w:rsid w:val="00CE28B8"/>
    <w:rsid w:val="00CE491B"/>
    <w:rsid w:val="00D0328D"/>
    <w:rsid w:val="00D303F3"/>
    <w:rsid w:val="00D30D70"/>
    <w:rsid w:val="00D319AD"/>
    <w:rsid w:val="00D343B5"/>
    <w:rsid w:val="00D42AD8"/>
    <w:rsid w:val="00D62844"/>
    <w:rsid w:val="00D7099A"/>
    <w:rsid w:val="00D731C3"/>
    <w:rsid w:val="00D73AB5"/>
    <w:rsid w:val="00D82772"/>
    <w:rsid w:val="00D8531B"/>
    <w:rsid w:val="00D940FB"/>
    <w:rsid w:val="00DB6E55"/>
    <w:rsid w:val="00DD389E"/>
    <w:rsid w:val="00DE7D43"/>
    <w:rsid w:val="00DF071C"/>
    <w:rsid w:val="00E11FEC"/>
    <w:rsid w:val="00E255CE"/>
    <w:rsid w:val="00E30F36"/>
    <w:rsid w:val="00E32D0A"/>
    <w:rsid w:val="00E35491"/>
    <w:rsid w:val="00E41770"/>
    <w:rsid w:val="00E45E72"/>
    <w:rsid w:val="00E53D68"/>
    <w:rsid w:val="00E55ADB"/>
    <w:rsid w:val="00E601D5"/>
    <w:rsid w:val="00E71DB8"/>
    <w:rsid w:val="00E72C8B"/>
    <w:rsid w:val="00E74EAA"/>
    <w:rsid w:val="00E81CCB"/>
    <w:rsid w:val="00E82500"/>
    <w:rsid w:val="00EA0E3F"/>
    <w:rsid w:val="00EA54DD"/>
    <w:rsid w:val="00EA5558"/>
    <w:rsid w:val="00EA67B6"/>
    <w:rsid w:val="00EE5A4A"/>
    <w:rsid w:val="00EE5B5E"/>
    <w:rsid w:val="00EF0981"/>
    <w:rsid w:val="00EF1819"/>
    <w:rsid w:val="00F0295F"/>
    <w:rsid w:val="00F05041"/>
    <w:rsid w:val="00F1122A"/>
    <w:rsid w:val="00F133D5"/>
    <w:rsid w:val="00F15C5D"/>
    <w:rsid w:val="00F171CB"/>
    <w:rsid w:val="00F2018B"/>
    <w:rsid w:val="00F214FF"/>
    <w:rsid w:val="00F23F5D"/>
    <w:rsid w:val="00F35D5D"/>
    <w:rsid w:val="00F6252E"/>
    <w:rsid w:val="00F749CB"/>
    <w:rsid w:val="00F81182"/>
    <w:rsid w:val="00F81E87"/>
    <w:rsid w:val="00F82AD9"/>
    <w:rsid w:val="00F85429"/>
    <w:rsid w:val="00F97C77"/>
    <w:rsid w:val="00FA0010"/>
    <w:rsid w:val="00FE2CDC"/>
    <w:rsid w:val="00FE7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1C1E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29.emf"/><Relationship Id="rId21" Type="http://schemas.openxmlformats.org/officeDocument/2006/relationships/image" Target="media/image15.png"/><Relationship Id="rId34" Type="http://schemas.openxmlformats.org/officeDocument/2006/relationships/image" Target="media/image24.png"/><Relationship Id="rId42" Type="http://schemas.openxmlformats.org/officeDocument/2006/relationships/hyperlink" Target="https://doi.org/10.54660/.ijmrge.2020.1.2.109-118" TargetMode="External"/><Relationship Id="rId47" Type="http://schemas.openxmlformats.org/officeDocument/2006/relationships/package" Target="embeddings/Microsoft_PowerPoint_Presentation.pptx"/><Relationship Id="rId50" Type="http://schemas.openxmlformats.org/officeDocument/2006/relationships/hyperlink" Target="https://doi.org/10.1108/jbs-06-2022-0093" TargetMode="External"/><Relationship Id="rId55" Type="http://schemas.openxmlformats.org/officeDocument/2006/relationships/hyperlink" Target="https://doi.org/10.1108/jbs-06-2022-0093"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16/j.techfore.2024.123279"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016/j.techfore.2020.120405" TargetMode="External"/><Relationship Id="rId37" Type="http://schemas.openxmlformats.org/officeDocument/2006/relationships/image" Target="media/image27.png"/><Relationship Id="rId40" Type="http://schemas.openxmlformats.org/officeDocument/2006/relationships/package" Target="embeddings/Microsoft_Excel_Worksheet.xlsx"/><Relationship Id="rId45" Type="http://schemas.openxmlformats.org/officeDocument/2006/relationships/hyperlink" Target="https://doi.org/10.33423/jaf.v21i5.4733" TargetMode="External"/><Relationship Id="rId53" Type="http://schemas.openxmlformats.org/officeDocument/2006/relationships/hyperlink" Target="https://doi.org/10.31295/ijbem.v4n1.1575" TargetMode="External"/><Relationship Id="rId58" Type="http://schemas.openxmlformats.org/officeDocument/2006/relationships/hyperlink" Target="https://doi.org/10.1108/JD-12-2021-0241" TargetMode="External"/><Relationship Id="rId5" Type="http://schemas.openxmlformats.org/officeDocument/2006/relationships/footnotes" Target="footnotes.xml"/><Relationship Id="rId61" Type="http://schemas.openxmlformats.org/officeDocument/2006/relationships/hyperlink" Target="https://doi.org/10.1016/j.techfore.2020.120405"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oi.org/10.1108/jbs-06-2022-0093" TargetMode="External"/><Relationship Id="rId35" Type="http://schemas.openxmlformats.org/officeDocument/2006/relationships/image" Target="media/image25.png"/><Relationship Id="rId43" Type="http://schemas.openxmlformats.org/officeDocument/2006/relationships/hyperlink" Target="https://doi.org/10.1080/26408066.2022.2025968" TargetMode="External"/><Relationship Id="rId48" Type="http://schemas.openxmlformats.org/officeDocument/2006/relationships/hyperlink" Target="https://doi.org/10.31295/ijbem.v4n1.1575" TargetMode="External"/><Relationship Id="rId56" Type="http://schemas.openxmlformats.org/officeDocument/2006/relationships/hyperlink" Target="https://www.google.com/"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google.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0.emf"/><Relationship Id="rId59" Type="http://schemas.openxmlformats.org/officeDocument/2006/relationships/hyperlink" Target="https://doi.org/10.54660/.ijmrge.2020.1.2.109-118" TargetMode="External"/><Relationship Id="rId20" Type="http://schemas.openxmlformats.org/officeDocument/2006/relationships/image" Target="media/image14.png"/><Relationship Id="rId41" Type="http://schemas.openxmlformats.org/officeDocument/2006/relationships/hyperlink" Target="https://doi.org/10.1007/s12145-021-00710-6" TargetMode="External"/><Relationship Id="rId54" Type="http://schemas.openxmlformats.org/officeDocument/2006/relationships/hyperlink" Target="https://doi.org/10.1016/j.techfore.2024.123279" TargetMode="External"/><Relationship Id="rId62" Type="http://schemas.openxmlformats.org/officeDocument/2006/relationships/hyperlink" Target="https://doi.org/10.3390/su14201311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26.png"/><Relationship Id="rId49" Type="http://schemas.openxmlformats.org/officeDocument/2006/relationships/hyperlink" Target="https://doi.org/10.1016/j.techfore.2024.123279" TargetMode="External"/><Relationship Id="rId57" Type="http://schemas.openxmlformats.org/officeDocument/2006/relationships/hyperlink" Target="https://doi.org/10.1007/s12145-021-00710-6" TargetMode="External"/><Relationship Id="rId10" Type="http://schemas.openxmlformats.org/officeDocument/2006/relationships/image" Target="media/image4.png"/><Relationship Id="rId31" Type="http://schemas.openxmlformats.org/officeDocument/2006/relationships/hyperlink" Target="https://www.jisc.ac.uk/" TargetMode="External"/><Relationship Id="rId44" Type="http://schemas.openxmlformats.org/officeDocument/2006/relationships/hyperlink" Target="https://www.jstor.org/stable/48738991" TargetMode="External"/><Relationship Id="rId52" Type="http://schemas.openxmlformats.org/officeDocument/2006/relationships/hyperlink" Target="https://www.jstor.org/stable/48738991" TargetMode="External"/><Relationship Id="rId60" Type="http://schemas.openxmlformats.org/officeDocument/2006/relationships/hyperlink" Target="https://www.jstor.org/stable/48738991"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5509</TotalTime>
  <Pages>18</Pages>
  <Words>3391</Words>
  <Characters>19332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Mehmet Tasoglu</cp:lastModifiedBy>
  <cp:revision>229</cp:revision>
  <dcterms:created xsi:type="dcterms:W3CDTF">2025-10-17T13:55:00Z</dcterms:created>
  <dcterms:modified xsi:type="dcterms:W3CDTF">2026-03-16T03:45:00Z</dcterms:modified>
</cp:coreProperties>
</file>