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63A5F" w14:textId="77777777" w:rsidR="00323E1C" w:rsidRPr="00611589" w:rsidRDefault="00A23FE6">
      <w:pPr>
        <w:pStyle w:val="Heading1"/>
        <w:jc w:val="center"/>
        <w:rPr>
          <w:rFonts w:ascii="Times New Roman" w:eastAsia="Times New Roman" w:hAnsi="Times New Roman" w:cs="Times New Roman"/>
          <w:b/>
          <w:sz w:val="28"/>
          <w:szCs w:val="28"/>
          <w:lang w:val="en-GB"/>
        </w:rPr>
      </w:pPr>
      <w:bookmarkStart w:id="0" w:name="_heading=h.gjdgxs" w:colFirst="0" w:colLast="0"/>
      <w:bookmarkEnd w:id="0"/>
      <w:r w:rsidRPr="00611589">
        <w:rPr>
          <w:rFonts w:ascii="Times New Roman" w:eastAsia="Times New Roman" w:hAnsi="Times New Roman" w:cs="Times New Roman"/>
          <w:b/>
          <w:noProof/>
          <w:sz w:val="28"/>
          <w:szCs w:val="28"/>
          <w:lang w:val="en-GB"/>
        </w:rPr>
        <w:drawing>
          <wp:inline distT="114300" distB="114300" distL="114300" distR="114300" wp14:anchorId="1D2CB16E" wp14:editId="569F802F">
            <wp:extent cx="3024188" cy="1512094"/>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4188" cy="1512094"/>
                    </a:xfrm>
                    <a:prstGeom prst="rect">
                      <a:avLst/>
                    </a:prstGeom>
                    <a:ln/>
                  </pic:spPr>
                </pic:pic>
              </a:graphicData>
            </a:graphic>
          </wp:inline>
        </w:drawing>
      </w:r>
    </w:p>
    <w:p w14:paraId="0AEA195E" w14:textId="77777777" w:rsidR="00323E1C" w:rsidRPr="00611589" w:rsidRDefault="00A23FE6">
      <w:pPr>
        <w:spacing w:line="360" w:lineRule="auto"/>
        <w:jc w:val="center"/>
        <w:rPr>
          <w:rFonts w:ascii="Times New Roman" w:eastAsia="Times New Roman" w:hAnsi="Times New Roman" w:cs="Times New Roman"/>
          <w:b/>
          <w:sz w:val="34"/>
          <w:szCs w:val="34"/>
          <w:lang w:val="en-GB"/>
        </w:rPr>
      </w:pPr>
      <w:r w:rsidRPr="00611589">
        <w:rPr>
          <w:rFonts w:ascii="Times New Roman" w:eastAsia="Times New Roman" w:hAnsi="Times New Roman" w:cs="Times New Roman"/>
          <w:b/>
          <w:sz w:val="34"/>
          <w:szCs w:val="34"/>
          <w:lang w:val="en-GB"/>
        </w:rPr>
        <w:t xml:space="preserve">Diminished Responsibility </w:t>
      </w:r>
    </w:p>
    <w:p w14:paraId="51DBF03B" w14:textId="77777777" w:rsidR="00323E1C" w:rsidRPr="00611589" w:rsidRDefault="00A23FE6">
      <w:pPr>
        <w:spacing w:line="360" w:lineRule="auto"/>
        <w:jc w:val="center"/>
        <w:rPr>
          <w:rFonts w:ascii="Times New Roman" w:eastAsia="Times New Roman" w:hAnsi="Times New Roman" w:cs="Times New Roman"/>
          <w:b/>
          <w:sz w:val="28"/>
          <w:szCs w:val="28"/>
          <w:lang w:val="en-GB"/>
        </w:rPr>
      </w:pPr>
      <w:r w:rsidRPr="00611589">
        <w:rPr>
          <w:rFonts w:ascii="Times New Roman" w:eastAsia="Times New Roman" w:hAnsi="Times New Roman" w:cs="Times New Roman"/>
          <w:b/>
          <w:sz w:val="34"/>
          <w:szCs w:val="34"/>
          <w:lang w:val="en-GB"/>
        </w:rPr>
        <w:t xml:space="preserve">BMPL4009/BMLW4005 </w:t>
      </w:r>
      <w:r w:rsidRPr="00611589">
        <w:rPr>
          <w:lang w:val="en-GB"/>
        </w:rPr>
        <w:br w:type="page"/>
      </w:r>
    </w:p>
    <w:p w14:paraId="7D9BF367" w14:textId="77777777" w:rsidR="00323E1C" w:rsidRPr="00611589" w:rsidRDefault="00A23FE6">
      <w:pPr>
        <w:jc w:val="center"/>
        <w:rPr>
          <w:rFonts w:ascii="Times New Roman" w:eastAsia="Times New Roman" w:hAnsi="Times New Roman" w:cs="Times New Roman"/>
          <w:b/>
          <w:sz w:val="28"/>
          <w:szCs w:val="28"/>
          <w:lang w:val="en-GB"/>
        </w:rPr>
      </w:pPr>
      <w:r w:rsidRPr="00611589">
        <w:rPr>
          <w:rFonts w:ascii="Times New Roman" w:eastAsia="Times New Roman" w:hAnsi="Times New Roman" w:cs="Times New Roman"/>
          <w:b/>
          <w:sz w:val="28"/>
          <w:szCs w:val="28"/>
          <w:lang w:val="en-GB"/>
        </w:rPr>
        <w:lastRenderedPageBreak/>
        <w:t>Table of Content</w:t>
      </w:r>
    </w:p>
    <w:sdt>
      <w:sdtPr>
        <w:rPr>
          <w:lang w:val="en-GB"/>
        </w:rPr>
        <w:id w:val="1214077740"/>
        <w:docPartObj>
          <w:docPartGallery w:val="Table of Contents"/>
          <w:docPartUnique/>
        </w:docPartObj>
      </w:sdtPr>
      <w:sdtContent>
        <w:p w14:paraId="62D5ACCE" w14:textId="77777777" w:rsidR="00323E1C" w:rsidRPr="00611589" w:rsidRDefault="00A23FE6">
          <w:pPr>
            <w:tabs>
              <w:tab w:val="right" w:pos="9360"/>
            </w:tabs>
            <w:spacing w:before="200" w:line="360" w:lineRule="auto"/>
            <w:rPr>
              <w:rFonts w:ascii="Times New Roman" w:eastAsia="Times New Roman" w:hAnsi="Times New Roman" w:cs="Times New Roman"/>
              <w:sz w:val="24"/>
              <w:szCs w:val="24"/>
              <w:lang w:val="en-GB"/>
            </w:rPr>
          </w:pPr>
          <w:r w:rsidRPr="00611589">
            <w:rPr>
              <w:lang w:val="en-GB"/>
            </w:rPr>
            <w:fldChar w:fldCharType="begin"/>
          </w:r>
          <w:r w:rsidRPr="00611589">
            <w:rPr>
              <w:lang w:val="en-GB"/>
            </w:rPr>
            <w:instrText xml:space="preserve"> TOC \h \u \z </w:instrText>
          </w:r>
          <w:r w:rsidRPr="00611589">
            <w:rPr>
              <w:lang w:val="en-GB"/>
            </w:rPr>
            <w:fldChar w:fldCharType="separate"/>
          </w:r>
          <w:hyperlink w:anchor="_heading=h.1fob9te">
            <w:r w:rsidRPr="00611589">
              <w:rPr>
                <w:rFonts w:ascii="Times New Roman" w:eastAsia="Times New Roman" w:hAnsi="Times New Roman" w:cs="Times New Roman"/>
                <w:sz w:val="24"/>
                <w:szCs w:val="24"/>
                <w:lang w:val="en-GB"/>
              </w:rPr>
              <w:t>Introduction</w:t>
            </w:r>
          </w:hyperlink>
          <w:r w:rsidRPr="00611589">
            <w:rPr>
              <w:rFonts w:ascii="Times New Roman" w:eastAsia="Times New Roman" w:hAnsi="Times New Roman" w:cs="Times New Roman"/>
              <w:sz w:val="24"/>
              <w:szCs w:val="24"/>
              <w:lang w:val="en-GB"/>
            </w:rPr>
            <w:tab/>
          </w:r>
          <w:r w:rsidRPr="00611589">
            <w:rPr>
              <w:lang w:val="en-GB"/>
            </w:rPr>
            <w:fldChar w:fldCharType="begin"/>
          </w:r>
          <w:r w:rsidRPr="00611589">
            <w:rPr>
              <w:lang w:val="en-GB"/>
            </w:rPr>
            <w:instrText xml:space="preserve"> PAGEREF _heading=h.1fob9te \h </w:instrText>
          </w:r>
          <w:r w:rsidRPr="00611589">
            <w:rPr>
              <w:lang w:val="en-GB"/>
            </w:rPr>
          </w:r>
          <w:r w:rsidRPr="00611589">
            <w:rPr>
              <w:lang w:val="en-GB"/>
            </w:rPr>
            <w:fldChar w:fldCharType="separate"/>
          </w:r>
          <w:r w:rsidRPr="00611589">
            <w:rPr>
              <w:rFonts w:ascii="Times New Roman" w:eastAsia="Times New Roman" w:hAnsi="Times New Roman" w:cs="Times New Roman"/>
              <w:sz w:val="24"/>
              <w:szCs w:val="24"/>
              <w:lang w:val="en-GB"/>
            </w:rPr>
            <w:t>2</w:t>
          </w:r>
          <w:r w:rsidRPr="00611589">
            <w:rPr>
              <w:lang w:val="en-GB"/>
            </w:rPr>
            <w:fldChar w:fldCharType="end"/>
          </w:r>
        </w:p>
        <w:p w14:paraId="3A533460" w14:textId="77777777" w:rsidR="00323E1C" w:rsidRPr="00611589" w:rsidRDefault="00000000">
          <w:pPr>
            <w:tabs>
              <w:tab w:val="right" w:pos="9360"/>
            </w:tabs>
            <w:spacing w:before="200" w:line="360" w:lineRule="auto"/>
            <w:rPr>
              <w:rFonts w:ascii="Times New Roman" w:eastAsia="Times New Roman" w:hAnsi="Times New Roman" w:cs="Times New Roman"/>
              <w:sz w:val="24"/>
              <w:szCs w:val="24"/>
              <w:lang w:val="en-GB"/>
            </w:rPr>
          </w:pPr>
          <w:hyperlink w:anchor="_heading=h.3znysh7">
            <w:r w:rsidR="00A23FE6" w:rsidRPr="00611589">
              <w:rPr>
                <w:rFonts w:ascii="Times New Roman" w:eastAsia="Times New Roman" w:hAnsi="Times New Roman" w:cs="Times New Roman"/>
                <w:sz w:val="24"/>
                <w:szCs w:val="24"/>
                <w:lang w:val="en-GB"/>
              </w:rPr>
              <w:t>Main Body</w:t>
            </w:r>
          </w:hyperlink>
          <w:r w:rsidR="00A23FE6" w:rsidRPr="00611589">
            <w:rPr>
              <w:rFonts w:ascii="Times New Roman" w:eastAsia="Times New Roman" w:hAnsi="Times New Roman" w:cs="Times New Roman"/>
              <w:sz w:val="24"/>
              <w:szCs w:val="24"/>
              <w:lang w:val="en-GB"/>
            </w:rPr>
            <w:tab/>
          </w:r>
          <w:r w:rsidR="00A23FE6" w:rsidRPr="00611589">
            <w:rPr>
              <w:lang w:val="en-GB"/>
            </w:rPr>
            <w:fldChar w:fldCharType="begin"/>
          </w:r>
          <w:r w:rsidR="00A23FE6" w:rsidRPr="00611589">
            <w:rPr>
              <w:lang w:val="en-GB"/>
            </w:rPr>
            <w:instrText xml:space="preserve"> PAGEREF _heading=h.3znysh7 \h </w:instrText>
          </w:r>
          <w:r w:rsidR="00A23FE6" w:rsidRPr="00611589">
            <w:rPr>
              <w:lang w:val="en-GB"/>
            </w:rPr>
          </w:r>
          <w:r w:rsidR="00A23FE6" w:rsidRPr="00611589">
            <w:rPr>
              <w:lang w:val="en-GB"/>
            </w:rPr>
            <w:fldChar w:fldCharType="separate"/>
          </w:r>
          <w:r w:rsidR="00A23FE6" w:rsidRPr="00611589">
            <w:rPr>
              <w:rFonts w:ascii="Times New Roman" w:eastAsia="Times New Roman" w:hAnsi="Times New Roman" w:cs="Times New Roman"/>
              <w:sz w:val="24"/>
              <w:szCs w:val="24"/>
              <w:lang w:val="en-GB"/>
            </w:rPr>
            <w:t>2</w:t>
          </w:r>
          <w:r w:rsidR="00A23FE6" w:rsidRPr="00611589">
            <w:rPr>
              <w:lang w:val="en-GB"/>
            </w:rPr>
            <w:fldChar w:fldCharType="end"/>
          </w:r>
        </w:p>
        <w:p w14:paraId="250D230A" w14:textId="77777777" w:rsidR="00323E1C" w:rsidRPr="00611589" w:rsidRDefault="00000000">
          <w:pPr>
            <w:tabs>
              <w:tab w:val="right" w:pos="9360"/>
            </w:tabs>
            <w:spacing w:before="60" w:line="360" w:lineRule="auto"/>
            <w:ind w:left="360"/>
            <w:rPr>
              <w:rFonts w:ascii="Times New Roman" w:eastAsia="Times New Roman" w:hAnsi="Times New Roman" w:cs="Times New Roman"/>
              <w:sz w:val="24"/>
              <w:szCs w:val="24"/>
              <w:lang w:val="en-GB"/>
            </w:rPr>
          </w:pPr>
          <w:hyperlink w:anchor="_heading=h.2et92p0">
            <w:r w:rsidR="00A23FE6" w:rsidRPr="00611589">
              <w:rPr>
                <w:rFonts w:ascii="Times New Roman" w:eastAsia="Times New Roman" w:hAnsi="Times New Roman" w:cs="Times New Roman"/>
                <w:sz w:val="24"/>
                <w:szCs w:val="24"/>
                <w:lang w:val="en-GB"/>
              </w:rPr>
              <w:t>Homicide Act 1957: Requirements of Diminished Responsibility</w:t>
            </w:r>
          </w:hyperlink>
          <w:r w:rsidR="00A23FE6" w:rsidRPr="00611589">
            <w:rPr>
              <w:rFonts w:ascii="Times New Roman" w:eastAsia="Times New Roman" w:hAnsi="Times New Roman" w:cs="Times New Roman"/>
              <w:sz w:val="24"/>
              <w:szCs w:val="24"/>
              <w:lang w:val="en-GB"/>
            </w:rPr>
            <w:tab/>
          </w:r>
          <w:r w:rsidR="00A23FE6" w:rsidRPr="00611589">
            <w:rPr>
              <w:lang w:val="en-GB"/>
            </w:rPr>
            <w:fldChar w:fldCharType="begin"/>
          </w:r>
          <w:r w:rsidR="00A23FE6" w:rsidRPr="00611589">
            <w:rPr>
              <w:lang w:val="en-GB"/>
            </w:rPr>
            <w:instrText xml:space="preserve"> PAGEREF _heading=h.2et92p0 \h </w:instrText>
          </w:r>
          <w:r w:rsidR="00A23FE6" w:rsidRPr="00611589">
            <w:rPr>
              <w:lang w:val="en-GB"/>
            </w:rPr>
          </w:r>
          <w:r w:rsidR="00A23FE6" w:rsidRPr="00611589">
            <w:rPr>
              <w:lang w:val="en-GB"/>
            </w:rPr>
            <w:fldChar w:fldCharType="separate"/>
          </w:r>
          <w:r w:rsidR="00A23FE6" w:rsidRPr="00611589">
            <w:rPr>
              <w:rFonts w:ascii="Times New Roman" w:eastAsia="Times New Roman" w:hAnsi="Times New Roman" w:cs="Times New Roman"/>
              <w:sz w:val="24"/>
              <w:szCs w:val="24"/>
              <w:lang w:val="en-GB"/>
            </w:rPr>
            <w:t>2</w:t>
          </w:r>
          <w:r w:rsidR="00A23FE6" w:rsidRPr="00611589">
            <w:rPr>
              <w:lang w:val="en-GB"/>
            </w:rPr>
            <w:fldChar w:fldCharType="end"/>
          </w:r>
        </w:p>
        <w:p w14:paraId="0405FA26" w14:textId="77777777" w:rsidR="00323E1C" w:rsidRPr="00611589" w:rsidRDefault="00000000">
          <w:pPr>
            <w:tabs>
              <w:tab w:val="right" w:pos="9360"/>
            </w:tabs>
            <w:spacing w:before="60" w:line="360" w:lineRule="auto"/>
            <w:ind w:left="360"/>
            <w:rPr>
              <w:rFonts w:ascii="Times New Roman" w:eastAsia="Times New Roman" w:hAnsi="Times New Roman" w:cs="Times New Roman"/>
              <w:sz w:val="24"/>
              <w:szCs w:val="24"/>
              <w:lang w:val="en-GB"/>
            </w:rPr>
          </w:pPr>
          <w:hyperlink w:anchor="_heading=h.3dy6vkm">
            <w:r w:rsidR="00A23FE6" w:rsidRPr="00611589">
              <w:rPr>
                <w:rFonts w:ascii="Times New Roman" w:eastAsia="Times New Roman" w:hAnsi="Times New Roman" w:cs="Times New Roman"/>
                <w:sz w:val="24"/>
                <w:szCs w:val="24"/>
                <w:lang w:val="en-GB"/>
              </w:rPr>
              <w:t>How did a.52 Coroners and Justice Act 2009 Change the Law</w:t>
            </w:r>
          </w:hyperlink>
          <w:r w:rsidR="00A23FE6" w:rsidRPr="00611589">
            <w:rPr>
              <w:rFonts w:ascii="Times New Roman" w:eastAsia="Times New Roman" w:hAnsi="Times New Roman" w:cs="Times New Roman"/>
              <w:sz w:val="24"/>
              <w:szCs w:val="24"/>
              <w:lang w:val="en-GB"/>
            </w:rPr>
            <w:tab/>
          </w:r>
          <w:r w:rsidR="00A23FE6" w:rsidRPr="00611589">
            <w:rPr>
              <w:lang w:val="en-GB"/>
            </w:rPr>
            <w:fldChar w:fldCharType="begin"/>
          </w:r>
          <w:r w:rsidR="00A23FE6" w:rsidRPr="00611589">
            <w:rPr>
              <w:lang w:val="en-GB"/>
            </w:rPr>
            <w:instrText xml:space="preserve"> PAGEREF _heading=h.3dy6vkm \h </w:instrText>
          </w:r>
          <w:r w:rsidR="00A23FE6" w:rsidRPr="00611589">
            <w:rPr>
              <w:lang w:val="en-GB"/>
            </w:rPr>
          </w:r>
          <w:r w:rsidR="00A23FE6" w:rsidRPr="00611589">
            <w:rPr>
              <w:lang w:val="en-GB"/>
            </w:rPr>
            <w:fldChar w:fldCharType="separate"/>
          </w:r>
          <w:r w:rsidR="00A23FE6" w:rsidRPr="00611589">
            <w:rPr>
              <w:rFonts w:ascii="Times New Roman" w:eastAsia="Times New Roman" w:hAnsi="Times New Roman" w:cs="Times New Roman"/>
              <w:sz w:val="24"/>
              <w:szCs w:val="24"/>
              <w:lang w:val="en-GB"/>
            </w:rPr>
            <w:t>4</w:t>
          </w:r>
          <w:r w:rsidR="00A23FE6" w:rsidRPr="00611589">
            <w:rPr>
              <w:lang w:val="en-GB"/>
            </w:rPr>
            <w:fldChar w:fldCharType="end"/>
          </w:r>
        </w:p>
        <w:p w14:paraId="745A2A2A" w14:textId="77777777" w:rsidR="00323E1C" w:rsidRPr="00611589" w:rsidRDefault="00000000">
          <w:pPr>
            <w:tabs>
              <w:tab w:val="right" w:pos="9360"/>
            </w:tabs>
            <w:spacing w:before="60" w:line="360" w:lineRule="auto"/>
            <w:ind w:left="360"/>
            <w:rPr>
              <w:rFonts w:ascii="Times New Roman" w:eastAsia="Times New Roman" w:hAnsi="Times New Roman" w:cs="Times New Roman"/>
              <w:sz w:val="24"/>
              <w:szCs w:val="24"/>
              <w:lang w:val="en-GB"/>
            </w:rPr>
          </w:pPr>
          <w:hyperlink w:anchor="_heading=h.1t3h5sf">
            <w:r w:rsidR="00A23FE6" w:rsidRPr="00611589">
              <w:rPr>
                <w:rFonts w:ascii="Times New Roman" w:eastAsia="Times New Roman" w:hAnsi="Times New Roman" w:cs="Times New Roman"/>
                <w:sz w:val="24"/>
                <w:szCs w:val="24"/>
                <w:lang w:val="en-GB"/>
              </w:rPr>
              <w:t>Advantages and Disadvantages of these Changes</w:t>
            </w:r>
          </w:hyperlink>
          <w:r w:rsidR="00A23FE6" w:rsidRPr="00611589">
            <w:rPr>
              <w:rFonts w:ascii="Times New Roman" w:eastAsia="Times New Roman" w:hAnsi="Times New Roman" w:cs="Times New Roman"/>
              <w:sz w:val="24"/>
              <w:szCs w:val="24"/>
              <w:lang w:val="en-GB"/>
            </w:rPr>
            <w:tab/>
          </w:r>
          <w:r w:rsidR="00A23FE6" w:rsidRPr="00611589">
            <w:rPr>
              <w:lang w:val="en-GB"/>
            </w:rPr>
            <w:fldChar w:fldCharType="begin"/>
          </w:r>
          <w:r w:rsidR="00A23FE6" w:rsidRPr="00611589">
            <w:rPr>
              <w:lang w:val="en-GB"/>
            </w:rPr>
            <w:instrText xml:space="preserve"> PAGEREF _heading=h.1t3h5sf \h </w:instrText>
          </w:r>
          <w:r w:rsidR="00A23FE6" w:rsidRPr="00611589">
            <w:rPr>
              <w:lang w:val="en-GB"/>
            </w:rPr>
          </w:r>
          <w:r w:rsidR="00A23FE6" w:rsidRPr="00611589">
            <w:rPr>
              <w:lang w:val="en-GB"/>
            </w:rPr>
            <w:fldChar w:fldCharType="separate"/>
          </w:r>
          <w:r w:rsidR="00A23FE6" w:rsidRPr="00611589">
            <w:rPr>
              <w:rFonts w:ascii="Times New Roman" w:eastAsia="Times New Roman" w:hAnsi="Times New Roman" w:cs="Times New Roman"/>
              <w:sz w:val="24"/>
              <w:szCs w:val="24"/>
              <w:lang w:val="en-GB"/>
            </w:rPr>
            <w:t>4</w:t>
          </w:r>
          <w:r w:rsidR="00A23FE6" w:rsidRPr="00611589">
            <w:rPr>
              <w:lang w:val="en-GB"/>
            </w:rPr>
            <w:fldChar w:fldCharType="end"/>
          </w:r>
        </w:p>
        <w:p w14:paraId="42108D76" w14:textId="77777777" w:rsidR="00323E1C" w:rsidRPr="00611589" w:rsidRDefault="00000000">
          <w:pPr>
            <w:tabs>
              <w:tab w:val="right" w:pos="9360"/>
            </w:tabs>
            <w:spacing w:before="60" w:line="360" w:lineRule="auto"/>
            <w:ind w:left="360"/>
            <w:rPr>
              <w:rFonts w:ascii="Times New Roman" w:eastAsia="Times New Roman" w:hAnsi="Times New Roman" w:cs="Times New Roman"/>
              <w:sz w:val="24"/>
              <w:szCs w:val="24"/>
              <w:lang w:val="en-GB"/>
            </w:rPr>
          </w:pPr>
          <w:hyperlink w:anchor="_heading=h.4d34og8">
            <w:r w:rsidR="00A23FE6" w:rsidRPr="00611589">
              <w:rPr>
                <w:rFonts w:ascii="Times New Roman" w:eastAsia="Times New Roman" w:hAnsi="Times New Roman" w:cs="Times New Roman"/>
                <w:sz w:val="24"/>
                <w:szCs w:val="24"/>
                <w:lang w:val="en-GB"/>
              </w:rPr>
              <w:t xml:space="preserve">Recommendations </w:t>
            </w:r>
          </w:hyperlink>
          <w:r w:rsidR="00A23FE6" w:rsidRPr="00611589">
            <w:rPr>
              <w:rFonts w:ascii="Times New Roman" w:eastAsia="Times New Roman" w:hAnsi="Times New Roman" w:cs="Times New Roman"/>
              <w:sz w:val="24"/>
              <w:szCs w:val="24"/>
              <w:lang w:val="en-GB"/>
            </w:rPr>
            <w:tab/>
          </w:r>
          <w:r w:rsidR="00A23FE6" w:rsidRPr="00611589">
            <w:rPr>
              <w:lang w:val="en-GB"/>
            </w:rPr>
            <w:fldChar w:fldCharType="begin"/>
          </w:r>
          <w:r w:rsidR="00A23FE6" w:rsidRPr="00611589">
            <w:rPr>
              <w:lang w:val="en-GB"/>
            </w:rPr>
            <w:instrText xml:space="preserve"> PAGEREF _heading=h.4d34og8 \h </w:instrText>
          </w:r>
          <w:r w:rsidR="00A23FE6" w:rsidRPr="00611589">
            <w:rPr>
              <w:lang w:val="en-GB"/>
            </w:rPr>
          </w:r>
          <w:r w:rsidR="00A23FE6" w:rsidRPr="00611589">
            <w:rPr>
              <w:lang w:val="en-GB"/>
            </w:rPr>
            <w:fldChar w:fldCharType="separate"/>
          </w:r>
          <w:r w:rsidR="00A23FE6" w:rsidRPr="00611589">
            <w:rPr>
              <w:rFonts w:ascii="Times New Roman" w:eastAsia="Times New Roman" w:hAnsi="Times New Roman" w:cs="Times New Roman"/>
              <w:sz w:val="24"/>
              <w:szCs w:val="24"/>
              <w:lang w:val="en-GB"/>
            </w:rPr>
            <w:t>5</w:t>
          </w:r>
          <w:r w:rsidR="00A23FE6" w:rsidRPr="00611589">
            <w:rPr>
              <w:lang w:val="en-GB"/>
            </w:rPr>
            <w:fldChar w:fldCharType="end"/>
          </w:r>
        </w:p>
        <w:p w14:paraId="100FB99E" w14:textId="77777777" w:rsidR="00323E1C" w:rsidRPr="00611589" w:rsidRDefault="00000000">
          <w:pPr>
            <w:tabs>
              <w:tab w:val="right" w:pos="9360"/>
            </w:tabs>
            <w:spacing w:before="200" w:line="360" w:lineRule="auto"/>
            <w:rPr>
              <w:rFonts w:ascii="Times New Roman" w:eastAsia="Times New Roman" w:hAnsi="Times New Roman" w:cs="Times New Roman"/>
              <w:sz w:val="24"/>
              <w:szCs w:val="24"/>
              <w:lang w:val="en-GB"/>
            </w:rPr>
          </w:pPr>
          <w:hyperlink w:anchor="_heading=h.2s8eyo1">
            <w:r w:rsidR="00A23FE6" w:rsidRPr="00611589">
              <w:rPr>
                <w:rFonts w:ascii="Times New Roman" w:eastAsia="Times New Roman" w:hAnsi="Times New Roman" w:cs="Times New Roman"/>
                <w:sz w:val="24"/>
                <w:szCs w:val="24"/>
                <w:lang w:val="en-GB"/>
              </w:rPr>
              <w:t>Conclusion</w:t>
            </w:r>
          </w:hyperlink>
          <w:r w:rsidR="00A23FE6" w:rsidRPr="00611589">
            <w:rPr>
              <w:rFonts w:ascii="Times New Roman" w:eastAsia="Times New Roman" w:hAnsi="Times New Roman" w:cs="Times New Roman"/>
              <w:sz w:val="24"/>
              <w:szCs w:val="24"/>
              <w:lang w:val="en-GB"/>
            </w:rPr>
            <w:tab/>
          </w:r>
          <w:r w:rsidR="00A23FE6" w:rsidRPr="00611589">
            <w:rPr>
              <w:lang w:val="en-GB"/>
            </w:rPr>
            <w:fldChar w:fldCharType="begin"/>
          </w:r>
          <w:r w:rsidR="00A23FE6" w:rsidRPr="00611589">
            <w:rPr>
              <w:lang w:val="en-GB"/>
            </w:rPr>
            <w:instrText xml:space="preserve"> PAGEREF _heading=h.2s8eyo1 \h </w:instrText>
          </w:r>
          <w:r w:rsidR="00A23FE6" w:rsidRPr="00611589">
            <w:rPr>
              <w:lang w:val="en-GB"/>
            </w:rPr>
          </w:r>
          <w:r w:rsidR="00A23FE6" w:rsidRPr="00611589">
            <w:rPr>
              <w:lang w:val="en-GB"/>
            </w:rPr>
            <w:fldChar w:fldCharType="separate"/>
          </w:r>
          <w:r w:rsidR="00A23FE6" w:rsidRPr="00611589">
            <w:rPr>
              <w:rFonts w:ascii="Times New Roman" w:eastAsia="Times New Roman" w:hAnsi="Times New Roman" w:cs="Times New Roman"/>
              <w:sz w:val="24"/>
              <w:szCs w:val="24"/>
              <w:lang w:val="en-GB"/>
            </w:rPr>
            <w:t>6</w:t>
          </w:r>
          <w:r w:rsidR="00A23FE6" w:rsidRPr="00611589">
            <w:rPr>
              <w:lang w:val="en-GB"/>
            </w:rPr>
            <w:fldChar w:fldCharType="end"/>
          </w:r>
        </w:p>
        <w:p w14:paraId="46509C65" w14:textId="77777777" w:rsidR="00323E1C" w:rsidRPr="00611589" w:rsidRDefault="00000000">
          <w:pPr>
            <w:tabs>
              <w:tab w:val="right" w:pos="9360"/>
            </w:tabs>
            <w:spacing w:before="200" w:after="80" w:line="360" w:lineRule="auto"/>
            <w:rPr>
              <w:rFonts w:ascii="Times New Roman" w:eastAsia="Times New Roman" w:hAnsi="Times New Roman" w:cs="Times New Roman"/>
              <w:sz w:val="24"/>
              <w:szCs w:val="24"/>
              <w:lang w:val="en-GB"/>
            </w:rPr>
          </w:pPr>
          <w:hyperlink w:anchor="_heading=h.3rdcrjn">
            <w:r w:rsidR="00A23FE6" w:rsidRPr="00611589">
              <w:rPr>
                <w:rFonts w:ascii="Times New Roman" w:eastAsia="Times New Roman" w:hAnsi="Times New Roman" w:cs="Times New Roman"/>
                <w:sz w:val="24"/>
                <w:szCs w:val="24"/>
                <w:lang w:val="en-GB"/>
              </w:rPr>
              <w:t>References</w:t>
            </w:r>
          </w:hyperlink>
          <w:r w:rsidR="00A23FE6" w:rsidRPr="00611589">
            <w:rPr>
              <w:rFonts w:ascii="Times New Roman" w:eastAsia="Times New Roman" w:hAnsi="Times New Roman" w:cs="Times New Roman"/>
              <w:sz w:val="24"/>
              <w:szCs w:val="24"/>
              <w:lang w:val="en-GB"/>
            </w:rPr>
            <w:tab/>
          </w:r>
          <w:r w:rsidR="00A23FE6" w:rsidRPr="00611589">
            <w:rPr>
              <w:lang w:val="en-GB"/>
            </w:rPr>
            <w:fldChar w:fldCharType="begin"/>
          </w:r>
          <w:r w:rsidR="00A23FE6" w:rsidRPr="00611589">
            <w:rPr>
              <w:lang w:val="en-GB"/>
            </w:rPr>
            <w:instrText xml:space="preserve"> PAGEREF _heading=h.3rdcrjn \h </w:instrText>
          </w:r>
          <w:r w:rsidR="00A23FE6" w:rsidRPr="00611589">
            <w:rPr>
              <w:lang w:val="en-GB"/>
            </w:rPr>
          </w:r>
          <w:r w:rsidR="00A23FE6" w:rsidRPr="00611589">
            <w:rPr>
              <w:lang w:val="en-GB"/>
            </w:rPr>
            <w:fldChar w:fldCharType="separate"/>
          </w:r>
          <w:r w:rsidR="00A23FE6" w:rsidRPr="00611589">
            <w:rPr>
              <w:rFonts w:ascii="Times New Roman" w:eastAsia="Times New Roman" w:hAnsi="Times New Roman" w:cs="Times New Roman"/>
              <w:sz w:val="24"/>
              <w:szCs w:val="24"/>
              <w:lang w:val="en-GB"/>
            </w:rPr>
            <w:t>7</w:t>
          </w:r>
          <w:r w:rsidR="00A23FE6" w:rsidRPr="00611589">
            <w:rPr>
              <w:lang w:val="en-GB"/>
            </w:rPr>
            <w:fldChar w:fldCharType="end"/>
          </w:r>
          <w:r w:rsidR="00A23FE6" w:rsidRPr="00611589">
            <w:rPr>
              <w:lang w:val="en-GB"/>
            </w:rPr>
            <w:fldChar w:fldCharType="end"/>
          </w:r>
        </w:p>
      </w:sdtContent>
    </w:sdt>
    <w:p w14:paraId="1D8C98CC" w14:textId="77777777" w:rsidR="00323E1C" w:rsidRPr="00611589" w:rsidRDefault="00A23FE6">
      <w:pPr>
        <w:pStyle w:val="Heading1"/>
        <w:rPr>
          <w:rFonts w:ascii="Times New Roman" w:eastAsia="Times New Roman" w:hAnsi="Times New Roman" w:cs="Times New Roman"/>
          <w:b/>
          <w:sz w:val="28"/>
          <w:szCs w:val="28"/>
          <w:lang w:val="en-GB"/>
        </w:rPr>
      </w:pPr>
      <w:bookmarkStart w:id="1" w:name="_heading=h.30j0zll" w:colFirst="0" w:colLast="0"/>
      <w:bookmarkEnd w:id="1"/>
      <w:r w:rsidRPr="00611589">
        <w:rPr>
          <w:lang w:val="en-GB"/>
        </w:rPr>
        <w:br w:type="page"/>
      </w:r>
    </w:p>
    <w:p w14:paraId="35CE963D" w14:textId="77777777" w:rsidR="00323E1C" w:rsidRPr="00611589" w:rsidRDefault="00A23FE6">
      <w:pPr>
        <w:pStyle w:val="Heading1"/>
        <w:rPr>
          <w:rFonts w:ascii="Times New Roman" w:eastAsia="Times New Roman" w:hAnsi="Times New Roman" w:cs="Times New Roman"/>
          <w:b/>
          <w:sz w:val="28"/>
          <w:szCs w:val="28"/>
          <w:lang w:val="en-GB"/>
        </w:rPr>
      </w:pPr>
      <w:bookmarkStart w:id="2" w:name="_heading=h.1fob9te" w:colFirst="0" w:colLast="0"/>
      <w:bookmarkEnd w:id="2"/>
      <w:r w:rsidRPr="00611589">
        <w:rPr>
          <w:rFonts w:ascii="Times New Roman" w:eastAsia="Times New Roman" w:hAnsi="Times New Roman" w:cs="Times New Roman"/>
          <w:b/>
          <w:sz w:val="28"/>
          <w:szCs w:val="28"/>
          <w:lang w:val="en-GB"/>
        </w:rPr>
        <w:lastRenderedPageBreak/>
        <w:t xml:space="preserve">Introduction </w:t>
      </w:r>
    </w:p>
    <w:p w14:paraId="51666A9D" w14:textId="77777777" w:rsidR="00323E1C" w:rsidRPr="00611589" w:rsidRDefault="00323E1C">
      <w:pPr>
        <w:rPr>
          <w:lang w:val="en-GB"/>
        </w:rPr>
      </w:pPr>
    </w:p>
    <w:p w14:paraId="6114FBAC" w14:textId="23EA429C"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Diminished responsibility is a major </w:t>
      </w:r>
      <w:r w:rsidR="00611589" w:rsidRPr="00611589">
        <w:rPr>
          <w:rFonts w:ascii="Times New Roman" w:eastAsia="Times New Roman" w:hAnsi="Times New Roman" w:cs="Times New Roman"/>
          <w:sz w:val="24"/>
          <w:szCs w:val="24"/>
          <w:lang w:val="en-GB"/>
        </w:rPr>
        <w:t>defence</w:t>
      </w:r>
      <w:r w:rsidRPr="00611589">
        <w:rPr>
          <w:rFonts w:ascii="Times New Roman" w:eastAsia="Times New Roman" w:hAnsi="Times New Roman" w:cs="Times New Roman"/>
          <w:sz w:val="24"/>
          <w:szCs w:val="24"/>
          <w:lang w:val="en-GB"/>
        </w:rPr>
        <w:t xml:space="preserve"> where an individual is mentally </w:t>
      </w:r>
      <w:r w:rsidR="00C52773">
        <w:rPr>
          <w:rFonts w:ascii="Times New Roman" w:eastAsia="Times New Roman" w:hAnsi="Times New Roman" w:cs="Times New Roman"/>
          <w:sz w:val="24"/>
          <w:szCs w:val="24"/>
          <w:lang w:val="en-GB"/>
        </w:rPr>
        <w:t xml:space="preserve">disabled </w:t>
      </w:r>
      <w:r w:rsidRPr="00611589">
        <w:rPr>
          <w:rFonts w:ascii="Times New Roman" w:eastAsia="Times New Roman" w:hAnsi="Times New Roman" w:cs="Times New Roman"/>
          <w:sz w:val="24"/>
          <w:szCs w:val="24"/>
          <w:lang w:val="en-GB"/>
        </w:rPr>
        <w:t xml:space="preserve"> to be responsible for the crime (McPherson, 2019). </w:t>
      </w:r>
      <w:r w:rsidR="00611589" w:rsidRPr="00611589">
        <w:rPr>
          <w:rFonts w:ascii="Times New Roman" w:hAnsi="Times New Roman" w:cs="Times New Roman"/>
          <w:color w:val="000000"/>
          <w:sz w:val="24"/>
          <w:szCs w:val="24"/>
          <w:lang w:val="en-GB"/>
        </w:rPr>
        <w:t xml:space="preserve">Criminal liability includes actus rea, mens rea and crime in absence of legal defence. Diminished responsibility is a defence that arises from absence from mens rea. </w:t>
      </w:r>
      <w:r w:rsidRPr="00611589">
        <w:rPr>
          <w:rFonts w:ascii="Times New Roman" w:eastAsia="Times New Roman" w:hAnsi="Times New Roman" w:cs="Times New Roman"/>
          <w:sz w:val="24"/>
          <w:szCs w:val="24"/>
          <w:lang w:val="en-GB"/>
        </w:rPr>
        <w:t xml:space="preserve">In this regard, the changes made by the Coroners and Justice Act (2009) of diminished responsibility in terms of the Homicide Act 1957 will also be provided. Further, a critical analysis of the need for changes in the law will also be reflected in this assignment. Additionally, the change of law by a.52 Coroners and Justice Act 2009 will be reflected upon. Moreover, the advantages and disadvantages of all these changes will also be provided. Further, the most important recommendations will also be provided in this assignment. </w:t>
      </w:r>
    </w:p>
    <w:p w14:paraId="7D07F23D" w14:textId="77777777" w:rsidR="00323E1C" w:rsidRPr="00611589" w:rsidRDefault="00A23FE6">
      <w:pPr>
        <w:pStyle w:val="Heading1"/>
        <w:rPr>
          <w:rFonts w:ascii="Times New Roman" w:eastAsia="Times New Roman" w:hAnsi="Times New Roman" w:cs="Times New Roman"/>
          <w:b/>
          <w:sz w:val="24"/>
          <w:szCs w:val="24"/>
          <w:lang w:val="en-GB"/>
        </w:rPr>
      </w:pPr>
      <w:bookmarkStart w:id="3" w:name="_heading=h.3znysh7" w:colFirst="0" w:colLast="0"/>
      <w:bookmarkEnd w:id="3"/>
      <w:r w:rsidRPr="00611589">
        <w:rPr>
          <w:rFonts w:ascii="Times New Roman" w:eastAsia="Times New Roman" w:hAnsi="Times New Roman" w:cs="Times New Roman"/>
          <w:b/>
          <w:sz w:val="24"/>
          <w:szCs w:val="24"/>
          <w:lang w:val="en-GB"/>
        </w:rPr>
        <w:t xml:space="preserve">Main Body </w:t>
      </w:r>
    </w:p>
    <w:p w14:paraId="34E4F88F" w14:textId="77777777" w:rsidR="00323E1C" w:rsidRPr="00611589" w:rsidRDefault="00A23FE6">
      <w:pPr>
        <w:pStyle w:val="Heading2"/>
        <w:rPr>
          <w:rFonts w:ascii="Times New Roman" w:eastAsia="Times New Roman" w:hAnsi="Times New Roman" w:cs="Times New Roman"/>
          <w:b/>
          <w:sz w:val="24"/>
          <w:szCs w:val="24"/>
          <w:lang w:val="en-GB"/>
        </w:rPr>
      </w:pPr>
      <w:bookmarkStart w:id="4" w:name="_heading=h.2et92p0" w:colFirst="0" w:colLast="0"/>
      <w:bookmarkEnd w:id="4"/>
      <w:r w:rsidRPr="00611589">
        <w:rPr>
          <w:rFonts w:ascii="Times New Roman" w:eastAsia="Times New Roman" w:hAnsi="Times New Roman" w:cs="Times New Roman"/>
          <w:b/>
          <w:sz w:val="24"/>
          <w:szCs w:val="24"/>
          <w:lang w:val="en-GB"/>
        </w:rPr>
        <w:t xml:space="preserve">Homicide Act 1957: Requirements of Diminished Responsibility </w:t>
      </w:r>
    </w:p>
    <w:p w14:paraId="4F205D17" w14:textId="77777777" w:rsidR="00323E1C" w:rsidRPr="00611589" w:rsidRDefault="00323E1C">
      <w:pPr>
        <w:rPr>
          <w:rFonts w:ascii="Times New Roman" w:hAnsi="Times New Roman" w:cs="Times New Roman"/>
          <w:sz w:val="24"/>
          <w:szCs w:val="24"/>
          <w:lang w:val="en-GB"/>
        </w:rPr>
      </w:pPr>
    </w:p>
    <w:p w14:paraId="27A01EB6" w14:textId="77777777" w:rsidR="00323E1C" w:rsidRPr="00611589" w:rsidRDefault="00775485">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The vital requirements of diminished responsibility under the Section 2 of the Homicide Act, 1957 is that when an individual kills or is a witness of the murder then he should not be convicted of murder in case that individual is suffering from any kind of mental illness or has a retarded development (Catley, 2019). Furthermore, another requirement was that on a murder charge, it shall be for the defensive party to prove that the individual charged is not liable to be known as a murder convict. It can be stated that these requirements were valid enough at that time to avoid death penalty by the defence party. This also binds the judgments given by a judge in a murder case which makes these requirements much more questionable. Besides, a person under the s.2 of the Homicide Act, 1957 can be liable as an accessory or a principal instead of being deemed as manslaughter. Additionally, the last requirement is the fact that one party of killing is not liable to be convicted as a murderer under section 2 of this Act (Newburn, 2013). Moreover, it could be said that there is need of more requirements for claiming defense of diminished responsibilities as also observed in </w:t>
      </w:r>
      <w:r w:rsidRPr="00611589">
        <w:rPr>
          <w:rFonts w:ascii="Times New Roman" w:eastAsia="Times New Roman" w:hAnsi="Times New Roman" w:cs="Times New Roman"/>
          <w:i/>
          <w:iCs/>
          <w:sz w:val="24"/>
          <w:szCs w:val="24"/>
          <w:lang w:val="en-GB"/>
        </w:rPr>
        <w:t>R v Cobley</w:t>
      </w:r>
      <w:r w:rsidRPr="00611589">
        <w:rPr>
          <w:rFonts w:ascii="Times New Roman" w:eastAsia="Times New Roman" w:hAnsi="Times New Roman" w:cs="Times New Roman"/>
          <w:sz w:val="24"/>
          <w:szCs w:val="24"/>
          <w:lang w:val="en-GB"/>
        </w:rPr>
        <w:t xml:space="preserve"> [2021] EWCA Crim 954 where the applicant was convicted of murdering her newly born baby without considering psychiatric evidence from the psychotherapist. This case further provided a need for a new approach or a change in the law while </w:t>
      </w:r>
      <w:r w:rsidRPr="00611589">
        <w:rPr>
          <w:rFonts w:ascii="Times New Roman" w:eastAsia="Times New Roman" w:hAnsi="Times New Roman" w:cs="Times New Roman"/>
          <w:sz w:val="24"/>
          <w:szCs w:val="24"/>
          <w:lang w:val="en-GB"/>
        </w:rPr>
        <w:lastRenderedPageBreak/>
        <w:t xml:space="preserve">needing a partial defense for proving a diminished responsibility in cases of pregnant ladies who are alone and giving birth as it creates a mental instability automatically. </w:t>
      </w:r>
    </w:p>
    <w:p w14:paraId="44C70069" w14:textId="77777777" w:rsidR="00323E1C" w:rsidRPr="00611589" w:rsidRDefault="00323E1C">
      <w:pPr>
        <w:spacing w:line="360" w:lineRule="auto"/>
        <w:jc w:val="both"/>
        <w:rPr>
          <w:rFonts w:ascii="Times New Roman" w:eastAsia="Times New Roman" w:hAnsi="Times New Roman" w:cs="Times New Roman"/>
          <w:sz w:val="24"/>
          <w:szCs w:val="24"/>
          <w:lang w:val="en-GB"/>
        </w:rPr>
      </w:pPr>
    </w:p>
    <w:p w14:paraId="2167A340" w14:textId="77777777" w:rsidR="00323E1C" w:rsidRPr="00611589" w:rsidRDefault="00A23FE6">
      <w:pPr>
        <w:pStyle w:val="Heading2"/>
        <w:spacing w:line="360" w:lineRule="auto"/>
        <w:jc w:val="both"/>
        <w:rPr>
          <w:rFonts w:ascii="Times New Roman" w:eastAsia="Times New Roman" w:hAnsi="Times New Roman" w:cs="Times New Roman"/>
          <w:b/>
          <w:sz w:val="24"/>
          <w:szCs w:val="24"/>
          <w:lang w:val="en-GB"/>
        </w:rPr>
      </w:pPr>
      <w:bookmarkStart w:id="5" w:name="_heading=h.tyjcwt" w:colFirst="0" w:colLast="0"/>
      <w:bookmarkEnd w:id="5"/>
      <w:r w:rsidRPr="00611589">
        <w:rPr>
          <w:rFonts w:ascii="Times New Roman" w:eastAsia="Times New Roman" w:hAnsi="Times New Roman" w:cs="Times New Roman"/>
          <w:b/>
          <w:sz w:val="24"/>
          <w:szCs w:val="24"/>
          <w:lang w:val="en-GB"/>
        </w:rPr>
        <w:t xml:space="preserve">Need for Change </w:t>
      </w:r>
    </w:p>
    <w:p w14:paraId="1FEE7F55" w14:textId="77777777" w:rsidR="00323E1C" w:rsidRPr="00611589" w:rsidRDefault="00323E1C">
      <w:pPr>
        <w:rPr>
          <w:rFonts w:ascii="Times New Roman" w:hAnsi="Times New Roman" w:cs="Times New Roman"/>
          <w:sz w:val="24"/>
          <w:szCs w:val="24"/>
          <w:lang w:val="en-GB"/>
        </w:rPr>
      </w:pPr>
    </w:p>
    <w:p w14:paraId="1B979262" w14:textId="77777777"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The need for change with respect to the law of diminished responsibility was to supplement the plea for insanity for understanding and covering all those cases in which the assisted murderer, although mentally retarded did not come up with strict regulations associated with insanity (Bettinson, 2019). For example, the case of </w:t>
      </w:r>
      <w:r w:rsidRPr="00611589">
        <w:rPr>
          <w:rFonts w:ascii="Times New Roman" w:eastAsia="Times New Roman" w:hAnsi="Times New Roman" w:cs="Times New Roman"/>
          <w:i/>
          <w:sz w:val="24"/>
          <w:szCs w:val="24"/>
          <w:lang w:val="en-GB"/>
        </w:rPr>
        <w:t>‘R v Cobley EWCA Crim 954</w:t>
      </w:r>
      <w:r w:rsidRPr="00611589">
        <w:rPr>
          <w:rFonts w:ascii="Times New Roman" w:eastAsia="Times New Roman" w:hAnsi="Times New Roman" w:cs="Times New Roman"/>
          <w:sz w:val="24"/>
          <w:szCs w:val="24"/>
          <w:lang w:val="en-GB"/>
        </w:rPr>
        <w:t xml:space="preserve">’ (2021) proves that there was a need for partial defense. Therefore, the need for change was to understand the offender’s nature of misconduct while providing a rational judgment for exercising self-control for individuals or convicts who are impaired. Further, the three major defenses which differ from other defenses in the criminal law associated with the Homicide Act, of 1957 as they are only applicable to murder and are important because it reduces criminal liability rather than simply absolving the defendant from the liability under this law completely (Reed, Wake and Simpson, 2021). </w:t>
      </w:r>
    </w:p>
    <w:p w14:paraId="20D77D6A" w14:textId="77777777" w:rsidR="00323E1C" w:rsidRPr="00611589" w:rsidRDefault="00323E1C">
      <w:pPr>
        <w:spacing w:line="360" w:lineRule="auto"/>
        <w:jc w:val="both"/>
        <w:rPr>
          <w:rFonts w:ascii="Times New Roman" w:eastAsia="Times New Roman" w:hAnsi="Times New Roman" w:cs="Times New Roman"/>
          <w:sz w:val="24"/>
          <w:szCs w:val="24"/>
          <w:lang w:val="en-GB"/>
        </w:rPr>
      </w:pPr>
    </w:p>
    <w:p w14:paraId="05F30DC0" w14:textId="77777777"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The justice in the case of </w:t>
      </w:r>
      <w:r w:rsidRPr="00611589">
        <w:rPr>
          <w:rFonts w:ascii="Times New Roman" w:eastAsia="Times New Roman" w:hAnsi="Times New Roman" w:cs="Times New Roman"/>
          <w:i/>
          <w:sz w:val="24"/>
          <w:szCs w:val="24"/>
          <w:lang w:val="en-GB"/>
        </w:rPr>
        <w:t>‘R v Cobley EWCA Crim 954</w:t>
      </w:r>
      <w:r w:rsidRPr="00611589">
        <w:rPr>
          <w:rFonts w:ascii="Times New Roman" w:eastAsia="Times New Roman" w:hAnsi="Times New Roman" w:cs="Times New Roman"/>
          <w:sz w:val="24"/>
          <w:szCs w:val="24"/>
          <w:lang w:val="en-GB"/>
        </w:rPr>
        <w:t xml:space="preserve">’ (2021) provided that an amendment in the diminished responsibility in the Homicide Act, 1957 will provide an opportunity to the accused for partial  defense and that the current law needs to be amended. Conversely, it can also be asserted that the need for change is highly substantial with regard to the doctrine of the law which is solely focused on mitigating defense in a number of cases where a mental defect is not much higher as compared to the criminal responsibility altogether (Crofts and Wake, 2021). </w:t>
      </w:r>
      <w:r w:rsidR="00C33CE3" w:rsidRPr="00611589">
        <w:rPr>
          <w:rFonts w:ascii="Times New Roman" w:eastAsia="Times New Roman" w:hAnsi="Times New Roman" w:cs="Times New Roman"/>
          <w:sz w:val="24"/>
          <w:szCs w:val="24"/>
          <w:lang w:val="en-GB"/>
        </w:rPr>
        <w:t>Another important point raised in ‘</w:t>
      </w:r>
      <w:r w:rsidR="00C33CE3" w:rsidRPr="00611589">
        <w:rPr>
          <w:rStyle w:val="Emphasis"/>
          <w:rFonts w:ascii="Times New Roman" w:hAnsi="Times New Roman" w:cs="Times New Roman"/>
          <w:sz w:val="24"/>
          <w:szCs w:val="24"/>
          <w:lang w:val="en-GB"/>
        </w:rPr>
        <w:t xml:space="preserve">R v </w:t>
      </w:r>
      <w:hyperlink r:id="rId8" w:history="1">
        <w:r w:rsidR="00C33CE3" w:rsidRPr="00611589">
          <w:rPr>
            <w:rStyle w:val="Hyperlink"/>
            <w:rFonts w:ascii="Times New Roman" w:hAnsi="Times New Roman" w:cs="Times New Roman"/>
            <w:i/>
            <w:iCs/>
            <w:color w:val="auto"/>
            <w:sz w:val="24"/>
            <w:szCs w:val="24"/>
            <w:u w:val="none"/>
            <w:lang w:val="en-GB"/>
          </w:rPr>
          <w:t>Ahluwalia</w:t>
        </w:r>
      </w:hyperlink>
      <w:r w:rsidR="00C33CE3" w:rsidRPr="00611589">
        <w:rPr>
          <w:rStyle w:val="Emphasis"/>
          <w:rFonts w:ascii="Times New Roman" w:hAnsi="Times New Roman" w:cs="Times New Roman"/>
          <w:sz w:val="24"/>
          <w:szCs w:val="24"/>
          <w:lang w:val="en-GB"/>
        </w:rPr>
        <w:t>’</w:t>
      </w:r>
      <w:r w:rsidR="00C33CE3" w:rsidRPr="00611589">
        <w:rPr>
          <w:rFonts w:ascii="Times New Roman" w:hAnsi="Times New Roman" w:cs="Times New Roman"/>
          <w:sz w:val="24"/>
          <w:szCs w:val="24"/>
          <w:lang w:val="en-GB"/>
        </w:rPr>
        <w:t xml:space="preserve"> [1993] 96 Cr App. R. 133 was that extreme provocation can also lead to diminished responsibility defense. This indeed is a strong point as the defense basically focusses more on actus rea and less on mens rea. In case of extreme provocation also, actus rea is prevalent.</w:t>
      </w:r>
    </w:p>
    <w:p w14:paraId="586321BE" w14:textId="77777777" w:rsidR="00323E1C" w:rsidRPr="00611589" w:rsidRDefault="00A23FE6">
      <w:pPr>
        <w:pStyle w:val="Heading2"/>
        <w:rPr>
          <w:rFonts w:ascii="Times New Roman" w:eastAsia="Times New Roman" w:hAnsi="Times New Roman" w:cs="Times New Roman"/>
          <w:b/>
          <w:sz w:val="24"/>
          <w:szCs w:val="24"/>
          <w:lang w:val="en-GB"/>
        </w:rPr>
      </w:pPr>
      <w:bookmarkStart w:id="6" w:name="_heading=h.3dy6vkm" w:colFirst="0" w:colLast="0"/>
      <w:bookmarkEnd w:id="6"/>
      <w:r w:rsidRPr="00611589">
        <w:rPr>
          <w:rFonts w:ascii="Times New Roman" w:eastAsia="Times New Roman" w:hAnsi="Times New Roman" w:cs="Times New Roman"/>
          <w:b/>
          <w:sz w:val="24"/>
          <w:szCs w:val="24"/>
          <w:lang w:val="en-GB"/>
        </w:rPr>
        <w:t xml:space="preserve">How did a.52 Coroners and Justice Act 2009 Change the Law </w:t>
      </w:r>
    </w:p>
    <w:p w14:paraId="6E124931" w14:textId="77777777" w:rsidR="00323E1C" w:rsidRPr="00611589" w:rsidRDefault="00323E1C">
      <w:pPr>
        <w:rPr>
          <w:rFonts w:ascii="Times New Roman" w:hAnsi="Times New Roman" w:cs="Times New Roman"/>
          <w:sz w:val="24"/>
          <w:szCs w:val="24"/>
          <w:lang w:val="en-GB"/>
        </w:rPr>
      </w:pPr>
    </w:p>
    <w:p w14:paraId="4E8ECE77" w14:textId="77777777"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Article 52 of the Coroners and Justice Act 2009 changed the law by providing partial defense to murder for persons suffering from diminished responsibility. The a.52 of this Act supported that a </w:t>
      </w:r>
      <w:r w:rsidRPr="00611589">
        <w:rPr>
          <w:rFonts w:ascii="Times New Roman" w:eastAsia="Times New Roman" w:hAnsi="Times New Roman" w:cs="Times New Roman"/>
          <w:sz w:val="24"/>
          <w:szCs w:val="24"/>
          <w:lang w:val="en-GB"/>
        </w:rPr>
        <w:lastRenderedPageBreak/>
        <w:t xml:space="preserve">person who kills another person might not be convicted of murder if the murderer is suffering from a mental illness that has been derived from a medical situation or an impairment (Mackay, 2021). Additionally, these changes to the law have been updated and are yet to be in force. However, there have been a number of criticisms that have been received for the changes done to the law under the 2009 Act as it was questioned whether there is a requirement that the defendants do not understand their conduct which is similar to the insanity defense as stated in the M’Naghten Rules. </w:t>
      </w:r>
    </w:p>
    <w:p w14:paraId="57939A33" w14:textId="77777777" w:rsidR="00323E1C" w:rsidRPr="00611589" w:rsidRDefault="00323E1C">
      <w:pPr>
        <w:spacing w:line="360" w:lineRule="auto"/>
        <w:jc w:val="both"/>
        <w:rPr>
          <w:rFonts w:ascii="Times New Roman" w:eastAsia="Times New Roman" w:hAnsi="Times New Roman" w:cs="Times New Roman"/>
          <w:sz w:val="24"/>
          <w:szCs w:val="24"/>
          <w:lang w:val="en-GB"/>
        </w:rPr>
      </w:pPr>
    </w:p>
    <w:p w14:paraId="548F70BD" w14:textId="77777777"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Additionally, the changes made by the Act are significantly important with respect to the defence of self-control under a.52. Another way in which this act has changed the law is that while passing the 2009 Act, the government also ensured to abandon the suggestions provided by the law committee. Further, after making amendments to the law, the diminished responsibility was acknowledged in a number of terms as it might now be used by the defendants for having a provocation defense for reducing the murder charge (Goldberg and Roef, 2019). Lastly, the law has been re-introduced along with the loss of self-control as a vital aspect of the defense.</w:t>
      </w:r>
    </w:p>
    <w:p w14:paraId="1DE4F72D" w14:textId="77777777" w:rsidR="00323E1C" w:rsidRPr="00611589" w:rsidRDefault="00A23FE6">
      <w:pPr>
        <w:pStyle w:val="Heading2"/>
        <w:rPr>
          <w:rFonts w:ascii="Times New Roman" w:eastAsia="Times New Roman" w:hAnsi="Times New Roman" w:cs="Times New Roman"/>
          <w:b/>
          <w:sz w:val="24"/>
          <w:szCs w:val="24"/>
          <w:lang w:val="en-GB"/>
        </w:rPr>
      </w:pPr>
      <w:bookmarkStart w:id="7" w:name="_heading=h.1t3h5sf" w:colFirst="0" w:colLast="0"/>
      <w:bookmarkEnd w:id="7"/>
      <w:r w:rsidRPr="00611589">
        <w:rPr>
          <w:rFonts w:ascii="Times New Roman" w:eastAsia="Times New Roman" w:hAnsi="Times New Roman" w:cs="Times New Roman"/>
          <w:b/>
          <w:sz w:val="24"/>
          <w:szCs w:val="24"/>
          <w:lang w:val="en-GB"/>
        </w:rPr>
        <w:t xml:space="preserve">Advantages and Disadvantages of these Changes </w:t>
      </w:r>
    </w:p>
    <w:p w14:paraId="73EB3E21" w14:textId="77777777" w:rsidR="00323E1C" w:rsidRPr="00611589" w:rsidRDefault="00323E1C">
      <w:pPr>
        <w:rPr>
          <w:lang w:val="en-GB"/>
        </w:rPr>
      </w:pPr>
    </w:p>
    <w:p w14:paraId="22BB6E74" w14:textId="77777777"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The amendments made to the law of diminished responsibility have a number of advantages and disadvantages which are reflected below, </w:t>
      </w:r>
    </w:p>
    <w:p w14:paraId="0B89125D" w14:textId="77777777" w:rsidR="00323E1C" w:rsidRPr="00611589" w:rsidRDefault="00323E1C">
      <w:pPr>
        <w:spacing w:line="360" w:lineRule="auto"/>
        <w:jc w:val="both"/>
        <w:rPr>
          <w:rFonts w:ascii="Times New Roman" w:eastAsia="Times New Roman" w:hAnsi="Times New Roman" w:cs="Times New Roman"/>
          <w:sz w:val="24"/>
          <w:szCs w:val="24"/>
          <w:lang w:val="en-GB"/>
        </w:rPr>
      </w:pPr>
    </w:p>
    <w:p w14:paraId="2492326F" w14:textId="77777777" w:rsidR="00323E1C" w:rsidRPr="00611589" w:rsidRDefault="00A23FE6">
      <w:pPr>
        <w:spacing w:line="360" w:lineRule="auto"/>
        <w:jc w:val="both"/>
        <w:rPr>
          <w:rFonts w:ascii="Times New Roman" w:eastAsia="Times New Roman" w:hAnsi="Times New Roman" w:cs="Times New Roman"/>
          <w:b/>
          <w:i/>
          <w:sz w:val="24"/>
          <w:szCs w:val="24"/>
          <w:lang w:val="en-GB"/>
        </w:rPr>
      </w:pPr>
      <w:r w:rsidRPr="00611589">
        <w:rPr>
          <w:rFonts w:ascii="Times New Roman" w:eastAsia="Times New Roman" w:hAnsi="Times New Roman" w:cs="Times New Roman"/>
          <w:b/>
          <w:i/>
          <w:sz w:val="24"/>
          <w:szCs w:val="24"/>
          <w:lang w:val="en-GB"/>
        </w:rPr>
        <w:t>Advantages</w:t>
      </w:r>
    </w:p>
    <w:p w14:paraId="17A58C17" w14:textId="77777777" w:rsidR="00323E1C" w:rsidRPr="00611589" w:rsidRDefault="00323E1C">
      <w:pPr>
        <w:spacing w:line="360" w:lineRule="auto"/>
        <w:jc w:val="both"/>
        <w:rPr>
          <w:rFonts w:ascii="Times New Roman" w:eastAsia="Times New Roman" w:hAnsi="Times New Roman" w:cs="Times New Roman"/>
          <w:b/>
          <w:i/>
          <w:sz w:val="24"/>
          <w:szCs w:val="24"/>
          <w:lang w:val="en-GB"/>
        </w:rPr>
      </w:pPr>
    </w:p>
    <w:p w14:paraId="44FC17EF" w14:textId="77777777"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One of the major advantages of these changes in the law is that the old logo is problematic enough to understand the conditions of the accused which is not applicable to the changes made currently. Moreover, the new law takes into account modern knowledge while allowing space for flexibility and development in the decision-making of murder cases (Baker, Edwards and Beazley, 2022). Moreover, another most vital advantage related to the new law of diminished responsibility, is that the aspects of mental functioning that need to be considered or now much clearer than they were before amendment along with a better understanding of accused individuals who are alcoholics and are accused of murders. The amendment in diminished responsibility provides a special defense, which means that in case the jury accepts the defense in a murder, that charge can be downgraded to voluntary manslaughter.</w:t>
      </w:r>
    </w:p>
    <w:p w14:paraId="162F13E7" w14:textId="77777777" w:rsidR="00323E1C" w:rsidRPr="00611589" w:rsidRDefault="00323E1C">
      <w:pPr>
        <w:spacing w:line="360" w:lineRule="auto"/>
        <w:jc w:val="both"/>
        <w:rPr>
          <w:rFonts w:ascii="Times New Roman" w:eastAsia="Times New Roman" w:hAnsi="Times New Roman" w:cs="Times New Roman"/>
          <w:b/>
          <w:i/>
          <w:sz w:val="24"/>
          <w:szCs w:val="24"/>
          <w:lang w:val="en-GB"/>
        </w:rPr>
      </w:pPr>
    </w:p>
    <w:p w14:paraId="271B43DC" w14:textId="77777777" w:rsidR="00323E1C" w:rsidRPr="00611589" w:rsidRDefault="00A23FE6">
      <w:pPr>
        <w:spacing w:line="360" w:lineRule="auto"/>
        <w:jc w:val="both"/>
        <w:rPr>
          <w:rFonts w:ascii="Times New Roman" w:eastAsia="Times New Roman" w:hAnsi="Times New Roman" w:cs="Times New Roman"/>
          <w:b/>
          <w:i/>
          <w:sz w:val="24"/>
          <w:szCs w:val="24"/>
          <w:lang w:val="en-GB"/>
        </w:rPr>
      </w:pPr>
      <w:r w:rsidRPr="00611589">
        <w:rPr>
          <w:rFonts w:ascii="Times New Roman" w:eastAsia="Times New Roman" w:hAnsi="Times New Roman" w:cs="Times New Roman"/>
          <w:b/>
          <w:i/>
          <w:sz w:val="24"/>
          <w:szCs w:val="24"/>
          <w:lang w:val="en-GB"/>
        </w:rPr>
        <w:t xml:space="preserve">Disadvantages </w:t>
      </w:r>
    </w:p>
    <w:p w14:paraId="5C071893" w14:textId="77777777" w:rsidR="00323E1C" w:rsidRPr="00611589" w:rsidRDefault="00323E1C">
      <w:pPr>
        <w:spacing w:line="360" w:lineRule="auto"/>
        <w:jc w:val="both"/>
        <w:rPr>
          <w:rFonts w:ascii="Times New Roman" w:eastAsia="Times New Roman" w:hAnsi="Times New Roman" w:cs="Times New Roman"/>
          <w:b/>
          <w:i/>
          <w:sz w:val="24"/>
          <w:szCs w:val="24"/>
          <w:lang w:val="en-GB"/>
        </w:rPr>
      </w:pPr>
    </w:p>
    <w:p w14:paraId="1746AE73" w14:textId="77777777"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Some disadvantages with respect to the amendments done to the law is that the issues associated with medical believability and evidence of the witnesses or highly controversial for the jury and the burden of proof of the defendant is still a breach of article 6 ECHR (Parker and Davies, 2020). Furthermore, a major disadvantage that can be observed in the amendment of this law is that not all the changes that have taken place include developmental maturity factors such as learning difficulties and autism which can be recognised under medical conditions or impairments.  Further, in the new law, there are certain difficult overlaps in the defenses such as intoxication and insanity, which makes it difficult to provide a judgment (Malatesti, Jurjako and Meynen, 2020). Lastly, the policy issues and a jury reaction are still influential which might not be fair in terms of diminished responsibility. Another disadvantage of utilizing defense in this law is that some individuals consider it unlawful for a defendant to use this principle for lessening their conviction as it does not provide much justice to the victim's family (Kafkoutsou and Oikonomou, 2020).</w:t>
      </w:r>
    </w:p>
    <w:p w14:paraId="0D9F2C99" w14:textId="77777777" w:rsidR="00323E1C" w:rsidRPr="00611589" w:rsidRDefault="00A23FE6">
      <w:pPr>
        <w:pStyle w:val="Heading2"/>
        <w:rPr>
          <w:rFonts w:ascii="Times New Roman" w:eastAsia="Times New Roman" w:hAnsi="Times New Roman" w:cs="Times New Roman"/>
          <w:b/>
          <w:sz w:val="24"/>
          <w:szCs w:val="24"/>
          <w:lang w:val="en-GB"/>
        </w:rPr>
      </w:pPr>
      <w:bookmarkStart w:id="8" w:name="_heading=h.4d34og8" w:colFirst="0" w:colLast="0"/>
      <w:bookmarkEnd w:id="8"/>
      <w:r w:rsidRPr="00611589">
        <w:rPr>
          <w:rFonts w:ascii="Times New Roman" w:eastAsia="Times New Roman" w:hAnsi="Times New Roman" w:cs="Times New Roman"/>
          <w:b/>
          <w:sz w:val="24"/>
          <w:szCs w:val="24"/>
          <w:lang w:val="en-GB"/>
        </w:rPr>
        <w:t xml:space="preserve">Recommendations </w:t>
      </w:r>
    </w:p>
    <w:p w14:paraId="2E7EB39D" w14:textId="77777777" w:rsidR="00323E1C" w:rsidRPr="00611589" w:rsidRDefault="00C33CE3" w:rsidP="00B0499F">
      <w:pPr>
        <w:spacing w:line="360" w:lineRule="auto"/>
        <w:jc w:val="both"/>
        <w:rPr>
          <w:rFonts w:ascii="Times New Roman" w:hAnsi="Times New Roman" w:cs="Times New Roman"/>
          <w:sz w:val="24"/>
          <w:szCs w:val="24"/>
          <w:lang w:val="en-GB"/>
        </w:rPr>
      </w:pPr>
      <w:r w:rsidRPr="00611589">
        <w:rPr>
          <w:rFonts w:ascii="Times New Roman" w:hAnsi="Times New Roman" w:cs="Times New Roman"/>
          <w:sz w:val="24"/>
          <w:szCs w:val="24"/>
          <w:lang w:val="en-GB"/>
        </w:rPr>
        <w:t xml:space="preserve">It is important to understand that the differences between law and psychiatry still exists after the 2009 Act. Addition of psychiatric evidence </w:t>
      </w:r>
      <w:r w:rsidR="00B0499F" w:rsidRPr="00611589">
        <w:rPr>
          <w:rFonts w:ascii="Times New Roman" w:hAnsi="Times New Roman" w:cs="Times New Roman"/>
          <w:sz w:val="24"/>
          <w:szCs w:val="24"/>
          <w:lang w:val="en-GB"/>
        </w:rPr>
        <w:t>led</w:t>
      </w:r>
      <w:r w:rsidRPr="00611589">
        <w:rPr>
          <w:rFonts w:ascii="Times New Roman" w:hAnsi="Times New Roman" w:cs="Times New Roman"/>
          <w:sz w:val="24"/>
          <w:szCs w:val="24"/>
          <w:lang w:val="en-GB"/>
        </w:rPr>
        <w:t xml:space="preserve"> to more confusion which on studying the definition could be made clear by introducing more firmly, the presence of mental abnormality rather than a medical condition only.</w:t>
      </w:r>
      <w:r w:rsidR="00B0499F" w:rsidRPr="00611589">
        <w:rPr>
          <w:rFonts w:ascii="Times New Roman" w:hAnsi="Times New Roman" w:cs="Times New Roman"/>
          <w:sz w:val="24"/>
          <w:szCs w:val="24"/>
          <w:lang w:val="en-GB"/>
        </w:rPr>
        <w:t xml:space="preserve"> Thus, it is important to clarify this ambiguity in the definition. Another important recommendation is the control on the expert witnesses who present this as wholly medical condition. In such cases, a test of evidentiary relevance could be introduced in the court which could judge the value of the testimonies presented by medical professionals. Moreover, the relevance ratio can also be useful for understanding the concept whether </w:t>
      </w:r>
      <w:r w:rsidR="00611589" w:rsidRPr="00611589">
        <w:rPr>
          <w:rFonts w:ascii="Times New Roman" w:hAnsi="Times New Roman" w:cs="Times New Roman"/>
          <w:sz w:val="24"/>
          <w:szCs w:val="24"/>
          <w:lang w:val="en-GB"/>
        </w:rPr>
        <w:t>a medical condition is prevalent in the population or not.</w:t>
      </w:r>
    </w:p>
    <w:p w14:paraId="4DBD5332" w14:textId="77777777" w:rsidR="00323E1C" w:rsidRPr="00611589" w:rsidRDefault="00A23FE6">
      <w:pPr>
        <w:pStyle w:val="Heading1"/>
        <w:rPr>
          <w:rFonts w:ascii="Times New Roman" w:eastAsia="Times New Roman" w:hAnsi="Times New Roman" w:cs="Times New Roman"/>
          <w:b/>
          <w:sz w:val="28"/>
          <w:szCs w:val="28"/>
          <w:lang w:val="en-GB"/>
        </w:rPr>
      </w:pPr>
      <w:bookmarkStart w:id="9" w:name="_heading=h.2s8eyo1" w:colFirst="0" w:colLast="0"/>
      <w:bookmarkEnd w:id="9"/>
      <w:r w:rsidRPr="00611589">
        <w:rPr>
          <w:rFonts w:ascii="Times New Roman" w:eastAsia="Times New Roman" w:hAnsi="Times New Roman" w:cs="Times New Roman"/>
          <w:b/>
          <w:sz w:val="28"/>
          <w:szCs w:val="28"/>
          <w:lang w:val="en-GB"/>
        </w:rPr>
        <w:t xml:space="preserve">Conclusion </w:t>
      </w:r>
    </w:p>
    <w:p w14:paraId="732D71BD" w14:textId="77777777" w:rsidR="00323E1C" w:rsidRPr="00611589" w:rsidRDefault="00323E1C">
      <w:pPr>
        <w:rPr>
          <w:lang w:val="en-GB"/>
        </w:rPr>
      </w:pPr>
    </w:p>
    <w:p w14:paraId="317151ED" w14:textId="77777777"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In summation, it can be concluded that the amendments made to the law under the Homicide Act, 1957 has been highly vital for lowering the conviction of murder of defendants who are, impaired </w:t>
      </w:r>
      <w:r w:rsidRPr="00611589">
        <w:rPr>
          <w:rFonts w:ascii="Times New Roman" w:eastAsia="Times New Roman" w:hAnsi="Times New Roman" w:cs="Times New Roman"/>
          <w:sz w:val="24"/>
          <w:szCs w:val="24"/>
          <w:lang w:val="en-GB"/>
        </w:rPr>
        <w:lastRenderedPageBreak/>
        <w:t>or mentally ill. It can also be observed that the coroners and Justice act played a crucial role in changing the law.</w:t>
      </w:r>
    </w:p>
    <w:p w14:paraId="6360CB16" w14:textId="77777777" w:rsidR="00323E1C" w:rsidRPr="00611589" w:rsidRDefault="00323E1C">
      <w:pPr>
        <w:spacing w:line="360" w:lineRule="auto"/>
        <w:jc w:val="both"/>
        <w:rPr>
          <w:rFonts w:ascii="Times New Roman" w:eastAsia="Times New Roman" w:hAnsi="Times New Roman" w:cs="Times New Roman"/>
          <w:sz w:val="24"/>
          <w:szCs w:val="24"/>
          <w:lang w:val="en-GB"/>
        </w:rPr>
      </w:pPr>
    </w:p>
    <w:p w14:paraId="135BEA9B" w14:textId="77777777" w:rsidR="00323E1C" w:rsidRPr="00611589" w:rsidRDefault="00323E1C">
      <w:pPr>
        <w:spacing w:line="360" w:lineRule="auto"/>
        <w:jc w:val="both"/>
        <w:rPr>
          <w:rFonts w:ascii="Times New Roman" w:eastAsia="Times New Roman" w:hAnsi="Times New Roman" w:cs="Times New Roman"/>
          <w:sz w:val="24"/>
          <w:szCs w:val="24"/>
          <w:lang w:val="en-GB"/>
        </w:rPr>
      </w:pPr>
    </w:p>
    <w:p w14:paraId="4843E718" w14:textId="77777777" w:rsidR="00323E1C" w:rsidRPr="00611589" w:rsidRDefault="00A23FE6">
      <w:pPr>
        <w:pStyle w:val="Heading1"/>
        <w:rPr>
          <w:rFonts w:ascii="Times New Roman" w:eastAsia="Times New Roman" w:hAnsi="Times New Roman" w:cs="Times New Roman"/>
          <w:b/>
          <w:sz w:val="28"/>
          <w:szCs w:val="28"/>
          <w:lang w:val="en-GB"/>
        </w:rPr>
      </w:pPr>
      <w:bookmarkStart w:id="10" w:name="_heading=h.17dp8vu" w:colFirst="0" w:colLast="0"/>
      <w:bookmarkEnd w:id="10"/>
      <w:r w:rsidRPr="00611589">
        <w:rPr>
          <w:lang w:val="en-GB"/>
        </w:rPr>
        <w:br w:type="page"/>
      </w:r>
    </w:p>
    <w:p w14:paraId="700552B1" w14:textId="77777777" w:rsidR="00323E1C" w:rsidRPr="00611589" w:rsidRDefault="00A23FE6">
      <w:pPr>
        <w:pStyle w:val="Heading1"/>
        <w:rPr>
          <w:rFonts w:ascii="Times New Roman" w:eastAsia="Times New Roman" w:hAnsi="Times New Roman" w:cs="Times New Roman"/>
          <w:b/>
          <w:sz w:val="28"/>
          <w:szCs w:val="28"/>
          <w:lang w:val="en-GB"/>
        </w:rPr>
      </w:pPr>
      <w:bookmarkStart w:id="11" w:name="_heading=h.3rdcrjn" w:colFirst="0" w:colLast="0"/>
      <w:bookmarkEnd w:id="11"/>
      <w:r w:rsidRPr="00611589">
        <w:rPr>
          <w:rFonts w:ascii="Times New Roman" w:eastAsia="Times New Roman" w:hAnsi="Times New Roman" w:cs="Times New Roman"/>
          <w:b/>
          <w:sz w:val="28"/>
          <w:szCs w:val="28"/>
          <w:lang w:val="en-GB"/>
        </w:rPr>
        <w:lastRenderedPageBreak/>
        <w:t xml:space="preserve">References </w:t>
      </w:r>
    </w:p>
    <w:p w14:paraId="17423B60" w14:textId="77777777" w:rsidR="00323E1C" w:rsidRPr="00611589" w:rsidRDefault="00323E1C">
      <w:pPr>
        <w:rPr>
          <w:lang w:val="en-GB"/>
        </w:rPr>
      </w:pPr>
    </w:p>
    <w:p w14:paraId="62EC9B14"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i/>
          <w:sz w:val="24"/>
          <w:szCs w:val="24"/>
          <w:lang w:val="en-GB"/>
        </w:rPr>
        <w:t>‘R v Cobley’</w:t>
      </w:r>
      <w:r w:rsidRPr="00611589">
        <w:rPr>
          <w:rFonts w:ascii="Times New Roman" w:eastAsia="Times New Roman" w:hAnsi="Times New Roman" w:cs="Times New Roman"/>
          <w:sz w:val="24"/>
          <w:szCs w:val="24"/>
          <w:lang w:val="en-GB"/>
        </w:rPr>
        <w:t xml:space="preserve"> (2021) EWCA Crim 954. Available at: </w:t>
      </w:r>
      <w:hyperlink r:id="rId9" w:anchor=":~:text=Criminal%20appeal%20The%20applicant%20had,partial%20defence%20of%20diminished%20responsibility">
        <w:r w:rsidRPr="00611589">
          <w:rPr>
            <w:rFonts w:ascii="Times New Roman" w:eastAsia="Times New Roman" w:hAnsi="Times New Roman" w:cs="Times New Roman"/>
            <w:color w:val="1155CC"/>
            <w:sz w:val="24"/>
            <w:szCs w:val="24"/>
            <w:u w:val="single"/>
            <w:lang w:val="en-GB"/>
          </w:rPr>
          <w:t>https://www.mentalhealthlaw.co.uk/R_v_Cobley_(2021)_EWCA_Crim_954?id=201022-1759#:~:text=Criminal%20appeal%20The%20applicant%20had,partial%20defence%20of%20diminished%20responsibility</w:t>
        </w:r>
      </w:hyperlink>
      <w:r w:rsidRPr="00611589">
        <w:rPr>
          <w:rFonts w:ascii="Times New Roman" w:eastAsia="Times New Roman" w:hAnsi="Times New Roman" w:cs="Times New Roman"/>
          <w:sz w:val="24"/>
          <w:szCs w:val="24"/>
          <w:lang w:val="en-GB"/>
        </w:rPr>
        <w:t>. [Accessed 25 February 2023]</w:t>
      </w:r>
    </w:p>
    <w:p w14:paraId="2A0639DD"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Baker, J., Edwards, I. and Beazley, P., 2022. Juror decision-making regarding a defendant diagnosed with borderline personality disorder. Psychiatry, psychology and law, 29(4), pp.516-534.  Available at: </w:t>
      </w:r>
      <w:hyperlink r:id="rId10">
        <w:r w:rsidRPr="00611589">
          <w:rPr>
            <w:rFonts w:ascii="Times New Roman" w:eastAsia="Times New Roman" w:hAnsi="Times New Roman" w:cs="Times New Roman"/>
            <w:color w:val="1155CC"/>
            <w:sz w:val="24"/>
            <w:szCs w:val="24"/>
            <w:u w:val="single"/>
            <w:lang w:val="en-GB"/>
          </w:rPr>
          <w:t>https://www.tandfonline.com/doi/abs/10.1080/13218719.2021.1938273</w:t>
        </w:r>
      </w:hyperlink>
      <w:r w:rsidRPr="00611589">
        <w:rPr>
          <w:rFonts w:ascii="Times New Roman" w:eastAsia="Times New Roman" w:hAnsi="Times New Roman" w:cs="Times New Roman"/>
          <w:sz w:val="24"/>
          <w:szCs w:val="24"/>
          <w:lang w:val="en-GB"/>
        </w:rPr>
        <w:t xml:space="preserve"> [Accessed 25 February 2023]</w:t>
      </w:r>
    </w:p>
    <w:p w14:paraId="4BE6A6D4"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Bettinson, V., 2019. Aligning partial defences to murder with the offence of coercive or controlling behaviour. The Journal of Criminal Law, 83(1), pp.71-86.  Available at:  </w:t>
      </w:r>
      <w:hyperlink r:id="rId11">
        <w:r w:rsidRPr="00611589">
          <w:rPr>
            <w:rFonts w:ascii="Times New Roman" w:eastAsia="Times New Roman" w:hAnsi="Times New Roman" w:cs="Times New Roman"/>
            <w:color w:val="1155CC"/>
            <w:sz w:val="24"/>
            <w:szCs w:val="24"/>
            <w:u w:val="single"/>
            <w:lang w:val="en-GB"/>
          </w:rPr>
          <w:t>https://journals.sagepub.com/doi/pdf/10.1177/0022018318814362</w:t>
        </w:r>
      </w:hyperlink>
      <w:r w:rsidRPr="00611589">
        <w:rPr>
          <w:rFonts w:ascii="Times New Roman" w:eastAsia="Times New Roman" w:hAnsi="Times New Roman" w:cs="Times New Roman"/>
          <w:sz w:val="24"/>
          <w:szCs w:val="24"/>
          <w:lang w:val="en-GB"/>
        </w:rPr>
        <w:t xml:space="preserve">  [Accessed 25 February 2023]</w:t>
      </w:r>
    </w:p>
    <w:p w14:paraId="6A9B0128"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Catley, P., 2019. Personality change, criminal responsibility and diminished capacity.  Available at: </w:t>
      </w:r>
      <w:hyperlink r:id="rId12">
        <w:r w:rsidRPr="00611589">
          <w:rPr>
            <w:rFonts w:ascii="Times New Roman" w:eastAsia="Times New Roman" w:hAnsi="Times New Roman" w:cs="Times New Roman"/>
            <w:color w:val="1155CC"/>
            <w:sz w:val="24"/>
            <w:szCs w:val="24"/>
            <w:u w:val="single"/>
            <w:lang w:val="en-GB"/>
          </w:rPr>
          <w:t>http://oro.open.ac.uk/69453/1/Paul%20Catley%20Personality%20Change%20Criminal%20Responsibility%20and%20Diminsihed%20Capacity%20final%20version.pdf</w:t>
        </w:r>
      </w:hyperlink>
      <w:r w:rsidRPr="00611589">
        <w:rPr>
          <w:rFonts w:ascii="Times New Roman" w:eastAsia="Times New Roman" w:hAnsi="Times New Roman" w:cs="Times New Roman"/>
          <w:sz w:val="24"/>
          <w:szCs w:val="24"/>
          <w:lang w:val="en-GB"/>
        </w:rPr>
        <w:t xml:space="preserve"> [Accessed 25 February 2023]</w:t>
      </w:r>
    </w:p>
    <w:p w14:paraId="57885C2F"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Crofts, T. and Wake, N., 2021. Diminished responsibility determinations in England and Wales and New South Wales: whose role is it anyway?. Northern Ireland Legal Quarterly, 72(2), pp.324-362.  Available at: </w:t>
      </w:r>
      <w:hyperlink r:id="rId13">
        <w:r w:rsidRPr="00611589">
          <w:rPr>
            <w:rFonts w:ascii="Times New Roman" w:eastAsia="Times New Roman" w:hAnsi="Times New Roman" w:cs="Times New Roman"/>
            <w:color w:val="1155CC"/>
            <w:sz w:val="24"/>
            <w:szCs w:val="24"/>
            <w:u w:val="single"/>
            <w:lang w:val="en-GB"/>
          </w:rPr>
          <w:t>https://heinonline.org/hol-cgi-bin/get_pdf.cgi?handle=hein.journals/nilq72&amp;section=20</w:t>
        </w:r>
      </w:hyperlink>
      <w:r w:rsidRPr="00611589">
        <w:rPr>
          <w:rFonts w:ascii="Times New Roman" w:eastAsia="Times New Roman" w:hAnsi="Times New Roman" w:cs="Times New Roman"/>
          <w:sz w:val="24"/>
          <w:szCs w:val="24"/>
          <w:lang w:val="en-GB"/>
        </w:rPr>
        <w:t xml:space="preserve"> [Accessed 25 February 2023]</w:t>
      </w:r>
    </w:p>
    <w:p w14:paraId="25454C32"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Goldberg, A.E. and Roef, D., 2019. Addiction, capacities and criminal responsibility: a comparative analysis. Law, Science, and Rationality. The Hague: Eleven International Publishing.  Available at: </w:t>
      </w:r>
      <w:hyperlink r:id="rId14">
        <w:r w:rsidRPr="00611589">
          <w:rPr>
            <w:rFonts w:ascii="Times New Roman" w:eastAsia="Times New Roman" w:hAnsi="Times New Roman" w:cs="Times New Roman"/>
            <w:color w:val="1155CC"/>
            <w:sz w:val="24"/>
            <w:szCs w:val="24"/>
            <w:u w:val="single"/>
            <w:lang w:val="en-GB"/>
          </w:rPr>
          <w:t>https://www.researchgate.net/profile/Anna-Goldberg-4/publication/343690596_Addiction_Capacities_and_Criminal_Responsibility_-_a_Comparative_Analysis/links/5f3a3f22a6fdcccc43cfc8b3/Addiction-Capacities-and-Criminal-Responsibility-a-Comparative-Analysis.pdf</w:t>
        </w:r>
      </w:hyperlink>
      <w:r w:rsidRPr="00611589">
        <w:rPr>
          <w:rFonts w:ascii="Times New Roman" w:eastAsia="Times New Roman" w:hAnsi="Times New Roman" w:cs="Times New Roman"/>
          <w:sz w:val="24"/>
          <w:szCs w:val="24"/>
          <w:lang w:val="en-GB"/>
        </w:rPr>
        <w:t xml:space="preserve"> [Accessed 25 February 2023]</w:t>
      </w:r>
    </w:p>
    <w:p w14:paraId="6E88DAD3"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Kafkoutsou, N.R. and Oikonomou, S.V., 2020. Diminished, Derogated, Denied: How the right to asylum in Greece is undermined by the lack of EU responsibility sharing.  Available at: </w:t>
      </w:r>
      <w:hyperlink r:id="rId15">
        <w:r w:rsidRPr="00611589">
          <w:rPr>
            <w:rFonts w:ascii="Times New Roman" w:eastAsia="Times New Roman" w:hAnsi="Times New Roman" w:cs="Times New Roman"/>
            <w:color w:val="1155CC"/>
            <w:sz w:val="24"/>
            <w:szCs w:val="24"/>
            <w:u w:val="single"/>
            <w:lang w:val="en-GB"/>
          </w:rPr>
          <w:t>https://oxfamilibrary.openrepository.com/handle/10546/621011</w:t>
        </w:r>
      </w:hyperlink>
      <w:r w:rsidRPr="00611589">
        <w:rPr>
          <w:rFonts w:ascii="Times New Roman" w:eastAsia="Times New Roman" w:hAnsi="Times New Roman" w:cs="Times New Roman"/>
          <w:sz w:val="24"/>
          <w:szCs w:val="24"/>
          <w:lang w:val="en-GB"/>
        </w:rPr>
        <w:t xml:space="preserve">  [Accessed 25 February 2023]</w:t>
      </w:r>
    </w:p>
    <w:p w14:paraId="133FC77E"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lastRenderedPageBreak/>
        <w:t xml:space="preserve">Mackay, R., 2021. What’s happening with the reformed diminished responsibility plea?. Northern Ireland Legal Quarterly, 72(2), pp.224-244.  Available at: </w:t>
      </w:r>
      <w:hyperlink r:id="rId16">
        <w:r w:rsidRPr="00611589">
          <w:rPr>
            <w:rFonts w:ascii="Times New Roman" w:eastAsia="Times New Roman" w:hAnsi="Times New Roman" w:cs="Times New Roman"/>
            <w:color w:val="1155CC"/>
            <w:sz w:val="24"/>
            <w:szCs w:val="24"/>
            <w:u w:val="single"/>
            <w:lang w:val="en-GB"/>
          </w:rPr>
          <w:t>https://heinonline.org/hol-cgi-bin/get_pdf.cgi?handle=hein.journals/nilq72&amp;section=17</w:t>
        </w:r>
      </w:hyperlink>
      <w:r w:rsidRPr="00611589">
        <w:rPr>
          <w:rFonts w:ascii="Times New Roman" w:eastAsia="Times New Roman" w:hAnsi="Times New Roman" w:cs="Times New Roman"/>
          <w:sz w:val="24"/>
          <w:szCs w:val="24"/>
          <w:lang w:val="en-GB"/>
        </w:rPr>
        <w:t xml:space="preserve"> [Accessed 25 February 2023]</w:t>
      </w:r>
    </w:p>
    <w:p w14:paraId="10D4E366"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Malatesti, L., Jurjako, M. and Meynen, G., 2020. The insanity defence without mental illness? Some considerations. International Journal of Law and Psychiatry, 71, p.101571.  Available at: </w:t>
      </w:r>
      <w:hyperlink r:id="rId17">
        <w:r w:rsidRPr="00611589">
          <w:rPr>
            <w:rFonts w:ascii="Times New Roman" w:eastAsia="Times New Roman" w:hAnsi="Times New Roman" w:cs="Times New Roman"/>
            <w:color w:val="1155CC"/>
            <w:sz w:val="24"/>
            <w:szCs w:val="24"/>
            <w:u w:val="single"/>
            <w:lang w:val="en-GB"/>
          </w:rPr>
          <w:t>https://www.sciencedirect.com/science/article/pii/S0160252720300303</w:t>
        </w:r>
      </w:hyperlink>
      <w:r w:rsidRPr="00611589">
        <w:rPr>
          <w:rFonts w:ascii="Times New Roman" w:eastAsia="Times New Roman" w:hAnsi="Times New Roman" w:cs="Times New Roman"/>
          <w:sz w:val="24"/>
          <w:szCs w:val="24"/>
          <w:lang w:val="en-GB"/>
        </w:rPr>
        <w:t xml:space="preserve"> [Accessed 25 February 2023]</w:t>
      </w:r>
    </w:p>
    <w:p w14:paraId="5224837D"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McPherson, R., 2019. Battered woman syndrome, diminished responsibility and women who kill: insights from Scottish case law. The Journal of Criminal Law, 83(5), pp.381-393. Available at: </w:t>
      </w:r>
      <w:hyperlink r:id="rId18">
        <w:r w:rsidRPr="00611589">
          <w:rPr>
            <w:rFonts w:ascii="Times New Roman" w:eastAsia="Times New Roman" w:hAnsi="Times New Roman" w:cs="Times New Roman"/>
            <w:color w:val="1155CC"/>
            <w:sz w:val="24"/>
            <w:szCs w:val="24"/>
            <w:u w:val="single"/>
            <w:lang w:val="en-GB"/>
          </w:rPr>
          <w:t>https://journals.sagepub.com/doi/pdf/10.1177/0022018319858506</w:t>
        </w:r>
      </w:hyperlink>
      <w:r w:rsidRPr="00611589">
        <w:rPr>
          <w:rFonts w:ascii="Times New Roman" w:eastAsia="Times New Roman" w:hAnsi="Times New Roman" w:cs="Times New Roman"/>
          <w:sz w:val="24"/>
          <w:szCs w:val="24"/>
          <w:lang w:val="en-GB"/>
        </w:rPr>
        <w:t xml:space="preserve"> [Accessed 25 February 2023]</w:t>
      </w:r>
    </w:p>
    <w:p w14:paraId="5DD53E88"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Newburn, T. 2013. Criminology. United Kingdom: Routledge.  Available at:  </w:t>
      </w:r>
      <w:hyperlink r:id="rId19">
        <w:r w:rsidRPr="00611589">
          <w:rPr>
            <w:rFonts w:ascii="Times New Roman" w:eastAsia="Times New Roman" w:hAnsi="Times New Roman" w:cs="Times New Roman"/>
            <w:color w:val="1155CC"/>
            <w:sz w:val="24"/>
            <w:szCs w:val="24"/>
            <w:u w:val="single"/>
            <w:lang w:val="en-GB"/>
          </w:rPr>
          <w:t>https://www.google.co.in/books/edition/Criminology/jwRWLwEACAAJ?hl=en</w:t>
        </w:r>
      </w:hyperlink>
      <w:r w:rsidRPr="00611589">
        <w:rPr>
          <w:rFonts w:ascii="Times New Roman" w:eastAsia="Times New Roman" w:hAnsi="Times New Roman" w:cs="Times New Roman"/>
          <w:sz w:val="24"/>
          <w:szCs w:val="24"/>
          <w:lang w:val="en-GB"/>
        </w:rPr>
        <w:t xml:space="preserve"> </w:t>
      </w:r>
    </w:p>
    <w:p w14:paraId="58CCC55D"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Parker, J. and Davies, B., 2020. No blame no gain? from a no blame culture to a responsibility culture in medicine. Journal of applied philosophy, 37(4), pp.646-660.  Available at:  </w:t>
      </w:r>
      <w:hyperlink r:id="rId20">
        <w:r w:rsidRPr="00611589">
          <w:rPr>
            <w:rFonts w:ascii="Times New Roman" w:eastAsia="Times New Roman" w:hAnsi="Times New Roman" w:cs="Times New Roman"/>
            <w:color w:val="1155CC"/>
            <w:sz w:val="24"/>
            <w:szCs w:val="24"/>
            <w:u w:val="single"/>
            <w:lang w:val="en-GB"/>
          </w:rPr>
          <w:t>https://onlinelibrary.wiley.com/doi/abs/10.1111/japp.12433</w:t>
        </w:r>
      </w:hyperlink>
      <w:r w:rsidRPr="00611589">
        <w:rPr>
          <w:rFonts w:ascii="Times New Roman" w:eastAsia="Times New Roman" w:hAnsi="Times New Roman" w:cs="Times New Roman"/>
          <w:sz w:val="24"/>
          <w:szCs w:val="24"/>
          <w:lang w:val="en-GB"/>
        </w:rPr>
        <w:t xml:space="preserve"> [Accessed 25 February 2023]</w:t>
      </w:r>
    </w:p>
    <w:p w14:paraId="42BC7872"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Style w:val="Emphasis"/>
          <w:rFonts w:ascii="Times New Roman" w:hAnsi="Times New Roman" w:cs="Times New Roman"/>
          <w:sz w:val="24"/>
          <w:szCs w:val="24"/>
          <w:lang w:val="en-GB"/>
        </w:rPr>
        <w:t xml:space="preserve">R v </w:t>
      </w:r>
      <w:hyperlink r:id="rId21" w:history="1">
        <w:r w:rsidRPr="00611589">
          <w:rPr>
            <w:rStyle w:val="Hyperlink"/>
            <w:rFonts w:ascii="Times New Roman" w:hAnsi="Times New Roman" w:cs="Times New Roman"/>
            <w:i/>
            <w:iCs/>
            <w:color w:val="auto"/>
            <w:sz w:val="24"/>
            <w:szCs w:val="24"/>
            <w:u w:val="none"/>
            <w:lang w:val="en-GB"/>
          </w:rPr>
          <w:t>Ahluwalia</w:t>
        </w:r>
      </w:hyperlink>
      <w:r w:rsidRPr="00611589">
        <w:rPr>
          <w:rFonts w:ascii="Times New Roman" w:hAnsi="Times New Roman" w:cs="Times New Roman"/>
          <w:sz w:val="24"/>
          <w:szCs w:val="24"/>
          <w:lang w:val="en-GB"/>
        </w:rPr>
        <w:t xml:space="preserve"> [1993] 96 Cr App. R. 133. </w:t>
      </w:r>
      <w:r w:rsidRPr="00611589">
        <w:rPr>
          <w:rFonts w:ascii="Times New Roman" w:eastAsia="Times New Roman" w:hAnsi="Times New Roman" w:cs="Times New Roman"/>
          <w:sz w:val="24"/>
          <w:szCs w:val="24"/>
          <w:lang w:val="en-GB"/>
        </w:rPr>
        <w:t xml:space="preserve">Available at: </w:t>
      </w:r>
      <w:hyperlink r:id="rId22" w:history="1">
        <w:r w:rsidRPr="00611589">
          <w:rPr>
            <w:rStyle w:val="Hyperlink"/>
            <w:rFonts w:ascii="Times New Roman" w:hAnsi="Times New Roman" w:cs="Times New Roman"/>
            <w:sz w:val="24"/>
            <w:szCs w:val="24"/>
            <w:lang w:val="en-GB"/>
          </w:rPr>
          <w:t>http://www.e-lawresources.co.uk/Diminished-responsibility.php</w:t>
        </w:r>
      </w:hyperlink>
      <w:r w:rsidRPr="00611589">
        <w:rPr>
          <w:rFonts w:ascii="Times New Roman" w:hAnsi="Times New Roman" w:cs="Times New Roman"/>
          <w:sz w:val="24"/>
          <w:szCs w:val="24"/>
          <w:lang w:val="en-GB"/>
        </w:rPr>
        <w:t xml:space="preserve"> </w:t>
      </w:r>
      <w:r w:rsidRPr="00611589">
        <w:rPr>
          <w:rFonts w:ascii="Times New Roman" w:eastAsia="Times New Roman" w:hAnsi="Times New Roman" w:cs="Times New Roman"/>
          <w:sz w:val="24"/>
          <w:szCs w:val="24"/>
          <w:lang w:val="en-GB"/>
        </w:rPr>
        <w:t xml:space="preserve"> [Accessed 25 February 2023]</w:t>
      </w:r>
    </w:p>
    <w:p w14:paraId="53658A53"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Reed, A., Wake, N. and Simpson, B., 2021. Introduction:‘Domestic and comparative perspectives on loss of self-control and diminished responsibility as partial defences to murder: a 10-year review of the Coroners and Justice Act 2009 reform framework’. Northern Ireland Legal Quarterly, 72(2), pp.161-170.  Available at: </w:t>
      </w:r>
      <w:hyperlink r:id="rId23">
        <w:r w:rsidRPr="00611589">
          <w:rPr>
            <w:rFonts w:ascii="Times New Roman" w:eastAsia="Times New Roman" w:hAnsi="Times New Roman" w:cs="Times New Roman"/>
            <w:color w:val="1155CC"/>
            <w:sz w:val="24"/>
            <w:szCs w:val="24"/>
            <w:u w:val="single"/>
            <w:lang w:val="en-GB"/>
          </w:rPr>
          <w:t>https://nilq.qub.ac.uk/index.php/nilq/article/download/930/772https://nilq.qub.ac.uk/index.php/nilq/article/download/930/772</w:t>
        </w:r>
      </w:hyperlink>
      <w:r w:rsidRPr="00611589">
        <w:rPr>
          <w:rFonts w:ascii="Times New Roman" w:eastAsia="Times New Roman" w:hAnsi="Times New Roman" w:cs="Times New Roman"/>
          <w:sz w:val="24"/>
          <w:szCs w:val="24"/>
          <w:lang w:val="en-GB"/>
        </w:rPr>
        <w:t xml:space="preserve">  [Accessed 25 February 2023]</w:t>
      </w:r>
    </w:p>
    <w:p w14:paraId="797874FB" w14:textId="77777777" w:rsidR="00323E1C" w:rsidRPr="00611589" w:rsidRDefault="00323E1C" w:rsidP="00C33CE3">
      <w:pPr>
        <w:spacing w:line="360" w:lineRule="auto"/>
        <w:rPr>
          <w:lang w:val="en-GB"/>
        </w:rPr>
      </w:pPr>
    </w:p>
    <w:sectPr w:rsidR="00323E1C" w:rsidRPr="00611589">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3C5E8" w14:textId="77777777" w:rsidR="00943992" w:rsidRDefault="00943992">
      <w:pPr>
        <w:spacing w:line="240" w:lineRule="auto"/>
      </w:pPr>
      <w:r>
        <w:separator/>
      </w:r>
    </w:p>
  </w:endnote>
  <w:endnote w:type="continuationSeparator" w:id="0">
    <w:p w14:paraId="4331F28B" w14:textId="77777777" w:rsidR="00943992" w:rsidRDefault="009439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E8735" w14:textId="77777777" w:rsidR="00323E1C" w:rsidRDefault="00A23FE6">
    <w:pPr>
      <w:jc w:val="right"/>
    </w:pPr>
    <w:r>
      <w:fldChar w:fldCharType="begin"/>
    </w:r>
    <w:r>
      <w:instrText>PAGE</w:instrText>
    </w:r>
    <w:r>
      <w:fldChar w:fldCharType="separate"/>
    </w:r>
    <w:r w:rsidR="0077548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ABE87" w14:textId="77777777" w:rsidR="00943992" w:rsidRDefault="00943992">
      <w:pPr>
        <w:spacing w:line="240" w:lineRule="auto"/>
      </w:pPr>
      <w:r>
        <w:separator/>
      </w:r>
    </w:p>
  </w:footnote>
  <w:footnote w:type="continuationSeparator" w:id="0">
    <w:p w14:paraId="58FCEAE2" w14:textId="77777777" w:rsidR="00943992" w:rsidRDefault="0094399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E1C"/>
    <w:rsid w:val="00010C0E"/>
    <w:rsid w:val="00323E1C"/>
    <w:rsid w:val="00441A4C"/>
    <w:rsid w:val="00611589"/>
    <w:rsid w:val="00775485"/>
    <w:rsid w:val="00943992"/>
    <w:rsid w:val="00A23FE6"/>
    <w:rsid w:val="00B0499F"/>
    <w:rsid w:val="00C33CE3"/>
    <w:rsid w:val="00C52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7A7B1"/>
  <w15:docId w15:val="{D870AA9C-EC98-4D5B-B021-F3A308282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Emphasis">
    <w:name w:val="Emphasis"/>
    <w:basedOn w:val="DefaultParagraphFont"/>
    <w:uiPriority w:val="20"/>
    <w:qFormat/>
    <w:rsid w:val="00C33CE3"/>
    <w:rPr>
      <w:i/>
      <w:iCs/>
    </w:rPr>
  </w:style>
  <w:style w:type="character" w:styleId="Hyperlink">
    <w:name w:val="Hyperlink"/>
    <w:basedOn w:val="DefaultParagraphFont"/>
    <w:uiPriority w:val="99"/>
    <w:unhideWhenUsed/>
    <w:rsid w:val="00C33CE3"/>
    <w:rPr>
      <w:color w:val="0000FF"/>
      <w:u w:val="single"/>
    </w:rPr>
  </w:style>
  <w:style w:type="character" w:styleId="UnresolvedMention">
    <w:name w:val="Unresolved Mention"/>
    <w:basedOn w:val="DefaultParagraphFont"/>
    <w:uiPriority w:val="99"/>
    <w:semiHidden/>
    <w:unhideWhenUsed/>
    <w:rsid w:val="00C33C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bailii.org/ew/cases/EWCA/Crim/1992/1.html" TargetMode="External"/><Relationship Id="rId13" Type="http://schemas.openxmlformats.org/officeDocument/2006/relationships/hyperlink" Target="https://heinonline.org/hol-cgi-bin/get_pdf.cgi?handle=hein.journals/nilq72&amp;section=20" TargetMode="External"/><Relationship Id="rId18" Type="http://schemas.openxmlformats.org/officeDocument/2006/relationships/hyperlink" Target="https://journals.sagepub.com/doi/pdf/10.1177/0022018319858506"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bailii.org/ew/cases/EWCA/Crim/1992/1.html" TargetMode="External"/><Relationship Id="rId7" Type="http://schemas.openxmlformats.org/officeDocument/2006/relationships/image" Target="media/image1.png"/><Relationship Id="rId12" Type="http://schemas.openxmlformats.org/officeDocument/2006/relationships/hyperlink" Target="http://oro.open.ac.uk/69453/1/Paul%20Catley%20Personality%20Change%20Criminal%20Responsibility%20and%20Diminsihed%20Capacity%20final%20version.pdf" TargetMode="External"/><Relationship Id="rId17" Type="http://schemas.openxmlformats.org/officeDocument/2006/relationships/hyperlink" Target="https://www.sciencedirect.com/science/article/pii/S0160252720300303"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einonline.org/hol-cgi-bin/get_pdf.cgi?handle=hein.journals/nilq72&amp;section=17" TargetMode="External"/><Relationship Id="rId20" Type="http://schemas.openxmlformats.org/officeDocument/2006/relationships/hyperlink" Target="https://onlinelibrary.wiley.com/doi/abs/10.1111/japp.1243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pdf/10.1177/0022018318814362"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oxfamilibrary.openrepository.com/handle/10546/621011" TargetMode="External"/><Relationship Id="rId23" Type="http://schemas.openxmlformats.org/officeDocument/2006/relationships/hyperlink" Target="https://nilq.qub.ac.uk/index.php/nilq/article/download/930/772https://nilq.qub.ac.uk/index.php/nilq/article/download/930/772" TargetMode="External"/><Relationship Id="rId10" Type="http://schemas.openxmlformats.org/officeDocument/2006/relationships/hyperlink" Target="https://www.tandfonline.com/doi/abs/10.1080/13218719.2021.1938273" TargetMode="External"/><Relationship Id="rId19" Type="http://schemas.openxmlformats.org/officeDocument/2006/relationships/hyperlink" Target="https://www.google.co.in/books/edition/Criminology/jwRWLwEACAAJ?hl=en" TargetMode="External"/><Relationship Id="rId4" Type="http://schemas.openxmlformats.org/officeDocument/2006/relationships/webSettings" Target="webSettings.xml"/><Relationship Id="rId9" Type="http://schemas.openxmlformats.org/officeDocument/2006/relationships/hyperlink" Target="https://www.mentalhealthlaw.co.uk/R_v_Cobley_(2021)_EWCA_Crim_954?id=201022-1759" TargetMode="External"/><Relationship Id="rId14" Type="http://schemas.openxmlformats.org/officeDocument/2006/relationships/hyperlink" Target="https://www.researchgate.net/profile/Anna-Goldberg-4/publication/343690596_Addiction_Capacities_and_Criminal_Responsibility_-_a_Comparative_Analysis/links/5f3a3f22a6fdcccc43cfc8b3/Addiction-Capacities-and-Criminal-Responsibility-a-Comparative-Analysis.pdf" TargetMode="External"/><Relationship Id="rId22" Type="http://schemas.openxmlformats.org/officeDocument/2006/relationships/hyperlink" Target="http://www.e-lawresources.co.uk/Diminished-responsibilit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whlZBGPpmRYj61mdGYQFI1jnpbA==">AMUW2mVerAcveRj0/3AgRUnTZZZWO5GZ1wzTRMwhb/pOWJIswlZAm12owwYoXg/FGfBITS+82eKlZnryecXe5epw12BCnwhAfQ6qEn980SsiQFVOWcRIrrW4Ldoi0SiHI9PofalFf7/pMt+20LddpHpCjzy5Tz3IP5kN2RKWuVNxDjNNn3xDehC8QKkfvGKwKtXP3wJULdabmz9nSU32Wx53TfO/su5MV62PqqhrENk3beUhbyE5CGc3EJHGVsZc1jlTpCAktGmU9BqON/bL59grs6y3O32VN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2400</Words>
  <Characters>13682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Flavius Ovidiu Godja (2217499)</cp:lastModifiedBy>
  <cp:revision>3</cp:revision>
  <dcterms:created xsi:type="dcterms:W3CDTF">2023-03-02T09:17:00Z</dcterms:created>
  <dcterms:modified xsi:type="dcterms:W3CDTF">2023-03-08T18:38:00Z</dcterms:modified>
</cp:coreProperties>
</file>