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0C077" w14:textId="77777777" w:rsidR="003D068F" w:rsidRDefault="003D068F" w:rsidP="003D068F">
      <w:pPr>
        <w:pStyle w:val="Heading1"/>
        <w:jc w:val="right"/>
      </w:pPr>
      <w:r>
        <w:rPr>
          <w:noProof/>
        </w:rPr>
        <w:drawing>
          <wp:inline distT="0" distB="0" distL="0" distR="0" wp14:anchorId="67447C61" wp14:editId="49647D04">
            <wp:extent cx="2867025" cy="1590675"/>
            <wp:effectExtent l="19050" t="0" r="9525" b="0"/>
            <wp:docPr id="1" name="Picture 0" descr="University of Wales Trinity Saint 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 of Wales Trinity Saint David.png"/>
                    <pic:cNvPicPr/>
                  </pic:nvPicPr>
                  <pic:blipFill>
                    <a:blip r:embed="rId7" cstate="print"/>
                    <a:stretch>
                      <a:fillRect/>
                    </a:stretch>
                  </pic:blipFill>
                  <pic:spPr>
                    <a:xfrm>
                      <a:off x="0" y="0"/>
                      <a:ext cx="2867025" cy="1590675"/>
                    </a:xfrm>
                    <a:prstGeom prst="rect">
                      <a:avLst/>
                    </a:prstGeom>
                  </pic:spPr>
                </pic:pic>
              </a:graphicData>
            </a:graphic>
          </wp:inline>
        </w:drawing>
      </w:r>
    </w:p>
    <w:p w14:paraId="0524652F" w14:textId="77777777" w:rsidR="003D068F" w:rsidRDefault="003D068F" w:rsidP="003D068F"/>
    <w:p w14:paraId="604A6848" w14:textId="77777777" w:rsidR="003D068F" w:rsidRDefault="003D068F" w:rsidP="003D068F"/>
    <w:p w14:paraId="218F7271" w14:textId="77777777" w:rsidR="003D068F" w:rsidRDefault="003D068F" w:rsidP="003D068F"/>
    <w:p w14:paraId="17261C30" w14:textId="77777777" w:rsidR="003D068F" w:rsidRDefault="003D068F" w:rsidP="003D068F"/>
    <w:p w14:paraId="2C142DB0" w14:textId="77777777" w:rsidR="003D068F" w:rsidRDefault="003D068F" w:rsidP="003D068F">
      <w:pPr>
        <w:jc w:val="center"/>
        <w:rPr>
          <w:b/>
          <w:sz w:val="40"/>
          <w:szCs w:val="40"/>
        </w:rPr>
      </w:pPr>
      <w:r w:rsidRPr="003D068F">
        <w:rPr>
          <w:b/>
          <w:sz w:val="40"/>
          <w:szCs w:val="40"/>
        </w:rPr>
        <w:t>Importance and significance of safeguarding policies and procedures</w:t>
      </w:r>
    </w:p>
    <w:p w14:paraId="1D298105" w14:textId="77777777" w:rsidR="003D068F" w:rsidRDefault="003D068F" w:rsidP="003D068F">
      <w:pPr>
        <w:jc w:val="center"/>
        <w:rPr>
          <w:b/>
          <w:sz w:val="40"/>
          <w:szCs w:val="40"/>
        </w:rPr>
      </w:pPr>
    </w:p>
    <w:p w14:paraId="5C476C9D" w14:textId="1C73F5F1" w:rsidR="003D068F" w:rsidRPr="003D068F" w:rsidRDefault="003D068F" w:rsidP="003D068F">
      <w:pPr>
        <w:jc w:val="center"/>
        <w:rPr>
          <w:i/>
          <w:sz w:val="32"/>
          <w:szCs w:val="32"/>
        </w:rPr>
      </w:pPr>
      <w:r w:rsidRPr="003D068F">
        <w:rPr>
          <w:i/>
          <w:sz w:val="32"/>
          <w:szCs w:val="32"/>
        </w:rPr>
        <w:t>Name:</w:t>
      </w:r>
      <w:r w:rsidR="009D0FA7">
        <w:rPr>
          <w:i/>
          <w:sz w:val="32"/>
          <w:szCs w:val="32"/>
        </w:rPr>
        <w:t xml:space="preserve"> ZAHEED ULLAH</w:t>
      </w:r>
    </w:p>
    <w:p w14:paraId="3B1EAE09" w14:textId="28CE39C3" w:rsidR="003D068F" w:rsidRDefault="003D068F" w:rsidP="003D068F">
      <w:pPr>
        <w:jc w:val="center"/>
        <w:rPr>
          <w:i/>
          <w:sz w:val="32"/>
          <w:szCs w:val="32"/>
        </w:rPr>
      </w:pPr>
      <w:r w:rsidRPr="003D068F">
        <w:rPr>
          <w:i/>
          <w:sz w:val="32"/>
          <w:szCs w:val="32"/>
        </w:rPr>
        <w:t>ID:</w:t>
      </w:r>
      <w:r w:rsidR="009D0FA7">
        <w:rPr>
          <w:i/>
          <w:sz w:val="32"/>
          <w:szCs w:val="32"/>
        </w:rPr>
        <w:t>1</w:t>
      </w:r>
      <w:r w:rsidR="00D95F8D">
        <w:rPr>
          <w:i/>
          <w:sz w:val="32"/>
          <w:szCs w:val="32"/>
        </w:rPr>
        <w:t>814933</w:t>
      </w:r>
    </w:p>
    <w:p w14:paraId="076363AC" w14:textId="7001F71E" w:rsidR="00D95F8D" w:rsidRPr="003D068F" w:rsidRDefault="00D95F8D" w:rsidP="003D068F">
      <w:pPr>
        <w:jc w:val="center"/>
        <w:rPr>
          <w:i/>
          <w:sz w:val="32"/>
          <w:szCs w:val="32"/>
        </w:rPr>
      </w:pPr>
      <w:r>
        <w:rPr>
          <w:i/>
          <w:sz w:val="32"/>
          <w:szCs w:val="32"/>
        </w:rPr>
        <w:t>LECTURER:DEBRA</w:t>
      </w:r>
    </w:p>
    <w:p w14:paraId="2307516F" w14:textId="77777777" w:rsidR="003D068F" w:rsidRPr="003D068F" w:rsidRDefault="003D068F" w:rsidP="003D068F">
      <w:pPr>
        <w:jc w:val="center"/>
      </w:pPr>
    </w:p>
    <w:p w14:paraId="6ACBD1B5" w14:textId="77777777" w:rsidR="003D068F" w:rsidRDefault="003D068F" w:rsidP="003D068F">
      <w:pPr>
        <w:rPr>
          <w:rFonts w:eastAsiaTheme="majorEastAsia" w:cstheme="majorBidi"/>
          <w:sz w:val="28"/>
          <w:szCs w:val="28"/>
        </w:rPr>
      </w:pPr>
      <w:r>
        <w:br w:type="page"/>
      </w:r>
    </w:p>
    <w:sdt>
      <w:sdtPr>
        <w:rPr>
          <w:rFonts w:ascii="Gill Sans MT" w:eastAsiaTheme="minorHAnsi" w:hAnsi="Gill Sans MT" w:cstheme="minorBidi"/>
          <w:b w:val="0"/>
          <w:bCs w:val="0"/>
          <w:color w:val="auto"/>
          <w:sz w:val="22"/>
          <w:szCs w:val="22"/>
        </w:rPr>
        <w:id w:val="554819485"/>
        <w:docPartObj>
          <w:docPartGallery w:val="Table of Contents"/>
          <w:docPartUnique/>
        </w:docPartObj>
      </w:sdtPr>
      <w:sdtEndPr/>
      <w:sdtContent>
        <w:p w14:paraId="28390A69" w14:textId="77777777" w:rsidR="003D068F" w:rsidRDefault="003D068F" w:rsidP="003D068F">
          <w:pPr>
            <w:pStyle w:val="TOCHeading"/>
            <w:jc w:val="center"/>
          </w:pPr>
          <w:r>
            <w:t>Table of Contents</w:t>
          </w:r>
        </w:p>
        <w:p w14:paraId="2F512926" w14:textId="77777777" w:rsidR="003D068F" w:rsidRDefault="00B912FB">
          <w:pPr>
            <w:pStyle w:val="TOC1"/>
            <w:tabs>
              <w:tab w:val="right" w:leader="dot" w:pos="9350"/>
            </w:tabs>
            <w:rPr>
              <w:rFonts w:asciiTheme="minorHAnsi" w:eastAsiaTheme="minorEastAsia" w:hAnsiTheme="minorHAnsi"/>
              <w:noProof/>
            </w:rPr>
          </w:pPr>
          <w:r>
            <w:fldChar w:fldCharType="begin"/>
          </w:r>
          <w:r w:rsidR="003D068F">
            <w:instrText xml:space="preserve"> TOC \o "1-3" \h \z \u </w:instrText>
          </w:r>
          <w:r>
            <w:fldChar w:fldCharType="separate"/>
          </w:r>
          <w:hyperlink w:anchor="_Toc141121865" w:history="1">
            <w:r w:rsidR="003D068F" w:rsidRPr="00FA4D9C">
              <w:rPr>
                <w:rStyle w:val="Hyperlink"/>
                <w:noProof/>
              </w:rPr>
              <w:t>Introduction</w:t>
            </w:r>
            <w:r w:rsidR="003D068F">
              <w:rPr>
                <w:noProof/>
                <w:webHidden/>
              </w:rPr>
              <w:tab/>
            </w:r>
            <w:r>
              <w:rPr>
                <w:noProof/>
                <w:webHidden/>
              </w:rPr>
              <w:fldChar w:fldCharType="begin"/>
            </w:r>
            <w:r w:rsidR="003D068F">
              <w:rPr>
                <w:noProof/>
                <w:webHidden/>
              </w:rPr>
              <w:instrText xml:space="preserve"> PAGEREF _Toc141121865 \h </w:instrText>
            </w:r>
            <w:r>
              <w:rPr>
                <w:noProof/>
                <w:webHidden/>
              </w:rPr>
            </w:r>
            <w:r>
              <w:rPr>
                <w:noProof/>
                <w:webHidden/>
              </w:rPr>
              <w:fldChar w:fldCharType="separate"/>
            </w:r>
            <w:r w:rsidR="003D068F">
              <w:rPr>
                <w:noProof/>
                <w:webHidden/>
              </w:rPr>
              <w:t>3</w:t>
            </w:r>
            <w:r>
              <w:rPr>
                <w:noProof/>
                <w:webHidden/>
              </w:rPr>
              <w:fldChar w:fldCharType="end"/>
            </w:r>
          </w:hyperlink>
        </w:p>
        <w:p w14:paraId="57A469D3" w14:textId="77777777" w:rsidR="003D068F" w:rsidRDefault="005E42C0">
          <w:pPr>
            <w:pStyle w:val="TOC1"/>
            <w:tabs>
              <w:tab w:val="right" w:leader="dot" w:pos="9350"/>
            </w:tabs>
            <w:rPr>
              <w:rFonts w:asciiTheme="minorHAnsi" w:eastAsiaTheme="minorEastAsia" w:hAnsiTheme="minorHAnsi"/>
              <w:noProof/>
            </w:rPr>
          </w:pPr>
          <w:hyperlink w:anchor="_Toc141121866" w:history="1">
            <w:r w:rsidR="003D068F" w:rsidRPr="00FA4D9C">
              <w:rPr>
                <w:rStyle w:val="Hyperlink"/>
                <w:noProof/>
              </w:rPr>
              <w:t>Safeguard policies and procedures</w:t>
            </w:r>
            <w:r w:rsidR="003D068F">
              <w:rPr>
                <w:noProof/>
                <w:webHidden/>
              </w:rPr>
              <w:tab/>
            </w:r>
            <w:r w:rsidR="00B912FB">
              <w:rPr>
                <w:noProof/>
                <w:webHidden/>
              </w:rPr>
              <w:fldChar w:fldCharType="begin"/>
            </w:r>
            <w:r w:rsidR="003D068F">
              <w:rPr>
                <w:noProof/>
                <w:webHidden/>
              </w:rPr>
              <w:instrText xml:space="preserve"> PAGEREF _Toc141121866 \h </w:instrText>
            </w:r>
            <w:r w:rsidR="00B912FB">
              <w:rPr>
                <w:noProof/>
                <w:webHidden/>
              </w:rPr>
            </w:r>
            <w:r w:rsidR="00B912FB">
              <w:rPr>
                <w:noProof/>
                <w:webHidden/>
              </w:rPr>
              <w:fldChar w:fldCharType="separate"/>
            </w:r>
            <w:r w:rsidR="003D068F">
              <w:rPr>
                <w:noProof/>
                <w:webHidden/>
              </w:rPr>
              <w:t>3</w:t>
            </w:r>
            <w:r w:rsidR="00B912FB">
              <w:rPr>
                <w:noProof/>
                <w:webHidden/>
              </w:rPr>
              <w:fldChar w:fldCharType="end"/>
            </w:r>
          </w:hyperlink>
        </w:p>
        <w:p w14:paraId="597CA761" w14:textId="77777777" w:rsidR="003D068F" w:rsidRDefault="005E42C0">
          <w:pPr>
            <w:pStyle w:val="TOC2"/>
            <w:tabs>
              <w:tab w:val="right" w:leader="dot" w:pos="9350"/>
            </w:tabs>
            <w:rPr>
              <w:rFonts w:asciiTheme="minorHAnsi" w:eastAsiaTheme="minorEastAsia" w:hAnsiTheme="minorHAnsi"/>
              <w:noProof/>
            </w:rPr>
          </w:pPr>
          <w:hyperlink w:anchor="_Toc141121867" w:history="1">
            <w:r w:rsidR="003D068F" w:rsidRPr="00FA4D9C">
              <w:rPr>
                <w:rStyle w:val="Hyperlink"/>
                <w:noProof/>
              </w:rPr>
              <w:t>Safeguard cases</w:t>
            </w:r>
            <w:r w:rsidR="003D068F">
              <w:rPr>
                <w:noProof/>
                <w:webHidden/>
              </w:rPr>
              <w:tab/>
            </w:r>
            <w:r w:rsidR="00B912FB">
              <w:rPr>
                <w:noProof/>
                <w:webHidden/>
              </w:rPr>
              <w:fldChar w:fldCharType="begin"/>
            </w:r>
            <w:r w:rsidR="003D068F">
              <w:rPr>
                <w:noProof/>
                <w:webHidden/>
              </w:rPr>
              <w:instrText xml:space="preserve"> PAGEREF _Toc141121867 \h </w:instrText>
            </w:r>
            <w:r w:rsidR="00B912FB">
              <w:rPr>
                <w:noProof/>
                <w:webHidden/>
              </w:rPr>
            </w:r>
            <w:r w:rsidR="00B912FB">
              <w:rPr>
                <w:noProof/>
                <w:webHidden/>
              </w:rPr>
              <w:fldChar w:fldCharType="separate"/>
            </w:r>
            <w:r w:rsidR="003D068F">
              <w:rPr>
                <w:noProof/>
                <w:webHidden/>
              </w:rPr>
              <w:t>3</w:t>
            </w:r>
            <w:r w:rsidR="00B912FB">
              <w:rPr>
                <w:noProof/>
                <w:webHidden/>
              </w:rPr>
              <w:fldChar w:fldCharType="end"/>
            </w:r>
          </w:hyperlink>
        </w:p>
        <w:p w14:paraId="1E2E2B60" w14:textId="77777777" w:rsidR="003D068F" w:rsidRDefault="005E42C0">
          <w:pPr>
            <w:pStyle w:val="TOC2"/>
            <w:tabs>
              <w:tab w:val="right" w:leader="dot" w:pos="9350"/>
            </w:tabs>
            <w:rPr>
              <w:rFonts w:asciiTheme="minorHAnsi" w:eastAsiaTheme="minorEastAsia" w:hAnsiTheme="minorHAnsi"/>
              <w:noProof/>
            </w:rPr>
          </w:pPr>
          <w:hyperlink w:anchor="_Toc141121868" w:history="1">
            <w:r w:rsidR="003D068F" w:rsidRPr="00FA4D9C">
              <w:rPr>
                <w:rStyle w:val="Hyperlink"/>
                <w:noProof/>
              </w:rPr>
              <w:t>Child sex abuse case</w:t>
            </w:r>
            <w:r w:rsidR="003D068F">
              <w:rPr>
                <w:noProof/>
                <w:webHidden/>
              </w:rPr>
              <w:tab/>
            </w:r>
            <w:r w:rsidR="00B912FB">
              <w:rPr>
                <w:noProof/>
                <w:webHidden/>
              </w:rPr>
              <w:fldChar w:fldCharType="begin"/>
            </w:r>
            <w:r w:rsidR="003D068F">
              <w:rPr>
                <w:noProof/>
                <w:webHidden/>
              </w:rPr>
              <w:instrText xml:space="preserve"> PAGEREF _Toc141121868 \h </w:instrText>
            </w:r>
            <w:r w:rsidR="00B912FB">
              <w:rPr>
                <w:noProof/>
                <w:webHidden/>
              </w:rPr>
            </w:r>
            <w:r w:rsidR="00B912FB">
              <w:rPr>
                <w:noProof/>
                <w:webHidden/>
              </w:rPr>
              <w:fldChar w:fldCharType="separate"/>
            </w:r>
            <w:r w:rsidR="003D068F">
              <w:rPr>
                <w:noProof/>
                <w:webHidden/>
              </w:rPr>
              <w:t>5</w:t>
            </w:r>
            <w:r w:rsidR="00B912FB">
              <w:rPr>
                <w:noProof/>
                <w:webHidden/>
              </w:rPr>
              <w:fldChar w:fldCharType="end"/>
            </w:r>
          </w:hyperlink>
        </w:p>
        <w:p w14:paraId="6C42D45E" w14:textId="77777777" w:rsidR="003D068F" w:rsidRDefault="005E42C0">
          <w:pPr>
            <w:pStyle w:val="TOC1"/>
            <w:tabs>
              <w:tab w:val="right" w:leader="dot" w:pos="9350"/>
            </w:tabs>
            <w:rPr>
              <w:rFonts w:asciiTheme="minorHAnsi" w:eastAsiaTheme="minorEastAsia" w:hAnsiTheme="minorHAnsi"/>
              <w:noProof/>
            </w:rPr>
          </w:pPr>
          <w:hyperlink w:anchor="_Toc141121869" w:history="1">
            <w:r w:rsidR="003D068F" w:rsidRPr="00FA4D9C">
              <w:rPr>
                <w:rStyle w:val="Hyperlink"/>
                <w:noProof/>
              </w:rPr>
              <w:t>Importance of the safeguard policies</w:t>
            </w:r>
            <w:r w:rsidR="003D068F">
              <w:rPr>
                <w:noProof/>
                <w:webHidden/>
              </w:rPr>
              <w:tab/>
            </w:r>
            <w:r w:rsidR="00B912FB">
              <w:rPr>
                <w:noProof/>
                <w:webHidden/>
              </w:rPr>
              <w:fldChar w:fldCharType="begin"/>
            </w:r>
            <w:r w:rsidR="003D068F">
              <w:rPr>
                <w:noProof/>
                <w:webHidden/>
              </w:rPr>
              <w:instrText xml:space="preserve"> PAGEREF _Toc141121869 \h </w:instrText>
            </w:r>
            <w:r w:rsidR="00B912FB">
              <w:rPr>
                <w:noProof/>
                <w:webHidden/>
              </w:rPr>
            </w:r>
            <w:r w:rsidR="00B912FB">
              <w:rPr>
                <w:noProof/>
                <w:webHidden/>
              </w:rPr>
              <w:fldChar w:fldCharType="separate"/>
            </w:r>
            <w:r w:rsidR="003D068F">
              <w:rPr>
                <w:noProof/>
                <w:webHidden/>
              </w:rPr>
              <w:t>7</w:t>
            </w:r>
            <w:r w:rsidR="00B912FB">
              <w:rPr>
                <w:noProof/>
                <w:webHidden/>
              </w:rPr>
              <w:fldChar w:fldCharType="end"/>
            </w:r>
          </w:hyperlink>
        </w:p>
        <w:p w14:paraId="5ADA19D3" w14:textId="77777777" w:rsidR="003D068F" w:rsidRDefault="005E42C0">
          <w:pPr>
            <w:pStyle w:val="TOC1"/>
            <w:tabs>
              <w:tab w:val="right" w:leader="dot" w:pos="9350"/>
            </w:tabs>
            <w:rPr>
              <w:rFonts w:asciiTheme="minorHAnsi" w:eastAsiaTheme="minorEastAsia" w:hAnsiTheme="minorHAnsi"/>
              <w:noProof/>
            </w:rPr>
          </w:pPr>
          <w:hyperlink w:anchor="_Toc141121870" w:history="1">
            <w:r w:rsidR="003D068F" w:rsidRPr="00FA4D9C">
              <w:rPr>
                <w:rStyle w:val="Hyperlink"/>
                <w:noProof/>
              </w:rPr>
              <w:t>Conclusion</w:t>
            </w:r>
            <w:r w:rsidR="003D068F">
              <w:rPr>
                <w:noProof/>
                <w:webHidden/>
              </w:rPr>
              <w:tab/>
            </w:r>
            <w:r w:rsidR="00B912FB">
              <w:rPr>
                <w:noProof/>
                <w:webHidden/>
              </w:rPr>
              <w:fldChar w:fldCharType="begin"/>
            </w:r>
            <w:r w:rsidR="003D068F">
              <w:rPr>
                <w:noProof/>
                <w:webHidden/>
              </w:rPr>
              <w:instrText xml:space="preserve"> PAGEREF _Toc141121870 \h </w:instrText>
            </w:r>
            <w:r w:rsidR="00B912FB">
              <w:rPr>
                <w:noProof/>
                <w:webHidden/>
              </w:rPr>
            </w:r>
            <w:r w:rsidR="00B912FB">
              <w:rPr>
                <w:noProof/>
                <w:webHidden/>
              </w:rPr>
              <w:fldChar w:fldCharType="separate"/>
            </w:r>
            <w:r w:rsidR="003D068F">
              <w:rPr>
                <w:noProof/>
                <w:webHidden/>
              </w:rPr>
              <w:t>8</w:t>
            </w:r>
            <w:r w:rsidR="00B912FB">
              <w:rPr>
                <w:noProof/>
                <w:webHidden/>
              </w:rPr>
              <w:fldChar w:fldCharType="end"/>
            </w:r>
          </w:hyperlink>
        </w:p>
        <w:p w14:paraId="7C1DA145" w14:textId="77777777" w:rsidR="003D068F" w:rsidRDefault="005E42C0">
          <w:pPr>
            <w:pStyle w:val="TOC1"/>
            <w:tabs>
              <w:tab w:val="right" w:leader="dot" w:pos="9350"/>
            </w:tabs>
            <w:rPr>
              <w:rFonts w:asciiTheme="minorHAnsi" w:eastAsiaTheme="minorEastAsia" w:hAnsiTheme="minorHAnsi"/>
              <w:noProof/>
            </w:rPr>
          </w:pPr>
          <w:hyperlink w:anchor="_Toc141121871" w:history="1">
            <w:r w:rsidR="003D068F" w:rsidRPr="00FA4D9C">
              <w:rPr>
                <w:rStyle w:val="Hyperlink"/>
                <w:noProof/>
              </w:rPr>
              <w:t>References</w:t>
            </w:r>
            <w:r w:rsidR="003D068F">
              <w:rPr>
                <w:noProof/>
                <w:webHidden/>
              </w:rPr>
              <w:tab/>
            </w:r>
            <w:r w:rsidR="00B912FB">
              <w:rPr>
                <w:noProof/>
                <w:webHidden/>
              </w:rPr>
              <w:fldChar w:fldCharType="begin"/>
            </w:r>
            <w:r w:rsidR="003D068F">
              <w:rPr>
                <w:noProof/>
                <w:webHidden/>
              </w:rPr>
              <w:instrText xml:space="preserve"> PAGEREF _Toc141121871 \h </w:instrText>
            </w:r>
            <w:r w:rsidR="00B912FB">
              <w:rPr>
                <w:noProof/>
                <w:webHidden/>
              </w:rPr>
            </w:r>
            <w:r w:rsidR="00B912FB">
              <w:rPr>
                <w:noProof/>
                <w:webHidden/>
              </w:rPr>
              <w:fldChar w:fldCharType="separate"/>
            </w:r>
            <w:r w:rsidR="003D068F">
              <w:rPr>
                <w:noProof/>
                <w:webHidden/>
              </w:rPr>
              <w:t>9</w:t>
            </w:r>
            <w:r w:rsidR="00B912FB">
              <w:rPr>
                <w:noProof/>
                <w:webHidden/>
              </w:rPr>
              <w:fldChar w:fldCharType="end"/>
            </w:r>
          </w:hyperlink>
        </w:p>
        <w:p w14:paraId="17C0CA4E" w14:textId="77777777" w:rsidR="003D068F" w:rsidRDefault="00B912FB">
          <w:r>
            <w:fldChar w:fldCharType="end"/>
          </w:r>
        </w:p>
      </w:sdtContent>
    </w:sdt>
    <w:p w14:paraId="5A1DDE16" w14:textId="77777777" w:rsidR="003D068F" w:rsidRDefault="003D068F">
      <w:pPr>
        <w:spacing w:line="276" w:lineRule="auto"/>
        <w:jc w:val="left"/>
        <w:rPr>
          <w:rFonts w:eastAsiaTheme="majorEastAsia" w:cstheme="majorBidi"/>
          <w:b/>
          <w:bCs/>
          <w:sz w:val="28"/>
          <w:szCs w:val="28"/>
        </w:rPr>
      </w:pPr>
      <w:r>
        <w:br w:type="page"/>
      </w:r>
    </w:p>
    <w:p w14:paraId="46DDE455" w14:textId="77777777" w:rsidR="004417B0" w:rsidRDefault="004417B0" w:rsidP="003D068F">
      <w:pPr>
        <w:pStyle w:val="Heading1"/>
      </w:pPr>
      <w:bookmarkStart w:id="0" w:name="_Toc141121865"/>
      <w:r>
        <w:lastRenderedPageBreak/>
        <w:t>Introduction</w:t>
      </w:r>
      <w:bookmarkEnd w:id="0"/>
      <w:r>
        <w:t xml:space="preserve"> </w:t>
      </w:r>
    </w:p>
    <w:p w14:paraId="498D71C3" w14:textId="77777777" w:rsidR="00117F16" w:rsidRDefault="00117F16" w:rsidP="00877EEC">
      <w:r>
        <w:t>The safeguard policies and practices are known to be an important part of the society, which allows prevention of the abusive acts against the victims. Often, the abusive acts are being made to the most vulnerable groups in the society, like the children or women, and that can be found in different ways. The safeguard practices are allowed to ensure safety of these people with the help of a legal framework that can help in managing such sadistic, illegal and inhumanity practices against the vulnerable groups. This assignment will</w:t>
      </w:r>
      <w:r w:rsidR="0057171C">
        <w:t xml:space="preserve"> identify the importance</w:t>
      </w:r>
      <w:r w:rsidR="00FF2CC3">
        <w:t xml:space="preserve"> of </w:t>
      </w:r>
      <w:r>
        <w:t xml:space="preserve">these safeguard practice with some relevant examples.    </w:t>
      </w:r>
    </w:p>
    <w:p w14:paraId="52521A5C" w14:textId="77777777" w:rsidR="004417B0" w:rsidRDefault="00C643B3" w:rsidP="003D068F">
      <w:pPr>
        <w:pStyle w:val="Heading1"/>
      </w:pPr>
      <w:bookmarkStart w:id="1" w:name="_Toc141121866"/>
      <w:r>
        <w:t>Safeguard policies</w:t>
      </w:r>
      <w:r w:rsidR="00291DE8">
        <w:t xml:space="preserve"> and procedures</w:t>
      </w:r>
      <w:bookmarkEnd w:id="1"/>
      <w:r w:rsidR="00DB46DA">
        <w:t xml:space="preserve"> </w:t>
      </w:r>
    </w:p>
    <w:p w14:paraId="32CA1111" w14:textId="77777777" w:rsidR="005D01AB" w:rsidRDefault="00FF2CC3" w:rsidP="00877EEC">
      <w:r>
        <w:t xml:space="preserve">As described by </w:t>
      </w:r>
      <w:r w:rsidR="003D068F" w:rsidRPr="003D068F">
        <w:t xml:space="preserve">Firmin </w:t>
      </w:r>
      <w:r>
        <w:t>(</w:t>
      </w:r>
      <w:r w:rsidR="003D068F">
        <w:t>2020</w:t>
      </w:r>
      <w:r>
        <w:t xml:space="preserve">), the safeguard </w:t>
      </w:r>
      <w:r w:rsidR="003D068F">
        <w:t>policies refer</w:t>
      </w:r>
      <w:r>
        <w:t xml:space="preserve"> to the guidelines that are being defined and set for being incorporated in the Environmental Framework. Mostly, this is being done under the social framework, which can help in setting the forward requirements and procedural activities for the environmental screening of the relevant sub projects of the society.  This </w:t>
      </w:r>
      <w:r w:rsidR="008E1ACC">
        <w:t>includes multiple factors, or</w:t>
      </w:r>
      <w:r w:rsidR="00CC510A">
        <w:t xml:space="preserve"> it</w:t>
      </w:r>
      <w:r w:rsidR="008E1ACC">
        <w:t xml:space="preserve"> can be done in multiple aspects. </w:t>
      </w:r>
      <w:r w:rsidR="001318DF" w:rsidRPr="001318DF">
        <w:rPr>
          <w:i/>
        </w:rPr>
        <w:t xml:space="preserve">For example, </w:t>
      </w:r>
      <w:r w:rsidR="008E1ACC">
        <w:t xml:space="preserve">the children, women are the most important part, who can be brought under the safeguard practice. According to </w:t>
      </w:r>
      <w:r w:rsidR="003D068F">
        <w:t>Spreadbury</w:t>
      </w:r>
      <w:r w:rsidR="003D068F" w:rsidRPr="003D068F">
        <w:t xml:space="preserve"> and Hubbard </w:t>
      </w:r>
      <w:r w:rsidR="008E1ACC">
        <w:t>(</w:t>
      </w:r>
      <w:r w:rsidR="003D068F">
        <w:t>2020</w:t>
      </w:r>
      <w:r w:rsidR="008E1ACC">
        <w:t xml:space="preserve">), this can also be done on the materialistic perception as well. In this case, the acquisition and resettlement or land, preparation for environmental plans can be referred as the social safeguard practices. However, that can differ from one nation or locality from another, but the main aspect of introducing such safeguard practices and policies is to address the social risks and concerns. </w:t>
      </w:r>
    </w:p>
    <w:p w14:paraId="0CFD8442" w14:textId="77777777" w:rsidR="00FF2CC3" w:rsidRDefault="005D01AB" w:rsidP="00877EEC">
      <w:r>
        <w:t xml:space="preserve">As referred by </w:t>
      </w:r>
      <w:r w:rsidR="003D068F" w:rsidRPr="003D068F">
        <w:t xml:space="preserve">Tamers </w:t>
      </w:r>
      <w:r w:rsidR="001318DF" w:rsidRPr="001318DF">
        <w:rPr>
          <w:i/>
        </w:rPr>
        <w:t xml:space="preserve">et al. </w:t>
      </w:r>
      <w:r>
        <w:t>(</w:t>
      </w:r>
      <w:r w:rsidR="003D068F">
        <w:t>2020</w:t>
      </w:r>
      <w:r>
        <w:t xml:space="preserve">), the social safeguard policies are </w:t>
      </w:r>
      <w:r w:rsidR="001E0282">
        <w:t>healing</w:t>
      </w:r>
      <w:r>
        <w:t xml:space="preserve"> to prevent and mitigate the issues in society. This can also help to protect the people against the undue harm from social entities and environment and ensure a developmental process for </w:t>
      </w:r>
      <w:r w:rsidR="00CC510A">
        <w:t>humanity.</w:t>
      </w:r>
      <w:r>
        <w:t xml:space="preserve"> Besides, this can also help in </w:t>
      </w:r>
      <w:r w:rsidR="00CC510A">
        <w:t xml:space="preserve">to </w:t>
      </w:r>
      <w:r>
        <w:t>compensate the affected people and help in restoring the livelihoods of the society, at least to the prior development intervention level. Hence, this can be an important part of the social framework</w:t>
      </w:r>
      <w:r w:rsidR="00CC510A">
        <w:t xml:space="preserve">, which </w:t>
      </w:r>
      <w:r>
        <w:t xml:space="preserve">is based on the legal framework and judiciary system and </w:t>
      </w:r>
      <w:r w:rsidR="00CC510A">
        <w:t xml:space="preserve">it </w:t>
      </w:r>
      <w:r>
        <w:t>allows the people to pursue a safer or environment to live</w:t>
      </w:r>
      <w:r w:rsidR="003D068F">
        <w:t xml:space="preserve"> (Spreadbury</w:t>
      </w:r>
      <w:r w:rsidR="003D068F" w:rsidRPr="003D068F">
        <w:t xml:space="preserve"> and Hubbard</w:t>
      </w:r>
      <w:r w:rsidR="003D068F">
        <w:t>, 2020)</w:t>
      </w:r>
      <w:r>
        <w:t xml:space="preserve">. The main target of ensuring the safeguards policies in society is to serve for identity, avoid and minimize the harms for people as well as environment. </w:t>
      </w:r>
      <w:r w:rsidR="003D068F">
        <w:t xml:space="preserve">This has been introduced from the government entity </w:t>
      </w:r>
      <w:r w:rsidR="00CC510A">
        <w:t>to</w:t>
      </w:r>
      <w:r w:rsidR="003D068F">
        <w:t xml:space="preserve"> addresses</w:t>
      </w:r>
      <w:r>
        <w:t xml:space="preserve"> certain risks </w:t>
      </w:r>
      <w:r w:rsidR="00CC510A">
        <w:t>and</w:t>
      </w:r>
      <w:r>
        <w:t xml:space="preserve"> </w:t>
      </w:r>
      <w:r w:rsidR="003D068F">
        <w:t>ensure necessary</w:t>
      </w:r>
      <w:r>
        <w:t xml:space="preserve"> investments in such projects for further development.     </w:t>
      </w:r>
      <w:r w:rsidR="008E1ACC">
        <w:t xml:space="preserve">  </w:t>
      </w:r>
      <w:r w:rsidR="00FF2CC3">
        <w:t xml:space="preserve"> </w:t>
      </w:r>
    </w:p>
    <w:p w14:paraId="74C78B99" w14:textId="77777777" w:rsidR="00291DE8" w:rsidRDefault="00291DE8" w:rsidP="001318DF">
      <w:pPr>
        <w:pStyle w:val="Heading1"/>
      </w:pPr>
      <w:bookmarkStart w:id="2" w:name="_Toc141121867"/>
      <w:r>
        <w:lastRenderedPageBreak/>
        <w:t>Safeguard cas</w:t>
      </w:r>
      <w:r w:rsidRPr="001318DF">
        <w:t>e</w:t>
      </w:r>
      <w:r>
        <w:t>s</w:t>
      </w:r>
      <w:bookmarkEnd w:id="2"/>
      <w:r>
        <w:t xml:space="preserve"> </w:t>
      </w:r>
    </w:p>
    <w:p w14:paraId="2643728E" w14:textId="77777777" w:rsidR="00291DE8" w:rsidRDefault="00291DE8" w:rsidP="001318DF">
      <w:pPr>
        <w:pStyle w:val="Heading2"/>
      </w:pPr>
      <w:r w:rsidRPr="001318DF">
        <w:t>S</w:t>
      </w:r>
      <w:r w:rsidRPr="00291DE8">
        <w:t>tar Hobson case</w:t>
      </w:r>
      <w:r>
        <w:t xml:space="preserve"> </w:t>
      </w:r>
    </w:p>
    <w:p w14:paraId="048E82BD" w14:textId="77777777" w:rsidR="00240222" w:rsidRDefault="00240222" w:rsidP="00877EEC">
      <w:r>
        <w:t>In context of the safeguard cases in society, children act as the most vulnerable factor in this case</w:t>
      </w:r>
      <w:r w:rsidR="009648BC">
        <w:t xml:space="preserve"> (Levine, Morton</w:t>
      </w:r>
      <w:r w:rsidR="009648BC" w:rsidRPr="009648BC">
        <w:t xml:space="preserve"> and O’Reilly</w:t>
      </w:r>
      <w:r w:rsidR="009648BC">
        <w:t>, 2020)</w:t>
      </w:r>
      <w:r>
        <w:t xml:space="preserve">. Most cases are being done on children and that makes an immense impact on the society and their latter life. In this case, a case of </w:t>
      </w:r>
      <w:r w:rsidRPr="001318DF">
        <w:rPr>
          <w:b/>
        </w:rPr>
        <w:t>Star Hobson</w:t>
      </w:r>
      <w:r>
        <w:t xml:space="preserve"> can be included, which sets the question on the burden of children services in society. The case shows a terrible incident, in which a child has been murdered after a months of abuse. The most surprising incident was that, the entire abusive incidents have been done by the parents of this little 16 month old</w:t>
      </w:r>
      <w:r w:rsidR="008B4EA2">
        <w:t>-</w:t>
      </w:r>
      <w:r>
        <w:t>Star Hobson</w:t>
      </w:r>
      <w:r w:rsidR="00DB1682">
        <w:t xml:space="preserve"> </w:t>
      </w:r>
      <w:r w:rsidR="00DB1682" w:rsidRPr="00DB1682">
        <w:t>(Butler, 2021)</w:t>
      </w:r>
      <w:r>
        <w:t xml:space="preserve">. Her mother’s partner </w:t>
      </w:r>
      <w:r w:rsidRPr="00240222">
        <w:t>Savannah Brockhill</w:t>
      </w:r>
      <w:r>
        <w:t xml:space="preserve"> showed cruelty and abuse to the child, while her mother </w:t>
      </w:r>
      <w:r w:rsidRPr="00240222">
        <w:t>Frankie Smith</w:t>
      </w:r>
      <w:r>
        <w:t xml:space="preserve"> was found guilty as well. </w:t>
      </w:r>
    </w:p>
    <w:p w14:paraId="6A3A3545" w14:textId="77777777" w:rsidR="00DF57CD" w:rsidRDefault="00BD00C7" w:rsidP="00877EEC">
      <w:r>
        <w:t xml:space="preserve">In this case, the safeguard practice has been issued against the shattering killing incident. In this case, the murder incident of this </w:t>
      </w:r>
      <w:r w:rsidR="008B4EA2">
        <w:rPr>
          <w:i/>
        </w:rPr>
        <w:t>16-</w:t>
      </w:r>
      <w:r w:rsidRPr="001318DF">
        <w:rPr>
          <w:i/>
        </w:rPr>
        <w:t>month old</w:t>
      </w:r>
      <w:r>
        <w:t xml:space="preserve"> little child, Star Hobson, who has been beaten to death by her family members, </w:t>
      </w:r>
      <w:r w:rsidR="0057171C">
        <w:t xml:space="preserve">her mother’s partner, </w:t>
      </w:r>
      <w:r>
        <w:t xml:space="preserve">has been given justice by law. Her mother’s partner </w:t>
      </w:r>
      <w:r w:rsidRPr="001318DF">
        <w:rPr>
          <w:b/>
        </w:rPr>
        <w:t xml:space="preserve">Savannah Brockhill </w:t>
      </w:r>
      <w:r>
        <w:t>was convicted of murder and making cruelty and abuse to the little child</w:t>
      </w:r>
      <w:r w:rsidR="00DB1682">
        <w:t xml:space="preserve"> </w:t>
      </w:r>
      <w:r w:rsidR="00DB1682" w:rsidRPr="00DB1682">
        <w:t>(Butler, 2021)</w:t>
      </w:r>
      <w:r>
        <w:t xml:space="preserve">. Besides, her mother, </w:t>
      </w:r>
      <w:r w:rsidRPr="001318DF">
        <w:rPr>
          <w:b/>
        </w:rPr>
        <w:t>Frankie Smith</w:t>
      </w:r>
      <w:r>
        <w:t xml:space="preserve"> has also proven guilty in this case. She has been accused for allowing the death of the child or supporting the abusive act on her daughter. Both of these people were sentenced under the legal framework of the society, which shows the </w:t>
      </w:r>
      <w:r w:rsidR="00DF57CD">
        <w:t>safeguard</w:t>
      </w:r>
      <w:r>
        <w:t xml:space="preserve"> against the most vulnerable part of the society, or the children</w:t>
      </w:r>
      <w:r w:rsidR="009648BC">
        <w:t xml:space="preserve"> (Levine, Morton</w:t>
      </w:r>
      <w:r w:rsidR="009648BC" w:rsidRPr="009648BC">
        <w:t xml:space="preserve"> and O’Reilly</w:t>
      </w:r>
      <w:r w:rsidR="009648BC">
        <w:t>, 2020)</w:t>
      </w:r>
      <w:r>
        <w:t xml:space="preserve">. </w:t>
      </w:r>
    </w:p>
    <w:p w14:paraId="561A8323" w14:textId="77777777" w:rsidR="00BD00C7" w:rsidRDefault="00DF57CD" w:rsidP="00877EEC">
      <w:r>
        <w:t>However, the incident has also been observed in a similar unpleasant incident, which was occurred in another child. Some other incidents can also been identified in this case, which can be referred as the safeguard against the social issue, like child abusive practices</w:t>
      </w:r>
      <w:r w:rsidR="009648BC">
        <w:t xml:space="preserve"> (Levine, Morton</w:t>
      </w:r>
      <w:r w:rsidR="009648BC" w:rsidRPr="009648BC">
        <w:t xml:space="preserve"> and O’Reilly</w:t>
      </w:r>
      <w:r w:rsidR="009648BC">
        <w:t>, 2020)</w:t>
      </w:r>
      <w:r>
        <w:t>. However, a common pattern that has been found in such cases</w:t>
      </w:r>
      <w:r w:rsidR="00D46601">
        <w:t xml:space="preserve"> is that, in most of the cases, the attack is coming from the close people of the child. </w:t>
      </w:r>
      <w:r w:rsidR="001318DF" w:rsidRPr="001318DF">
        <w:rPr>
          <w:i/>
        </w:rPr>
        <w:t xml:space="preserve">For example, </w:t>
      </w:r>
      <w:r w:rsidR="00D46601">
        <w:t>the parents and carers were being accused for causing the violence against the children</w:t>
      </w:r>
      <w:r w:rsidR="00DB1682">
        <w:t xml:space="preserve"> </w:t>
      </w:r>
      <w:r w:rsidR="00DB1682" w:rsidRPr="00DB1682">
        <w:t>(Butler, 2021)</w:t>
      </w:r>
      <w:r w:rsidR="00D46601">
        <w:t xml:space="preserve">. This must set an alarm for the social workers t take the preventive measures against such cases, where, the children are being tortured or abused by their family members and slipped through safeguard net towards tragic consequences.  </w:t>
      </w:r>
      <w:r>
        <w:t xml:space="preserve">    </w:t>
      </w:r>
    </w:p>
    <w:p w14:paraId="5225C535" w14:textId="77777777" w:rsidR="0016539F" w:rsidRDefault="00CA09BC" w:rsidP="00877EEC">
      <w:r>
        <w:t xml:space="preserve">A heart wrenching story of </w:t>
      </w:r>
      <w:r w:rsidRPr="001318DF">
        <w:rPr>
          <w:b/>
        </w:rPr>
        <w:t xml:space="preserve">Arthur Labinjo-Hughes </w:t>
      </w:r>
      <w:r>
        <w:t xml:space="preserve">can also be included in this case, who was also been suffered from the abusive acts from the family members. It was an appalling case, in which a </w:t>
      </w:r>
      <w:r w:rsidR="008B4EA2" w:rsidRPr="001318DF">
        <w:rPr>
          <w:i/>
        </w:rPr>
        <w:t>six-year</w:t>
      </w:r>
      <w:r w:rsidR="008B4EA2">
        <w:rPr>
          <w:i/>
        </w:rPr>
        <w:t xml:space="preserve"> </w:t>
      </w:r>
      <w:r w:rsidR="008B4EA2" w:rsidRPr="001318DF">
        <w:rPr>
          <w:i/>
        </w:rPr>
        <w:t>old</w:t>
      </w:r>
      <w:r>
        <w:t xml:space="preserve"> child was abused tortured and beaten to death</w:t>
      </w:r>
      <w:r w:rsidR="00DB1682">
        <w:t xml:space="preserve"> </w:t>
      </w:r>
      <w:r w:rsidR="00DB1682" w:rsidRPr="00DB1682">
        <w:t>(Butler, 2021)</w:t>
      </w:r>
      <w:r>
        <w:t xml:space="preserve">. Surprisingly or unfortunately, in this case, the accused person was the stepmother of the little child, </w:t>
      </w:r>
      <w:r w:rsidRPr="00CA09BC">
        <w:t>Emma Tusti</w:t>
      </w:r>
      <w:r>
        <w:t xml:space="preserve">n. She has beaten the child during the Covid-19 lockdown period. However, the legal framework of the society has also made its own </w:t>
      </w:r>
      <w:r>
        <w:lastRenderedPageBreak/>
        <w:t>way towards justice, and showed the safeguard against the child abuse act in society</w:t>
      </w:r>
      <w:r w:rsidR="009648BC">
        <w:t xml:space="preserve"> (Levine, Morton</w:t>
      </w:r>
      <w:r w:rsidR="009648BC" w:rsidRPr="009648BC">
        <w:t xml:space="preserve"> and O’Reilly</w:t>
      </w:r>
      <w:r w:rsidR="009648BC">
        <w:t>, 2020)</w:t>
      </w:r>
      <w:r>
        <w:t>.</w:t>
      </w:r>
      <w:r w:rsidRPr="00CA09BC">
        <w:t xml:space="preserve"> </w:t>
      </w:r>
      <w:r w:rsidRPr="001318DF">
        <w:rPr>
          <w:b/>
        </w:rPr>
        <w:t xml:space="preserve">Emma Tustin </w:t>
      </w:r>
      <w:r>
        <w:t xml:space="preserve">has been sentenced for jailed for 29 years and Arthur’s father </w:t>
      </w:r>
      <w:r w:rsidRPr="001318DF">
        <w:rPr>
          <w:b/>
        </w:rPr>
        <w:t>Thomas Hughes</w:t>
      </w:r>
      <w:r>
        <w:t xml:space="preserve"> was also found guilty and received 21 years for manslaughter.   </w:t>
      </w:r>
    </w:p>
    <w:p w14:paraId="0E0B66E3" w14:textId="77777777" w:rsidR="001D5B11" w:rsidRDefault="0016539F" w:rsidP="00877EEC">
      <w:r>
        <w:t xml:space="preserve">As commented by </w:t>
      </w:r>
      <w:r w:rsidR="009648BC" w:rsidRPr="009648BC">
        <w:t xml:space="preserve">Lines </w:t>
      </w:r>
      <w:r w:rsidR="001318DF" w:rsidRPr="001318DF">
        <w:rPr>
          <w:i/>
        </w:rPr>
        <w:t xml:space="preserve">et al. </w:t>
      </w:r>
      <w:r>
        <w:t>(</w:t>
      </w:r>
      <w:r w:rsidR="009648BC">
        <w:t>2023</w:t>
      </w:r>
      <w:r>
        <w:t xml:space="preserve">), the incidents off child abuse can be referred as a lack or gap in the safeguard practices for the children. This can be considered as a shock at the inhumanity of the perpetrators, in which the accused people have shown the cruelty and brutality to the victim. These incidents has also shown the narcissism and sadistic determination, that ultimately leaded the person to cause harm to the children, who are the most vulnerable and easy target for them. According to </w:t>
      </w:r>
      <w:r w:rsidR="009648BC">
        <w:t>Firmin</w:t>
      </w:r>
      <w:r w:rsidR="009648BC" w:rsidRPr="009648BC">
        <w:t xml:space="preserve"> and Lloyd </w:t>
      </w:r>
      <w:r>
        <w:t>(</w:t>
      </w:r>
      <w:r w:rsidR="009648BC">
        <w:t>2020</w:t>
      </w:r>
      <w:r>
        <w:t xml:space="preserve">), there </w:t>
      </w:r>
      <w:r w:rsidR="009648BC">
        <w:t>comes the responsibility</w:t>
      </w:r>
      <w:r>
        <w:t xml:space="preserve"> from the respective authority to found the guilty and ensure that they are punished well against their act of cruelty.</w:t>
      </w:r>
      <w:r w:rsidR="006C6BA2">
        <w:t xml:space="preserve"> Besides, this also ensures that the safeguard is ensured for the vulnerable children against these people.</w:t>
      </w:r>
    </w:p>
    <w:p w14:paraId="6676C3C4" w14:textId="77777777" w:rsidR="00CA09BC" w:rsidRDefault="008033DA" w:rsidP="00877EEC">
      <w:r>
        <w:t>As stated by</w:t>
      </w:r>
      <w:r w:rsidR="009648BC" w:rsidRPr="009648BC">
        <w:t xml:space="preserve"> Lines</w:t>
      </w:r>
      <w:r w:rsidR="009648BC">
        <w:t xml:space="preserve"> </w:t>
      </w:r>
      <w:r w:rsidR="001318DF" w:rsidRPr="001318DF">
        <w:rPr>
          <w:i/>
        </w:rPr>
        <w:t xml:space="preserve">et al. </w:t>
      </w:r>
      <w:r w:rsidR="009648BC">
        <w:t>(2023</w:t>
      </w:r>
      <w:r>
        <w:t>), often the gap c</w:t>
      </w:r>
      <w:r w:rsidR="00C61633">
        <w:t xml:space="preserve">an be found at the social level, where the social workers or the respective </w:t>
      </w:r>
      <w:r w:rsidR="003D068F">
        <w:t>people have</w:t>
      </w:r>
      <w:r w:rsidR="00C61633">
        <w:t xml:space="preserve"> missed the chances to protect these children. In case of these above incidents, they have potentially missed the chances to </w:t>
      </w:r>
      <w:r w:rsidR="008B4EA2">
        <w:t>interfere</w:t>
      </w:r>
      <w:r w:rsidR="00AB1E1B">
        <w:t xml:space="preserve"> on</w:t>
      </w:r>
      <w:r w:rsidR="008B4EA2">
        <w:t xml:space="preserve"> </w:t>
      </w:r>
      <w:r w:rsidR="00DF07F5">
        <w:t>these tragic incidents an</w:t>
      </w:r>
      <w:r w:rsidR="00C61633">
        <w:t xml:space="preserve">d save children like Arthur and Star. </w:t>
      </w:r>
      <w:r w:rsidR="001318DF" w:rsidRPr="001318DF">
        <w:rPr>
          <w:i/>
        </w:rPr>
        <w:t xml:space="preserve">For example, </w:t>
      </w:r>
      <w:r w:rsidR="00C61633">
        <w:t>it has been identified tha</w:t>
      </w:r>
      <w:r w:rsidR="00DF07F5">
        <w:t xml:space="preserve">t, in case of Star, a social worker has visited and almost 6 referrals were made prior to her death by her </w:t>
      </w:r>
      <w:r w:rsidR="008B4EA2">
        <w:t>well-wishers</w:t>
      </w:r>
      <w:r w:rsidR="00DF07F5">
        <w:t xml:space="preserve">.  According </w:t>
      </w:r>
      <w:r w:rsidR="009648BC">
        <w:t xml:space="preserve">to </w:t>
      </w:r>
      <w:r w:rsidR="009648BC">
        <w:rPr>
          <w:rFonts w:ascii="Arial" w:hAnsi="Arial" w:cs="Arial"/>
          <w:color w:val="222222"/>
          <w:shd w:val="clear" w:color="auto" w:fill="FFFFFF"/>
        </w:rPr>
        <w:t>p.104668.</w:t>
      </w:r>
      <w:r w:rsidR="00DF07F5">
        <w:t>), the social workers often close the cases, while the police only visited single time and arrange the  necessary things. This shows that there may be a gap between policy determination and action taking regarding the child safeguard practice.</w:t>
      </w:r>
      <w:r w:rsidR="0016539F">
        <w:t xml:space="preserve">    </w:t>
      </w:r>
      <w:r w:rsidR="00CA09BC">
        <w:t xml:space="preserve">   </w:t>
      </w:r>
    </w:p>
    <w:p w14:paraId="754123F8" w14:textId="77777777" w:rsidR="00291DE8" w:rsidRDefault="00291DE8" w:rsidP="003D068F">
      <w:pPr>
        <w:pStyle w:val="Heading2"/>
      </w:pPr>
      <w:bookmarkStart w:id="3" w:name="_Toc141121868"/>
      <w:r w:rsidRPr="00291DE8">
        <w:t>Child sex abuse case</w:t>
      </w:r>
      <w:bookmarkEnd w:id="3"/>
      <w:r>
        <w:t xml:space="preserve"> </w:t>
      </w:r>
    </w:p>
    <w:p w14:paraId="5F0DE544" w14:textId="77777777" w:rsidR="00214275" w:rsidRDefault="002211BD" w:rsidP="00877EEC">
      <w:r>
        <w:t xml:space="preserve">The abusive incidents were also been found to the children, or women, in which the sexual abuse has been observed, and </w:t>
      </w:r>
      <w:r w:rsidR="008B4EA2">
        <w:t>that</w:t>
      </w:r>
      <w:r>
        <w:t xml:space="preserve"> brought under the safeguard case practices. However, the case disclose the abuse ring, in which seven children, who all are been aged only </w:t>
      </w:r>
      <w:r w:rsidRPr="001318DF">
        <w:rPr>
          <w:i/>
        </w:rPr>
        <w:t>12 years or even younger</w:t>
      </w:r>
      <w:r>
        <w:t xml:space="preserve"> were been abused. This case has spanned nearly a decade in Walsall and Wolverhampton</w:t>
      </w:r>
      <w:r w:rsidR="00DB1682">
        <w:t xml:space="preserve"> </w:t>
      </w:r>
      <w:r w:rsidR="003D068F">
        <w:t xml:space="preserve">(Flash </w:t>
      </w:r>
      <w:r w:rsidR="00DB1682" w:rsidRPr="00DB1682">
        <w:t>and Mackie, 2023)</w:t>
      </w:r>
      <w:r>
        <w:t xml:space="preserve">. However, the safeguard practice that has been observed in this case was to ensure the confidentially of the identities of these people, and not published to protect the identities of the victims. This incident was genuinely </w:t>
      </w:r>
      <w:r w:rsidR="00214275">
        <w:t>a critical though delicate unfortunate incident that has been occurred to these victims and the safeguard practices made in this case was proven effective</w:t>
      </w:r>
      <w:r w:rsidR="003D068F">
        <w:t xml:space="preserve"> (Russell</w:t>
      </w:r>
      <w:r w:rsidR="003D068F" w:rsidRPr="003D068F">
        <w:t xml:space="preserve"> and Higgins</w:t>
      </w:r>
      <w:r w:rsidR="003D068F">
        <w:t>, 2020)</w:t>
      </w:r>
      <w:r w:rsidR="00214275">
        <w:t xml:space="preserve">. </w:t>
      </w:r>
    </w:p>
    <w:p w14:paraId="33214B6E" w14:textId="77777777" w:rsidR="00214275" w:rsidRDefault="00214275" w:rsidP="00877EEC">
      <w:r>
        <w:t xml:space="preserve">The concern for this incident </w:t>
      </w:r>
      <w:r w:rsidR="008B4EA2">
        <w:t>became known</w:t>
      </w:r>
      <w:r>
        <w:t xml:space="preserve"> in the year 2014, when one of the victims went to visit in a hospital. This was occurred after 3 years of being devastated from the abusive practices on the victims. The child has told that to the carer and discuss about the extent of abuse to that person</w:t>
      </w:r>
      <w:r w:rsidR="009648BC">
        <w:t xml:space="preserve"> </w:t>
      </w:r>
      <w:r w:rsidR="003D068F">
        <w:t xml:space="preserve">(Flash </w:t>
      </w:r>
      <w:r w:rsidR="009648BC" w:rsidRPr="009648BC">
        <w:t xml:space="preserve">and Mackie, </w:t>
      </w:r>
      <w:r w:rsidR="009648BC" w:rsidRPr="009648BC">
        <w:lastRenderedPageBreak/>
        <w:t>2023)</w:t>
      </w:r>
      <w:r>
        <w:t xml:space="preserve">. This has further leaded to a </w:t>
      </w:r>
      <w:r w:rsidR="008B4EA2" w:rsidRPr="001318DF">
        <w:rPr>
          <w:i/>
        </w:rPr>
        <w:t>6-year</w:t>
      </w:r>
      <w:r w:rsidRPr="001318DF">
        <w:rPr>
          <w:i/>
        </w:rPr>
        <w:t xml:space="preserve"> long police investigation</w:t>
      </w:r>
      <w:r>
        <w:t>, and after that investigation, the West Midlands police has mentioned that incident as the largest child sex</w:t>
      </w:r>
      <w:r w:rsidR="002743AF">
        <w:t>-</w:t>
      </w:r>
      <w:r>
        <w:t xml:space="preserve">abuse case in force’s history. The legal </w:t>
      </w:r>
      <w:r w:rsidR="003D068F">
        <w:t>and judiciary bodies have</w:t>
      </w:r>
      <w:r>
        <w:t xml:space="preserve"> mentioned the sentence for the accused and guilt people and that can be counted as the safeguard practice against such a hilarious crime or the unlawful act in society</w:t>
      </w:r>
      <w:r w:rsidR="003D068F">
        <w:t xml:space="preserve"> (Russell</w:t>
      </w:r>
      <w:r w:rsidR="003D068F" w:rsidRPr="003D068F">
        <w:t xml:space="preserve"> and Higgins</w:t>
      </w:r>
      <w:r w:rsidR="003D068F">
        <w:t>, 2020)</w:t>
      </w:r>
      <w:r>
        <w:t xml:space="preserve">. </w:t>
      </w:r>
    </w:p>
    <w:p w14:paraId="1F5779C1" w14:textId="77777777" w:rsidR="004462E2" w:rsidRDefault="001E1D0F" w:rsidP="00877EEC">
      <w:r>
        <w:t xml:space="preserve">In this case, 13 of the defendants have been jailed due to their criminal activities, though 4 of them  has been sentenced for later date and another four people have been given to the non custodial sentences for their act. However, the discussion about the case is not permissible now </w:t>
      </w:r>
      <w:r w:rsidR="004462E2">
        <w:t>a day</w:t>
      </w:r>
      <w:r>
        <w:t>, as this may harm the confidentiality of the victims</w:t>
      </w:r>
      <w:r w:rsidR="003D068F">
        <w:t xml:space="preserve"> (Russell</w:t>
      </w:r>
      <w:r w:rsidR="003D068F" w:rsidRPr="003D068F">
        <w:t xml:space="preserve"> and Higgins</w:t>
      </w:r>
      <w:r w:rsidR="003D068F">
        <w:t>, 2020)</w:t>
      </w:r>
      <w:r>
        <w:t>. Hence, now, the case is only reported</w:t>
      </w:r>
      <w:r w:rsidR="004462E2">
        <w:t xml:space="preserve"> as the series of trials for this case has only ended in last year. However, the review of this case was carried out by BBC, was found 4 years back. Here, the </w:t>
      </w:r>
      <w:r w:rsidR="004462E2" w:rsidRPr="001318DF">
        <w:rPr>
          <w:b/>
          <w:i/>
        </w:rPr>
        <w:t>Walsall Safeguarding Partnership (WSP)</w:t>
      </w:r>
      <w:r w:rsidR="004462E2">
        <w:t xml:space="preserve"> has been proven </w:t>
      </w:r>
      <w:r w:rsidR="008B4EA2">
        <w:t>responsible</w:t>
      </w:r>
      <w:r w:rsidR="004462E2">
        <w:t xml:space="preserve"> for ensuring the safeguard for the vulnerable children as well as adults in the locality</w:t>
      </w:r>
      <w:r w:rsidR="009648BC">
        <w:t xml:space="preserve"> </w:t>
      </w:r>
      <w:r w:rsidR="009648BC" w:rsidRPr="009648BC">
        <w:t>(Flash</w:t>
      </w:r>
      <w:r w:rsidR="003D068F">
        <w:t xml:space="preserve"> </w:t>
      </w:r>
      <w:r w:rsidR="009648BC" w:rsidRPr="009648BC">
        <w:t>and Mackie, 2023)</w:t>
      </w:r>
      <w:r w:rsidR="004462E2">
        <w:t xml:space="preserve">. </w:t>
      </w:r>
      <w:r>
        <w:t xml:space="preserve"> </w:t>
      </w:r>
    </w:p>
    <w:p w14:paraId="79E69CD4" w14:textId="77777777" w:rsidR="004462E2" w:rsidRDefault="004462E2" w:rsidP="00877EEC">
      <w:r>
        <w:t xml:space="preserve">In this case, the inquiry has directly done by following the </w:t>
      </w:r>
      <w:r w:rsidRPr="001318DF">
        <w:rPr>
          <w:b/>
          <w:i/>
        </w:rPr>
        <w:t>WSP child sexual abuse strategy</w:t>
      </w:r>
      <w:r>
        <w:t>. This has shaped the training, which has been offered to the frontline staffs, in context of encountering such cases in practice</w:t>
      </w:r>
      <w:r w:rsidR="009648BC">
        <w:t xml:space="preserve"> </w:t>
      </w:r>
      <w:r w:rsidR="003D068F">
        <w:t>(Flash</w:t>
      </w:r>
      <w:r w:rsidR="009648BC" w:rsidRPr="009648BC">
        <w:t xml:space="preserve"> and Mackie, 2023)</w:t>
      </w:r>
      <w:r>
        <w:t xml:space="preserve">. This strategy is also reviewed by years after and the lessons are being taken from the court cases, as a part of this review activity. Here, the most emphasis has been given to the children and young people for showing their courage to come forward. All of these have helped them to take the legal actions against such activities, with the help and support of the local agencies, </w:t>
      </w:r>
      <w:r w:rsidR="000A1DD6">
        <w:t>which</w:t>
      </w:r>
      <w:r>
        <w:t xml:space="preserve"> have provided the stability to the situation, as well as the care and safe homes for the affected people</w:t>
      </w:r>
      <w:r w:rsidR="003D068F">
        <w:t xml:space="preserve"> (Russell</w:t>
      </w:r>
      <w:r w:rsidR="003D068F" w:rsidRPr="003D068F">
        <w:t xml:space="preserve"> and Higgins</w:t>
      </w:r>
      <w:r w:rsidR="003D068F">
        <w:t>, 2020)</w:t>
      </w:r>
      <w:r>
        <w:t>.</w:t>
      </w:r>
    </w:p>
    <w:p w14:paraId="1F1B684E" w14:textId="77777777" w:rsidR="002B6C62" w:rsidRDefault="000A1DD6" w:rsidP="00877EEC">
      <w:r>
        <w:t xml:space="preserve">As opined by </w:t>
      </w:r>
      <w:r w:rsidR="003D068F" w:rsidRPr="003D068F">
        <w:t xml:space="preserve">Quayle </w:t>
      </w:r>
      <w:r>
        <w:t>(</w:t>
      </w:r>
      <w:r w:rsidR="003D068F">
        <w:t>2020</w:t>
      </w:r>
      <w:r>
        <w:t>), in many of such cases of abusive activities, often the victims have lost the courage to come forward. Even, it also affects their social reputations, and the victims may lose support from the society that also acts as a hindrance of this justice movement. Here, no such is</w:t>
      </w:r>
      <w:r w:rsidR="005A1B59">
        <w:t>s</w:t>
      </w:r>
      <w:r>
        <w:t>ues have encountered, which can be considered as a positive sign for the safeguard activities.</w:t>
      </w:r>
      <w:r w:rsidR="005A1B59">
        <w:t xml:space="preserve">  The care and safe homes of that place, as well as the local agencies has helped to develop confidence among these people to fight against that abusive act. According to </w:t>
      </w:r>
      <w:r w:rsidR="003D068F">
        <w:t>Russell, Higgins</w:t>
      </w:r>
      <w:r w:rsidR="003D068F" w:rsidRPr="003D068F">
        <w:t xml:space="preserve"> and Posso </w:t>
      </w:r>
      <w:r w:rsidR="005A1B59">
        <w:t>(</w:t>
      </w:r>
      <w:r w:rsidR="003D068F">
        <w:t>2020</w:t>
      </w:r>
      <w:r w:rsidR="005A1B59">
        <w:t xml:space="preserve">), </w:t>
      </w:r>
      <w:r w:rsidR="002B6C62">
        <w:t>that can be done by public interest or the partnership overriding concern that help the people to overcome the horrific events in their later life and future aspects.</w:t>
      </w:r>
    </w:p>
    <w:p w14:paraId="797D3267" w14:textId="77777777" w:rsidR="00FC0F01" w:rsidRDefault="0006651A" w:rsidP="00877EEC">
      <w:r>
        <w:t xml:space="preserve">As mentioned by </w:t>
      </w:r>
      <w:r w:rsidR="003D068F" w:rsidRPr="003D068F">
        <w:t xml:space="preserve">Quayle </w:t>
      </w:r>
      <w:r>
        <w:t>(</w:t>
      </w:r>
      <w:r w:rsidR="003D068F">
        <w:t>2020</w:t>
      </w:r>
      <w:r>
        <w:t xml:space="preserve">), the partnership work is one of the most important lesson or movement, which is required for managing a safeguard activity. Besides, the professionals must not show any complacency while pursuing such cases, mostly, which contains such horrific and abusive practice. </w:t>
      </w:r>
      <w:r>
        <w:lastRenderedPageBreak/>
        <w:t xml:space="preserve">However, the professional must practice to identify and respond against concerns or risks associated with such cases of sexual abuse. According to </w:t>
      </w:r>
      <w:r w:rsidR="003D068F">
        <w:t>Russell, Higgins</w:t>
      </w:r>
      <w:r w:rsidR="003D068F" w:rsidRPr="003D068F">
        <w:t xml:space="preserve"> and Posso </w:t>
      </w:r>
      <w:r>
        <w:t>(</w:t>
      </w:r>
      <w:r w:rsidR="003D068F">
        <w:t>2020</w:t>
      </w:r>
      <w:r>
        <w:t xml:space="preserve">), the support from all agencies can also help in developing the multi agency arrangements and that can protect the children and young people from such incidents. Besides, this can also be found as the inspiration for all people who face such tragic incidents in their life and help them to come forward with coordinated and effective response.  </w:t>
      </w:r>
      <w:r w:rsidR="005A1B59">
        <w:t xml:space="preserve"> </w:t>
      </w:r>
      <w:r w:rsidR="000A1DD6">
        <w:t xml:space="preserve">  </w:t>
      </w:r>
      <w:r w:rsidR="004462E2">
        <w:t xml:space="preserve"> </w:t>
      </w:r>
      <w:r w:rsidR="00214275">
        <w:t xml:space="preserve">  </w:t>
      </w:r>
      <w:r w:rsidR="002211BD">
        <w:t xml:space="preserve"> </w:t>
      </w:r>
    </w:p>
    <w:p w14:paraId="530390DA" w14:textId="77777777" w:rsidR="00291DE8" w:rsidRDefault="00291DE8" w:rsidP="003D068F">
      <w:pPr>
        <w:pStyle w:val="Heading1"/>
      </w:pPr>
      <w:bookmarkStart w:id="4" w:name="_Toc141121869"/>
      <w:r>
        <w:t xml:space="preserve">Importance of </w:t>
      </w:r>
      <w:r w:rsidR="00055C7D">
        <w:t xml:space="preserve">the </w:t>
      </w:r>
      <w:r>
        <w:t>safeguard policies</w:t>
      </w:r>
      <w:bookmarkEnd w:id="4"/>
      <w:r>
        <w:t xml:space="preserve"> </w:t>
      </w:r>
    </w:p>
    <w:p w14:paraId="4AD8E9B7" w14:textId="77777777" w:rsidR="00EF0ACB" w:rsidRDefault="00EF0ACB" w:rsidP="00877EEC">
      <w:r>
        <w:t xml:space="preserve">As discussed by </w:t>
      </w:r>
      <w:r w:rsidR="003D068F">
        <w:t>Singh</w:t>
      </w:r>
      <w:r w:rsidR="003D068F" w:rsidRPr="003D068F">
        <w:t xml:space="preserve"> and Lehl </w:t>
      </w:r>
      <w:r>
        <w:t>(</w:t>
      </w:r>
      <w:r w:rsidR="003D068F">
        <w:t>2020</w:t>
      </w:r>
      <w:r>
        <w:t>), the safeguard practice is an important part of the society, which protects both the children and adults from any sorts of harm, injury and neglect. The practice can be imposed on any social extent and at any level. This ensures the safety and wellbeing of the adults and children, which acts as the important concern for the society, when it comes in case of social activities. According to</w:t>
      </w:r>
      <w:r w:rsidR="003D068F" w:rsidRPr="003D068F">
        <w:t xml:space="preserve"> Appleton</w:t>
      </w:r>
      <w:r>
        <w:t xml:space="preserve"> </w:t>
      </w:r>
      <w:r w:rsidR="001318DF" w:rsidRPr="001318DF">
        <w:rPr>
          <w:i/>
        </w:rPr>
        <w:t xml:space="preserve">et al. </w:t>
      </w:r>
      <w:r>
        <w:t>(</w:t>
      </w:r>
      <w:r w:rsidR="003D068F">
        <w:t>2023</w:t>
      </w:r>
      <w:r>
        <w:t xml:space="preserve">), the safeguard policies helps the people to stay safe in society or in case of any harm to them, ensure proper penalty to the accused individual to avoid such nuisance in society. This can also protects the child and adults from any sufferings from others. </w:t>
      </w:r>
    </w:p>
    <w:p w14:paraId="7E8AE83E" w14:textId="77777777" w:rsidR="00D24B61" w:rsidRDefault="00EF0ACB" w:rsidP="00877EEC">
      <w:r>
        <w:t>As suggested</w:t>
      </w:r>
      <w:r w:rsidR="003D068F">
        <w:t xml:space="preserve"> by Singh</w:t>
      </w:r>
      <w:r w:rsidR="003D068F" w:rsidRPr="003D068F">
        <w:t xml:space="preserve"> and Lehl </w:t>
      </w:r>
      <w:r w:rsidR="003D068F">
        <w:t>(2020</w:t>
      </w:r>
      <w:r>
        <w:t xml:space="preserve">), the safeguard policies and practices can be introduced at the social entities to maintain safety of the vulnerable groups. Although, the policies are being addressed for all people, the major vulnerability is found among the children and women. The policies ensure that these vulnerable groups remain safely within society or ensure all judicial support to them. According to </w:t>
      </w:r>
      <w:r w:rsidR="003D068F" w:rsidRPr="003D068F">
        <w:t xml:space="preserve">Appleton </w:t>
      </w:r>
      <w:r w:rsidR="001318DF" w:rsidRPr="001318DF">
        <w:rPr>
          <w:i/>
        </w:rPr>
        <w:t xml:space="preserve">et al. </w:t>
      </w:r>
      <w:r>
        <w:t>(</w:t>
      </w:r>
      <w:r w:rsidR="003D068F">
        <w:t>2023</w:t>
      </w:r>
      <w:r>
        <w:t>), this can help in preventing the harm or hazards to these people and make them feel safe and acquire the necessary social supports from surroundings. Thus,</w:t>
      </w:r>
      <w:r w:rsidR="00D24B61">
        <w:t xml:space="preserve"> this a</w:t>
      </w:r>
      <w:r>
        <w:t xml:space="preserve">cts as the important tool through which the people can </w:t>
      </w:r>
      <w:r w:rsidR="002743AF">
        <w:t>meet</w:t>
      </w:r>
      <w:r>
        <w:t xml:space="preserve"> the services at multiple extents, like schools, workplaces, and so on in society. </w:t>
      </w:r>
    </w:p>
    <w:p w14:paraId="31FC9FC4" w14:textId="77777777" w:rsidR="001C6154" w:rsidRDefault="00D24B61" w:rsidP="00877EEC">
      <w:r>
        <w:t>As</w:t>
      </w:r>
      <w:r w:rsidR="003D068F">
        <w:t xml:space="preserve"> identified by Mason-Jones</w:t>
      </w:r>
      <w:r w:rsidR="003D068F" w:rsidRPr="003D068F">
        <w:t xml:space="preserve"> and Loggie </w:t>
      </w:r>
      <w:r w:rsidR="003D068F">
        <w:t>(2020</w:t>
      </w:r>
      <w:r>
        <w:t xml:space="preserve">), the safeguard </w:t>
      </w:r>
      <w:r w:rsidR="001318DF">
        <w:t>policies reduce</w:t>
      </w:r>
      <w:r>
        <w:t xml:space="preserve"> the chances of harm to the vulnerable groups of the society with the judicial and legal framework. Besides, this also sets a framework that can be practiced to ensure safety of these people. </w:t>
      </w:r>
      <w:r w:rsidR="001318DF" w:rsidRPr="001318DF">
        <w:rPr>
          <w:i/>
        </w:rPr>
        <w:t xml:space="preserve">For example, </w:t>
      </w:r>
      <w:r>
        <w:t>in case of the child abuse or beating incident, the carers or social workers get involved and take necessary actions to ensure that these children get free from the traumatic and tragic situation, unfortunately from their own family members. According</w:t>
      </w:r>
      <w:r w:rsidR="003D068F">
        <w:t xml:space="preserve"> to Mason-Jones</w:t>
      </w:r>
      <w:r w:rsidR="003D068F" w:rsidRPr="003D068F">
        <w:t xml:space="preserve"> and Loggie </w:t>
      </w:r>
      <w:r w:rsidR="003D068F">
        <w:t>(2020</w:t>
      </w:r>
      <w:r>
        <w:t xml:space="preserve">), the safeguard policies can also take necessary actions to those people, who have proven guilty to such cases. This can help in reducing the chances of such abuse to children in society.  </w:t>
      </w:r>
    </w:p>
    <w:p w14:paraId="4389E4D1" w14:textId="77777777" w:rsidR="00AA6337" w:rsidRDefault="001C6154" w:rsidP="00877EEC">
      <w:r>
        <w:t xml:space="preserve">As focused by </w:t>
      </w:r>
      <w:r w:rsidR="003D068F">
        <w:t>Ramaswamy</w:t>
      </w:r>
      <w:r w:rsidR="003D068F" w:rsidRPr="003D068F">
        <w:t xml:space="preserve"> and Seshadri </w:t>
      </w:r>
      <w:r>
        <w:t>(</w:t>
      </w:r>
      <w:r w:rsidR="003D068F">
        <w:t>2020</w:t>
      </w:r>
      <w:r>
        <w:t>),</w:t>
      </w:r>
      <w:r w:rsidR="00355195">
        <w:t xml:space="preserve"> the safeguard policies can also help in setting a supportive environment for the victims, and ensures their human rights to live with proper reputation and social </w:t>
      </w:r>
      <w:r w:rsidR="00355195">
        <w:lastRenderedPageBreak/>
        <w:t xml:space="preserve">standards. </w:t>
      </w:r>
      <w:r w:rsidR="001318DF" w:rsidRPr="001318DF">
        <w:rPr>
          <w:i/>
        </w:rPr>
        <w:t xml:space="preserve">For example, </w:t>
      </w:r>
      <w:r w:rsidR="00355195">
        <w:t xml:space="preserve">the case of child sex abuse, the safeguard policies not only took standpoint against the accused and sentenced them against their activities, but also supported the victims in many ways. They avoided the disclosure of any news or information about the victims in public platforms to protect the confidentiality and social position of the victims. The reports only </w:t>
      </w:r>
      <w:r w:rsidR="006A2F98">
        <w:t>are</w:t>
      </w:r>
      <w:r w:rsidR="00355195">
        <w:t xml:space="preserve"> published after completion of trials and local agencies supported the people to come forward. According</w:t>
      </w:r>
      <w:r w:rsidR="003D068F">
        <w:t xml:space="preserve"> to Mason-Jones</w:t>
      </w:r>
      <w:r w:rsidR="003D068F" w:rsidRPr="003D068F">
        <w:t xml:space="preserve"> and Loggie </w:t>
      </w:r>
      <w:r w:rsidR="003D068F">
        <w:t>(2020), this can ac</w:t>
      </w:r>
      <w:r w:rsidR="00355195">
        <w:t xml:space="preserve">t as social support system for people.  </w:t>
      </w:r>
      <w:r w:rsidR="00D24B61">
        <w:t xml:space="preserve">     </w:t>
      </w:r>
      <w:r w:rsidR="00EF0ACB">
        <w:t xml:space="preserve">  </w:t>
      </w:r>
    </w:p>
    <w:p w14:paraId="1C1BEBC3" w14:textId="77777777" w:rsidR="00291DE8" w:rsidRDefault="00291DE8" w:rsidP="003D068F">
      <w:pPr>
        <w:pStyle w:val="Heading1"/>
      </w:pPr>
      <w:bookmarkStart w:id="5" w:name="_Toc141121870"/>
      <w:r>
        <w:t>Conclusion</w:t>
      </w:r>
      <w:bookmarkEnd w:id="5"/>
      <w:r>
        <w:t xml:space="preserve"> </w:t>
      </w:r>
    </w:p>
    <w:p w14:paraId="76305667" w14:textId="77777777" w:rsidR="003D068F" w:rsidRDefault="004074A3" w:rsidP="00877EEC">
      <w:r>
        <w:t xml:space="preserve">From the above discussion, it can be identified that the safeguard policies and practices are mend for the betterment of the society or in other words ensure a safer environment for the people. This can </w:t>
      </w:r>
      <w:r w:rsidR="006A2F98">
        <w:t>come</w:t>
      </w:r>
      <w:r>
        <w:t xml:space="preserve"> from multiple aspects, though in this </w:t>
      </w:r>
      <w:r w:rsidR="006A2F98">
        <w:t>report</w:t>
      </w:r>
      <w:r>
        <w:t xml:space="preserve">, the </w:t>
      </w:r>
      <w:r w:rsidR="002743AF">
        <w:t>key</w:t>
      </w:r>
      <w:r>
        <w:t xml:space="preserve"> focus has imposed on the most vulnerable group off the society, children. Two incidents or cases have incorporated this assignment based on which the safeguard practices on children can be identified. </w:t>
      </w:r>
      <w:r w:rsidR="002743AF">
        <w:t>This includes</w:t>
      </w:r>
      <w:r>
        <w:t xml:space="preserve"> the abusive acts on children, like beating and sexual exploitation of children against </w:t>
      </w:r>
      <w:r w:rsidR="002743AF">
        <w:t>that</w:t>
      </w:r>
      <w:r>
        <w:t xml:space="preserve"> the legal and judiciary movements have developed.  </w:t>
      </w:r>
    </w:p>
    <w:p w14:paraId="376FA0F5" w14:textId="77777777" w:rsidR="003D068F" w:rsidRDefault="003D068F">
      <w:pPr>
        <w:spacing w:line="276" w:lineRule="auto"/>
        <w:jc w:val="left"/>
      </w:pPr>
      <w:r>
        <w:br w:type="page"/>
      </w:r>
    </w:p>
    <w:p w14:paraId="507EB470" w14:textId="77777777" w:rsidR="00B86F89" w:rsidRDefault="003D068F" w:rsidP="003D068F">
      <w:pPr>
        <w:pStyle w:val="Heading1"/>
      </w:pPr>
      <w:bookmarkStart w:id="6" w:name="_Toc141121871"/>
      <w:r>
        <w:lastRenderedPageBreak/>
        <w:t>References</w:t>
      </w:r>
      <w:bookmarkEnd w:id="6"/>
      <w:r>
        <w:t xml:space="preserve"> </w:t>
      </w:r>
    </w:p>
    <w:p w14:paraId="27DD19EF" w14:textId="77777777" w:rsidR="003D068F" w:rsidRPr="003D068F" w:rsidRDefault="003D068F" w:rsidP="003D068F">
      <w:r w:rsidRPr="003D068F">
        <w:t>Appleton, J.V., Bekaert, S., Hucker, J., Zlatkute, G., Paavilainen, E., Schecke, H., Specka, M., Scherbaum, N., Jouet, E., Zabłocka-Żytka, L. and Woźniak-Prus, M., (2023). “A pan-European review of good practices in early intervention safeguarding practice with children, young people and families: evidence gathering to inform a multi-disciplinary training programme (the ERICA project) in preventing child abuse and neglect in seven European countries”. </w:t>
      </w:r>
      <w:r w:rsidRPr="003D068F">
        <w:rPr>
          <w:i/>
          <w:iCs/>
        </w:rPr>
        <w:t>International journal on child maltreatment: research, policy and practice</w:t>
      </w:r>
      <w:r w:rsidRPr="003D068F">
        <w:t>, </w:t>
      </w:r>
      <w:r w:rsidRPr="003D068F">
        <w:rPr>
          <w:i/>
          <w:iCs/>
        </w:rPr>
        <w:t>6</w:t>
      </w:r>
      <w:r w:rsidRPr="003D068F">
        <w:t>(1), pp.119-130. doi: 10.1007/s42448-022-00132-x</w:t>
      </w:r>
    </w:p>
    <w:p w14:paraId="6838B938" w14:textId="77777777" w:rsidR="003D068F" w:rsidRPr="003D068F" w:rsidRDefault="003D068F" w:rsidP="003D068F">
      <w:r w:rsidRPr="003D068F">
        <w:t>Butler, P. (2021) </w:t>
      </w:r>
      <w:r w:rsidRPr="003D068F">
        <w:rPr>
          <w:i/>
          <w:iCs/>
        </w:rPr>
        <w:t>Star Hobson case raises more questions over burden on children’s services</w:t>
      </w:r>
      <w:r w:rsidRPr="003D068F">
        <w:t>, </w:t>
      </w:r>
      <w:r w:rsidRPr="003D068F">
        <w:rPr>
          <w:i/>
          <w:iCs/>
        </w:rPr>
        <w:t>the Guardian</w:t>
      </w:r>
      <w:r w:rsidRPr="003D068F">
        <w:t>. Available at: https://www.theguardian.com/society/2021/dec/14/star-hobson-case-raises-more-questions-over-burden-on-childrens-services (Accessed: 24 July 2023).</w:t>
      </w:r>
    </w:p>
    <w:p w14:paraId="6326798D" w14:textId="77777777" w:rsidR="003D068F" w:rsidRPr="003D068F" w:rsidRDefault="003D068F" w:rsidP="003D068F">
      <w:r w:rsidRPr="003D068F">
        <w:t>Firmin, C. and Lloyd, J., (2020). </w:t>
      </w:r>
      <w:r w:rsidRPr="003D068F">
        <w:rPr>
          <w:i/>
          <w:iCs/>
        </w:rPr>
        <w:t>Contextual safeguarding: a 2020 update on the operational, strategic and conceptual framework</w:t>
      </w:r>
      <w:r w:rsidRPr="003D068F">
        <w:rPr>
          <w:rFonts w:ascii="Tahoma" w:hAnsi="Tahoma" w:cs="Tahoma"/>
          <w:i/>
          <w:iCs/>
        </w:rPr>
        <w:t>﻿</w:t>
      </w:r>
      <w:r w:rsidRPr="003D068F">
        <w:t>. Contextual Safeguarding Network. p.1-12.</w:t>
      </w:r>
    </w:p>
    <w:p w14:paraId="5611F8C1" w14:textId="77777777" w:rsidR="003D068F" w:rsidRPr="003D068F" w:rsidRDefault="003D068F" w:rsidP="003D068F">
      <w:r w:rsidRPr="003D068F">
        <w:t>Firmin, C., (2020). </w:t>
      </w:r>
      <w:r w:rsidRPr="003D068F">
        <w:rPr>
          <w:i/>
          <w:iCs/>
        </w:rPr>
        <w:t>Contextual safeguarding and child protection: Rewriting the rules</w:t>
      </w:r>
      <w:r w:rsidRPr="003D068F">
        <w:t>. Taylor &amp; Francis.</w:t>
      </w:r>
    </w:p>
    <w:p w14:paraId="0A80D87C" w14:textId="77777777" w:rsidR="003D068F" w:rsidRPr="003D068F" w:rsidRDefault="003D068F" w:rsidP="003D068F">
      <w:r w:rsidRPr="003D068F">
        <w:t>Flash , O. and Mackie, P. (2023) ‘Force’s largest child sex abuse case safeguarding report concealed’, </w:t>
      </w:r>
      <w:r w:rsidRPr="003D068F">
        <w:rPr>
          <w:i/>
          <w:iCs/>
        </w:rPr>
        <w:t>BBC News</w:t>
      </w:r>
      <w:r w:rsidRPr="003D068F">
        <w:t>, 6 April. Available at: https://www.bbc.com/news/uk-england-birmingham-65203493 (Accessed: 24 July 2023).</w:t>
      </w:r>
    </w:p>
    <w:p w14:paraId="0BFDD4C2" w14:textId="77777777" w:rsidR="003D068F" w:rsidRPr="003D068F" w:rsidRDefault="003D068F" w:rsidP="003D068F">
      <w:r w:rsidRPr="003D068F">
        <w:t>Levine, D.T., Morton, J. and O’Reilly, M., (2020). “Child safety, protection, and safeguarding in the time of COVID-19 in Great Britain: Proposing a conceptual framework”. </w:t>
      </w:r>
      <w:r w:rsidRPr="003D068F">
        <w:rPr>
          <w:i/>
          <w:iCs/>
        </w:rPr>
        <w:t>Child Abuse &amp; Neglect</w:t>
      </w:r>
      <w:r w:rsidRPr="003D068F">
        <w:t>, </w:t>
      </w:r>
      <w:r w:rsidRPr="003D068F">
        <w:rPr>
          <w:i/>
          <w:iCs/>
        </w:rPr>
        <w:t>110</w:t>
      </w:r>
      <w:r w:rsidRPr="003D068F">
        <w:t>, p.104668. doi: 10.1016/j.chiabu.2020.104668</w:t>
      </w:r>
    </w:p>
    <w:p w14:paraId="23D7C370" w14:textId="77777777" w:rsidR="003D068F" w:rsidRPr="003D068F" w:rsidRDefault="003D068F" w:rsidP="003D068F">
      <w:r w:rsidRPr="003D068F">
        <w:t>Lines, L.E., Kakyo, T.A., Hutton, A., Mwashala, W.W. and Grant, J.M., (2023). “How are responses to child abuse and neglect conceptualised in Australian policy?”. </w:t>
      </w:r>
      <w:r w:rsidRPr="003D068F">
        <w:rPr>
          <w:i/>
          <w:iCs/>
        </w:rPr>
        <w:t>Children and Youth Services Review</w:t>
      </w:r>
      <w:r w:rsidRPr="003D068F">
        <w:t>, </w:t>
      </w:r>
      <w:r w:rsidRPr="003D068F">
        <w:rPr>
          <w:i/>
          <w:iCs/>
        </w:rPr>
        <w:t>145</w:t>
      </w:r>
      <w:r w:rsidRPr="003D068F">
        <w:t>, p.106794. doi: 10.1016/j.childyouth.2022.106794</w:t>
      </w:r>
    </w:p>
    <w:p w14:paraId="27715291" w14:textId="77777777" w:rsidR="003D068F" w:rsidRPr="003D068F" w:rsidRDefault="003D068F" w:rsidP="003D068F">
      <w:r w:rsidRPr="003D068F">
        <w:t>Mason-Jones, A.J. and Loggie, J., (2020). “Child sexual exploitation. An analysis of serious case reviews in England: poor communication, incorrect assumptions and adolescent neglect”. </w:t>
      </w:r>
      <w:r w:rsidRPr="003D068F">
        <w:rPr>
          <w:i/>
          <w:iCs/>
        </w:rPr>
        <w:t>Journal of Public Health</w:t>
      </w:r>
      <w:r w:rsidRPr="003D068F">
        <w:t>, </w:t>
      </w:r>
      <w:r w:rsidRPr="003D068F">
        <w:rPr>
          <w:i/>
          <w:iCs/>
        </w:rPr>
        <w:t>42</w:t>
      </w:r>
      <w:r w:rsidRPr="003D068F">
        <w:t>(1), pp.62-68. doi: 10.1093/pubmed/fdy227</w:t>
      </w:r>
    </w:p>
    <w:p w14:paraId="417944F7" w14:textId="77777777" w:rsidR="003D068F" w:rsidRPr="003D068F" w:rsidRDefault="003D068F" w:rsidP="003D068F">
      <w:r w:rsidRPr="003D068F">
        <w:t>Quayle, E., (2020, December). “Prevention, disruption and deterrence of online child sexual exploitation and abuse”. In </w:t>
      </w:r>
      <w:r w:rsidRPr="003D068F">
        <w:rPr>
          <w:i/>
          <w:iCs/>
        </w:rPr>
        <w:t>Era Forum</w:t>
      </w:r>
      <w:r w:rsidRPr="003D068F">
        <w:t> (Vol. 21, No. 3, pp. 429-447). Berlin/Heidelberg: Springer Berlin Heidelberg. doi: 10.1007/s12027-020-00625-7</w:t>
      </w:r>
    </w:p>
    <w:p w14:paraId="64578BB9" w14:textId="77777777" w:rsidR="003D068F" w:rsidRPr="003D068F" w:rsidRDefault="003D068F" w:rsidP="003D068F">
      <w:r w:rsidRPr="003D068F">
        <w:lastRenderedPageBreak/>
        <w:t>Ramaswamy, S. and Seshadri, S., (2020). “Children on the brink: Risks for child protection, sexual abuse, and related mental health problems in the COVID-19 pandemic”. </w:t>
      </w:r>
      <w:r w:rsidRPr="003D068F">
        <w:rPr>
          <w:i/>
          <w:iCs/>
        </w:rPr>
        <w:t>Indian journal of psychiatry</w:t>
      </w:r>
      <w:r w:rsidRPr="003D068F">
        <w:t>, </w:t>
      </w:r>
      <w:r w:rsidRPr="003D068F">
        <w:rPr>
          <w:i/>
          <w:iCs/>
        </w:rPr>
        <w:t>62</w:t>
      </w:r>
      <w:r w:rsidRPr="003D068F">
        <w:t>(Suppl 3), p.S404. doi: 10.4103/psychiatry.IndianJPsychiatry_1032_20</w:t>
      </w:r>
    </w:p>
    <w:p w14:paraId="0D9829CD" w14:textId="77777777" w:rsidR="003D068F" w:rsidRPr="003D068F" w:rsidRDefault="003D068F" w:rsidP="003D068F">
      <w:r w:rsidRPr="003D068F">
        <w:t>Russell, D. and Higgins, D., (2020). “Safeguarding capabilities in preventing child sexual abuse: Exploratory factor analysis of a scale measuring safeguarding capabilities in youth-serving organizations workers”. </w:t>
      </w:r>
      <w:r w:rsidRPr="003D068F">
        <w:rPr>
          <w:i/>
          <w:iCs/>
        </w:rPr>
        <w:t>Child maltreatment</w:t>
      </w:r>
      <w:r w:rsidRPr="003D068F">
        <w:t>, </w:t>
      </w:r>
      <w:r w:rsidRPr="003D068F">
        <w:rPr>
          <w:i/>
          <w:iCs/>
        </w:rPr>
        <w:t>25</w:t>
      </w:r>
      <w:r w:rsidRPr="003D068F">
        <w:t>(2), pp.233-242. doi: 10.1177/1077559519870253</w:t>
      </w:r>
    </w:p>
    <w:p w14:paraId="21885F09" w14:textId="77777777" w:rsidR="003D068F" w:rsidRPr="003D068F" w:rsidRDefault="003D068F" w:rsidP="003D068F">
      <w:r w:rsidRPr="003D068F">
        <w:t>Russell, D., Higgins, D. and Posso, A., (2020). “Preventing child sexual abuse: A systematic review of interventions and their efficacy in developing countries”. </w:t>
      </w:r>
      <w:r w:rsidRPr="003D068F">
        <w:rPr>
          <w:i/>
          <w:iCs/>
        </w:rPr>
        <w:t>Child abuse &amp; neglect</w:t>
      </w:r>
      <w:r w:rsidRPr="003D068F">
        <w:t>, </w:t>
      </w:r>
      <w:r w:rsidRPr="003D068F">
        <w:rPr>
          <w:i/>
          <w:iCs/>
        </w:rPr>
        <w:t>102</w:t>
      </w:r>
      <w:r w:rsidRPr="003D068F">
        <w:t>, p.104395. doi: 10.1016/j.chiabu.2020.104395</w:t>
      </w:r>
    </w:p>
    <w:p w14:paraId="07B2B3A4" w14:textId="77777777" w:rsidR="003D068F" w:rsidRPr="003D068F" w:rsidRDefault="003D068F" w:rsidP="003D068F">
      <w:r w:rsidRPr="003D068F">
        <w:t>Singh, V. and Lehl, G., (2020). “Child abuse and the role of a dentist in its identification, prevention and protection: A literature review”. </w:t>
      </w:r>
      <w:r w:rsidRPr="003D068F">
        <w:rPr>
          <w:i/>
          <w:iCs/>
        </w:rPr>
        <w:t>Dental Research Journal</w:t>
      </w:r>
      <w:r w:rsidRPr="003D068F">
        <w:t>, </w:t>
      </w:r>
      <w:r w:rsidRPr="003D068F">
        <w:rPr>
          <w:i/>
          <w:iCs/>
        </w:rPr>
        <w:t>17</w:t>
      </w:r>
      <w:r w:rsidRPr="003D068F">
        <w:t>(3), p.167.</w:t>
      </w:r>
    </w:p>
    <w:p w14:paraId="6DA2461C" w14:textId="77777777" w:rsidR="003D068F" w:rsidRPr="003D068F" w:rsidRDefault="003D068F" w:rsidP="003D068F">
      <w:r w:rsidRPr="003D068F">
        <w:t>Spreadbury, K. and Hubbard, R., (2020). </w:t>
      </w:r>
      <w:r w:rsidRPr="003D068F">
        <w:rPr>
          <w:i/>
          <w:iCs/>
        </w:rPr>
        <w:t>The adult safeguarding practice handbook</w:t>
      </w:r>
      <w:r w:rsidRPr="003D068F">
        <w:t>. Bristol: Policy Press.</w:t>
      </w:r>
    </w:p>
    <w:p w14:paraId="05688E78" w14:textId="77777777" w:rsidR="003D068F" w:rsidRPr="003D068F" w:rsidRDefault="003D068F" w:rsidP="003D068F">
      <w:r w:rsidRPr="003D068F">
        <w:t>Tamers, S.L., Streit, J., Pana</w:t>
      </w:r>
      <w:r w:rsidRPr="003D068F">
        <w:rPr>
          <w:rFonts w:ascii="Cambria Math" w:hAnsi="Cambria Math" w:cs="Cambria Math"/>
        </w:rPr>
        <w:t>‐</w:t>
      </w:r>
      <w:r w:rsidRPr="003D068F">
        <w:rPr>
          <w:rFonts w:cs="Gill Sans MT"/>
        </w:rPr>
        <w:t>Cryan, R., Ray, T., Syron, L., Flynn, M.A., Castillo, D., Roth, G.</w:t>
      </w:r>
      <w:r w:rsidRPr="003D068F">
        <w:t>, Geraci, C., Guerin, R. and Schulte, P., (2020). “Envisioning the future of work to safeguard the safety, health, and well</w:t>
      </w:r>
      <w:r w:rsidRPr="003D068F">
        <w:rPr>
          <w:rFonts w:ascii="Cambria Math" w:hAnsi="Cambria Math" w:cs="Cambria Math"/>
        </w:rPr>
        <w:t>‐</w:t>
      </w:r>
      <w:r w:rsidRPr="003D068F">
        <w:rPr>
          <w:rFonts w:cs="Gill Sans MT"/>
        </w:rPr>
        <w:t>being of the workforce: A perspective from the CDC's National Institute for Occupational Safety and Health</w:t>
      </w:r>
      <w:r w:rsidRPr="003D068F">
        <w:t>”. </w:t>
      </w:r>
      <w:r w:rsidRPr="003D068F">
        <w:rPr>
          <w:i/>
          <w:iCs/>
        </w:rPr>
        <w:t>American journal of industrial medicine</w:t>
      </w:r>
      <w:r w:rsidRPr="003D068F">
        <w:t>, </w:t>
      </w:r>
      <w:r w:rsidRPr="003D068F">
        <w:rPr>
          <w:i/>
          <w:iCs/>
        </w:rPr>
        <w:t>63</w:t>
      </w:r>
      <w:r w:rsidRPr="003D068F">
        <w:t>(12), pp.1065-1084. doi: 10.1002/ajim.23183</w:t>
      </w:r>
    </w:p>
    <w:p w14:paraId="172E5375" w14:textId="77777777" w:rsidR="003D068F" w:rsidRDefault="003D068F" w:rsidP="00877EEC"/>
    <w:sectPr w:rsidR="003D068F" w:rsidSect="002339E5">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691B5" w14:textId="77777777" w:rsidR="005366BC" w:rsidRDefault="005366BC" w:rsidP="002339E5">
      <w:pPr>
        <w:spacing w:after="0" w:line="240" w:lineRule="auto"/>
      </w:pPr>
      <w:r>
        <w:separator/>
      </w:r>
    </w:p>
  </w:endnote>
  <w:endnote w:type="continuationSeparator" w:id="0">
    <w:p w14:paraId="1EA22524" w14:textId="77777777" w:rsidR="005366BC" w:rsidRDefault="005366BC" w:rsidP="00233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819487"/>
      <w:docPartObj>
        <w:docPartGallery w:val="Page Numbers (Bottom of Page)"/>
        <w:docPartUnique/>
      </w:docPartObj>
    </w:sdtPr>
    <w:sdtEndPr/>
    <w:sdtContent>
      <w:p w14:paraId="7D9D017D" w14:textId="77777777" w:rsidR="002339E5" w:rsidRDefault="005E42C0">
        <w:pPr>
          <w:pStyle w:val="Footer"/>
          <w:jc w:val="right"/>
        </w:pPr>
        <w:r>
          <w:fldChar w:fldCharType="begin"/>
        </w:r>
        <w:r>
          <w:instrText xml:space="preserve"> PAGE   \* MERGEFORMAT </w:instrText>
        </w:r>
        <w:r>
          <w:fldChar w:fldCharType="separate"/>
        </w:r>
        <w:r w:rsidR="00AB1E1B">
          <w:rPr>
            <w:noProof/>
          </w:rPr>
          <w:t>3</w:t>
        </w:r>
        <w:r>
          <w:rPr>
            <w:noProof/>
          </w:rPr>
          <w:fldChar w:fldCharType="end"/>
        </w:r>
      </w:p>
    </w:sdtContent>
  </w:sdt>
  <w:p w14:paraId="0B4F0C1A" w14:textId="77777777" w:rsidR="002339E5" w:rsidRDefault="00233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6773D" w14:textId="77777777" w:rsidR="005366BC" w:rsidRDefault="005366BC" w:rsidP="002339E5">
      <w:pPr>
        <w:spacing w:after="0" w:line="240" w:lineRule="auto"/>
      </w:pPr>
      <w:r>
        <w:separator/>
      </w:r>
    </w:p>
  </w:footnote>
  <w:footnote w:type="continuationSeparator" w:id="0">
    <w:p w14:paraId="116084D0" w14:textId="77777777" w:rsidR="005366BC" w:rsidRDefault="005366BC" w:rsidP="002339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activeWritingStyle w:appName="MSWord" w:lang="en-US" w:vendorID="64" w:dllVersion="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DFF"/>
    <w:rsid w:val="00012B93"/>
    <w:rsid w:val="00055C7D"/>
    <w:rsid w:val="0006651A"/>
    <w:rsid w:val="000A1DD6"/>
    <w:rsid w:val="00117F16"/>
    <w:rsid w:val="001318DF"/>
    <w:rsid w:val="0016539F"/>
    <w:rsid w:val="001C6154"/>
    <w:rsid w:val="001D5B11"/>
    <w:rsid w:val="001E0282"/>
    <w:rsid w:val="001E1D0F"/>
    <w:rsid w:val="00214275"/>
    <w:rsid w:val="002211BD"/>
    <w:rsid w:val="00227533"/>
    <w:rsid w:val="002339E5"/>
    <w:rsid w:val="00240222"/>
    <w:rsid w:val="002743AF"/>
    <w:rsid w:val="00291DE8"/>
    <w:rsid w:val="002B6C62"/>
    <w:rsid w:val="00355195"/>
    <w:rsid w:val="003D068F"/>
    <w:rsid w:val="004074A3"/>
    <w:rsid w:val="004417B0"/>
    <w:rsid w:val="004462E2"/>
    <w:rsid w:val="005366BC"/>
    <w:rsid w:val="0057171C"/>
    <w:rsid w:val="005A1B59"/>
    <w:rsid w:val="005D01AB"/>
    <w:rsid w:val="006603E1"/>
    <w:rsid w:val="006A2F98"/>
    <w:rsid w:val="006C6BA2"/>
    <w:rsid w:val="007B2DEA"/>
    <w:rsid w:val="008033DA"/>
    <w:rsid w:val="00877EEC"/>
    <w:rsid w:val="008B4EA2"/>
    <w:rsid w:val="008E1ACC"/>
    <w:rsid w:val="008F739A"/>
    <w:rsid w:val="009648BC"/>
    <w:rsid w:val="009D0FA7"/>
    <w:rsid w:val="00A40962"/>
    <w:rsid w:val="00AA6337"/>
    <w:rsid w:val="00AB1E1B"/>
    <w:rsid w:val="00B86F89"/>
    <w:rsid w:val="00B912FB"/>
    <w:rsid w:val="00BB476B"/>
    <w:rsid w:val="00BD00C7"/>
    <w:rsid w:val="00C00DFF"/>
    <w:rsid w:val="00C61633"/>
    <w:rsid w:val="00C643B3"/>
    <w:rsid w:val="00CA09BC"/>
    <w:rsid w:val="00CC510A"/>
    <w:rsid w:val="00D24B61"/>
    <w:rsid w:val="00D46601"/>
    <w:rsid w:val="00D56ED2"/>
    <w:rsid w:val="00D95F8D"/>
    <w:rsid w:val="00DB1682"/>
    <w:rsid w:val="00DB46DA"/>
    <w:rsid w:val="00DF07F5"/>
    <w:rsid w:val="00DF57CD"/>
    <w:rsid w:val="00E956D8"/>
    <w:rsid w:val="00EF0ACB"/>
    <w:rsid w:val="00FA189F"/>
    <w:rsid w:val="00FC0F01"/>
    <w:rsid w:val="00FE2BFC"/>
    <w:rsid w:val="00FF2C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7D2FD"/>
  <w15:docId w15:val="{B21FE628-57AD-AB4E-B067-D46C9A9DF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EEC"/>
    <w:pPr>
      <w:spacing w:line="360" w:lineRule="auto"/>
      <w:jc w:val="both"/>
    </w:pPr>
    <w:rPr>
      <w:rFonts w:ascii="Gill Sans MT" w:hAnsi="Gill Sans MT"/>
    </w:rPr>
  </w:style>
  <w:style w:type="paragraph" w:styleId="Heading1">
    <w:name w:val="heading 1"/>
    <w:basedOn w:val="Normal"/>
    <w:next w:val="Normal"/>
    <w:link w:val="Heading1Char"/>
    <w:uiPriority w:val="9"/>
    <w:qFormat/>
    <w:rsid w:val="00877EE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77EEC"/>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EEC"/>
    <w:rPr>
      <w:rFonts w:ascii="Gill Sans MT" w:eastAsiaTheme="majorEastAsia" w:hAnsi="Gill Sans MT" w:cstheme="majorBidi"/>
      <w:b/>
      <w:bCs/>
      <w:sz w:val="28"/>
      <w:szCs w:val="28"/>
    </w:rPr>
  </w:style>
  <w:style w:type="character" w:customStyle="1" w:styleId="Heading2Char">
    <w:name w:val="Heading 2 Char"/>
    <w:basedOn w:val="DefaultParagraphFont"/>
    <w:link w:val="Heading2"/>
    <w:uiPriority w:val="9"/>
    <w:rsid w:val="00877EEC"/>
    <w:rPr>
      <w:rFonts w:ascii="Gill Sans MT" w:eastAsiaTheme="majorEastAsia" w:hAnsi="Gill Sans MT" w:cstheme="majorBidi"/>
      <w:b/>
      <w:bCs/>
      <w:sz w:val="26"/>
      <w:szCs w:val="26"/>
    </w:rPr>
  </w:style>
  <w:style w:type="paragraph" w:styleId="BalloonText">
    <w:name w:val="Balloon Text"/>
    <w:basedOn w:val="Normal"/>
    <w:link w:val="BalloonTextChar"/>
    <w:uiPriority w:val="99"/>
    <w:semiHidden/>
    <w:unhideWhenUsed/>
    <w:rsid w:val="003D06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68F"/>
    <w:rPr>
      <w:rFonts w:ascii="Tahoma" w:hAnsi="Tahoma" w:cs="Tahoma"/>
      <w:sz w:val="16"/>
      <w:szCs w:val="16"/>
    </w:rPr>
  </w:style>
  <w:style w:type="paragraph" w:styleId="TOCHeading">
    <w:name w:val="TOC Heading"/>
    <w:basedOn w:val="Heading1"/>
    <w:next w:val="Normal"/>
    <w:uiPriority w:val="39"/>
    <w:semiHidden/>
    <w:unhideWhenUsed/>
    <w:qFormat/>
    <w:rsid w:val="003D068F"/>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3D068F"/>
    <w:pPr>
      <w:spacing w:after="100"/>
    </w:pPr>
  </w:style>
  <w:style w:type="paragraph" w:styleId="TOC2">
    <w:name w:val="toc 2"/>
    <w:basedOn w:val="Normal"/>
    <w:next w:val="Normal"/>
    <w:autoRedefine/>
    <w:uiPriority w:val="39"/>
    <w:unhideWhenUsed/>
    <w:rsid w:val="003D068F"/>
    <w:pPr>
      <w:spacing w:after="100"/>
      <w:ind w:left="220"/>
    </w:pPr>
  </w:style>
  <w:style w:type="character" w:styleId="Hyperlink">
    <w:name w:val="Hyperlink"/>
    <w:basedOn w:val="DefaultParagraphFont"/>
    <w:uiPriority w:val="99"/>
    <w:unhideWhenUsed/>
    <w:rsid w:val="003D068F"/>
    <w:rPr>
      <w:color w:val="0000FF" w:themeColor="hyperlink"/>
      <w:u w:val="single"/>
    </w:rPr>
  </w:style>
  <w:style w:type="paragraph" w:styleId="Header">
    <w:name w:val="header"/>
    <w:basedOn w:val="Normal"/>
    <w:link w:val="HeaderChar"/>
    <w:uiPriority w:val="99"/>
    <w:semiHidden/>
    <w:unhideWhenUsed/>
    <w:rsid w:val="002339E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339E5"/>
    <w:rPr>
      <w:rFonts w:ascii="Gill Sans MT" w:hAnsi="Gill Sans MT"/>
    </w:rPr>
  </w:style>
  <w:style w:type="paragraph" w:styleId="Footer">
    <w:name w:val="footer"/>
    <w:basedOn w:val="Normal"/>
    <w:link w:val="FooterChar"/>
    <w:uiPriority w:val="99"/>
    <w:unhideWhenUsed/>
    <w:rsid w:val="002339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9E5"/>
    <w:rPr>
      <w:rFonts w:ascii="Gill Sans MT" w:hAnsi="Gill Sans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13179">
      <w:bodyDiv w:val="1"/>
      <w:marLeft w:val="0"/>
      <w:marRight w:val="0"/>
      <w:marTop w:val="0"/>
      <w:marBottom w:val="0"/>
      <w:divBdr>
        <w:top w:val="none" w:sz="0" w:space="0" w:color="auto"/>
        <w:left w:val="none" w:sz="0" w:space="0" w:color="auto"/>
        <w:bottom w:val="none" w:sz="0" w:space="0" w:color="auto"/>
        <w:right w:val="none" w:sz="0" w:space="0" w:color="auto"/>
      </w:divBdr>
    </w:div>
    <w:div w:id="1267888437">
      <w:bodyDiv w:val="1"/>
      <w:marLeft w:val="0"/>
      <w:marRight w:val="0"/>
      <w:marTop w:val="0"/>
      <w:marBottom w:val="0"/>
      <w:divBdr>
        <w:top w:val="none" w:sz="0" w:space="0" w:color="auto"/>
        <w:left w:val="none" w:sz="0" w:space="0" w:color="auto"/>
        <w:bottom w:val="none" w:sz="0" w:space="0" w:color="auto"/>
        <w:right w:val="none" w:sz="0" w:space="0" w:color="auto"/>
      </w:divBdr>
    </w:div>
    <w:div w:id="1891574976">
      <w:bodyDiv w:val="1"/>
      <w:marLeft w:val="0"/>
      <w:marRight w:val="0"/>
      <w:marTop w:val="0"/>
      <w:marBottom w:val="0"/>
      <w:divBdr>
        <w:top w:val="none" w:sz="0" w:space="0" w:color="auto"/>
        <w:left w:val="none" w:sz="0" w:space="0" w:color="auto"/>
        <w:bottom w:val="none" w:sz="0" w:space="0" w:color="auto"/>
        <w:right w:val="none" w:sz="0" w:space="0" w:color="auto"/>
      </w:divBdr>
    </w:div>
    <w:div w:id="2013726863">
      <w:bodyDiv w:val="1"/>
      <w:marLeft w:val="0"/>
      <w:marRight w:val="0"/>
      <w:marTop w:val="0"/>
      <w:marBottom w:val="0"/>
      <w:divBdr>
        <w:top w:val="none" w:sz="0" w:space="0" w:color="auto"/>
        <w:left w:val="none" w:sz="0" w:space="0" w:color="auto"/>
        <w:bottom w:val="none" w:sz="0" w:space="0" w:color="auto"/>
        <w:right w:val="none" w:sz="0" w:space="0" w:color="auto"/>
      </w:divBdr>
    </w:div>
    <w:div w:id="212769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C3D394-00F8-45A1-8E4C-11038863FD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3042</Words>
  <Characters>17341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Jasleen Kaur</cp:lastModifiedBy>
  <cp:revision>2</cp:revision>
  <dcterms:created xsi:type="dcterms:W3CDTF">2023-07-25T20:30:00Z</dcterms:created>
  <dcterms:modified xsi:type="dcterms:W3CDTF">2023-07-25T20:30:00Z</dcterms:modified>
</cp:coreProperties>
</file>